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AB5B70">
      <w:pPr>
        <w:rPr>
          <w:rFonts w:ascii="仿宋_GB2312" w:hAnsi="仿宋_GB2312" w:eastAsia="仿宋_GB2312" w:cs="仿宋_GB2312"/>
          <w:color w:val="auto"/>
          <w:sz w:val="36"/>
          <w:szCs w:val="36"/>
        </w:rPr>
      </w:pPr>
    </w:p>
    <w:p w14:paraId="356218CB">
      <w:pPr>
        <w:rPr>
          <w:rFonts w:ascii="仿宋_GB2312" w:hAnsi="仿宋_GB2312" w:eastAsia="仿宋_GB2312" w:cs="仿宋_GB2312"/>
          <w:color w:val="auto"/>
          <w:sz w:val="36"/>
          <w:szCs w:val="36"/>
        </w:rPr>
      </w:pPr>
    </w:p>
    <w:p w14:paraId="44987DD4">
      <w:pPr>
        <w:rPr>
          <w:rFonts w:ascii="仿宋_GB2312" w:hAnsi="仿宋_GB2312" w:eastAsia="仿宋_GB2312" w:cs="仿宋_GB2312"/>
          <w:color w:val="auto"/>
          <w:sz w:val="36"/>
          <w:szCs w:val="36"/>
        </w:rPr>
      </w:pPr>
    </w:p>
    <w:p w14:paraId="64DE7DA1">
      <w:pPr>
        <w:rPr>
          <w:rFonts w:ascii="仿宋_GB2312" w:hAnsi="仿宋_GB2312" w:eastAsia="仿宋_GB2312" w:cs="仿宋_GB2312"/>
          <w:color w:val="auto"/>
          <w:sz w:val="36"/>
          <w:szCs w:val="36"/>
        </w:rPr>
      </w:pPr>
      <w:bookmarkStart w:id="25" w:name="_GoBack"/>
      <w:bookmarkEnd w:id="25"/>
    </w:p>
    <w:p w14:paraId="5AD35226">
      <w:pPr>
        <w:rPr>
          <w:rFonts w:hint="eastAsia" w:ascii="仿宋_GB2312" w:hAnsi="仿宋_GB2312" w:eastAsia="仿宋_GB2312" w:cs="仿宋_GB2312"/>
          <w:color w:val="auto"/>
          <w:sz w:val="36"/>
          <w:szCs w:val="36"/>
        </w:rPr>
      </w:pPr>
    </w:p>
    <w:p w14:paraId="01749034">
      <w:pPr>
        <w:adjustRightInd w:val="0"/>
        <w:snapToGrid w:val="0"/>
        <w:jc w:val="center"/>
        <w:outlineLvl w:val="0"/>
        <w:rPr>
          <w:rFonts w:hint="eastAsia" w:ascii="方正小标宋_GBK" w:eastAsia="方正小标宋_GBK"/>
          <w:bCs/>
          <w:color w:val="auto"/>
          <w:sz w:val="72"/>
          <w:szCs w:val="72"/>
        </w:rPr>
      </w:pPr>
      <w:bookmarkStart w:id="0" w:name="_Toc4852"/>
      <w:r>
        <w:rPr>
          <w:rFonts w:hint="eastAsia" w:ascii="方正小标宋_GBK" w:eastAsia="方正小标宋_GBK"/>
          <w:bCs/>
          <w:color w:val="auto"/>
          <w:sz w:val="72"/>
          <w:szCs w:val="72"/>
        </w:rPr>
        <w:t>建设项目环境影响报告表</w:t>
      </w:r>
      <w:bookmarkEnd w:id="0"/>
    </w:p>
    <w:p w14:paraId="37DAD3E9">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（污染影响类）</w:t>
      </w:r>
    </w:p>
    <w:p w14:paraId="49F7F5DB">
      <w:pPr>
        <w:bidi w:val="0"/>
        <w:rPr>
          <w:color w:val="auto"/>
        </w:rPr>
      </w:pPr>
    </w:p>
    <w:p w14:paraId="2B0060BE">
      <w:pPr>
        <w:bidi w:val="0"/>
        <w:rPr>
          <w:color w:val="auto"/>
        </w:rPr>
      </w:pPr>
    </w:p>
    <w:p w14:paraId="521D0678">
      <w:pPr>
        <w:jc w:val="center"/>
        <w:rPr>
          <w:rFonts w:eastAsia="仿宋"/>
          <w:color w:val="auto"/>
          <w:sz w:val="52"/>
          <w:szCs w:val="52"/>
        </w:rPr>
      </w:pPr>
    </w:p>
    <w:p w14:paraId="26E4DEE4">
      <w:pPr>
        <w:ind w:firstLine="1040"/>
        <w:rPr>
          <w:rFonts w:eastAsia="仿宋"/>
          <w:color w:val="auto"/>
          <w:sz w:val="44"/>
          <w:szCs w:val="44"/>
        </w:rPr>
      </w:pPr>
    </w:p>
    <w:p w14:paraId="790C09C8">
      <w:pPr>
        <w:ind w:firstLine="1040"/>
        <w:rPr>
          <w:rFonts w:eastAsia="仿宋"/>
          <w:color w:val="auto"/>
          <w:sz w:val="44"/>
          <w:szCs w:val="44"/>
        </w:rPr>
      </w:pPr>
    </w:p>
    <w:p w14:paraId="621B224B">
      <w:pPr>
        <w:ind w:firstLine="1040"/>
        <w:rPr>
          <w:rFonts w:eastAsia="仿宋"/>
          <w:color w:val="auto"/>
          <w:sz w:val="44"/>
          <w:szCs w:val="44"/>
        </w:rPr>
      </w:pPr>
    </w:p>
    <w:p w14:paraId="2FD57033">
      <w:pPr>
        <w:ind w:firstLine="1040"/>
        <w:rPr>
          <w:rFonts w:eastAsia="仿宋"/>
          <w:color w:val="auto"/>
          <w:sz w:val="44"/>
          <w:szCs w:val="44"/>
        </w:rPr>
      </w:pPr>
    </w:p>
    <w:p w14:paraId="5C412CCD">
      <w:pPr>
        <w:adjustRightInd w:val="0"/>
        <w:snapToGrid w:val="0"/>
        <w:spacing w:line="288" w:lineRule="auto"/>
        <w:ind w:firstLine="1040"/>
        <w:jc w:val="center"/>
        <w:rPr>
          <w:rFonts w:hint="default" w:ascii="仿宋_GB2312" w:eastAsia="仿宋_GB2312"/>
          <w:color w:val="auto"/>
          <w:sz w:val="36"/>
          <w:szCs w:val="36"/>
          <w:u w:val="single"/>
          <w:lang w:val="en-US" w:eastAsia="zh-CN"/>
        </w:rPr>
      </w:pPr>
      <w:r>
        <w:rPr>
          <w:rFonts w:hint="eastAsia" w:ascii="仿宋_GB2312" w:eastAsia="仿宋_GB2312"/>
          <w:color w:val="auto"/>
          <w:sz w:val="36"/>
          <w:szCs w:val="36"/>
        </w:rPr>
        <w:t>项目名称：</w:t>
      </w:r>
      <w:r>
        <w:rPr>
          <w:rFonts w:hint="eastAsia" w:ascii="仿宋_GB2312" w:eastAsia="仿宋_GB2312"/>
          <w:color w:val="auto"/>
          <w:sz w:val="36"/>
          <w:szCs w:val="36"/>
          <w:u w:val="single"/>
          <w:lang w:val="en-US" w:eastAsia="zh-CN"/>
        </w:rPr>
        <w:t>南通冠东模塑股份有限公司车灯涂装生产线技改项目</w:t>
      </w:r>
    </w:p>
    <w:p w14:paraId="18304D93">
      <w:pPr>
        <w:adjustRightInd w:val="0"/>
        <w:snapToGrid w:val="0"/>
        <w:spacing w:line="288" w:lineRule="auto"/>
        <w:ind w:firstLine="1040"/>
        <w:rPr>
          <w:rFonts w:ascii="仿宋_GB2312" w:eastAsia="仿宋_GB2312"/>
          <w:color w:val="auto"/>
          <w:sz w:val="36"/>
          <w:szCs w:val="36"/>
          <w:u w:val="single"/>
        </w:rPr>
      </w:pPr>
      <w:r>
        <w:rPr>
          <w:rFonts w:hint="eastAsia" w:ascii="仿宋_GB2312" w:eastAsia="仿宋_GB2312"/>
          <w:color w:val="auto"/>
          <w:sz w:val="36"/>
          <w:szCs w:val="36"/>
        </w:rPr>
        <w:t>建设单位（盖章）：</w:t>
      </w:r>
      <w:r>
        <w:rPr>
          <w:rFonts w:hint="eastAsia" w:ascii="仿宋_GB2312" w:eastAsia="仿宋_GB2312"/>
          <w:color w:val="auto"/>
          <w:sz w:val="36"/>
          <w:szCs w:val="36"/>
          <w:u w:val="single"/>
        </w:rPr>
        <w:t>南通冠东模塑股份有限公司</w:t>
      </w:r>
    </w:p>
    <w:p w14:paraId="337369BC">
      <w:pPr>
        <w:adjustRightInd w:val="0"/>
        <w:snapToGrid w:val="0"/>
        <w:spacing w:line="288" w:lineRule="auto"/>
        <w:ind w:firstLine="1040"/>
        <w:rPr>
          <w:rFonts w:ascii="仿宋_GB2312" w:eastAsia="仿宋_GB2312"/>
          <w:color w:val="auto"/>
          <w:sz w:val="36"/>
          <w:szCs w:val="36"/>
          <w:u w:val="single"/>
        </w:rPr>
      </w:pPr>
      <w:r>
        <w:rPr>
          <w:rFonts w:hint="eastAsia" w:ascii="仿宋_GB2312" w:eastAsia="仿宋_GB2312"/>
          <w:color w:val="auto"/>
          <w:sz w:val="36"/>
          <w:szCs w:val="36"/>
        </w:rPr>
        <w:t>编制日期：</w:t>
      </w:r>
      <w:r>
        <w:rPr>
          <w:rFonts w:hint="eastAsia" w:ascii="仿宋_GB2312" w:hAnsi="Times New Roman" w:eastAsia="仿宋_GB2312" w:cs="Times New Roman"/>
          <w:color w:val="auto"/>
          <w:sz w:val="36"/>
          <w:szCs w:val="36"/>
          <w:u w:val="single"/>
        </w:rPr>
        <w:t>二〇二</w:t>
      </w:r>
      <w:r>
        <w:rPr>
          <w:rFonts w:hint="eastAsia" w:ascii="仿宋_GB2312" w:eastAsia="仿宋_GB2312" w:cs="Times New Roman"/>
          <w:color w:val="auto"/>
          <w:sz w:val="36"/>
          <w:szCs w:val="36"/>
          <w:u w:val="single"/>
          <w:lang w:val="en-US" w:eastAsia="zh-CN"/>
        </w:rPr>
        <w:t>六</w:t>
      </w:r>
      <w:r>
        <w:rPr>
          <w:rFonts w:hint="eastAsia" w:ascii="仿宋_GB2312" w:hAnsi="Times New Roman" w:eastAsia="仿宋_GB2312" w:cs="Times New Roman"/>
          <w:color w:val="auto"/>
          <w:sz w:val="36"/>
          <w:szCs w:val="36"/>
          <w:u w:val="single"/>
        </w:rPr>
        <w:t>年</w:t>
      </w:r>
      <w:r>
        <w:rPr>
          <w:rFonts w:hint="eastAsia" w:ascii="仿宋_GB2312" w:eastAsia="仿宋_GB2312" w:cs="Times New Roman"/>
          <w:color w:val="auto"/>
          <w:sz w:val="36"/>
          <w:szCs w:val="36"/>
          <w:u w:val="single"/>
          <w:lang w:val="en-US" w:eastAsia="zh-CN"/>
        </w:rPr>
        <w:t>三</w:t>
      </w:r>
      <w:r>
        <w:rPr>
          <w:rFonts w:hint="eastAsia" w:ascii="仿宋_GB2312" w:hAnsi="Times New Roman" w:eastAsia="仿宋_GB2312" w:cs="Times New Roman"/>
          <w:color w:val="auto"/>
          <w:sz w:val="36"/>
          <w:szCs w:val="36"/>
          <w:u w:val="single"/>
        </w:rPr>
        <w:t>月</w:t>
      </w:r>
      <w:bookmarkStart w:id="1" w:name="_Hlk57884087"/>
    </w:p>
    <w:p w14:paraId="14D87932">
      <w:pPr>
        <w:adjustRightInd w:val="0"/>
        <w:snapToGrid w:val="0"/>
        <w:spacing w:line="288" w:lineRule="auto"/>
        <w:ind w:firstLine="1040"/>
        <w:rPr>
          <w:rFonts w:ascii="仿宋_GB2312" w:eastAsia="仿宋_GB2312"/>
          <w:color w:val="auto"/>
          <w:sz w:val="36"/>
          <w:szCs w:val="36"/>
        </w:rPr>
      </w:pPr>
    </w:p>
    <w:p w14:paraId="134D2552">
      <w:pPr>
        <w:adjustRightInd w:val="0"/>
        <w:snapToGrid w:val="0"/>
        <w:spacing w:line="288" w:lineRule="auto"/>
        <w:ind w:firstLine="1040"/>
        <w:rPr>
          <w:rFonts w:ascii="仿宋_GB2312" w:eastAsia="仿宋_GB2312"/>
          <w:color w:val="auto"/>
          <w:sz w:val="36"/>
          <w:szCs w:val="36"/>
        </w:rPr>
      </w:pPr>
    </w:p>
    <w:p w14:paraId="534C3C2C">
      <w:pPr>
        <w:adjustRightInd w:val="0"/>
        <w:snapToGrid w:val="0"/>
        <w:spacing w:line="288" w:lineRule="auto"/>
        <w:ind w:firstLine="1040"/>
        <w:rPr>
          <w:rFonts w:hint="eastAsia" w:ascii="仿宋_GB2312" w:eastAsia="仿宋_GB2312"/>
          <w:color w:val="auto"/>
          <w:sz w:val="36"/>
          <w:szCs w:val="36"/>
        </w:rPr>
      </w:pPr>
    </w:p>
    <w:p w14:paraId="0A245704">
      <w:pPr>
        <w:adjustRightInd w:val="0"/>
        <w:snapToGrid w:val="0"/>
        <w:spacing w:line="288" w:lineRule="auto"/>
        <w:ind w:firstLine="1040"/>
        <w:rPr>
          <w:rFonts w:hint="eastAsia" w:ascii="仿宋_GB2312" w:eastAsia="仿宋_GB2312"/>
          <w:color w:val="auto"/>
          <w:sz w:val="36"/>
          <w:szCs w:val="36"/>
        </w:rPr>
      </w:pPr>
    </w:p>
    <w:bookmarkEnd w:id="1"/>
    <w:p w14:paraId="2F997DA7">
      <w:pPr>
        <w:adjustRightInd w:val="0"/>
        <w:snapToGrid w:val="0"/>
        <w:spacing w:line="288" w:lineRule="auto"/>
        <w:jc w:val="center"/>
        <w:rPr>
          <w:rFonts w:hint="eastAsia" w:ascii="楷体_GB2312" w:eastAsia="楷体_GB2312"/>
          <w:color w:val="auto"/>
          <w:sz w:val="36"/>
          <w:szCs w:val="36"/>
        </w:rPr>
      </w:pPr>
      <w:r>
        <w:rPr>
          <w:rFonts w:hint="eastAsia" w:ascii="楷体_GB2312" w:eastAsia="楷体_GB2312"/>
          <w:color w:val="auto"/>
          <w:sz w:val="36"/>
          <w:szCs w:val="36"/>
        </w:rPr>
        <w:t>中华人民共和国生态环境部制</w:t>
      </w:r>
    </w:p>
    <w:p w14:paraId="747F733E">
      <w:pPr>
        <w:adjustRightInd w:val="0"/>
        <w:snapToGrid w:val="0"/>
        <w:spacing w:line="288" w:lineRule="auto"/>
        <w:ind w:firstLine="1040"/>
        <w:rPr>
          <w:rFonts w:ascii="仿宋_GB2312" w:eastAsia="仿宋_GB2312"/>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37AA43C4">
      <w:pPr>
        <w:spacing w:before="0" w:beforeLines="0" w:after="0" w:afterLines="0" w:line="240" w:lineRule="auto"/>
        <w:ind w:left="0" w:leftChars="0" w:right="0" w:rightChars="0" w:firstLine="0" w:firstLineChars="0"/>
        <w:jc w:val="center"/>
        <w:rPr>
          <w:color w:val="auto"/>
        </w:rPr>
      </w:pPr>
      <w:r>
        <w:rPr>
          <w:rFonts w:hint="eastAsia" w:ascii="宋体" w:hAnsi="宋体" w:eastAsia="宋体" w:cs="宋体"/>
          <w:snapToGrid w:val="0"/>
          <w:color w:val="auto"/>
          <w:kern w:val="0"/>
          <w:sz w:val="30"/>
          <w:szCs w:val="30"/>
          <w:lang w:val="en-US" w:eastAsia="zh-CN" w:bidi="ar-SA"/>
        </w:rPr>
        <w:t>目录</w:t>
      </w:r>
    </w:p>
    <w:p w14:paraId="05AA9B8B">
      <w:pPr>
        <w:pStyle w:val="11"/>
        <w:tabs>
          <w:tab w:val="right" w:leader="dot" w:pos="8844"/>
        </w:tabs>
        <w:rPr>
          <w:color w:val="auto"/>
        </w:rPr>
      </w:pPr>
      <w:r>
        <w:rPr>
          <w:color w:val="auto"/>
        </w:rPr>
        <w:fldChar w:fldCharType="begin"/>
      </w:r>
      <w:r>
        <w:rPr>
          <w:color w:val="auto"/>
        </w:rPr>
        <w:instrText xml:space="preserve">TOC \o "1-1" \h \u </w:instrText>
      </w:r>
      <w:r>
        <w:rPr>
          <w:color w:val="auto"/>
        </w:rPr>
        <w:fldChar w:fldCharType="separate"/>
      </w:r>
    </w:p>
    <w:p w14:paraId="5237395A">
      <w:pPr>
        <w:pStyle w:val="11"/>
        <w:tabs>
          <w:tab w:val="right" w:leader="dot" w:pos="8844"/>
        </w:tabs>
        <w:rPr>
          <w:color w:val="auto"/>
          <w:sz w:val="24"/>
          <w:szCs w:val="24"/>
        </w:rPr>
      </w:pPr>
      <w:r>
        <w:rPr>
          <w:color w:val="auto"/>
          <w:sz w:val="24"/>
          <w:szCs w:val="24"/>
        </w:rPr>
        <w:fldChar w:fldCharType="begin"/>
      </w:r>
      <w:r>
        <w:rPr>
          <w:color w:val="auto"/>
          <w:sz w:val="24"/>
          <w:szCs w:val="24"/>
        </w:rPr>
        <w:instrText xml:space="preserve"> HYPERLINK \l _Toc20951 </w:instrText>
      </w:r>
      <w:r>
        <w:rPr>
          <w:color w:val="auto"/>
          <w:sz w:val="24"/>
          <w:szCs w:val="24"/>
        </w:rPr>
        <w:fldChar w:fldCharType="separate"/>
      </w:r>
      <w:r>
        <w:rPr>
          <w:rFonts w:hint="eastAsia"/>
          <w:color w:val="auto"/>
          <w:sz w:val="24"/>
          <w:szCs w:val="24"/>
        </w:rPr>
        <w:t>一、建设项目基本情况</w:t>
      </w:r>
      <w:r>
        <w:rPr>
          <w:color w:val="auto"/>
          <w:sz w:val="24"/>
          <w:szCs w:val="24"/>
        </w:rPr>
        <w:tab/>
      </w:r>
      <w:r>
        <w:rPr>
          <w:color w:val="auto"/>
          <w:sz w:val="24"/>
          <w:szCs w:val="24"/>
        </w:rPr>
        <w:fldChar w:fldCharType="begin"/>
      </w:r>
      <w:r>
        <w:rPr>
          <w:color w:val="auto"/>
          <w:sz w:val="24"/>
          <w:szCs w:val="24"/>
        </w:rPr>
        <w:instrText xml:space="preserve"> PAGEREF _Toc20951 \h </w:instrText>
      </w:r>
      <w:r>
        <w:rPr>
          <w:color w:val="auto"/>
          <w:sz w:val="24"/>
          <w:szCs w:val="24"/>
        </w:rPr>
        <w:fldChar w:fldCharType="separate"/>
      </w:r>
      <w:r>
        <w:rPr>
          <w:color w:val="auto"/>
          <w:sz w:val="24"/>
          <w:szCs w:val="24"/>
        </w:rPr>
        <w:t>1</w:t>
      </w:r>
      <w:r>
        <w:rPr>
          <w:color w:val="auto"/>
          <w:sz w:val="24"/>
          <w:szCs w:val="24"/>
        </w:rPr>
        <w:fldChar w:fldCharType="end"/>
      </w:r>
      <w:r>
        <w:rPr>
          <w:color w:val="auto"/>
          <w:sz w:val="24"/>
          <w:szCs w:val="24"/>
        </w:rPr>
        <w:fldChar w:fldCharType="end"/>
      </w:r>
    </w:p>
    <w:p w14:paraId="6D9A436D">
      <w:pPr>
        <w:pStyle w:val="11"/>
        <w:tabs>
          <w:tab w:val="right" w:leader="dot" w:pos="8844"/>
        </w:tabs>
        <w:rPr>
          <w:color w:val="auto"/>
          <w:sz w:val="24"/>
          <w:szCs w:val="24"/>
        </w:rPr>
      </w:pPr>
      <w:r>
        <w:rPr>
          <w:color w:val="auto"/>
          <w:sz w:val="24"/>
          <w:szCs w:val="24"/>
        </w:rPr>
        <w:fldChar w:fldCharType="begin"/>
      </w:r>
      <w:r>
        <w:rPr>
          <w:color w:val="auto"/>
          <w:sz w:val="24"/>
          <w:szCs w:val="24"/>
        </w:rPr>
        <w:instrText xml:space="preserve"> HYPERLINK \l _Toc21434 </w:instrText>
      </w:r>
      <w:r>
        <w:rPr>
          <w:color w:val="auto"/>
          <w:sz w:val="24"/>
          <w:szCs w:val="24"/>
        </w:rPr>
        <w:fldChar w:fldCharType="separate"/>
      </w:r>
      <w:r>
        <w:rPr>
          <w:rFonts w:hint="eastAsia"/>
          <w:color w:val="auto"/>
          <w:sz w:val="24"/>
          <w:szCs w:val="24"/>
        </w:rPr>
        <w:t>二、建设项目工程分析</w:t>
      </w:r>
      <w:r>
        <w:rPr>
          <w:color w:val="auto"/>
          <w:sz w:val="24"/>
          <w:szCs w:val="24"/>
        </w:rPr>
        <w:tab/>
      </w:r>
      <w:r>
        <w:rPr>
          <w:color w:val="auto"/>
          <w:sz w:val="24"/>
          <w:szCs w:val="24"/>
        </w:rPr>
        <w:fldChar w:fldCharType="begin"/>
      </w:r>
      <w:r>
        <w:rPr>
          <w:color w:val="auto"/>
          <w:sz w:val="24"/>
          <w:szCs w:val="24"/>
        </w:rPr>
        <w:instrText xml:space="preserve"> PAGEREF _Toc21434 \h </w:instrText>
      </w:r>
      <w:r>
        <w:rPr>
          <w:color w:val="auto"/>
          <w:sz w:val="24"/>
          <w:szCs w:val="24"/>
        </w:rPr>
        <w:fldChar w:fldCharType="separate"/>
      </w:r>
      <w:r>
        <w:rPr>
          <w:color w:val="auto"/>
          <w:sz w:val="24"/>
          <w:szCs w:val="24"/>
        </w:rPr>
        <w:t>23</w:t>
      </w:r>
      <w:r>
        <w:rPr>
          <w:color w:val="auto"/>
          <w:sz w:val="24"/>
          <w:szCs w:val="24"/>
        </w:rPr>
        <w:fldChar w:fldCharType="end"/>
      </w:r>
      <w:r>
        <w:rPr>
          <w:color w:val="auto"/>
          <w:sz w:val="24"/>
          <w:szCs w:val="24"/>
        </w:rPr>
        <w:fldChar w:fldCharType="end"/>
      </w:r>
    </w:p>
    <w:p w14:paraId="0F519F01">
      <w:pPr>
        <w:pStyle w:val="11"/>
        <w:tabs>
          <w:tab w:val="right" w:leader="dot" w:pos="8844"/>
        </w:tabs>
        <w:rPr>
          <w:color w:val="auto"/>
          <w:sz w:val="24"/>
          <w:szCs w:val="24"/>
        </w:rPr>
      </w:pPr>
      <w:r>
        <w:rPr>
          <w:color w:val="auto"/>
          <w:sz w:val="24"/>
          <w:szCs w:val="24"/>
        </w:rPr>
        <w:fldChar w:fldCharType="begin"/>
      </w:r>
      <w:r>
        <w:rPr>
          <w:color w:val="auto"/>
          <w:sz w:val="24"/>
          <w:szCs w:val="24"/>
        </w:rPr>
        <w:instrText xml:space="preserve"> HYPERLINK \l _Toc13158 </w:instrText>
      </w:r>
      <w:r>
        <w:rPr>
          <w:color w:val="auto"/>
          <w:sz w:val="24"/>
          <w:szCs w:val="24"/>
        </w:rPr>
        <w:fldChar w:fldCharType="separate"/>
      </w:r>
      <w:r>
        <w:rPr>
          <w:rFonts w:hint="eastAsia"/>
          <w:color w:val="auto"/>
          <w:sz w:val="24"/>
          <w:szCs w:val="24"/>
        </w:rPr>
        <w:t>三、区域环境质量现状、环境保护目标及评价标准</w:t>
      </w:r>
      <w:r>
        <w:rPr>
          <w:color w:val="auto"/>
          <w:sz w:val="24"/>
          <w:szCs w:val="24"/>
        </w:rPr>
        <w:tab/>
      </w:r>
      <w:r>
        <w:rPr>
          <w:color w:val="auto"/>
          <w:sz w:val="24"/>
          <w:szCs w:val="24"/>
        </w:rPr>
        <w:fldChar w:fldCharType="begin"/>
      </w:r>
      <w:r>
        <w:rPr>
          <w:color w:val="auto"/>
          <w:sz w:val="24"/>
          <w:szCs w:val="24"/>
        </w:rPr>
        <w:instrText xml:space="preserve"> PAGEREF _Toc13158 \h </w:instrText>
      </w:r>
      <w:r>
        <w:rPr>
          <w:color w:val="auto"/>
          <w:sz w:val="24"/>
          <w:szCs w:val="24"/>
        </w:rPr>
        <w:fldChar w:fldCharType="separate"/>
      </w:r>
      <w:r>
        <w:rPr>
          <w:color w:val="auto"/>
          <w:sz w:val="24"/>
          <w:szCs w:val="24"/>
        </w:rPr>
        <w:t>36</w:t>
      </w:r>
      <w:r>
        <w:rPr>
          <w:color w:val="auto"/>
          <w:sz w:val="24"/>
          <w:szCs w:val="24"/>
        </w:rPr>
        <w:fldChar w:fldCharType="end"/>
      </w:r>
      <w:r>
        <w:rPr>
          <w:color w:val="auto"/>
          <w:sz w:val="24"/>
          <w:szCs w:val="24"/>
        </w:rPr>
        <w:fldChar w:fldCharType="end"/>
      </w:r>
    </w:p>
    <w:p w14:paraId="44E311AC">
      <w:pPr>
        <w:pStyle w:val="11"/>
        <w:tabs>
          <w:tab w:val="right" w:leader="dot" w:pos="8844"/>
        </w:tabs>
        <w:rPr>
          <w:color w:val="auto"/>
          <w:sz w:val="24"/>
          <w:szCs w:val="24"/>
        </w:rPr>
      </w:pPr>
      <w:r>
        <w:rPr>
          <w:color w:val="auto"/>
          <w:sz w:val="24"/>
          <w:szCs w:val="24"/>
        </w:rPr>
        <w:fldChar w:fldCharType="begin"/>
      </w:r>
      <w:r>
        <w:rPr>
          <w:color w:val="auto"/>
          <w:sz w:val="24"/>
          <w:szCs w:val="24"/>
        </w:rPr>
        <w:instrText xml:space="preserve"> HYPERLINK \l _Toc2420 </w:instrText>
      </w:r>
      <w:r>
        <w:rPr>
          <w:color w:val="auto"/>
          <w:sz w:val="24"/>
          <w:szCs w:val="24"/>
        </w:rPr>
        <w:fldChar w:fldCharType="separate"/>
      </w:r>
      <w:r>
        <w:rPr>
          <w:rFonts w:hint="eastAsia"/>
          <w:color w:val="auto"/>
          <w:sz w:val="24"/>
          <w:szCs w:val="24"/>
        </w:rPr>
        <w:t>四、主要环境影响和保护措施</w:t>
      </w:r>
      <w:r>
        <w:rPr>
          <w:color w:val="auto"/>
          <w:sz w:val="24"/>
          <w:szCs w:val="24"/>
        </w:rPr>
        <w:tab/>
      </w:r>
      <w:r>
        <w:rPr>
          <w:color w:val="auto"/>
          <w:sz w:val="24"/>
          <w:szCs w:val="24"/>
        </w:rPr>
        <w:fldChar w:fldCharType="begin"/>
      </w:r>
      <w:r>
        <w:rPr>
          <w:color w:val="auto"/>
          <w:sz w:val="24"/>
          <w:szCs w:val="24"/>
        </w:rPr>
        <w:instrText xml:space="preserve"> PAGEREF _Toc2420 \h </w:instrText>
      </w:r>
      <w:r>
        <w:rPr>
          <w:color w:val="auto"/>
          <w:sz w:val="24"/>
          <w:szCs w:val="24"/>
        </w:rPr>
        <w:fldChar w:fldCharType="separate"/>
      </w:r>
      <w:r>
        <w:rPr>
          <w:color w:val="auto"/>
          <w:sz w:val="24"/>
          <w:szCs w:val="24"/>
        </w:rPr>
        <w:t>43</w:t>
      </w:r>
      <w:r>
        <w:rPr>
          <w:color w:val="auto"/>
          <w:sz w:val="24"/>
          <w:szCs w:val="24"/>
        </w:rPr>
        <w:fldChar w:fldCharType="end"/>
      </w:r>
      <w:r>
        <w:rPr>
          <w:color w:val="auto"/>
          <w:sz w:val="24"/>
          <w:szCs w:val="24"/>
        </w:rPr>
        <w:fldChar w:fldCharType="end"/>
      </w:r>
    </w:p>
    <w:p w14:paraId="63CB3FF0">
      <w:pPr>
        <w:pStyle w:val="11"/>
        <w:tabs>
          <w:tab w:val="right" w:leader="dot" w:pos="8844"/>
        </w:tabs>
        <w:rPr>
          <w:color w:val="auto"/>
          <w:sz w:val="24"/>
          <w:szCs w:val="24"/>
        </w:rPr>
      </w:pPr>
      <w:r>
        <w:rPr>
          <w:color w:val="auto"/>
          <w:sz w:val="24"/>
          <w:szCs w:val="24"/>
        </w:rPr>
        <w:fldChar w:fldCharType="begin"/>
      </w:r>
      <w:r>
        <w:rPr>
          <w:color w:val="auto"/>
          <w:sz w:val="24"/>
          <w:szCs w:val="24"/>
        </w:rPr>
        <w:instrText xml:space="preserve"> HYPERLINK \l _Toc4775 </w:instrText>
      </w:r>
      <w:r>
        <w:rPr>
          <w:color w:val="auto"/>
          <w:sz w:val="24"/>
          <w:szCs w:val="24"/>
        </w:rPr>
        <w:fldChar w:fldCharType="separate"/>
      </w:r>
      <w:r>
        <w:rPr>
          <w:rFonts w:hint="eastAsia"/>
          <w:color w:val="auto"/>
          <w:sz w:val="24"/>
          <w:szCs w:val="24"/>
        </w:rPr>
        <w:t>五、环境保护措施监督检查清单</w:t>
      </w:r>
      <w:r>
        <w:rPr>
          <w:color w:val="auto"/>
          <w:sz w:val="24"/>
          <w:szCs w:val="24"/>
        </w:rPr>
        <w:tab/>
      </w:r>
      <w:r>
        <w:rPr>
          <w:color w:val="auto"/>
          <w:sz w:val="24"/>
          <w:szCs w:val="24"/>
        </w:rPr>
        <w:fldChar w:fldCharType="begin"/>
      </w:r>
      <w:r>
        <w:rPr>
          <w:color w:val="auto"/>
          <w:sz w:val="24"/>
          <w:szCs w:val="24"/>
        </w:rPr>
        <w:instrText xml:space="preserve"> PAGEREF _Toc4775 \h </w:instrText>
      </w:r>
      <w:r>
        <w:rPr>
          <w:color w:val="auto"/>
          <w:sz w:val="24"/>
          <w:szCs w:val="24"/>
        </w:rPr>
        <w:fldChar w:fldCharType="separate"/>
      </w:r>
      <w:r>
        <w:rPr>
          <w:color w:val="auto"/>
          <w:sz w:val="24"/>
          <w:szCs w:val="24"/>
        </w:rPr>
        <w:t>65</w:t>
      </w:r>
      <w:r>
        <w:rPr>
          <w:color w:val="auto"/>
          <w:sz w:val="24"/>
          <w:szCs w:val="24"/>
        </w:rPr>
        <w:fldChar w:fldCharType="end"/>
      </w:r>
      <w:r>
        <w:rPr>
          <w:color w:val="auto"/>
          <w:sz w:val="24"/>
          <w:szCs w:val="24"/>
        </w:rPr>
        <w:fldChar w:fldCharType="end"/>
      </w:r>
    </w:p>
    <w:p w14:paraId="5CB5F2FE">
      <w:pPr>
        <w:pStyle w:val="11"/>
        <w:tabs>
          <w:tab w:val="right" w:leader="dot" w:pos="8844"/>
        </w:tabs>
        <w:rPr>
          <w:color w:val="auto"/>
          <w:sz w:val="24"/>
          <w:szCs w:val="24"/>
        </w:rPr>
      </w:pPr>
      <w:r>
        <w:rPr>
          <w:color w:val="auto"/>
          <w:sz w:val="24"/>
          <w:szCs w:val="24"/>
        </w:rPr>
        <w:fldChar w:fldCharType="begin"/>
      </w:r>
      <w:r>
        <w:rPr>
          <w:color w:val="auto"/>
          <w:sz w:val="24"/>
          <w:szCs w:val="24"/>
        </w:rPr>
        <w:instrText xml:space="preserve"> HYPERLINK \l _Toc4969 </w:instrText>
      </w:r>
      <w:r>
        <w:rPr>
          <w:color w:val="auto"/>
          <w:sz w:val="24"/>
          <w:szCs w:val="24"/>
        </w:rPr>
        <w:fldChar w:fldCharType="separate"/>
      </w:r>
      <w:r>
        <w:rPr>
          <w:rFonts w:hint="eastAsia" w:ascii="宋体" w:hAnsi="宋体" w:eastAsia="宋体" w:cs="宋体"/>
          <w:snapToGrid w:val="0"/>
          <w:color w:val="auto"/>
          <w:sz w:val="24"/>
          <w:szCs w:val="24"/>
        </w:rPr>
        <w:t>六、结论</w:t>
      </w:r>
      <w:r>
        <w:rPr>
          <w:color w:val="auto"/>
          <w:sz w:val="24"/>
          <w:szCs w:val="24"/>
        </w:rPr>
        <w:tab/>
      </w:r>
      <w:r>
        <w:rPr>
          <w:color w:val="auto"/>
          <w:sz w:val="24"/>
          <w:szCs w:val="24"/>
        </w:rPr>
        <w:fldChar w:fldCharType="begin"/>
      </w:r>
      <w:r>
        <w:rPr>
          <w:color w:val="auto"/>
          <w:sz w:val="24"/>
          <w:szCs w:val="24"/>
        </w:rPr>
        <w:instrText xml:space="preserve"> PAGEREF _Toc4969 \h </w:instrText>
      </w:r>
      <w:r>
        <w:rPr>
          <w:color w:val="auto"/>
          <w:sz w:val="24"/>
          <w:szCs w:val="24"/>
        </w:rPr>
        <w:fldChar w:fldCharType="separate"/>
      </w:r>
      <w:r>
        <w:rPr>
          <w:color w:val="auto"/>
          <w:sz w:val="24"/>
          <w:szCs w:val="24"/>
        </w:rPr>
        <w:t>67</w:t>
      </w:r>
      <w:r>
        <w:rPr>
          <w:color w:val="auto"/>
          <w:sz w:val="24"/>
          <w:szCs w:val="24"/>
        </w:rPr>
        <w:fldChar w:fldCharType="end"/>
      </w:r>
      <w:r>
        <w:rPr>
          <w:color w:val="auto"/>
          <w:sz w:val="24"/>
          <w:szCs w:val="24"/>
        </w:rPr>
        <w:fldChar w:fldCharType="end"/>
      </w:r>
    </w:p>
    <w:p w14:paraId="2C135034">
      <w:pPr>
        <w:pStyle w:val="11"/>
        <w:tabs>
          <w:tab w:val="right" w:leader="dot" w:pos="8844"/>
        </w:tabs>
        <w:rPr>
          <w:color w:val="auto"/>
        </w:rPr>
      </w:pPr>
      <w:r>
        <w:rPr>
          <w:color w:val="auto"/>
          <w:sz w:val="24"/>
          <w:szCs w:val="24"/>
        </w:rPr>
        <w:fldChar w:fldCharType="begin"/>
      </w:r>
      <w:r>
        <w:rPr>
          <w:color w:val="auto"/>
          <w:sz w:val="24"/>
          <w:szCs w:val="24"/>
        </w:rPr>
        <w:instrText xml:space="preserve"> HYPERLINK \l _Toc16583 </w:instrText>
      </w:r>
      <w:r>
        <w:rPr>
          <w:color w:val="auto"/>
          <w:sz w:val="24"/>
          <w:szCs w:val="24"/>
        </w:rPr>
        <w:fldChar w:fldCharType="separate"/>
      </w:r>
      <w:r>
        <w:rPr>
          <w:rFonts w:hint="eastAsia" w:ascii="宋体" w:hAnsi="宋体" w:eastAsia="宋体" w:cs="宋体"/>
          <w:snapToGrid w:val="0"/>
          <w:color w:val="auto"/>
          <w:sz w:val="24"/>
          <w:szCs w:val="24"/>
        </w:rPr>
        <w:t>建设项目污染物排放量汇总表</w:t>
      </w:r>
      <w:r>
        <w:rPr>
          <w:color w:val="auto"/>
          <w:sz w:val="24"/>
          <w:szCs w:val="24"/>
        </w:rPr>
        <w:tab/>
      </w:r>
      <w:r>
        <w:rPr>
          <w:color w:val="auto"/>
          <w:sz w:val="24"/>
          <w:szCs w:val="24"/>
        </w:rPr>
        <w:fldChar w:fldCharType="begin"/>
      </w:r>
      <w:r>
        <w:rPr>
          <w:color w:val="auto"/>
          <w:sz w:val="24"/>
          <w:szCs w:val="24"/>
        </w:rPr>
        <w:instrText xml:space="preserve"> PAGEREF _Toc16583 \h </w:instrText>
      </w:r>
      <w:r>
        <w:rPr>
          <w:color w:val="auto"/>
          <w:sz w:val="24"/>
          <w:szCs w:val="24"/>
        </w:rPr>
        <w:fldChar w:fldCharType="separate"/>
      </w:r>
      <w:r>
        <w:rPr>
          <w:color w:val="auto"/>
          <w:sz w:val="24"/>
          <w:szCs w:val="24"/>
        </w:rPr>
        <w:t>68</w:t>
      </w:r>
      <w:r>
        <w:rPr>
          <w:color w:val="auto"/>
          <w:sz w:val="24"/>
          <w:szCs w:val="24"/>
        </w:rPr>
        <w:fldChar w:fldCharType="end"/>
      </w:r>
      <w:r>
        <w:rPr>
          <w:color w:val="auto"/>
          <w:sz w:val="24"/>
          <w:szCs w:val="24"/>
        </w:rPr>
        <w:fldChar w:fldCharType="end"/>
      </w:r>
    </w:p>
    <w:p w14:paraId="28667C88">
      <w:pPr>
        <w:adjustRightInd w:val="0"/>
        <w:snapToGrid w:val="0"/>
        <w:spacing w:line="288" w:lineRule="auto"/>
        <w:rPr>
          <w:color w:val="auto"/>
        </w:rPr>
      </w:pPr>
      <w:r>
        <w:rPr>
          <w:color w:val="auto"/>
        </w:rPr>
        <w:fldChar w:fldCharType="end"/>
      </w:r>
    </w:p>
    <w:p w14:paraId="70065870">
      <w:pPr>
        <w:adjustRightInd w:val="0"/>
        <w:snapToGrid w:val="0"/>
        <w:spacing w:line="288" w:lineRule="auto"/>
        <w:rPr>
          <w:color w:val="auto"/>
        </w:rPr>
      </w:pPr>
    </w:p>
    <w:p w14:paraId="231DD4CA">
      <w:pPr>
        <w:rPr>
          <w:rFonts w:hint="eastAsia"/>
          <w:color w:val="auto"/>
        </w:rPr>
      </w:pPr>
      <w:r>
        <w:rPr>
          <w:rFonts w:hint="eastAsia"/>
          <w:color w:val="auto"/>
        </w:rPr>
        <w:t>附件：</w:t>
      </w:r>
    </w:p>
    <w:p w14:paraId="01006175">
      <w:pPr>
        <w:rPr>
          <w:rFonts w:hint="eastAsia" w:eastAsia="宋体"/>
          <w:color w:val="auto"/>
          <w:lang w:val="en-US" w:eastAsia="zh-CN"/>
        </w:rPr>
      </w:pPr>
      <w:r>
        <w:rPr>
          <w:rFonts w:hint="eastAsia"/>
          <w:color w:val="auto"/>
        </w:rPr>
        <w:t xml:space="preserve">附件 1 </w:t>
      </w:r>
      <w:r>
        <w:rPr>
          <w:rFonts w:hint="eastAsia"/>
          <w:color w:val="auto"/>
          <w:lang w:val="en-US" w:eastAsia="zh-CN"/>
        </w:rPr>
        <w:t>登记信息表</w:t>
      </w:r>
    </w:p>
    <w:p w14:paraId="60792558">
      <w:pPr>
        <w:rPr>
          <w:rFonts w:hint="eastAsia"/>
          <w:color w:val="auto"/>
        </w:rPr>
      </w:pPr>
      <w:r>
        <w:rPr>
          <w:rFonts w:hint="eastAsia"/>
          <w:color w:val="auto"/>
          <w:lang w:val="en-US" w:eastAsia="zh-CN"/>
        </w:rPr>
        <w:t xml:space="preserve">附件 2 </w:t>
      </w:r>
      <w:r>
        <w:rPr>
          <w:rFonts w:hint="eastAsia"/>
          <w:color w:val="auto"/>
        </w:rPr>
        <w:t>备案证</w:t>
      </w:r>
    </w:p>
    <w:p w14:paraId="7D6029A0">
      <w:pPr>
        <w:rPr>
          <w:rFonts w:hint="eastAsia"/>
          <w:color w:val="auto"/>
          <w:lang w:val="en-US" w:eastAsia="zh-CN"/>
        </w:rPr>
      </w:pPr>
      <w:r>
        <w:rPr>
          <w:rFonts w:hint="eastAsia"/>
          <w:color w:val="auto"/>
          <w:lang w:val="en-US" w:eastAsia="zh-CN"/>
        </w:rPr>
        <w:t>附件 3 房产证</w:t>
      </w:r>
    </w:p>
    <w:p w14:paraId="5B312A9E">
      <w:pPr>
        <w:rPr>
          <w:rFonts w:hint="eastAsia"/>
          <w:color w:val="auto"/>
          <w:lang w:val="en-US" w:eastAsia="zh-CN"/>
        </w:rPr>
      </w:pPr>
      <w:r>
        <w:rPr>
          <w:rFonts w:hint="eastAsia"/>
          <w:color w:val="auto"/>
          <w:lang w:val="en-US" w:eastAsia="zh-CN"/>
        </w:rPr>
        <w:t>附件 4 所在园区规划环评审查意见</w:t>
      </w:r>
    </w:p>
    <w:p w14:paraId="37CB4727">
      <w:pPr>
        <w:rPr>
          <w:rFonts w:hint="default"/>
          <w:color w:val="auto"/>
          <w:lang w:val="en-US" w:eastAsia="zh-CN"/>
        </w:rPr>
      </w:pPr>
      <w:r>
        <w:rPr>
          <w:rFonts w:hint="eastAsia"/>
          <w:color w:val="auto"/>
          <w:lang w:val="en-US" w:eastAsia="zh-CN"/>
        </w:rPr>
        <w:t>附件 5 现有项目环评批复及验收意见</w:t>
      </w:r>
    </w:p>
    <w:p w14:paraId="284C29DB">
      <w:pPr>
        <w:rPr>
          <w:rFonts w:hint="eastAsia" w:ascii="Times New Roman" w:hAnsi="Times New Roman" w:eastAsia="宋体" w:cs="Times New Roman"/>
          <w:color w:val="auto"/>
        </w:rPr>
      </w:pPr>
      <w:r>
        <w:rPr>
          <w:rFonts w:hint="eastAsia" w:ascii="Times New Roman" w:hAnsi="Times New Roman" w:eastAsia="宋体" w:cs="Times New Roman"/>
          <w:color w:val="auto"/>
          <w:lang w:val="en-US" w:eastAsia="zh-CN"/>
        </w:rPr>
        <w:t>附件 6 江苏省生态环境分区管控综合查询报告书</w:t>
      </w:r>
    </w:p>
    <w:p w14:paraId="52B13954">
      <w:pPr>
        <w:rPr>
          <w:rFonts w:hint="eastAsia"/>
          <w:color w:val="auto"/>
          <w:lang w:val="en-US" w:eastAsia="zh-CN"/>
        </w:rPr>
      </w:pPr>
      <w:r>
        <w:rPr>
          <w:rFonts w:hint="eastAsia"/>
          <w:color w:val="auto"/>
          <w:lang w:val="en-US" w:eastAsia="zh-CN"/>
        </w:rPr>
        <w:t xml:space="preserve">附件 7 </w:t>
      </w:r>
      <w:r>
        <w:rPr>
          <w:rFonts w:hint="eastAsia" w:ascii="Times New Roman" w:hAnsi="Times New Roman" w:eastAsia="宋体" w:cs="Times New Roman"/>
          <w:color w:val="auto"/>
          <w:lang w:val="en-US" w:eastAsia="zh-CN"/>
        </w:rPr>
        <w:t>不可替代证明</w:t>
      </w:r>
    </w:p>
    <w:p w14:paraId="42B641A4">
      <w:pPr>
        <w:rPr>
          <w:rFonts w:hint="default"/>
          <w:color w:val="auto"/>
          <w:lang w:val="en-US" w:eastAsia="zh-CN"/>
        </w:rPr>
      </w:pPr>
      <w:r>
        <w:rPr>
          <w:rFonts w:hint="eastAsia"/>
          <w:color w:val="auto"/>
          <w:lang w:val="en-US" w:eastAsia="zh-CN"/>
        </w:rPr>
        <w:t>附件 8 防雾涂料VOCs含量检测报告</w:t>
      </w:r>
    </w:p>
    <w:p w14:paraId="6B9552AB">
      <w:pPr>
        <w:rPr>
          <w:rFonts w:hint="eastAsia"/>
          <w:color w:val="auto"/>
          <w:lang w:val="en-US" w:eastAsia="zh-CN"/>
        </w:rPr>
      </w:pPr>
      <w:r>
        <w:rPr>
          <w:rFonts w:hint="eastAsia"/>
          <w:color w:val="auto"/>
          <w:lang w:val="en-US" w:eastAsia="zh-CN"/>
        </w:rPr>
        <w:t>附件 9 有机硅硬质涂层VOCs含量检测报告</w:t>
      </w:r>
    </w:p>
    <w:p w14:paraId="294D7733">
      <w:pPr>
        <w:rPr>
          <w:rFonts w:hint="eastAsia"/>
          <w:color w:val="auto"/>
          <w:lang w:val="en-US" w:eastAsia="zh-CN"/>
        </w:rPr>
      </w:pPr>
      <w:r>
        <w:rPr>
          <w:rFonts w:hint="eastAsia"/>
          <w:color w:val="auto"/>
          <w:lang w:val="en-US" w:eastAsia="zh-CN"/>
        </w:rPr>
        <w:t>附件10清洗剂VOCs 含量检测报告</w:t>
      </w:r>
    </w:p>
    <w:p w14:paraId="7700447A">
      <w:pPr>
        <w:rPr>
          <w:rFonts w:hint="eastAsia"/>
          <w:color w:val="auto"/>
          <w:lang w:val="en-US" w:eastAsia="zh-CN"/>
        </w:rPr>
      </w:pPr>
      <w:r>
        <w:rPr>
          <w:rFonts w:hint="eastAsia"/>
          <w:color w:val="auto"/>
          <w:lang w:val="en-US" w:eastAsia="zh-CN"/>
        </w:rPr>
        <w:t>附件11防雾涂料MSDS</w:t>
      </w:r>
    </w:p>
    <w:p w14:paraId="12F5D827">
      <w:pPr>
        <w:rPr>
          <w:rFonts w:hint="eastAsia"/>
          <w:color w:val="auto"/>
          <w:lang w:val="en-US" w:eastAsia="zh-CN"/>
        </w:rPr>
      </w:pPr>
      <w:r>
        <w:rPr>
          <w:rFonts w:hint="eastAsia"/>
          <w:color w:val="auto"/>
          <w:lang w:val="en-US" w:eastAsia="zh-CN"/>
        </w:rPr>
        <w:t>附件12有机硅硬质涂层MSDS</w:t>
      </w:r>
    </w:p>
    <w:p w14:paraId="58A67786">
      <w:pPr>
        <w:rPr>
          <w:rFonts w:hint="eastAsia"/>
          <w:color w:val="auto"/>
          <w:lang w:val="en-US" w:eastAsia="zh-CN"/>
        </w:rPr>
      </w:pPr>
      <w:r>
        <w:rPr>
          <w:rFonts w:hint="eastAsia"/>
          <w:color w:val="auto"/>
          <w:lang w:val="en-US" w:eastAsia="zh-CN"/>
        </w:rPr>
        <w:t>附件13清洗剂MSDS</w:t>
      </w:r>
    </w:p>
    <w:p w14:paraId="3ED24974">
      <w:pPr>
        <w:rPr>
          <w:rFonts w:hint="eastAsia"/>
          <w:color w:val="auto"/>
          <w:lang w:val="en-US" w:eastAsia="zh-CN"/>
        </w:rPr>
      </w:pPr>
      <w:r>
        <w:rPr>
          <w:rFonts w:hint="eastAsia"/>
          <w:color w:val="auto"/>
          <w:lang w:val="en-US" w:eastAsia="zh-CN"/>
        </w:rPr>
        <w:t>附件14应急预案备案证</w:t>
      </w:r>
    </w:p>
    <w:p w14:paraId="2C0041C2">
      <w:pPr>
        <w:rPr>
          <w:rFonts w:hint="eastAsia"/>
          <w:color w:val="auto"/>
          <w:lang w:val="en-US" w:eastAsia="zh-CN"/>
        </w:rPr>
      </w:pPr>
      <w:r>
        <w:rPr>
          <w:rFonts w:hint="eastAsia"/>
          <w:color w:val="auto"/>
          <w:lang w:val="en-US" w:eastAsia="zh-CN"/>
        </w:rPr>
        <w:t>附件15排污许可证</w:t>
      </w:r>
    </w:p>
    <w:p w14:paraId="3A7CA63F">
      <w:pPr>
        <w:rPr>
          <w:rFonts w:hint="eastAsia"/>
          <w:color w:val="auto"/>
          <w:lang w:val="en-US" w:eastAsia="zh-CN"/>
        </w:rPr>
      </w:pPr>
      <w:r>
        <w:rPr>
          <w:rFonts w:hint="eastAsia"/>
          <w:color w:val="auto"/>
          <w:lang w:val="en-US" w:eastAsia="zh-CN"/>
        </w:rPr>
        <w:t>附件16排水许可证</w:t>
      </w:r>
    </w:p>
    <w:p w14:paraId="0C4272DC">
      <w:pPr>
        <w:rPr>
          <w:rFonts w:hint="eastAsia"/>
          <w:color w:val="auto"/>
          <w:lang w:val="en-US" w:eastAsia="zh-CN"/>
        </w:rPr>
      </w:pPr>
      <w:r>
        <w:rPr>
          <w:rFonts w:hint="eastAsia"/>
          <w:color w:val="auto"/>
          <w:lang w:val="en-US" w:eastAsia="zh-CN"/>
        </w:rPr>
        <w:t>附件17危废处置协议</w:t>
      </w:r>
    </w:p>
    <w:p w14:paraId="68763D57">
      <w:pPr>
        <w:rPr>
          <w:rFonts w:hint="eastAsia"/>
          <w:color w:val="auto"/>
          <w:lang w:val="en-US" w:eastAsia="zh-CN"/>
        </w:rPr>
      </w:pPr>
      <w:r>
        <w:rPr>
          <w:rFonts w:hint="eastAsia"/>
          <w:color w:val="auto"/>
          <w:lang w:val="en-US" w:eastAsia="zh-CN"/>
        </w:rPr>
        <w:t>附件18现场踏勘记录</w:t>
      </w:r>
    </w:p>
    <w:p w14:paraId="3E9C4622">
      <w:pPr>
        <w:rPr>
          <w:rFonts w:hint="eastAsia"/>
          <w:color w:val="auto"/>
          <w:lang w:val="en-US" w:eastAsia="zh-CN"/>
        </w:rPr>
      </w:pPr>
      <w:r>
        <w:rPr>
          <w:rFonts w:hint="eastAsia"/>
          <w:color w:val="auto"/>
          <w:lang w:val="en-US" w:eastAsia="zh-CN"/>
        </w:rPr>
        <w:t>附件19清洗剂不可替代证明</w:t>
      </w:r>
    </w:p>
    <w:p w14:paraId="25226467">
      <w:pPr>
        <w:rPr>
          <w:rFonts w:hint="eastAsia"/>
          <w:color w:val="auto"/>
          <w:lang w:val="en-US" w:eastAsia="zh-CN"/>
        </w:rPr>
      </w:pPr>
      <w:r>
        <w:rPr>
          <w:rFonts w:hint="eastAsia"/>
          <w:color w:val="auto"/>
          <w:lang w:val="en-US" w:eastAsia="zh-CN"/>
        </w:rPr>
        <w:t>附件20本底检测数据</w:t>
      </w:r>
    </w:p>
    <w:p w14:paraId="235EE3E8">
      <w:pPr>
        <w:rPr>
          <w:rFonts w:hint="eastAsia" w:eastAsia="宋体"/>
          <w:color w:val="auto"/>
          <w:lang w:val="en-US" w:eastAsia="zh-CN"/>
        </w:rPr>
      </w:pPr>
      <w:r>
        <w:rPr>
          <w:rFonts w:hint="eastAsia" w:eastAsia="宋体"/>
          <w:color w:val="auto"/>
          <w:lang w:val="en-US" w:eastAsia="zh-CN"/>
        </w:rPr>
        <w:t xml:space="preserve">附件21企业日常检测报告 </w:t>
      </w:r>
    </w:p>
    <w:p w14:paraId="07E78719">
      <w:pPr>
        <w:rPr>
          <w:rFonts w:hint="default" w:eastAsia="宋体"/>
          <w:color w:val="auto"/>
          <w:lang w:val="en-US" w:eastAsia="zh-CN"/>
        </w:rPr>
      </w:pPr>
    </w:p>
    <w:p w14:paraId="6EE1D8E2">
      <w:pPr>
        <w:rPr>
          <w:rFonts w:hint="eastAsia"/>
          <w:color w:val="auto"/>
        </w:rPr>
      </w:pPr>
      <w:r>
        <w:rPr>
          <w:rFonts w:hint="eastAsia"/>
          <w:color w:val="auto"/>
        </w:rPr>
        <w:t>附图：</w:t>
      </w:r>
    </w:p>
    <w:p w14:paraId="38512C33">
      <w:pPr>
        <w:rPr>
          <w:rFonts w:hint="eastAsia"/>
          <w:color w:val="auto"/>
        </w:rPr>
      </w:pPr>
      <w:r>
        <w:rPr>
          <w:rFonts w:hint="eastAsia"/>
          <w:color w:val="auto"/>
        </w:rPr>
        <w:t>附图 1 建设项目地理位置图</w:t>
      </w:r>
    </w:p>
    <w:p w14:paraId="32F1688B">
      <w:pPr>
        <w:rPr>
          <w:rFonts w:hint="eastAsia"/>
          <w:color w:val="auto"/>
        </w:rPr>
      </w:pPr>
      <w:r>
        <w:rPr>
          <w:rFonts w:hint="eastAsia"/>
          <w:color w:val="auto"/>
        </w:rPr>
        <w:t>附图 2 建设项目周边概况图</w:t>
      </w:r>
    </w:p>
    <w:p w14:paraId="75805BC8">
      <w:pPr>
        <w:rPr>
          <w:rFonts w:hint="eastAsia" w:eastAsia="宋体"/>
          <w:color w:val="auto"/>
          <w:lang w:eastAsia="zh-CN"/>
        </w:rPr>
      </w:pPr>
      <w:r>
        <w:rPr>
          <w:rFonts w:hint="eastAsia"/>
          <w:color w:val="auto"/>
        </w:rPr>
        <w:t>附图 3 建设项目</w:t>
      </w:r>
      <w:r>
        <w:rPr>
          <w:rFonts w:hint="eastAsia"/>
          <w:color w:val="auto"/>
          <w:lang w:val="en-US" w:eastAsia="zh-CN"/>
        </w:rPr>
        <w:t>平面布置图</w:t>
      </w:r>
    </w:p>
    <w:p w14:paraId="4CCE80A2">
      <w:pPr>
        <w:rPr>
          <w:rFonts w:hint="eastAsia"/>
          <w:color w:val="auto"/>
        </w:rPr>
      </w:pPr>
      <w:r>
        <w:rPr>
          <w:rFonts w:hint="eastAsia"/>
          <w:color w:val="auto"/>
        </w:rPr>
        <w:t>附图 4 建设项目与生态红线位置图</w:t>
      </w:r>
    </w:p>
    <w:p w14:paraId="5B0B8712">
      <w:pPr>
        <w:rPr>
          <w:rFonts w:hint="eastAsia"/>
          <w:color w:val="auto"/>
        </w:rPr>
      </w:pPr>
      <w:r>
        <w:rPr>
          <w:rFonts w:hint="eastAsia"/>
          <w:color w:val="auto"/>
        </w:rPr>
        <w:t xml:space="preserve">附图 </w:t>
      </w:r>
      <w:r>
        <w:rPr>
          <w:rFonts w:hint="eastAsia"/>
          <w:color w:val="auto"/>
          <w:lang w:val="en-US" w:eastAsia="zh-CN"/>
        </w:rPr>
        <w:t>5</w:t>
      </w:r>
      <w:r>
        <w:rPr>
          <w:rFonts w:hint="eastAsia"/>
          <w:color w:val="auto"/>
        </w:rPr>
        <w:t xml:space="preserve"> 建设项目与水系图位置图</w:t>
      </w:r>
    </w:p>
    <w:p w14:paraId="33FB42F7">
      <w:pPr>
        <w:rPr>
          <w:rFonts w:hint="default" w:eastAsia="宋体"/>
          <w:color w:val="auto"/>
          <w:lang w:val="en-US" w:eastAsia="zh-CN"/>
        </w:rPr>
      </w:pPr>
      <w:r>
        <w:rPr>
          <w:rFonts w:hint="eastAsia"/>
          <w:color w:val="auto"/>
          <w:lang w:val="en-US" w:eastAsia="zh-CN"/>
        </w:rPr>
        <w:t xml:space="preserve">附图 6 </w:t>
      </w:r>
      <w:r>
        <w:rPr>
          <w:rFonts w:hint="eastAsia" w:ascii="Times New Roman" w:hAnsi="Times New Roman" w:eastAsia="宋体" w:cs="Times New Roman"/>
          <w:color w:val="auto"/>
        </w:rPr>
        <w:t>建设项目与</w:t>
      </w:r>
      <w:r>
        <w:rPr>
          <w:rFonts w:hint="eastAsia" w:ascii="Times New Roman" w:hAnsi="Times New Roman" w:eastAsia="宋体" w:cs="Times New Roman"/>
          <w:color w:val="auto"/>
          <w:lang w:eastAsia="zh-CN"/>
        </w:rPr>
        <w:t>开发区土地利用、产业布局规划</w:t>
      </w:r>
      <w:r>
        <w:rPr>
          <w:rFonts w:hint="eastAsia" w:ascii="Times New Roman" w:hAnsi="Times New Roman" w:eastAsia="宋体" w:cs="Times New Roman"/>
          <w:color w:val="auto"/>
        </w:rPr>
        <w:t>图</w:t>
      </w:r>
    </w:p>
    <w:p w14:paraId="34EBDDFE">
      <w:pPr>
        <w:rPr>
          <w:rFonts w:hint="eastAsia"/>
          <w:color w:val="auto"/>
        </w:rPr>
      </w:pPr>
      <w:r>
        <w:rPr>
          <w:rFonts w:hint="eastAsia"/>
          <w:color w:val="auto"/>
        </w:rPr>
        <w:t>附图</w:t>
      </w:r>
      <w:r>
        <w:rPr>
          <w:rFonts w:hint="eastAsia"/>
          <w:color w:val="auto"/>
          <w:lang w:val="en-US" w:eastAsia="zh-CN"/>
        </w:rPr>
        <w:t xml:space="preserve"> 7</w:t>
      </w:r>
      <w:r>
        <w:rPr>
          <w:rFonts w:hint="eastAsia"/>
          <w:color w:val="auto"/>
        </w:rPr>
        <w:t xml:space="preserve"> </w:t>
      </w:r>
      <w:r>
        <w:rPr>
          <w:rFonts w:hint="eastAsia"/>
          <w:color w:val="auto"/>
          <w:lang w:val="en-US" w:eastAsia="zh-CN"/>
        </w:rPr>
        <w:t>项目三区三线分布</w:t>
      </w:r>
      <w:r>
        <w:rPr>
          <w:rFonts w:hint="eastAsia"/>
          <w:color w:val="auto"/>
        </w:rPr>
        <w:t>图</w:t>
      </w:r>
    </w:p>
    <w:p w14:paraId="334C777D">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附图 8 建设项目与开发区地理位置关系图</w:t>
      </w:r>
    </w:p>
    <w:p w14:paraId="715D1A8A">
      <w:pPr>
        <w:rPr>
          <w:rFonts w:hint="default" w:ascii="Times New Roman" w:hAnsi="Times New Roman" w:eastAsia="宋体" w:cs="Times New Roman"/>
          <w:color w:val="auto"/>
          <w:lang w:val="en-US" w:eastAsia="zh-CN"/>
        </w:rPr>
      </w:pPr>
      <w:r>
        <w:rPr>
          <w:rFonts w:hint="eastAsia" w:cs="Times New Roman"/>
          <w:color w:val="auto"/>
          <w:lang w:val="en-US" w:eastAsia="zh-CN"/>
        </w:rPr>
        <w:t>附图 9 应急设施分布和雨水封堵图</w:t>
      </w:r>
    </w:p>
    <w:p w14:paraId="69623D72">
      <w:pPr>
        <w:pStyle w:val="11"/>
        <w:rPr>
          <w:color w:val="auto"/>
        </w:rPr>
        <w:sectPr>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rPr>
          <w:rFonts w:hint="eastAsia"/>
          <w:color w:val="auto"/>
        </w:rPr>
        <w:t>附图10车间设备平面布置及分区防渗图</w:t>
      </w:r>
    </w:p>
    <w:p w14:paraId="32988863">
      <w:pPr>
        <w:pStyle w:val="2"/>
        <w:bidi w:val="0"/>
        <w:rPr>
          <w:rFonts w:hint="eastAsia"/>
          <w:color w:val="auto"/>
        </w:rPr>
      </w:pPr>
      <w:bookmarkStart w:id="2" w:name="_Toc20951"/>
      <w:r>
        <w:rPr>
          <w:rFonts w:hint="eastAsia"/>
          <w:color w:val="auto"/>
        </w:rPr>
        <w:t>一、建设项目基本情况</w:t>
      </w:r>
      <w:bookmarkEnd w:id="2"/>
    </w:p>
    <w:tbl>
      <w:tblPr>
        <w:tblStyle w:val="20"/>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79"/>
        <w:gridCol w:w="1895"/>
        <w:gridCol w:w="1837"/>
        <w:gridCol w:w="2012"/>
        <w:gridCol w:w="2639"/>
        <w:gridCol w:w="22"/>
      </w:tblGrid>
      <w:tr w14:paraId="016C7C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22" w:type="dxa"/>
          <w:trHeight w:val="497" w:hRule="atLeast"/>
          <w:jc w:val="center"/>
        </w:trPr>
        <w:tc>
          <w:tcPr>
            <w:tcW w:w="2474" w:type="dxa"/>
            <w:gridSpan w:val="2"/>
            <w:noWrap w:val="0"/>
            <w:tcMar>
              <w:top w:w="16" w:type="dxa"/>
              <w:left w:w="16" w:type="dxa"/>
              <w:right w:w="16" w:type="dxa"/>
            </w:tcMar>
            <w:vAlign w:val="center"/>
          </w:tcPr>
          <w:p w14:paraId="4648E86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建设项目名称</w:t>
            </w:r>
          </w:p>
        </w:tc>
        <w:tc>
          <w:tcPr>
            <w:tcW w:w="6488" w:type="dxa"/>
            <w:gridSpan w:val="3"/>
            <w:noWrap w:val="0"/>
            <w:vAlign w:val="center"/>
          </w:tcPr>
          <w:p w14:paraId="0A797667">
            <w:pPr>
              <w:pStyle w:val="47"/>
              <w:adjustRightInd/>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南通冠东模塑股份有限公司车灯涂装生产线技改项目</w:t>
            </w:r>
          </w:p>
        </w:tc>
      </w:tr>
      <w:tr w14:paraId="72CF58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22" w:type="dxa"/>
          <w:trHeight w:val="497" w:hRule="atLeast"/>
          <w:jc w:val="center"/>
        </w:trPr>
        <w:tc>
          <w:tcPr>
            <w:tcW w:w="2474" w:type="dxa"/>
            <w:gridSpan w:val="2"/>
            <w:noWrap w:val="0"/>
            <w:tcMar>
              <w:top w:w="16" w:type="dxa"/>
              <w:left w:w="16" w:type="dxa"/>
              <w:right w:w="16" w:type="dxa"/>
            </w:tcMar>
            <w:vAlign w:val="center"/>
          </w:tcPr>
          <w:p w14:paraId="50A91DC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项目代码</w:t>
            </w:r>
          </w:p>
        </w:tc>
        <w:tc>
          <w:tcPr>
            <w:tcW w:w="6488" w:type="dxa"/>
            <w:gridSpan w:val="3"/>
            <w:noWrap w:val="0"/>
            <w:vAlign w:val="center"/>
          </w:tcPr>
          <w:p w14:paraId="2CB8007E">
            <w:pPr>
              <w:pStyle w:val="47"/>
              <w:adjustRightInd/>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2510-320657-89-02-866371</w:t>
            </w:r>
          </w:p>
        </w:tc>
      </w:tr>
      <w:tr w14:paraId="78A7F2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22" w:type="dxa"/>
          <w:trHeight w:val="497" w:hRule="atLeast"/>
          <w:jc w:val="center"/>
        </w:trPr>
        <w:tc>
          <w:tcPr>
            <w:tcW w:w="2474" w:type="dxa"/>
            <w:gridSpan w:val="2"/>
            <w:noWrap w:val="0"/>
            <w:tcMar>
              <w:top w:w="16" w:type="dxa"/>
              <w:left w:w="16" w:type="dxa"/>
              <w:right w:w="16" w:type="dxa"/>
            </w:tcMar>
            <w:vAlign w:val="center"/>
          </w:tcPr>
          <w:p w14:paraId="139970C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建设单位联系人</w:t>
            </w:r>
          </w:p>
        </w:tc>
        <w:tc>
          <w:tcPr>
            <w:tcW w:w="1837" w:type="dxa"/>
            <w:noWrap w:val="0"/>
            <w:vAlign w:val="center"/>
          </w:tcPr>
          <w:p w14:paraId="3D3AAD3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曹春华</w:t>
            </w:r>
          </w:p>
        </w:tc>
        <w:tc>
          <w:tcPr>
            <w:tcW w:w="2012" w:type="dxa"/>
            <w:noWrap w:val="0"/>
            <w:vAlign w:val="center"/>
          </w:tcPr>
          <w:p w14:paraId="67C7D83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联系方式</w:t>
            </w:r>
          </w:p>
        </w:tc>
        <w:tc>
          <w:tcPr>
            <w:tcW w:w="2639" w:type="dxa"/>
            <w:noWrap w:val="0"/>
            <w:vAlign w:val="center"/>
          </w:tcPr>
          <w:p w14:paraId="09F80F5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15206280215</w:t>
            </w:r>
          </w:p>
        </w:tc>
      </w:tr>
      <w:tr w14:paraId="358229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22" w:type="dxa"/>
          <w:trHeight w:val="497" w:hRule="atLeast"/>
          <w:jc w:val="center"/>
        </w:trPr>
        <w:tc>
          <w:tcPr>
            <w:tcW w:w="2474" w:type="dxa"/>
            <w:gridSpan w:val="2"/>
            <w:noWrap w:val="0"/>
            <w:tcMar>
              <w:top w:w="16" w:type="dxa"/>
              <w:left w:w="16" w:type="dxa"/>
              <w:right w:w="16" w:type="dxa"/>
            </w:tcMar>
            <w:vAlign w:val="center"/>
          </w:tcPr>
          <w:p w14:paraId="299EF59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建设地点</w:t>
            </w:r>
          </w:p>
        </w:tc>
        <w:tc>
          <w:tcPr>
            <w:tcW w:w="6488" w:type="dxa"/>
            <w:gridSpan w:val="3"/>
            <w:noWrap w:val="0"/>
            <w:vAlign w:val="center"/>
          </w:tcPr>
          <w:p w14:paraId="5D7FD11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南通市海门经济技术开发区滨江街道福州路179号</w:t>
            </w:r>
          </w:p>
        </w:tc>
      </w:tr>
      <w:tr w14:paraId="6E09C4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22" w:type="dxa"/>
          <w:trHeight w:val="497" w:hRule="atLeast"/>
          <w:jc w:val="center"/>
        </w:trPr>
        <w:tc>
          <w:tcPr>
            <w:tcW w:w="2474" w:type="dxa"/>
            <w:gridSpan w:val="2"/>
            <w:noWrap w:val="0"/>
            <w:tcMar>
              <w:top w:w="16" w:type="dxa"/>
              <w:left w:w="16" w:type="dxa"/>
              <w:right w:w="16" w:type="dxa"/>
            </w:tcMar>
            <w:vAlign w:val="center"/>
          </w:tcPr>
          <w:p w14:paraId="7962739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地理坐标</w:t>
            </w:r>
          </w:p>
        </w:tc>
        <w:tc>
          <w:tcPr>
            <w:tcW w:w="6488" w:type="dxa"/>
            <w:gridSpan w:val="3"/>
            <w:noWrap w:val="0"/>
            <w:vAlign w:val="center"/>
          </w:tcPr>
          <w:p w14:paraId="4EA03D4E">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eastAsia" w:cs="Times New Roman"/>
                <w:color w:val="auto"/>
                <w:szCs w:val="21"/>
                <w:u w:val="single"/>
                <w:lang w:val="en-US" w:eastAsia="zh-CN"/>
              </w:rPr>
              <w:t>121</w:t>
            </w:r>
            <w:r>
              <w:rPr>
                <w:rFonts w:hint="default" w:ascii="Times New Roman" w:hAnsi="Times New Roman" w:cs="Times New Roman"/>
                <w:color w:val="auto"/>
                <w:szCs w:val="21"/>
              </w:rPr>
              <w:t>度</w:t>
            </w:r>
            <w:r>
              <w:rPr>
                <w:rFonts w:hint="eastAsia" w:cs="Times New Roman"/>
                <w:color w:val="auto"/>
                <w:szCs w:val="21"/>
                <w:u w:val="single"/>
                <w:lang w:val="en-US" w:eastAsia="zh-CN"/>
              </w:rPr>
              <w:t>7</w:t>
            </w:r>
            <w:r>
              <w:rPr>
                <w:rFonts w:hint="default" w:ascii="Times New Roman" w:hAnsi="Times New Roman" w:cs="Times New Roman"/>
                <w:color w:val="auto"/>
                <w:szCs w:val="21"/>
              </w:rPr>
              <w:t>分</w:t>
            </w:r>
            <w:r>
              <w:rPr>
                <w:rFonts w:hint="default" w:ascii="Times New Roman" w:hAnsi="Times New Roman" w:cs="Times New Roman"/>
                <w:color w:val="auto"/>
                <w:szCs w:val="21"/>
                <w:u w:val="single"/>
              </w:rPr>
              <w:t>5.768</w:t>
            </w:r>
            <w:r>
              <w:rPr>
                <w:rFonts w:hint="default" w:ascii="Times New Roman" w:hAnsi="Times New Roman" w:cs="Times New Roman"/>
                <w:color w:val="auto"/>
                <w:szCs w:val="21"/>
              </w:rPr>
              <w:t>秒，</w:t>
            </w:r>
            <w:r>
              <w:rPr>
                <w:rFonts w:hint="eastAsia" w:cs="Times New Roman"/>
                <w:color w:val="auto"/>
                <w:szCs w:val="21"/>
                <w:u w:val="single"/>
                <w:lang w:val="en-US" w:eastAsia="zh-CN"/>
              </w:rPr>
              <w:t>31</w:t>
            </w:r>
            <w:r>
              <w:rPr>
                <w:rFonts w:hint="default" w:ascii="Times New Roman" w:hAnsi="Times New Roman" w:cs="Times New Roman"/>
                <w:color w:val="auto"/>
                <w:szCs w:val="21"/>
              </w:rPr>
              <w:t>度</w:t>
            </w:r>
            <w:r>
              <w:rPr>
                <w:rFonts w:hint="eastAsia" w:cs="Times New Roman"/>
                <w:color w:val="auto"/>
                <w:szCs w:val="21"/>
                <w:u w:val="single"/>
                <w:lang w:val="en-US" w:eastAsia="zh-CN"/>
              </w:rPr>
              <w:t>48</w:t>
            </w:r>
            <w:r>
              <w:rPr>
                <w:rFonts w:hint="default" w:ascii="Times New Roman" w:hAnsi="Times New Roman" w:cs="Times New Roman"/>
                <w:color w:val="auto"/>
                <w:szCs w:val="21"/>
              </w:rPr>
              <w:t>分</w:t>
            </w:r>
            <w:r>
              <w:rPr>
                <w:rFonts w:hint="default" w:ascii="Times New Roman" w:hAnsi="Times New Roman" w:cs="Times New Roman"/>
                <w:color w:val="auto"/>
                <w:szCs w:val="21"/>
                <w:u w:val="single"/>
              </w:rPr>
              <w:t>33.296</w:t>
            </w:r>
            <w:r>
              <w:rPr>
                <w:rFonts w:hint="default" w:ascii="Times New Roman" w:hAnsi="Times New Roman" w:cs="Times New Roman"/>
                <w:color w:val="auto"/>
                <w:szCs w:val="21"/>
              </w:rPr>
              <w:t>秒）</w:t>
            </w:r>
          </w:p>
        </w:tc>
      </w:tr>
      <w:tr w14:paraId="5FACEE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22" w:type="dxa"/>
          <w:trHeight w:val="561" w:hRule="atLeast"/>
          <w:jc w:val="center"/>
        </w:trPr>
        <w:tc>
          <w:tcPr>
            <w:tcW w:w="2474" w:type="dxa"/>
            <w:gridSpan w:val="2"/>
            <w:noWrap w:val="0"/>
            <w:tcMar>
              <w:top w:w="16" w:type="dxa"/>
              <w:left w:w="16" w:type="dxa"/>
              <w:right w:w="16" w:type="dxa"/>
            </w:tcMar>
            <w:vAlign w:val="center"/>
          </w:tcPr>
          <w:p w14:paraId="39AE25A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国民经济</w:t>
            </w:r>
          </w:p>
          <w:p w14:paraId="677DC19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行业类别</w:t>
            </w:r>
          </w:p>
        </w:tc>
        <w:tc>
          <w:tcPr>
            <w:tcW w:w="1837" w:type="dxa"/>
            <w:noWrap w:val="0"/>
            <w:vAlign w:val="center"/>
          </w:tcPr>
          <w:p w14:paraId="2D786BEB">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C3670汽车零部件及配件制造</w:t>
            </w:r>
          </w:p>
        </w:tc>
        <w:tc>
          <w:tcPr>
            <w:tcW w:w="2012" w:type="dxa"/>
            <w:noWrap w:val="0"/>
            <w:vAlign w:val="center"/>
          </w:tcPr>
          <w:p w14:paraId="15DD82B0">
            <w:pPr>
              <w:adjustRightInd w:val="0"/>
              <w:snapToGrid w:val="0"/>
              <w:jc w:val="center"/>
              <w:rPr>
                <w:rFonts w:hint="default" w:ascii="Times New Roman" w:hAnsi="Times New Roman" w:cs="Times New Roman"/>
                <w:color w:val="auto"/>
                <w:szCs w:val="21"/>
              </w:rPr>
            </w:pPr>
            <w:bookmarkStart w:id="3" w:name="_Hlk49843745"/>
            <w:r>
              <w:rPr>
                <w:rFonts w:hint="default" w:ascii="Times New Roman" w:hAnsi="Times New Roman" w:cs="Times New Roman"/>
                <w:color w:val="auto"/>
                <w:szCs w:val="21"/>
              </w:rPr>
              <w:t>建设项目</w:t>
            </w:r>
          </w:p>
          <w:p w14:paraId="41F95A0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行业类别</w:t>
            </w:r>
            <w:bookmarkEnd w:id="3"/>
          </w:p>
        </w:tc>
        <w:tc>
          <w:tcPr>
            <w:tcW w:w="2639" w:type="dxa"/>
            <w:noWrap w:val="0"/>
            <w:vAlign w:val="center"/>
          </w:tcPr>
          <w:p w14:paraId="54232D10">
            <w:pPr>
              <w:adjustRightInd w:val="0"/>
              <w:snapToGrid w:val="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三十三、汽车制造业 36-71、汽车零部件及配件制造 367 其他（年用非溶剂型低VOCs含量涂料10吨以下的除外）</w:t>
            </w:r>
          </w:p>
        </w:tc>
      </w:tr>
      <w:tr w14:paraId="3B50CC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22" w:type="dxa"/>
          <w:trHeight w:val="1219" w:hRule="atLeast"/>
          <w:jc w:val="center"/>
        </w:trPr>
        <w:tc>
          <w:tcPr>
            <w:tcW w:w="2474" w:type="dxa"/>
            <w:gridSpan w:val="2"/>
            <w:noWrap w:val="0"/>
            <w:tcMar>
              <w:top w:w="16" w:type="dxa"/>
              <w:left w:w="16" w:type="dxa"/>
              <w:right w:w="16" w:type="dxa"/>
            </w:tcMar>
            <w:vAlign w:val="center"/>
          </w:tcPr>
          <w:p w14:paraId="0ECD31E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建设性质</w:t>
            </w:r>
          </w:p>
        </w:tc>
        <w:tc>
          <w:tcPr>
            <w:tcW w:w="1837" w:type="dxa"/>
            <w:noWrap w:val="0"/>
            <w:vAlign w:val="center"/>
          </w:tcPr>
          <w:p w14:paraId="485DEBA4">
            <w:pPr>
              <w:jc w:val="left"/>
              <w:rPr>
                <w:rFonts w:hint="default" w:ascii="Times New Roman" w:hAnsi="Times New Roman" w:cs="Times New Roman"/>
                <w:color w:val="auto"/>
                <w:szCs w:val="21"/>
              </w:rPr>
            </w:pPr>
            <w:r>
              <w:rPr>
                <w:rFonts w:hint="default" w:ascii="Times New Roman" w:hAnsi="Times New Roman" w:cs="Times New Roman"/>
                <w:color w:val="auto"/>
                <w:szCs w:val="21"/>
              </w:rPr>
              <w:t>□新建</w:t>
            </w:r>
          </w:p>
          <w:p w14:paraId="6D39061D">
            <w:pPr>
              <w:jc w:val="left"/>
              <w:rPr>
                <w:rFonts w:hint="default" w:ascii="Times New Roman" w:hAnsi="Times New Roman" w:cs="Times New Roman"/>
                <w:color w:val="auto"/>
                <w:szCs w:val="21"/>
              </w:rPr>
            </w:pPr>
            <w:r>
              <w:rPr>
                <w:rFonts w:hint="default" w:ascii="Times New Roman" w:hAnsi="Times New Roman" w:cs="Times New Roman"/>
                <w:color w:val="auto"/>
                <w:szCs w:val="21"/>
              </w:rPr>
              <w:t>□改建</w:t>
            </w:r>
          </w:p>
          <w:p w14:paraId="06BEFCD7">
            <w:pPr>
              <w:jc w:val="left"/>
              <w:rPr>
                <w:rFonts w:hint="default" w:ascii="Times New Roman" w:hAnsi="Times New Roman" w:cs="Times New Roman"/>
                <w:color w:val="auto"/>
                <w:szCs w:val="21"/>
              </w:rPr>
            </w:pPr>
            <w:r>
              <w:rPr>
                <w:rFonts w:hint="default" w:ascii="Times New Roman" w:hAnsi="Times New Roman" w:cs="Times New Roman"/>
                <w:color w:val="auto"/>
                <w:szCs w:val="21"/>
              </w:rPr>
              <w:t>□扩建</w:t>
            </w:r>
          </w:p>
          <w:p w14:paraId="31A33FEB">
            <w:pPr>
              <w:jc w:val="left"/>
              <w:rPr>
                <w:rFonts w:hint="default" w:ascii="Times New Roman" w:hAnsi="Times New Roman" w:cs="Times New Roman"/>
                <w:color w:val="auto"/>
                <w:szCs w:val="21"/>
              </w:rPr>
            </w:pPr>
            <w:r>
              <w:rPr>
                <w:rFonts w:hint="eastAsia" w:cs="Times New Roman"/>
                <w:color w:val="auto"/>
                <w:szCs w:val="21"/>
                <w:lang w:eastAsia="zh-CN"/>
              </w:rPr>
              <w:t>☑</w:t>
            </w:r>
            <w:r>
              <w:rPr>
                <w:rFonts w:hint="default" w:ascii="Times New Roman" w:hAnsi="Times New Roman" w:cs="Times New Roman"/>
                <w:color w:val="auto"/>
                <w:szCs w:val="21"/>
              </w:rPr>
              <w:t>技术改造</w:t>
            </w:r>
          </w:p>
        </w:tc>
        <w:tc>
          <w:tcPr>
            <w:tcW w:w="2012" w:type="dxa"/>
            <w:noWrap w:val="0"/>
            <w:vAlign w:val="center"/>
          </w:tcPr>
          <w:p w14:paraId="2819579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建设项目</w:t>
            </w:r>
          </w:p>
          <w:p w14:paraId="2AC485B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申报情形</w:t>
            </w:r>
          </w:p>
        </w:tc>
        <w:tc>
          <w:tcPr>
            <w:tcW w:w="2639" w:type="dxa"/>
            <w:noWrap w:val="0"/>
            <w:vAlign w:val="center"/>
          </w:tcPr>
          <w:p w14:paraId="3F07AE35">
            <w:pPr>
              <w:jc w:val="left"/>
              <w:rPr>
                <w:rFonts w:hint="default" w:ascii="Times New Roman" w:hAnsi="Times New Roman" w:cs="Times New Roman"/>
                <w:color w:val="auto"/>
                <w:szCs w:val="21"/>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 xml:space="preserve">首次申报项目             </w:t>
            </w:r>
          </w:p>
          <w:p w14:paraId="4FB5729C">
            <w:pPr>
              <w:jc w:val="left"/>
              <w:rPr>
                <w:rFonts w:hint="default" w:ascii="Times New Roman" w:hAnsi="Times New Roman" w:cs="Times New Roman"/>
                <w:color w:val="auto"/>
                <w:szCs w:val="21"/>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不予批准后再次申报项目</w:t>
            </w:r>
          </w:p>
          <w:p w14:paraId="745D8E22">
            <w:pPr>
              <w:jc w:val="left"/>
              <w:rPr>
                <w:rFonts w:hint="default" w:ascii="Times New Roman" w:hAnsi="Times New Roman" w:cs="Times New Roman"/>
                <w:color w:val="auto"/>
                <w:szCs w:val="21"/>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 xml:space="preserve">超五年重新审核项目     </w:t>
            </w:r>
          </w:p>
          <w:p w14:paraId="4D340D4E">
            <w:pPr>
              <w:jc w:val="left"/>
              <w:rPr>
                <w:rFonts w:hint="default" w:ascii="Times New Roman" w:hAnsi="Times New Roman" w:cs="Times New Roman"/>
                <w:color w:val="auto"/>
                <w:szCs w:val="21"/>
              </w:rPr>
            </w:pPr>
            <w:r>
              <w:rPr>
                <w:rFonts w:hint="default" w:ascii="Times New Roman" w:hAnsi="Times New Roman" w:cs="Times New Roman"/>
                <w:color w:val="auto"/>
                <w:szCs w:val="21"/>
              </w:rPr>
              <w:t>□重大变动重新报批项目</w:t>
            </w:r>
          </w:p>
        </w:tc>
      </w:tr>
      <w:tr w14:paraId="6E9CD8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22" w:type="dxa"/>
          <w:trHeight w:val="851" w:hRule="atLeast"/>
          <w:jc w:val="center"/>
        </w:trPr>
        <w:tc>
          <w:tcPr>
            <w:tcW w:w="2474" w:type="dxa"/>
            <w:gridSpan w:val="2"/>
            <w:noWrap w:val="0"/>
            <w:tcMar>
              <w:top w:w="16" w:type="dxa"/>
              <w:left w:w="16" w:type="dxa"/>
              <w:right w:w="16" w:type="dxa"/>
            </w:tcMar>
            <w:vAlign w:val="center"/>
          </w:tcPr>
          <w:p w14:paraId="2905B4C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项目审批（核准/</w:t>
            </w:r>
          </w:p>
          <w:p w14:paraId="24522E1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备案）部门（选填）</w:t>
            </w:r>
          </w:p>
        </w:tc>
        <w:tc>
          <w:tcPr>
            <w:tcW w:w="1837" w:type="dxa"/>
            <w:noWrap w:val="0"/>
            <w:vAlign w:val="center"/>
          </w:tcPr>
          <w:p w14:paraId="3459196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海门经济技术开发区管理委员会</w:t>
            </w:r>
          </w:p>
        </w:tc>
        <w:tc>
          <w:tcPr>
            <w:tcW w:w="2012" w:type="dxa"/>
            <w:noWrap w:val="0"/>
            <w:vAlign w:val="center"/>
          </w:tcPr>
          <w:p w14:paraId="74B927F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项目审批（核准/</w:t>
            </w:r>
          </w:p>
          <w:p w14:paraId="693C7FB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备案）文号（选填）</w:t>
            </w:r>
          </w:p>
        </w:tc>
        <w:tc>
          <w:tcPr>
            <w:tcW w:w="2639" w:type="dxa"/>
            <w:noWrap w:val="0"/>
            <w:vAlign w:val="center"/>
          </w:tcPr>
          <w:p w14:paraId="540759F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海开审备〔202</w:t>
            </w:r>
            <w:r>
              <w:rPr>
                <w:rFonts w:hint="eastAsia" w:cs="Times New Roman"/>
                <w:color w:val="auto"/>
                <w:szCs w:val="21"/>
                <w:lang w:val="en-US" w:eastAsia="zh-CN"/>
              </w:rPr>
              <w:t>6</w:t>
            </w:r>
            <w:r>
              <w:rPr>
                <w:rFonts w:hint="default" w:ascii="Times New Roman" w:hAnsi="Times New Roman" w:cs="Times New Roman"/>
                <w:color w:val="auto"/>
                <w:szCs w:val="21"/>
              </w:rPr>
              <w:t>〕</w:t>
            </w:r>
            <w:r>
              <w:rPr>
                <w:rFonts w:hint="eastAsia" w:cs="Times New Roman"/>
                <w:color w:val="auto"/>
                <w:szCs w:val="21"/>
                <w:lang w:val="en-US" w:eastAsia="zh-CN"/>
              </w:rPr>
              <w:t>4</w:t>
            </w:r>
            <w:r>
              <w:rPr>
                <w:rFonts w:hint="default" w:ascii="Times New Roman" w:hAnsi="Times New Roman" w:cs="Times New Roman"/>
                <w:color w:val="auto"/>
                <w:szCs w:val="21"/>
              </w:rPr>
              <w:t>号</w:t>
            </w:r>
          </w:p>
        </w:tc>
      </w:tr>
      <w:tr w14:paraId="0629AF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22" w:type="dxa"/>
          <w:trHeight w:val="497" w:hRule="atLeast"/>
          <w:jc w:val="center"/>
        </w:trPr>
        <w:tc>
          <w:tcPr>
            <w:tcW w:w="2474" w:type="dxa"/>
            <w:gridSpan w:val="2"/>
            <w:noWrap w:val="0"/>
            <w:tcMar>
              <w:top w:w="16" w:type="dxa"/>
              <w:left w:w="16" w:type="dxa"/>
              <w:right w:w="16" w:type="dxa"/>
            </w:tcMar>
            <w:vAlign w:val="center"/>
          </w:tcPr>
          <w:p w14:paraId="2BE4E52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总投资（万元）</w:t>
            </w:r>
          </w:p>
        </w:tc>
        <w:tc>
          <w:tcPr>
            <w:tcW w:w="1837" w:type="dxa"/>
            <w:noWrap w:val="0"/>
            <w:vAlign w:val="center"/>
          </w:tcPr>
          <w:p w14:paraId="2CD67B53">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1500</w:t>
            </w:r>
          </w:p>
        </w:tc>
        <w:tc>
          <w:tcPr>
            <w:tcW w:w="2012" w:type="dxa"/>
            <w:noWrap w:val="0"/>
            <w:tcMar>
              <w:top w:w="16" w:type="dxa"/>
              <w:left w:w="16" w:type="dxa"/>
              <w:right w:w="16" w:type="dxa"/>
            </w:tcMar>
            <w:vAlign w:val="center"/>
          </w:tcPr>
          <w:p w14:paraId="2781BCE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环保投资（万元）</w:t>
            </w:r>
          </w:p>
        </w:tc>
        <w:tc>
          <w:tcPr>
            <w:tcW w:w="2639" w:type="dxa"/>
            <w:noWrap w:val="0"/>
            <w:vAlign w:val="center"/>
          </w:tcPr>
          <w:p w14:paraId="3920C23F">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50</w:t>
            </w:r>
          </w:p>
        </w:tc>
      </w:tr>
      <w:tr w14:paraId="15F392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22" w:type="dxa"/>
          <w:trHeight w:val="497" w:hRule="atLeast"/>
          <w:jc w:val="center"/>
        </w:trPr>
        <w:tc>
          <w:tcPr>
            <w:tcW w:w="2474" w:type="dxa"/>
            <w:gridSpan w:val="2"/>
            <w:noWrap w:val="0"/>
            <w:tcMar>
              <w:top w:w="16" w:type="dxa"/>
              <w:left w:w="16" w:type="dxa"/>
              <w:right w:w="16" w:type="dxa"/>
            </w:tcMar>
            <w:vAlign w:val="center"/>
          </w:tcPr>
          <w:p w14:paraId="1F8C5B3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环保投资占比（%）</w:t>
            </w:r>
          </w:p>
        </w:tc>
        <w:tc>
          <w:tcPr>
            <w:tcW w:w="1837" w:type="dxa"/>
            <w:noWrap w:val="0"/>
            <w:vAlign w:val="center"/>
          </w:tcPr>
          <w:p w14:paraId="04F91929">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3.33</w:t>
            </w:r>
          </w:p>
        </w:tc>
        <w:tc>
          <w:tcPr>
            <w:tcW w:w="2012" w:type="dxa"/>
            <w:noWrap w:val="0"/>
            <w:tcMar>
              <w:top w:w="16" w:type="dxa"/>
              <w:left w:w="16" w:type="dxa"/>
              <w:right w:w="16" w:type="dxa"/>
            </w:tcMar>
            <w:vAlign w:val="center"/>
          </w:tcPr>
          <w:p w14:paraId="785DB51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施工工期</w:t>
            </w:r>
          </w:p>
        </w:tc>
        <w:tc>
          <w:tcPr>
            <w:tcW w:w="2639" w:type="dxa"/>
            <w:noWrap w:val="0"/>
            <w:vAlign w:val="center"/>
          </w:tcPr>
          <w:p w14:paraId="5F94DC30">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w:t>
            </w:r>
            <w:r>
              <w:rPr>
                <w:rFonts w:hint="eastAsia"/>
                <w:color w:val="auto"/>
                <w:lang w:val="en-US" w:eastAsia="zh-CN"/>
              </w:rPr>
              <w:t>个月</w:t>
            </w:r>
          </w:p>
        </w:tc>
      </w:tr>
      <w:tr w14:paraId="2199E2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gridAfter w:val="1"/>
          <w:wAfter w:w="22" w:type="dxa"/>
          <w:trHeight w:val="497" w:hRule="atLeast"/>
          <w:jc w:val="center"/>
        </w:trPr>
        <w:tc>
          <w:tcPr>
            <w:tcW w:w="2474" w:type="dxa"/>
            <w:gridSpan w:val="2"/>
            <w:noWrap w:val="0"/>
            <w:tcMar>
              <w:top w:w="16" w:type="dxa"/>
              <w:left w:w="16" w:type="dxa"/>
              <w:right w:w="16" w:type="dxa"/>
            </w:tcMar>
            <w:vAlign w:val="center"/>
          </w:tcPr>
          <w:p w14:paraId="71904D8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是否开工建设</w:t>
            </w:r>
          </w:p>
        </w:tc>
        <w:tc>
          <w:tcPr>
            <w:tcW w:w="1837" w:type="dxa"/>
            <w:noWrap w:val="0"/>
            <w:vAlign w:val="center"/>
          </w:tcPr>
          <w:p w14:paraId="1953829C">
            <w:pPr>
              <w:adjustRightInd w:val="0"/>
              <w:snapToGrid w:val="0"/>
              <w:rPr>
                <w:rFonts w:hint="default" w:ascii="Times New Roman" w:hAnsi="Times New Roman" w:cs="Times New Roman"/>
                <w:color w:val="auto"/>
                <w:szCs w:val="21"/>
              </w:rPr>
            </w:pP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否</w:t>
            </w:r>
          </w:p>
          <w:p w14:paraId="244EDC15">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是：</w:t>
            </w:r>
            <w:r>
              <w:rPr>
                <w:rFonts w:hint="default" w:ascii="Times New Roman" w:hAnsi="Times New Roman" w:cs="Times New Roman"/>
                <w:color w:val="auto"/>
                <w:szCs w:val="21"/>
                <w:u w:val="single"/>
              </w:rPr>
              <w:t xml:space="preserve">             </w:t>
            </w:r>
          </w:p>
        </w:tc>
        <w:tc>
          <w:tcPr>
            <w:tcW w:w="2012" w:type="dxa"/>
            <w:noWrap w:val="0"/>
            <w:tcMar>
              <w:top w:w="16" w:type="dxa"/>
              <w:left w:w="16" w:type="dxa"/>
              <w:right w:w="16" w:type="dxa"/>
            </w:tcMar>
            <w:vAlign w:val="center"/>
          </w:tcPr>
          <w:p w14:paraId="53AE590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pacing w:val="-6"/>
                <w:szCs w:val="21"/>
              </w:rPr>
              <w:t>用地面积（m</w:t>
            </w:r>
            <w:r>
              <w:rPr>
                <w:rFonts w:hint="default" w:ascii="Times New Roman" w:hAnsi="Times New Roman" w:cs="Times New Roman"/>
                <w:color w:val="auto"/>
                <w:spacing w:val="-6"/>
                <w:szCs w:val="21"/>
                <w:vertAlign w:val="superscript"/>
              </w:rPr>
              <w:t>2</w:t>
            </w:r>
            <w:r>
              <w:rPr>
                <w:rFonts w:hint="default" w:ascii="Times New Roman" w:hAnsi="Times New Roman" w:cs="Times New Roman"/>
                <w:color w:val="auto"/>
                <w:spacing w:val="-6"/>
                <w:szCs w:val="21"/>
              </w:rPr>
              <w:t>）</w:t>
            </w:r>
          </w:p>
        </w:tc>
        <w:tc>
          <w:tcPr>
            <w:tcW w:w="2639" w:type="dxa"/>
            <w:noWrap w:val="0"/>
            <w:vAlign w:val="center"/>
          </w:tcPr>
          <w:p w14:paraId="08D94051">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w:t>
            </w:r>
          </w:p>
        </w:tc>
      </w:tr>
      <w:tr w14:paraId="3C31CC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2" w:type="dxa"/>
          <w:trHeight w:val="581" w:hRule="atLeast"/>
          <w:jc w:val="center"/>
        </w:trPr>
        <w:tc>
          <w:tcPr>
            <w:tcW w:w="2474" w:type="dxa"/>
            <w:gridSpan w:val="2"/>
            <w:noWrap w:val="0"/>
            <w:vAlign w:val="center"/>
          </w:tcPr>
          <w:p w14:paraId="6B58688F">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专项评价设置情况</w:t>
            </w:r>
          </w:p>
        </w:tc>
        <w:tc>
          <w:tcPr>
            <w:tcW w:w="6488" w:type="dxa"/>
            <w:gridSpan w:val="3"/>
            <w:noWrap w:val="0"/>
            <w:vAlign w:val="center"/>
          </w:tcPr>
          <w:p w14:paraId="03CBFA99">
            <w:pPr>
              <w:autoSpaceDE w:val="0"/>
              <w:autoSpaceDN w:val="0"/>
              <w:adjustRightInd w:val="0"/>
              <w:snapToGrid w:val="0"/>
              <w:jc w:val="center"/>
              <w:rPr>
                <w:rFonts w:hint="default" w:ascii="Times New Roman" w:hAnsi="Times New Roman" w:eastAsia="宋体" w:cs="Times New Roman"/>
                <w:color w:val="auto"/>
                <w:kern w:val="0"/>
                <w:szCs w:val="21"/>
                <w:lang w:val="en-US" w:eastAsia="zh-CN"/>
              </w:rPr>
            </w:pP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2861"/>
              <w:gridCol w:w="1421"/>
              <w:gridCol w:w="1118"/>
            </w:tblGrid>
            <w:tr w14:paraId="3BE99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862" w:type="dxa"/>
                  <w:noWrap w:val="0"/>
                  <w:vAlign w:val="center"/>
                </w:tcPr>
                <w:p w14:paraId="62B4BABC">
                  <w:pPr>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专项评价类别</w:t>
                  </w:r>
                </w:p>
              </w:tc>
              <w:tc>
                <w:tcPr>
                  <w:tcW w:w="2861" w:type="dxa"/>
                  <w:noWrap w:val="0"/>
                  <w:vAlign w:val="center"/>
                </w:tcPr>
                <w:p w14:paraId="0C26B538">
                  <w:pPr>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设置原则</w:t>
                  </w:r>
                </w:p>
              </w:tc>
              <w:tc>
                <w:tcPr>
                  <w:tcW w:w="1421" w:type="dxa"/>
                  <w:noWrap w:val="0"/>
                  <w:vAlign w:val="center"/>
                </w:tcPr>
                <w:p w14:paraId="02F3E7CD">
                  <w:pPr>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本项目情况</w:t>
                  </w:r>
                </w:p>
              </w:tc>
              <w:tc>
                <w:tcPr>
                  <w:tcW w:w="1118" w:type="dxa"/>
                  <w:noWrap w:val="0"/>
                  <w:vAlign w:val="center"/>
                </w:tcPr>
                <w:p w14:paraId="7B51F194">
                  <w:pPr>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是否需要设置专项评价</w:t>
                  </w:r>
                </w:p>
              </w:tc>
            </w:tr>
            <w:tr w14:paraId="2865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noWrap w:val="0"/>
                  <w:vAlign w:val="center"/>
                </w:tcPr>
                <w:p w14:paraId="093E9B43">
                  <w:pPr>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大气</w:t>
                  </w:r>
                </w:p>
              </w:tc>
              <w:tc>
                <w:tcPr>
                  <w:tcW w:w="2861" w:type="dxa"/>
                  <w:noWrap w:val="0"/>
                  <w:vAlign w:val="center"/>
                </w:tcPr>
                <w:p w14:paraId="59501A88">
                  <w:pPr>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rPr>
                    <w:t>排放废气含有毒有害污染物、二嗯英、苯并[a]比、氰化物、氯气且厂界外500米范围内有环境空气保护目标的建设项目</w:t>
                  </w:r>
                  <w:r>
                    <w:rPr>
                      <w:rFonts w:hint="default" w:ascii="Times New Roman" w:hAnsi="Times New Roman" w:eastAsia="宋体" w:cs="Times New Roman"/>
                      <w:color w:val="auto"/>
                      <w:sz w:val="21"/>
                      <w:szCs w:val="21"/>
                      <w:highlight w:val="none"/>
                      <w:vertAlign w:val="baseline"/>
                      <w:lang w:eastAsia="zh-CN"/>
                    </w:rPr>
                    <w:t>。</w:t>
                  </w:r>
                </w:p>
              </w:tc>
              <w:tc>
                <w:tcPr>
                  <w:tcW w:w="1421" w:type="dxa"/>
                  <w:noWrap w:val="0"/>
                  <w:vAlign w:val="center"/>
                </w:tcPr>
                <w:p w14:paraId="62E71E59">
                  <w:pPr>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rPr>
                    <w:t>本项目排放废气不涉及以上废气排放</w:t>
                  </w:r>
                  <w:r>
                    <w:rPr>
                      <w:rFonts w:hint="default" w:ascii="Times New Roman" w:hAnsi="Times New Roman" w:eastAsia="宋体" w:cs="Times New Roman"/>
                      <w:color w:val="auto"/>
                      <w:sz w:val="21"/>
                      <w:szCs w:val="21"/>
                      <w:highlight w:val="none"/>
                      <w:vertAlign w:val="baseline"/>
                      <w:lang w:eastAsia="zh-CN"/>
                    </w:rPr>
                    <w:t>。</w:t>
                  </w:r>
                </w:p>
              </w:tc>
              <w:tc>
                <w:tcPr>
                  <w:tcW w:w="1118" w:type="dxa"/>
                  <w:noWrap w:val="0"/>
                  <w:vAlign w:val="center"/>
                </w:tcPr>
                <w:p w14:paraId="37B2A17D">
                  <w:pPr>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否</w:t>
                  </w:r>
                </w:p>
              </w:tc>
            </w:tr>
            <w:tr w14:paraId="516E9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noWrap w:val="0"/>
                  <w:vAlign w:val="center"/>
                </w:tcPr>
                <w:p w14:paraId="5DC3DE2C">
                  <w:pPr>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地表水</w:t>
                  </w:r>
                </w:p>
              </w:tc>
              <w:tc>
                <w:tcPr>
                  <w:tcW w:w="2861" w:type="dxa"/>
                  <w:noWrap w:val="0"/>
                  <w:vAlign w:val="center"/>
                </w:tcPr>
                <w:p w14:paraId="09F15025">
                  <w:pPr>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rPr>
                    <w:t>新增工业废水直排建设项目（槽罐车外送污水处理厂的除外）；新增废水直排的污水集中处理厂</w:t>
                  </w:r>
                  <w:r>
                    <w:rPr>
                      <w:rFonts w:hint="default" w:ascii="Times New Roman" w:hAnsi="Times New Roman" w:eastAsia="宋体" w:cs="Times New Roman"/>
                      <w:color w:val="auto"/>
                      <w:sz w:val="21"/>
                      <w:szCs w:val="21"/>
                      <w:highlight w:val="none"/>
                      <w:vertAlign w:val="baseline"/>
                      <w:lang w:eastAsia="zh-CN"/>
                    </w:rPr>
                    <w:t>。</w:t>
                  </w:r>
                </w:p>
              </w:tc>
              <w:tc>
                <w:tcPr>
                  <w:tcW w:w="1421" w:type="dxa"/>
                  <w:noWrap w:val="0"/>
                  <w:vAlign w:val="center"/>
                </w:tcPr>
                <w:p w14:paraId="735622AD">
                  <w:pPr>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rPr>
                    <w:t>本项目不涉及工业废水直接排放，</w:t>
                  </w:r>
                  <w:r>
                    <w:rPr>
                      <w:rFonts w:hint="default" w:ascii="Times New Roman" w:hAnsi="Times New Roman" w:eastAsia="宋体" w:cs="Times New Roman"/>
                      <w:color w:val="auto"/>
                      <w:sz w:val="21"/>
                      <w:szCs w:val="21"/>
                      <w:highlight w:val="none"/>
                      <w:vertAlign w:val="baseline"/>
                      <w:lang w:val="en-US" w:eastAsia="zh-CN"/>
                    </w:rPr>
                    <w:t>不属于</w:t>
                  </w:r>
                  <w:r>
                    <w:rPr>
                      <w:rFonts w:hint="default" w:ascii="Times New Roman" w:hAnsi="Times New Roman" w:eastAsia="宋体" w:cs="Times New Roman"/>
                      <w:color w:val="auto"/>
                      <w:sz w:val="21"/>
                      <w:szCs w:val="21"/>
                      <w:highlight w:val="none"/>
                      <w:vertAlign w:val="baseline"/>
                    </w:rPr>
                    <w:t>污水集中处理厂</w:t>
                  </w:r>
                  <w:r>
                    <w:rPr>
                      <w:rFonts w:hint="default" w:ascii="Times New Roman" w:hAnsi="Times New Roman" w:eastAsia="宋体" w:cs="Times New Roman"/>
                      <w:color w:val="auto"/>
                      <w:sz w:val="21"/>
                      <w:szCs w:val="21"/>
                      <w:highlight w:val="none"/>
                      <w:vertAlign w:val="baseline"/>
                      <w:lang w:eastAsia="zh-CN"/>
                    </w:rPr>
                    <w:t>。</w:t>
                  </w:r>
                </w:p>
              </w:tc>
              <w:tc>
                <w:tcPr>
                  <w:tcW w:w="1118" w:type="dxa"/>
                  <w:noWrap w:val="0"/>
                  <w:vAlign w:val="center"/>
                </w:tcPr>
                <w:p w14:paraId="5CBFEC43">
                  <w:pPr>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否</w:t>
                  </w:r>
                </w:p>
              </w:tc>
            </w:tr>
            <w:tr w14:paraId="091CE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2" w:type="dxa"/>
                  <w:noWrap w:val="0"/>
                  <w:vAlign w:val="center"/>
                </w:tcPr>
                <w:p w14:paraId="0D785303">
                  <w:pPr>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环境风险</w:t>
                  </w:r>
                </w:p>
              </w:tc>
              <w:tc>
                <w:tcPr>
                  <w:tcW w:w="2861" w:type="dxa"/>
                  <w:noWrap w:val="0"/>
                  <w:vAlign w:val="center"/>
                </w:tcPr>
                <w:p w14:paraId="1825855C">
                  <w:pPr>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有毒有害和易燃易爆危险物质存储量超过临界量的建设项目</w:t>
                  </w:r>
                </w:p>
              </w:tc>
              <w:tc>
                <w:tcPr>
                  <w:tcW w:w="1421" w:type="dxa"/>
                  <w:noWrap w:val="0"/>
                  <w:vAlign w:val="center"/>
                </w:tcPr>
                <w:p w14:paraId="37C429D4">
                  <w:pPr>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rPr>
                    <w:t>本项目危险物质存储量未超过临界量</w:t>
                  </w:r>
                  <w:r>
                    <w:rPr>
                      <w:rFonts w:hint="default" w:ascii="Times New Roman" w:hAnsi="Times New Roman" w:eastAsia="宋体" w:cs="Times New Roman"/>
                      <w:color w:val="auto"/>
                      <w:sz w:val="21"/>
                      <w:szCs w:val="21"/>
                      <w:highlight w:val="none"/>
                      <w:vertAlign w:val="baseline"/>
                      <w:lang w:eastAsia="zh-CN"/>
                    </w:rPr>
                    <w:t>。</w:t>
                  </w:r>
                </w:p>
              </w:tc>
              <w:tc>
                <w:tcPr>
                  <w:tcW w:w="1118" w:type="dxa"/>
                  <w:noWrap w:val="0"/>
                  <w:vAlign w:val="center"/>
                </w:tcPr>
                <w:p w14:paraId="44CF722F">
                  <w:pPr>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否</w:t>
                  </w:r>
                </w:p>
              </w:tc>
            </w:tr>
            <w:tr w14:paraId="34F57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noWrap w:val="0"/>
                  <w:vAlign w:val="center"/>
                </w:tcPr>
                <w:p w14:paraId="2956B83D">
                  <w:pPr>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生态</w:t>
                  </w:r>
                </w:p>
              </w:tc>
              <w:tc>
                <w:tcPr>
                  <w:tcW w:w="2861" w:type="dxa"/>
                  <w:noWrap w:val="0"/>
                  <w:vAlign w:val="center"/>
                </w:tcPr>
                <w:p w14:paraId="10587592">
                  <w:pPr>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rPr>
                    <w:t>取水口下游500米范围内有重要水生生物的自然产卵场、索饵场、越冬场和洄游通道的新增河道取水的污染类建设项目</w:t>
                  </w:r>
                  <w:r>
                    <w:rPr>
                      <w:rFonts w:hint="default" w:ascii="Times New Roman" w:hAnsi="Times New Roman" w:eastAsia="宋体" w:cs="Times New Roman"/>
                      <w:color w:val="auto"/>
                      <w:sz w:val="21"/>
                      <w:szCs w:val="21"/>
                      <w:highlight w:val="none"/>
                      <w:vertAlign w:val="baseline"/>
                      <w:lang w:eastAsia="zh-CN"/>
                    </w:rPr>
                    <w:t>。</w:t>
                  </w:r>
                </w:p>
              </w:tc>
              <w:tc>
                <w:tcPr>
                  <w:tcW w:w="1421" w:type="dxa"/>
                  <w:noWrap w:val="0"/>
                  <w:vAlign w:val="center"/>
                </w:tcPr>
                <w:p w14:paraId="22FB4294">
                  <w:pPr>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rPr>
                    <w:t>本项目不涉及直接从河道取水</w:t>
                  </w:r>
                  <w:r>
                    <w:rPr>
                      <w:rFonts w:hint="default" w:ascii="Times New Roman" w:hAnsi="Times New Roman" w:eastAsia="宋体" w:cs="Times New Roman"/>
                      <w:color w:val="auto"/>
                      <w:sz w:val="21"/>
                      <w:szCs w:val="21"/>
                      <w:highlight w:val="none"/>
                      <w:vertAlign w:val="baseline"/>
                      <w:lang w:eastAsia="zh-CN"/>
                    </w:rPr>
                    <w:t>。</w:t>
                  </w:r>
                </w:p>
              </w:tc>
              <w:tc>
                <w:tcPr>
                  <w:tcW w:w="1118" w:type="dxa"/>
                  <w:noWrap w:val="0"/>
                  <w:vAlign w:val="center"/>
                </w:tcPr>
                <w:p w14:paraId="212B56E5">
                  <w:pPr>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否</w:t>
                  </w:r>
                </w:p>
              </w:tc>
            </w:tr>
            <w:tr w14:paraId="3E223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noWrap w:val="0"/>
                  <w:vAlign w:val="center"/>
                </w:tcPr>
                <w:p w14:paraId="3764F001">
                  <w:pPr>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海洋</w:t>
                  </w:r>
                </w:p>
              </w:tc>
              <w:tc>
                <w:tcPr>
                  <w:tcW w:w="2861" w:type="dxa"/>
                  <w:noWrap w:val="0"/>
                  <w:vAlign w:val="center"/>
                </w:tcPr>
                <w:p w14:paraId="7FA2C420">
                  <w:pPr>
                    <w:jc w:val="center"/>
                    <w:rPr>
                      <w:rFonts w:hint="default" w:ascii="Times New Roman" w:hAnsi="Times New Roman" w:eastAsia="宋体" w:cs="Times New Roman"/>
                      <w:color w:val="auto"/>
                      <w:sz w:val="21"/>
                      <w:szCs w:val="21"/>
                      <w:highlight w:val="none"/>
                      <w:vertAlign w:val="baseline"/>
                      <w:lang w:eastAsia="zh-CN"/>
                    </w:rPr>
                  </w:pPr>
                  <w:r>
                    <w:rPr>
                      <w:rFonts w:hint="default" w:ascii="Times New Roman" w:hAnsi="Times New Roman" w:eastAsia="宋体" w:cs="Times New Roman"/>
                      <w:color w:val="auto"/>
                      <w:sz w:val="21"/>
                      <w:szCs w:val="21"/>
                      <w:highlight w:val="none"/>
                      <w:vertAlign w:val="baseline"/>
                    </w:rPr>
                    <w:t>直接向海排放污染物的海洋工程建设项目</w:t>
                  </w:r>
                  <w:r>
                    <w:rPr>
                      <w:rFonts w:hint="default" w:ascii="Times New Roman" w:hAnsi="Times New Roman" w:eastAsia="宋体" w:cs="Times New Roman"/>
                      <w:color w:val="auto"/>
                      <w:sz w:val="21"/>
                      <w:szCs w:val="21"/>
                      <w:highlight w:val="none"/>
                      <w:vertAlign w:val="baseline"/>
                      <w:lang w:eastAsia="zh-CN"/>
                    </w:rPr>
                    <w:t>。</w:t>
                  </w:r>
                </w:p>
              </w:tc>
              <w:tc>
                <w:tcPr>
                  <w:tcW w:w="1421" w:type="dxa"/>
                  <w:noWrap w:val="0"/>
                  <w:vAlign w:val="center"/>
                </w:tcPr>
                <w:p w14:paraId="288C669C">
                  <w:pPr>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rPr>
                    <w:t>本项目</w:t>
                  </w:r>
                  <w:r>
                    <w:rPr>
                      <w:rFonts w:hint="default" w:ascii="Times New Roman" w:hAnsi="Times New Roman" w:eastAsia="宋体" w:cs="Times New Roman"/>
                      <w:color w:val="auto"/>
                      <w:sz w:val="21"/>
                      <w:szCs w:val="21"/>
                      <w:highlight w:val="none"/>
                      <w:vertAlign w:val="baseline"/>
                      <w:lang w:val="en-US" w:eastAsia="zh-CN"/>
                    </w:rPr>
                    <w:t>不属于</w:t>
                  </w:r>
                  <w:r>
                    <w:rPr>
                      <w:rFonts w:hint="default" w:ascii="Times New Roman" w:hAnsi="Times New Roman" w:eastAsia="宋体" w:cs="Times New Roman"/>
                      <w:color w:val="auto"/>
                      <w:sz w:val="21"/>
                      <w:szCs w:val="21"/>
                      <w:highlight w:val="none"/>
                      <w:vertAlign w:val="baseline"/>
                    </w:rPr>
                    <w:t>海洋工程建设项目</w:t>
                  </w:r>
                  <w:r>
                    <w:rPr>
                      <w:rFonts w:hint="default" w:ascii="Times New Roman" w:hAnsi="Times New Roman" w:eastAsia="宋体" w:cs="Times New Roman"/>
                      <w:color w:val="auto"/>
                      <w:sz w:val="21"/>
                      <w:szCs w:val="21"/>
                      <w:highlight w:val="none"/>
                      <w:vertAlign w:val="baseline"/>
                      <w:lang w:eastAsia="zh-CN"/>
                    </w:rPr>
                    <w:t>。</w:t>
                  </w:r>
                </w:p>
              </w:tc>
              <w:tc>
                <w:tcPr>
                  <w:tcW w:w="1118" w:type="dxa"/>
                  <w:noWrap w:val="0"/>
                  <w:vAlign w:val="center"/>
                </w:tcPr>
                <w:p w14:paraId="5088BCD8">
                  <w:pPr>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否</w:t>
                  </w:r>
                </w:p>
              </w:tc>
            </w:tr>
          </w:tbl>
          <w:p w14:paraId="434FCA04">
            <w:pPr>
              <w:pStyle w:val="4"/>
              <w:rPr>
                <w:rFonts w:hint="default"/>
                <w:color w:val="auto"/>
                <w:lang w:val="en-US" w:eastAsia="zh-CN"/>
              </w:rPr>
            </w:pPr>
          </w:p>
        </w:tc>
      </w:tr>
      <w:tr w14:paraId="0FC2C2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2" w:type="dxa"/>
          <w:trHeight w:val="1011" w:hRule="atLeast"/>
          <w:jc w:val="center"/>
        </w:trPr>
        <w:tc>
          <w:tcPr>
            <w:tcW w:w="2474" w:type="dxa"/>
            <w:gridSpan w:val="2"/>
            <w:noWrap w:val="0"/>
            <w:vAlign w:val="center"/>
          </w:tcPr>
          <w:p w14:paraId="1B189510">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规划情况</w:t>
            </w:r>
          </w:p>
        </w:tc>
        <w:tc>
          <w:tcPr>
            <w:tcW w:w="6488" w:type="dxa"/>
            <w:gridSpan w:val="3"/>
            <w:noWrap w:val="0"/>
            <w:vAlign w:val="center"/>
          </w:tcPr>
          <w:p w14:paraId="59513DA8">
            <w:pPr>
              <w:autoSpaceDE w:val="0"/>
              <w:autoSpaceDN w:val="0"/>
              <w:adjustRightInd w:val="0"/>
              <w:snapToGrid w:val="0"/>
              <w:spacing w:line="360" w:lineRule="auto"/>
              <w:jc w:val="left"/>
              <w:rPr>
                <w:rFonts w:hint="default" w:ascii="Times New Roman" w:hAnsi="Times New Roman" w:eastAsia="宋体" w:cs="Times New Roman"/>
                <w:color w:val="auto"/>
                <w:sz w:val="21"/>
              </w:rPr>
            </w:pPr>
            <w:r>
              <w:rPr>
                <w:rFonts w:hint="eastAsia" w:ascii="Times New Roman" w:hAnsi="Times New Roman" w:eastAsia="宋体" w:cs="Times New Roman"/>
                <w:color w:val="auto"/>
                <w:highlight w:val="none"/>
              </w:rPr>
              <w:t>规划名称：《海门经济技术开发区开发建设规划（2022-2035年）》</w:t>
            </w:r>
            <w:r>
              <w:rPr>
                <w:rFonts w:hint="default" w:ascii="Times New Roman" w:hAnsi="Times New Roman" w:eastAsia="宋体" w:cs="Times New Roman"/>
                <w:color w:val="auto"/>
                <w:sz w:val="21"/>
              </w:rPr>
              <w:t>；</w:t>
            </w:r>
          </w:p>
          <w:p w14:paraId="13FC82CB">
            <w:pPr>
              <w:pStyle w:val="46"/>
              <w:spacing w:before="3" w:line="360" w:lineRule="auto"/>
              <w:rPr>
                <w:rFonts w:hint="default" w:ascii="Times New Roman" w:hAnsi="Times New Roman" w:cs="Times New Roman"/>
                <w:color w:val="auto"/>
                <w:kern w:val="0"/>
                <w:szCs w:val="21"/>
              </w:rPr>
            </w:pPr>
            <w:r>
              <w:rPr>
                <w:rFonts w:hint="eastAsia" w:ascii="Times New Roman" w:hAnsi="Times New Roman" w:eastAsia="宋体" w:cs="Times New Roman"/>
                <w:color w:val="auto"/>
                <w:sz w:val="21"/>
              </w:rPr>
              <w:t>审批部门：</w:t>
            </w:r>
            <w:r>
              <w:rPr>
                <w:rFonts w:hint="default" w:ascii="Times New Roman" w:hAnsi="Times New Roman" w:eastAsia="宋体" w:cs="Times New Roman"/>
                <w:color w:val="auto"/>
                <w:kern w:val="2"/>
                <w:sz w:val="21"/>
                <w:szCs w:val="24"/>
                <w:highlight w:val="none"/>
                <w:lang w:val="en-US" w:eastAsia="zh-CN" w:bidi="ar-SA"/>
              </w:rPr>
              <w:t>江苏省人民政府</w:t>
            </w:r>
          </w:p>
        </w:tc>
      </w:tr>
      <w:tr w14:paraId="6524FE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22" w:type="dxa"/>
          <w:trHeight w:val="2691" w:hRule="atLeast"/>
          <w:jc w:val="center"/>
        </w:trPr>
        <w:tc>
          <w:tcPr>
            <w:tcW w:w="2474" w:type="dxa"/>
            <w:gridSpan w:val="2"/>
            <w:noWrap w:val="0"/>
            <w:vAlign w:val="center"/>
          </w:tcPr>
          <w:p w14:paraId="1642C89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规划环境影响</w:t>
            </w:r>
          </w:p>
          <w:p w14:paraId="53944870">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评价情况</w:t>
            </w:r>
          </w:p>
        </w:tc>
        <w:tc>
          <w:tcPr>
            <w:tcW w:w="6488" w:type="dxa"/>
            <w:gridSpan w:val="3"/>
            <w:noWrap w:val="0"/>
            <w:vAlign w:val="center"/>
          </w:tcPr>
          <w:p w14:paraId="5F017FCE">
            <w:pPr>
              <w:autoSpaceDE w:val="0"/>
              <w:autoSpaceDN w:val="0"/>
              <w:adjustRightInd w:val="0"/>
              <w:snapToGrid w:val="0"/>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规划环评名称：《海门经济技术开发区开发建设规划（2022-2035年）环境影响报告书》；</w:t>
            </w:r>
          </w:p>
          <w:p w14:paraId="15A9CF3D">
            <w:pPr>
              <w:autoSpaceDE w:val="0"/>
              <w:autoSpaceDN w:val="0"/>
              <w:adjustRightInd w:val="0"/>
              <w:snapToGrid w:val="0"/>
              <w:spacing w:line="36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审查机关：江苏省生态环境厅</w:t>
            </w:r>
          </w:p>
          <w:p w14:paraId="59338CF0">
            <w:pPr>
              <w:autoSpaceDE w:val="0"/>
              <w:autoSpaceDN w:val="0"/>
              <w:adjustRightInd w:val="0"/>
              <w:snapToGrid w:val="0"/>
              <w:spacing w:line="360" w:lineRule="auto"/>
              <w:rPr>
                <w:rFonts w:hint="default" w:ascii="Times New Roman" w:hAnsi="Times New Roman" w:cs="Times New Roman"/>
                <w:color w:val="auto"/>
                <w:kern w:val="0"/>
                <w:szCs w:val="21"/>
              </w:rPr>
            </w:pPr>
            <w:r>
              <w:rPr>
                <w:rFonts w:hint="default" w:ascii="Times New Roman" w:hAnsi="Times New Roman" w:cs="Times New Roman"/>
                <w:color w:val="auto"/>
                <w:szCs w:val="21"/>
                <w:highlight w:val="none"/>
              </w:rPr>
              <w:t>审查文件名称及文号：：《省生态环境厅关于&lt;海门经济技术开发区开发建设规划（2022-2035年）环境影响报告书&gt;的审查意见》苏环审[2024]7号</w:t>
            </w:r>
          </w:p>
        </w:tc>
      </w:tr>
      <w:tr w14:paraId="744D1E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2" w:hRule="atLeast"/>
          <w:jc w:val="center"/>
        </w:trPr>
        <w:tc>
          <w:tcPr>
            <w:tcW w:w="579" w:type="dxa"/>
            <w:noWrap w:val="0"/>
            <w:vAlign w:val="center"/>
          </w:tcPr>
          <w:p w14:paraId="3C522DA3">
            <w:pPr>
              <w:pStyle w:val="18"/>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rPr>
              <w:t>规划及规划环境影响评价符合性分析</w:t>
            </w:r>
          </w:p>
        </w:tc>
        <w:tc>
          <w:tcPr>
            <w:tcW w:w="8405" w:type="dxa"/>
            <w:gridSpan w:val="5"/>
            <w:noWrap w:val="0"/>
            <w:vAlign w:val="top"/>
          </w:tcPr>
          <w:p w14:paraId="1702984E">
            <w:pPr>
              <w:bidi w:val="0"/>
              <w:spacing w:line="360" w:lineRule="auto"/>
              <w:rPr>
                <w:rFonts w:hint="default"/>
                <w:b/>
                <w:bCs/>
                <w:color w:val="auto"/>
                <w:lang w:val="en-US" w:eastAsia="zh-CN"/>
              </w:rPr>
            </w:pPr>
            <w:r>
              <w:rPr>
                <w:rFonts w:hint="default" w:ascii="Times New Roman" w:hAnsi="Times New Roman" w:cs="Times New Roman"/>
                <w:b/>
                <w:bCs/>
                <w:color w:val="auto"/>
                <w:lang w:val="en-US" w:eastAsia="zh-CN"/>
              </w:rPr>
              <w:t>1</w:t>
            </w:r>
            <w:r>
              <w:rPr>
                <w:rFonts w:hint="eastAsia"/>
                <w:b/>
                <w:bCs/>
                <w:color w:val="auto"/>
                <w:lang w:val="en-US" w:eastAsia="zh-CN"/>
              </w:rPr>
              <w:t>、</w:t>
            </w:r>
            <w:r>
              <w:rPr>
                <w:rFonts w:hint="default"/>
                <w:b/>
                <w:bCs/>
                <w:color w:val="auto"/>
                <w:lang w:val="en-US" w:eastAsia="zh-CN"/>
              </w:rPr>
              <w:t>与《海门经济技术开发区开发建设规划（2022-2035年）》的相符性分析</w:t>
            </w:r>
          </w:p>
          <w:p w14:paraId="554694B4">
            <w:pPr>
              <w:bidi w:val="0"/>
              <w:spacing w:line="360" w:lineRule="auto"/>
              <w:ind w:firstLine="420"/>
              <w:rPr>
                <w:rFonts w:hint="default"/>
                <w:color w:val="auto"/>
                <w:lang w:val="en-US" w:eastAsia="zh-CN"/>
              </w:rPr>
            </w:pPr>
            <w:r>
              <w:rPr>
                <w:rFonts w:hint="default"/>
                <w:color w:val="auto"/>
                <w:lang w:val="en-US" w:eastAsia="zh-CN"/>
              </w:rPr>
              <w:t>规划范围及期限： 规划范围：61.88km</w:t>
            </w:r>
            <w:r>
              <w:rPr>
                <w:rFonts w:hint="default"/>
                <w:color w:val="auto"/>
                <w:vertAlign w:val="superscript"/>
                <w:lang w:val="en-US" w:eastAsia="zh-CN"/>
              </w:rPr>
              <w:t>2</w:t>
            </w:r>
            <w:r>
              <w:rPr>
                <w:rFonts w:hint="default"/>
                <w:color w:val="auto"/>
                <w:lang w:val="en-US" w:eastAsia="zh-CN"/>
              </w:rPr>
              <w:t xml:space="preserve"> </w:t>
            </w:r>
          </w:p>
          <w:p w14:paraId="2EDCB077">
            <w:pPr>
              <w:bidi w:val="0"/>
              <w:spacing w:line="360" w:lineRule="auto"/>
              <w:ind w:firstLine="420"/>
              <w:rPr>
                <w:rFonts w:hint="default"/>
                <w:color w:val="auto"/>
                <w:lang w:val="en-US" w:eastAsia="zh-CN"/>
              </w:rPr>
            </w:pPr>
            <w:r>
              <w:rPr>
                <w:rFonts w:hint="default"/>
                <w:color w:val="auto"/>
                <w:lang w:val="en-US" w:eastAsia="zh-CN"/>
              </w:rPr>
              <w:t>规划期限：2022-2035年，其中近期：2022-2025年，远期：2026-2035年。</w:t>
            </w:r>
          </w:p>
          <w:p w14:paraId="20D6B1D0">
            <w:pPr>
              <w:bidi w:val="0"/>
              <w:spacing w:line="360" w:lineRule="auto"/>
              <w:ind w:firstLine="420"/>
              <w:rPr>
                <w:rFonts w:hint="default"/>
                <w:b/>
                <w:bCs/>
                <w:color w:val="auto"/>
                <w:lang w:val="en-US" w:eastAsia="zh-CN"/>
              </w:rPr>
            </w:pPr>
            <w:r>
              <w:rPr>
                <w:rFonts w:hint="default"/>
                <w:b/>
                <w:bCs/>
                <w:color w:val="auto"/>
                <w:lang w:val="en-US" w:eastAsia="zh-CN"/>
              </w:rPr>
              <w:t>功能定位：</w:t>
            </w:r>
          </w:p>
          <w:p w14:paraId="7052C96A">
            <w:pPr>
              <w:bidi w:val="0"/>
              <w:spacing w:line="360" w:lineRule="auto"/>
              <w:ind w:firstLine="420"/>
              <w:rPr>
                <w:rFonts w:hint="default"/>
                <w:color w:val="auto"/>
                <w:lang w:val="en-US" w:eastAsia="zh-CN"/>
              </w:rPr>
            </w:pPr>
            <w:r>
              <w:rPr>
                <w:rFonts w:hint="default"/>
                <w:color w:val="auto"/>
                <w:lang w:val="en-US" w:eastAsia="zh-CN"/>
              </w:rPr>
              <w:t xml:space="preserve">围绕海门区全力打造“长三角北翼先进制造业重要基地、长江口创新协同发展示范园区、南通滨江产业转型升级高地”目标定位，根据海门经济技术开发区目前的发展态势和经济基础，以科学发展为主题，以加快转变经济发展方式为主线，以制造业创新发展为导向，在建设规划、产业发展、招商引资、体制机制、营商环境等方面持续发力、不断突破，加速创新转型、全面跨越，建成产业经济更加充满活力、生活服务更加便捷舒适、生态环境更加美好、地域特色更加鲜明的现代化国家级经济技术开发区。 </w:t>
            </w:r>
          </w:p>
          <w:p w14:paraId="4F33A518">
            <w:pPr>
              <w:bidi w:val="0"/>
              <w:spacing w:line="360" w:lineRule="auto"/>
              <w:ind w:firstLine="420"/>
              <w:rPr>
                <w:rFonts w:hint="default"/>
                <w:b/>
                <w:bCs/>
                <w:color w:val="auto"/>
                <w:lang w:val="en-US" w:eastAsia="zh-CN"/>
              </w:rPr>
            </w:pPr>
            <w:r>
              <w:rPr>
                <w:rFonts w:hint="default"/>
                <w:b/>
                <w:bCs/>
                <w:color w:val="auto"/>
                <w:lang w:val="en-US" w:eastAsia="zh-CN"/>
              </w:rPr>
              <w:t>产业规划：</w:t>
            </w:r>
          </w:p>
          <w:p w14:paraId="1B240CA7">
            <w:pPr>
              <w:bidi w:val="0"/>
              <w:spacing w:line="360" w:lineRule="auto"/>
              <w:ind w:firstLine="420"/>
              <w:rPr>
                <w:rFonts w:hint="default"/>
                <w:color w:val="auto"/>
                <w:lang w:val="en-US" w:eastAsia="zh-CN"/>
              </w:rPr>
            </w:pPr>
            <w:r>
              <w:rPr>
                <w:rFonts w:hint="default"/>
                <w:color w:val="auto"/>
                <w:lang w:val="en-US" w:eastAsia="zh-CN"/>
              </w:rPr>
              <w:t>聚焦新旧动能转换，提升产业竞争力，坚持主导产业提质增效与战略性新兴产业培育并举，海门经济技术开发区重点打造以海工装备、新一代信息技术、智能制造等产业为主导的现代化产业体系，为高质量发展夯实产业基础。</w:t>
            </w:r>
          </w:p>
          <w:p w14:paraId="61DA18A7">
            <w:pPr>
              <w:bidi w:val="0"/>
              <w:spacing w:line="360" w:lineRule="auto"/>
              <w:ind w:firstLine="420"/>
              <w:rPr>
                <w:rFonts w:hint="default"/>
                <w:b/>
                <w:bCs/>
                <w:color w:val="auto"/>
                <w:lang w:val="en-US" w:eastAsia="zh-CN"/>
              </w:rPr>
            </w:pPr>
            <w:r>
              <w:rPr>
                <w:rFonts w:hint="default"/>
                <w:b/>
                <w:bCs/>
                <w:color w:val="auto"/>
                <w:lang w:val="en-US" w:eastAsia="zh-CN"/>
              </w:rPr>
              <w:t>产业布局：</w:t>
            </w:r>
          </w:p>
          <w:p w14:paraId="52242482">
            <w:pPr>
              <w:bidi w:val="0"/>
              <w:spacing w:line="360" w:lineRule="auto"/>
              <w:ind w:firstLine="420"/>
              <w:rPr>
                <w:rFonts w:hint="default"/>
                <w:color w:val="auto"/>
                <w:lang w:val="en-US" w:eastAsia="zh-CN"/>
              </w:rPr>
            </w:pPr>
            <w:r>
              <w:rPr>
                <w:rFonts w:hint="default"/>
                <w:color w:val="auto"/>
                <w:lang w:val="en-US" w:eastAsia="zh-CN"/>
              </w:rPr>
              <w:t>规划坚持“生产生活融合、产业功能集中、土地集约利用”的理念，提升创新引领能力，强化协同带动作用，总体形成“一核四园”的产业空间布局结构。 本项目位于江苏省</w:t>
            </w:r>
            <w:r>
              <w:rPr>
                <w:rFonts w:hint="eastAsia"/>
                <w:color w:val="auto"/>
                <w:lang w:val="en-US" w:eastAsia="zh-CN"/>
              </w:rPr>
              <w:t>南通市海门经济技术开发区滨江街道福州路179号</w:t>
            </w:r>
            <w:r>
              <w:rPr>
                <w:rFonts w:hint="default"/>
                <w:color w:val="auto"/>
                <w:lang w:val="en-US" w:eastAsia="zh-CN"/>
              </w:rPr>
              <w:t>，位于</w:t>
            </w:r>
            <w:r>
              <w:rPr>
                <w:rFonts w:hint="eastAsia"/>
                <w:color w:val="auto"/>
                <w:lang w:val="en-US" w:eastAsia="zh-CN"/>
              </w:rPr>
              <w:t>智能制造产业园区Ⅱ</w:t>
            </w:r>
            <w:r>
              <w:rPr>
                <w:rFonts w:hint="default"/>
                <w:color w:val="auto"/>
                <w:lang w:val="en-US" w:eastAsia="zh-CN"/>
              </w:rPr>
              <w:t>，在规划的一核四园范围中，本项目为</w:t>
            </w:r>
            <w:r>
              <w:rPr>
                <w:rFonts w:hint="eastAsia"/>
                <w:color w:val="auto"/>
                <w:lang w:val="en-US" w:eastAsia="zh-CN"/>
              </w:rPr>
              <w:t>C3670汽车零部件及配件制造</w:t>
            </w:r>
            <w:r>
              <w:rPr>
                <w:rFonts w:hint="default"/>
                <w:color w:val="auto"/>
                <w:lang w:val="en-US" w:eastAsia="zh-CN"/>
              </w:rPr>
              <w:t>，</w:t>
            </w:r>
            <w:r>
              <w:rPr>
                <w:rFonts w:hint="eastAsia"/>
                <w:color w:val="auto"/>
                <w:lang w:val="en-US" w:eastAsia="zh-CN"/>
              </w:rPr>
              <w:t>不属于</w:t>
            </w:r>
            <w:r>
              <w:rPr>
                <w:rFonts w:hint="default"/>
                <w:color w:val="auto"/>
                <w:lang w:val="en-US" w:eastAsia="zh-CN"/>
              </w:rPr>
              <w:t>海门经济技术开发区</w:t>
            </w:r>
            <w:r>
              <w:rPr>
                <w:rFonts w:hint="eastAsia"/>
                <w:color w:val="auto"/>
                <w:lang w:val="en-US" w:eastAsia="zh-CN"/>
              </w:rPr>
              <w:t>禁止引入产业，符合</w:t>
            </w:r>
            <w:r>
              <w:rPr>
                <w:rFonts w:hint="default"/>
                <w:color w:val="auto"/>
                <w:lang w:val="en-US" w:eastAsia="zh-CN"/>
              </w:rPr>
              <w:t>海门经济技术开发区</w:t>
            </w:r>
            <w:r>
              <w:rPr>
                <w:rFonts w:hint="eastAsia"/>
                <w:color w:val="auto"/>
                <w:lang w:val="en-US" w:eastAsia="zh-CN"/>
              </w:rPr>
              <w:t>产业布局要求</w:t>
            </w:r>
            <w:r>
              <w:rPr>
                <w:rFonts w:hint="default"/>
                <w:color w:val="auto"/>
                <w:lang w:val="en-US" w:eastAsia="zh-CN"/>
              </w:rPr>
              <w:t>。</w:t>
            </w:r>
          </w:p>
          <w:p w14:paraId="45AE984C">
            <w:pPr>
              <w:bidi w:val="0"/>
              <w:spacing w:line="360" w:lineRule="auto"/>
              <w:ind w:firstLine="420"/>
              <w:rPr>
                <w:rFonts w:hint="default"/>
                <w:color w:val="auto"/>
                <w:lang w:val="en-US" w:eastAsia="zh-CN"/>
              </w:rPr>
            </w:pPr>
            <w:r>
              <w:rPr>
                <w:rFonts w:hint="default"/>
                <w:color w:val="auto"/>
                <w:lang w:val="en-US" w:eastAsia="zh-CN"/>
              </w:rPr>
              <w:t>对照开发区环境准入负面清单，“（1）禁止引入与国家、地方现行产业政策相冲突的项目；（2）禁止新建纯电镀项目（为本地产业配套的“绿岛”类项目除外）、新引进含印染的项目，禁止现有印染企业新建、扩建印染项目；（3）禁止引入金属或非金属表面处理外加工产业（不包括新一代信息、海工装备、智能制造等产业生产工艺流程中必备的磷化、喷涂、电泳等工序）；（4）禁止引入使用高 VOCs 含量的溶剂型涂料、油墨、胶粘剂等项目；（5）禁止引入生产工艺及设备落后、风险防范措施疏漏、抗风险能力差的项目”。本项目生产工艺中不涉及禁止工序，生产工艺及设备不属于落后，风险防范措施到位，应急物资比较充分，因此项目建设符合园区产业定位；本项目不在开发区规划发展的重点产业优先、限制、禁止发展项目清单中，因此本项目为允许类，符合开发区规划。</w:t>
            </w:r>
          </w:p>
          <w:p w14:paraId="0F04AE84">
            <w:pPr>
              <w:bidi w:val="0"/>
              <w:spacing w:line="360" w:lineRule="auto"/>
              <w:ind w:firstLine="420"/>
              <w:rPr>
                <w:rFonts w:hint="default"/>
                <w:b/>
                <w:bCs/>
                <w:color w:val="auto"/>
                <w:lang w:val="en-US" w:eastAsia="zh-CN"/>
              </w:rPr>
            </w:pPr>
            <w:r>
              <w:rPr>
                <w:rFonts w:hint="default"/>
                <w:b/>
                <w:bCs/>
                <w:color w:val="auto"/>
                <w:lang w:val="en-US" w:eastAsia="zh-CN"/>
              </w:rPr>
              <w:t>2、与《海门经济技术开发区开发建设规划（2022-2035年）环境影响报告书》规划相符性</w:t>
            </w:r>
          </w:p>
          <w:p w14:paraId="747AA313">
            <w:pPr>
              <w:bidi w:val="0"/>
              <w:spacing w:line="360" w:lineRule="auto"/>
              <w:ind w:firstLine="420"/>
              <w:rPr>
                <w:rFonts w:hint="default"/>
                <w:color w:val="auto"/>
                <w:lang w:val="en-US" w:eastAsia="zh-CN"/>
              </w:rPr>
            </w:pPr>
            <w:r>
              <w:rPr>
                <w:rFonts w:hint="default"/>
                <w:color w:val="auto"/>
                <w:lang w:val="en-US" w:eastAsia="zh-CN"/>
              </w:rPr>
              <w:t>根据《海门经济技术开发区开发建设规划（2022-2035年）环境影响报告书》，规划如下：</w:t>
            </w:r>
          </w:p>
          <w:p w14:paraId="72ADEA68">
            <w:pPr>
              <w:bidi w:val="0"/>
              <w:spacing w:line="360" w:lineRule="auto"/>
              <w:ind w:firstLine="420"/>
              <w:rPr>
                <w:rFonts w:hint="default"/>
                <w:color w:val="auto"/>
                <w:lang w:val="en-US" w:eastAsia="zh-CN"/>
              </w:rPr>
            </w:pPr>
            <w:r>
              <w:rPr>
                <w:rFonts w:hint="default"/>
                <w:color w:val="auto"/>
                <w:lang w:val="en-US" w:eastAsia="zh-CN"/>
              </w:rPr>
              <w:t>规划范围：包括滨江片区和老城片区，其中滨江片区西至保税东路如通苏湖城际东侧，东至岷江路-民生路，南至沿江江堤，北至大连路-上海路，面积48.25 平方公里；老城片区西至日新路-越秀路，东至嫩江路，南至南海路-东海路-北京路，北至河海路-红海路，面积13.63平方公里；滨江片区与老城片区相隔2.2公里，规划总面积61.88平方公里。</w:t>
            </w:r>
          </w:p>
          <w:p w14:paraId="6A7FFBA6">
            <w:pPr>
              <w:bidi w:val="0"/>
              <w:spacing w:line="360" w:lineRule="auto"/>
              <w:ind w:firstLine="420"/>
              <w:rPr>
                <w:rFonts w:hint="default"/>
                <w:color w:val="auto"/>
                <w:lang w:val="en-US" w:eastAsia="zh-CN"/>
              </w:rPr>
            </w:pPr>
            <w:r>
              <w:rPr>
                <w:rFonts w:hint="default"/>
                <w:color w:val="auto"/>
                <w:lang w:val="en-US" w:eastAsia="zh-CN"/>
              </w:rPr>
              <w:t>规划期限：近期2022-2025年；远期2026-2035年。</w:t>
            </w:r>
          </w:p>
          <w:p w14:paraId="6F516000">
            <w:pPr>
              <w:bidi w:val="0"/>
              <w:spacing w:line="360" w:lineRule="auto"/>
              <w:ind w:firstLine="420"/>
              <w:rPr>
                <w:rFonts w:hint="default"/>
                <w:color w:val="auto"/>
                <w:lang w:val="en-US" w:eastAsia="zh-CN"/>
              </w:rPr>
            </w:pPr>
            <w:r>
              <w:rPr>
                <w:rFonts w:hint="default"/>
                <w:color w:val="auto"/>
                <w:lang w:val="en-US" w:eastAsia="zh-CN"/>
              </w:rPr>
              <w:t>产业定位：聚焦新旧动能转换，提升产业竞争力，坚持主导产业提质增效与战略性新兴产业培育并举，海门经济技术开发区重点打造以海工装备、新一代信息技术、智能制造产业为主导的现代化产业体系，为高质量发展夯实产业基础。</w:t>
            </w:r>
          </w:p>
          <w:p w14:paraId="6EF2BE12">
            <w:pPr>
              <w:bidi w:val="0"/>
              <w:spacing w:line="360" w:lineRule="auto"/>
              <w:ind w:firstLine="420"/>
              <w:rPr>
                <w:rFonts w:hint="default"/>
                <w:color w:val="auto"/>
                <w:lang w:val="en-US" w:eastAsia="zh-CN"/>
              </w:rPr>
            </w:pPr>
            <w:r>
              <w:rPr>
                <w:rFonts w:hint="default"/>
                <w:color w:val="auto"/>
                <w:lang w:val="en-US" w:eastAsia="zh-CN"/>
              </w:rPr>
              <w:t>①主导产业：海工装备、新一代信息技术、智能制造；</w:t>
            </w:r>
          </w:p>
          <w:p w14:paraId="5F889451">
            <w:pPr>
              <w:bidi w:val="0"/>
              <w:spacing w:line="360" w:lineRule="auto"/>
              <w:ind w:firstLine="420"/>
              <w:rPr>
                <w:rFonts w:hint="default"/>
                <w:color w:val="auto"/>
                <w:lang w:val="en-US" w:eastAsia="zh-CN"/>
              </w:rPr>
            </w:pPr>
            <w:r>
              <w:rPr>
                <w:rFonts w:hint="default"/>
                <w:color w:val="auto"/>
                <w:lang w:val="en-US" w:eastAsia="zh-CN"/>
              </w:rPr>
              <w:t>②生产性服务业：电子商务、金融服务、现代物流、信息网络、工业设计、软件与服务外包等；</w:t>
            </w:r>
          </w:p>
          <w:p w14:paraId="00557476">
            <w:pPr>
              <w:bidi w:val="0"/>
              <w:spacing w:line="360" w:lineRule="auto"/>
              <w:ind w:firstLine="420"/>
              <w:rPr>
                <w:rFonts w:hint="default"/>
                <w:color w:val="auto"/>
                <w:lang w:val="en-US" w:eastAsia="zh-CN"/>
              </w:rPr>
            </w:pPr>
            <w:r>
              <w:rPr>
                <w:rFonts w:hint="default"/>
                <w:color w:val="auto"/>
                <w:lang w:val="en-US" w:eastAsia="zh-CN"/>
              </w:rPr>
              <w:t>③高端生活性服务业：商贸服务、文化、体育、旅游、休闲健康、养老医疗等。 产业布局：规划坚持“生产生活融合、产业功能集中、土地集约利用”的理念，提升创新引领能力，强化协同带动作用，总体形成“一核四园”的产业空间布局结构。</w:t>
            </w:r>
          </w:p>
          <w:p w14:paraId="179A5484">
            <w:pPr>
              <w:bidi w:val="0"/>
              <w:spacing w:line="360" w:lineRule="auto"/>
              <w:ind w:firstLine="420"/>
              <w:rPr>
                <w:rFonts w:hint="default"/>
                <w:color w:val="auto"/>
                <w:lang w:val="en-US" w:eastAsia="zh-CN"/>
              </w:rPr>
            </w:pPr>
            <w:r>
              <w:rPr>
                <w:rFonts w:hint="default"/>
                <w:color w:val="auto"/>
                <w:lang w:val="en-US" w:eastAsia="zh-CN"/>
              </w:rPr>
              <w:t>①“一核”</w:t>
            </w:r>
          </w:p>
          <w:p w14:paraId="129A1774">
            <w:pPr>
              <w:bidi w:val="0"/>
              <w:spacing w:line="360" w:lineRule="auto"/>
              <w:ind w:firstLine="420"/>
              <w:rPr>
                <w:rFonts w:hint="default"/>
                <w:color w:val="auto"/>
                <w:lang w:val="en-US" w:eastAsia="zh-CN"/>
              </w:rPr>
            </w:pPr>
            <w:r>
              <w:rPr>
                <w:rFonts w:hint="default"/>
                <w:color w:val="auto"/>
                <w:lang w:val="en-US" w:eastAsia="zh-CN"/>
              </w:rPr>
              <w:t>謇公湖科创核心，作为开发区综合配套服务的核心，也是区域科创特色服务中心，以科技创新、孵化加速、足球小镇、院校教育、生态休闲等为主，謇公湖区域以现代智慧科教功能为核心，以滨江生态特色休闲旅游功能和高能级的公共服务为主导功能，打造海门面向上海大都市圈的滨江特色服务型功能区。</w:t>
            </w:r>
          </w:p>
          <w:p w14:paraId="16A7F9A8">
            <w:pPr>
              <w:bidi w:val="0"/>
              <w:spacing w:line="360" w:lineRule="auto"/>
              <w:ind w:firstLine="420"/>
              <w:rPr>
                <w:rFonts w:hint="default"/>
                <w:color w:val="auto"/>
                <w:lang w:val="en-US" w:eastAsia="zh-CN"/>
              </w:rPr>
            </w:pPr>
            <w:r>
              <w:rPr>
                <w:rFonts w:hint="default"/>
                <w:color w:val="auto"/>
                <w:lang w:val="en-US" w:eastAsia="zh-CN"/>
              </w:rPr>
              <w:t xml:space="preserve">②“四园” </w:t>
            </w:r>
          </w:p>
          <w:p w14:paraId="65CB3B00">
            <w:pPr>
              <w:bidi w:val="0"/>
              <w:spacing w:line="360" w:lineRule="auto"/>
              <w:ind w:firstLine="420"/>
              <w:rPr>
                <w:rFonts w:hint="default"/>
                <w:color w:val="auto"/>
                <w:lang w:val="en-US" w:eastAsia="zh-CN"/>
              </w:rPr>
            </w:pPr>
            <w:r>
              <w:rPr>
                <w:rFonts w:hint="default"/>
                <w:color w:val="auto"/>
                <w:lang w:val="en-US" w:eastAsia="zh-CN"/>
              </w:rPr>
              <w:t>规划形成海工装备、新一代信息技术、智能制造Ⅰ、智能制造Ⅱ四大产业片区，生产性服务业结合各产业片区按需落位。</w:t>
            </w:r>
          </w:p>
          <w:p w14:paraId="31C57BD7">
            <w:pPr>
              <w:bidi w:val="0"/>
              <w:spacing w:line="360" w:lineRule="auto"/>
              <w:ind w:firstLine="420"/>
              <w:rPr>
                <w:rFonts w:hint="default"/>
                <w:color w:val="auto"/>
                <w:lang w:val="en-US" w:eastAsia="zh-CN"/>
              </w:rPr>
            </w:pPr>
            <w:r>
              <w:rPr>
                <w:rFonts w:hint="eastAsia"/>
                <w:color w:val="auto"/>
                <w:lang w:val="en-US" w:eastAsia="zh-CN"/>
              </w:rPr>
              <w:t>本项目位于</w:t>
            </w:r>
            <w:r>
              <w:rPr>
                <w:rFonts w:hint="default" w:ascii="Times New Roman" w:hAnsi="Times New Roman" w:cs="Times New Roman"/>
                <w:color w:val="auto"/>
                <w:szCs w:val="21"/>
              </w:rPr>
              <w:t>南通市海门经济技术开发区滨江街道福州路179号</w:t>
            </w:r>
            <w:r>
              <w:rPr>
                <w:rFonts w:hint="eastAsia" w:cs="Times New Roman"/>
                <w:color w:val="auto"/>
                <w:szCs w:val="21"/>
                <w:lang w:eastAsia="zh-CN"/>
              </w:rPr>
              <w:t>，</w:t>
            </w:r>
            <w:r>
              <w:rPr>
                <w:rFonts w:hint="eastAsia" w:cs="Times New Roman"/>
                <w:color w:val="auto"/>
                <w:szCs w:val="21"/>
                <w:lang w:val="en-US" w:eastAsia="zh-CN"/>
              </w:rPr>
              <w:t>所在地为工业用地，符合规划要求</w:t>
            </w:r>
            <w:r>
              <w:rPr>
                <w:rFonts w:hint="eastAsia" w:cs="Times New Roman"/>
                <w:color w:val="auto"/>
                <w:szCs w:val="21"/>
                <w:lang w:val="en-US" w:eastAsia="zh-CN"/>
              </w:rPr>
              <w:t>，</w:t>
            </w:r>
            <w:r>
              <w:rPr>
                <w:rFonts w:hint="default"/>
                <w:color w:val="auto"/>
                <w:lang w:val="en-US" w:eastAsia="zh-CN"/>
              </w:rPr>
              <w:t>本项目为</w:t>
            </w:r>
            <w:r>
              <w:rPr>
                <w:rFonts w:hint="eastAsia"/>
                <w:color w:val="auto"/>
                <w:lang w:val="en-US" w:eastAsia="zh-CN"/>
              </w:rPr>
              <w:t>C3670汽车零部件及配件制造</w:t>
            </w:r>
            <w:r>
              <w:rPr>
                <w:rFonts w:hint="default"/>
                <w:color w:val="auto"/>
                <w:lang w:val="en-US" w:eastAsia="zh-CN"/>
              </w:rPr>
              <w:t>，对照产业准入清单可知，本项目不属于禁止引入、限制引入，符合总体发展规划。</w:t>
            </w:r>
          </w:p>
          <w:p w14:paraId="767269EF">
            <w:pPr>
              <w:bidi w:val="0"/>
              <w:spacing w:line="360" w:lineRule="auto"/>
              <w:ind w:firstLine="420"/>
              <w:rPr>
                <w:rFonts w:hint="default"/>
                <w:color w:val="auto"/>
                <w:lang w:val="en-US" w:eastAsia="zh-CN"/>
              </w:rPr>
            </w:pPr>
            <w:r>
              <w:rPr>
                <w:rFonts w:hint="default"/>
                <w:color w:val="auto"/>
                <w:lang w:val="en-US" w:eastAsia="zh-CN"/>
              </w:rPr>
              <w:t>基础设施建设运行现状：</w:t>
            </w:r>
          </w:p>
          <w:p w14:paraId="7771C7C1">
            <w:pPr>
              <w:bidi w:val="0"/>
              <w:spacing w:line="360" w:lineRule="auto"/>
              <w:ind w:firstLine="420"/>
              <w:rPr>
                <w:rFonts w:hint="default"/>
                <w:color w:val="auto"/>
                <w:lang w:val="en-US" w:eastAsia="zh-CN"/>
              </w:rPr>
            </w:pPr>
            <w:r>
              <w:rPr>
                <w:rFonts w:hint="default"/>
                <w:color w:val="auto"/>
                <w:lang w:val="en-US" w:eastAsia="zh-CN"/>
              </w:rPr>
              <w:t>（1）给水工程设施</w:t>
            </w:r>
          </w:p>
          <w:p w14:paraId="282F27E6">
            <w:pPr>
              <w:bidi w:val="0"/>
              <w:spacing w:line="360" w:lineRule="auto"/>
              <w:ind w:firstLine="420"/>
              <w:rPr>
                <w:rFonts w:hint="default"/>
                <w:color w:val="auto"/>
                <w:lang w:val="en-US" w:eastAsia="zh-CN"/>
              </w:rPr>
            </w:pPr>
            <w:r>
              <w:rPr>
                <w:rFonts w:hint="default"/>
                <w:color w:val="auto"/>
                <w:lang w:val="en-US" w:eastAsia="zh-CN"/>
              </w:rPr>
              <w:t>1）给水水源</w:t>
            </w:r>
          </w:p>
          <w:p w14:paraId="251A14B9">
            <w:pPr>
              <w:bidi w:val="0"/>
              <w:spacing w:line="360" w:lineRule="auto"/>
              <w:ind w:firstLine="420"/>
              <w:rPr>
                <w:rFonts w:hint="default"/>
                <w:color w:val="auto"/>
                <w:lang w:val="en-US" w:eastAsia="zh-CN"/>
              </w:rPr>
            </w:pPr>
            <w:r>
              <w:rPr>
                <w:rFonts w:hint="default"/>
                <w:color w:val="auto"/>
                <w:lang w:val="en-US" w:eastAsia="zh-CN"/>
              </w:rPr>
              <w:t>开发区由海门长江水厂及南通区域供水联合供给。其中，海门长江水厂长江水厂水源取水口位于圩角河入长江口上游2公里处，水源引自长江，取水于人工支流匡河。取水口规模为10万立方米/日。</w:t>
            </w:r>
          </w:p>
          <w:p w14:paraId="56B5A2CB">
            <w:pPr>
              <w:bidi w:val="0"/>
              <w:spacing w:line="360" w:lineRule="auto"/>
              <w:ind w:firstLine="420"/>
              <w:rPr>
                <w:rFonts w:hint="default"/>
                <w:color w:val="auto"/>
                <w:lang w:val="en-US" w:eastAsia="zh-CN"/>
              </w:rPr>
            </w:pPr>
            <w:r>
              <w:rPr>
                <w:rFonts w:hint="default"/>
                <w:color w:val="auto"/>
                <w:lang w:val="en-US" w:eastAsia="zh-CN"/>
              </w:rPr>
              <w:t>长江水厂兴建于1998年，厂区占地200亩，规划供水能力20万立方米/日，现状供水能力10万立方米/日，最高日供水量为10.0万立方米/日，平均日供水量约6.3万立方米/日。长江水厂主要供应海门中心城区，供水范围包括滨江街道、海门街道（开发区）、三厂街道，服务人口约31万。</w:t>
            </w:r>
          </w:p>
          <w:p w14:paraId="64E45529">
            <w:pPr>
              <w:bidi w:val="0"/>
              <w:spacing w:line="360" w:lineRule="auto"/>
              <w:ind w:firstLine="420"/>
              <w:rPr>
                <w:rFonts w:hint="default"/>
                <w:color w:val="auto"/>
                <w:lang w:val="en-US" w:eastAsia="zh-CN"/>
              </w:rPr>
            </w:pPr>
            <w:r>
              <w:rPr>
                <w:rFonts w:hint="default"/>
                <w:color w:val="auto"/>
                <w:lang w:val="en-US" w:eastAsia="zh-CN"/>
              </w:rPr>
              <w:t>2）给水管网</w:t>
            </w:r>
          </w:p>
          <w:p w14:paraId="19AEC972">
            <w:pPr>
              <w:bidi w:val="0"/>
              <w:spacing w:line="360" w:lineRule="auto"/>
              <w:ind w:firstLine="420"/>
              <w:rPr>
                <w:rFonts w:hint="default"/>
                <w:color w:val="auto"/>
                <w:lang w:val="en-US" w:eastAsia="zh-CN"/>
              </w:rPr>
            </w:pPr>
            <w:r>
              <w:rPr>
                <w:rFonts w:hint="default"/>
                <w:color w:val="auto"/>
                <w:lang w:val="en-US" w:eastAsia="zh-CN"/>
              </w:rPr>
              <w:t xml:space="preserve">海门长江水厂与南通区域供水联网供水，互联互通。南北向主干管布置在叠港路、富江路、北海路、瑞江路、望江路；东西向主干管布置在336省道、丝绸路、北京路、海门大道、香港路。主干管管径DN500~DN1400毫米，其它道路上布置DN200~DN400供水管。 </w:t>
            </w:r>
          </w:p>
          <w:p w14:paraId="3D29BAA3">
            <w:pPr>
              <w:autoSpaceDE w:val="0"/>
              <w:autoSpaceDN w:val="0"/>
              <w:adjustRightInd w:val="0"/>
              <w:snapToGrid w:val="0"/>
              <w:spacing w:line="360" w:lineRule="auto"/>
              <w:ind w:firstLine="420" w:firstLineChars="200"/>
              <w:jc w:val="left"/>
              <w:rPr>
                <w:rFonts w:hint="eastAsia" w:eastAsia="宋体"/>
                <w:color w:val="auto"/>
                <w:sz w:val="21"/>
                <w:szCs w:val="21"/>
                <w:highlight w:val="none"/>
                <w:u w:val="none"/>
                <w:lang w:val="en-US" w:eastAsia="zh-CN"/>
              </w:rPr>
            </w:pPr>
            <w:r>
              <w:rPr>
                <w:rFonts w:hint="eastAsia" w:eastAsia="宋体"/>
                <w:color w:val="auto"/>
                <w:sz w:val="21"/>
                <w:szCs w:val="21"/>
                <w:highlight w:val="none"/>
                <w:u w:val="none"/>
                <w:lang w:val="en-US" w:eastAsia="zh-CN"/>
              </w:rPr>
              <w:t>（2）污水工程设施</w:t>
            </w:r>
          </w:p>
          <w:p w14:paraId="00B3659E">
            <w:pPr>
              <w:autoSpaceDE w:val="0"/>
              <w:autoSpaceDN w:val="0"/>
              <w:adjustRightInd w:val="0"/>
              <w:snapToGrid w:val="0"/>
              <w:spacing w:line="360" w:lineRule="auto"/>
              <w:ind w:firstLine="420" w:firstLineChars="200"/>
              <w:jc w:val="left"/>
              <w:rPr>
                <w:rFonts w:hint="eastAsia" w:eastAsia="宋体"/>
                <w:color w:val="auto"/>
                <w:sz w:val="21"/>
                <w:szCs w:val="21"/>
                <w:highlight w:val="none"/>
                <w:u w:val="none"/>
                <w:lang w:val="en-US" w:eastAsia="zh-CN"/>
              </w:rPr>
            </w:pPr>
            <w:r>
              <w:rPr>
                <w:rFonts w:hint="eastAsia" w:eastAsia="宋体"/>
                <w:color w:val="auto"/>
                <w:sz w:val="21"/>
                <w:szCs w:val="21"/>
                <w:highlight w:val="none"/>
                <w:u w:val="none"/>
                <w:lang w:val="en-US" w:eastAsia="zh-CN"/>
              </w:rPr>
              <w:t>实行雨污分流制；老城区近期采用分流制有困难时，可采用截流式雨污合流制，远期逐步过渡到雨污分流制。</w:t>
            </w:r>
          </w:p>
          <w:p w14:paraId="51605593">
            <w:pPr>
              <w:autoSpaceDE w:val="0"/>
              <w:autoSpaceDN w:val="0"/>
              <w:adjustRightInd w:val="0"/>
              <w:snapToGrid w:val="0"/>
              <w:spacing w:line="360" w:lineRule="auto"/>
              <w:ind w:firstLine="420" w:firstLineChars="200"/>
              <w:jc w:val="left"/>
              <w:rPr>
                <w:rFonts w:hint="eastAsia" w:eastAsia="宋体"/>
                <w:color w:val="auto"/>
                <w:sz w:val="21"/>
                <w:szCs w:val="21"/>
                <w:highlight w:val="none"/>
                <w:u w:val="none"/>
                <w:lang w:val="en-US" w:eastAsia="zh-CN"/>
              </w:rPr>
            </w:pPr>
            <w:r>
              <w:rPr>
                <w:rFonts w:hint="eastAsia" w:eastAsia="宋体"/>
                <w:color w:val="auto"/>
                <w:sz w:val="21"/>
                <w:szCs w:val="21"/>
                <w:highlight w:val="none"/>
                <w:u w:val="none"/>
                <w:lang w:val="en-US" w:eastAsia="zh-CN"/>
              </w:rPr>
              <w:t>废水经收集后送往</w:t>
            </w:r>
            <w:r>
              <w:rPr>
                <w:rFonts w:hint="eastAsia"/>
                <w:color w:val="auto"/>
                <w:sz w:val="21"/>
                <w:szCs w:val="21"/>
                <w:highlight w:val="none"/>
                <w:u w:val="none"/>
                <w:lang w:val="en-US" w:eastAsia="zh-CN"/>
              </w:rPr>
              <w:t>南通海门经开水务有限公司</w:t>
            </w:r>
            <w:r>
              <w:rPr>
                <w:rFonts w:hint="eastAsia" w:eastAsia="宋体"/>
                <w:color w:val="auto"/>
                <w:sz w:val="21"/>
                <w:szCs w:val="21"/>
                <w:highlight w:val="none"/>
                <w:u w:val="none"/>
                <w:lang w:val="en-US" w:eastAsia="zh-CN"/>
              </w:rPr>
              <w:t>进行处理，该污水处理厂设计总规模10万m</w:t>
            </w:r>
            <w:r>
              <w:rPr>
                <w:rFonts w:hint="eastAsia" w:eastAsia="宋体"/>
                <w:color w:val="auto"/>
                <w:sz w:val="21"/>
                <w:szCs w:val="21"/>
                <w:highlight w:val="none"/>
                <w:u w:val="none"/>
                <w:vertAlign w:val="superscript"/>
                <w:lang w:val="en-US" w:eastAsia="zh-CN"/>
              </w:rPr>
              <w:t>3</w:t>
            </w:r>
            <w:r>
              <w:rPr>
                <w:rFonts w:hint="eastAsia" w:eastAsia="宋体"/>
                <w:color w:val="auto"/>
                <w:sz w:val="21"/>
                <w:szCs w:val="21"/>
                <w:highlight w:val="none"/>
                <w:u w:val="none"/>
                <w:lang w:val="en-US" w:eastAsia="zh-CN"/>
              </w:rPr>
              <w:t>/d，其中：其中近期（2025年）日处理5万m</w:t>
            </w:r>
            <w:r>
              <w:rPr>
                <w:rFonts w:hint="eastAsia" w:eastAsia="宋体"/>
                <w:color w:val="auto"/>
                <w:sz w:val="21"/>
                <w:szCs w:val="21"/>
                <w:highlight w:val="none"/>
                <w:u w:val="none"/>
                <w:vertAlign w:val="superscript"/>
                <w:lang w:val="en-US" w:eastAsia="zh-CN"/>
              </w:rPr>
              <w:t>3</w:t>
            </w:r>
            <w:r>
              <w:rPr>
                <w:rFonts w:hint="eastAsia" w:eastAsia="宋体"/>
                <w:color w:val="auto"/>
                <w:sz w:val="21"/>
                <w:szCs w:val="21"/>
                <w:highlight w:val="none"/>
                <w:u w:val="none"/>
                <w:lang w:val="en-US" w:eastAsia="zh-CN"/>
              </w:rPr>
              <w:t>，远期（2030年）日处理5万m</w:t>
            </w:r>
            <w:r>
              <w:rPr>
                <w:rFonts w:hint="eastAsia" w:eastAsia="宋体"/>
                <w:color w:val="auto"/>
                <w:sz w:val="21"/>
                <w:szCs w:val="21"/>
                <w:highlight w:val="none"/>
                <w:u w:val="none"/>
                <w:vertAlign w:val="superscript"/>
                <w:lang w:val="en-US" w:eastAsia="zh-CN"/>
              </w:rPr>
              <w:t>3</w:t>
            </w:r>
            <w:r>
              <w:rPr>
                <w:rFonts w:hint="eastAsia" w:eastAsia="宋体"/>
                <w:color w:val="auto"/>
                <w:sz w:val="21"/>
                <w:szCs w:val="21"/>
                <w:highlight w:val="none"/>
                <w:u w:val="none"/>
                <w:lang w:val="en-US" w:eastAsia="zh-CN"/>
              </w:rPr>
              <w:t>，建设标准为一级A，尾水排入大港河，经2.1km后汇入新江海河，最终向南进入长江。</w:t>
            </w:r>
          </w:p>
          <w:p w14:paraId="2705098B">
            <w:pPr>
              <w:autoSpaceDE w:val="0"/>
              <w:autoSpaceDN w:val="0"/>
              <w:adjustRightInd w:val="0"/>
              <w:snapToGrid w:val="0"/>
              <w:spacing w:line="360" w:lineRule="auto"/>
              <w:ind w:firstLine="420" w:firstLineChars="200"/>
              <w:jc w:val="left"/>
              <w:rPr>
                <w:rFonts w:hint="eastAsia" w:eastAsia="宋体"/>
                <w:color w:val="auto"/>
                <w:sz w:val="21"/>
                <w:szCs w:val="21"/>
                <w:highlight w:val="none"/>
                <w:u w:val="none"/>
                <w:lang w:val="en-US" w:eastAsia="zh-CN"/>
              </w:rPr>
            </w:pPr>
            <w:r>
              <w:rPr>
                <w:rFonts w:hint="eastAsia" w:eastAsia="宋体"/>
                <w:color w:val="auto"/>
                <w:sz w:val="21"/>
                <w:szCs w:val="21"/>
                <w:highlight w:val="none"/>
                <w:u w:val="none"/>
                <w:lang w:val="en-US" w:eastAsia="zh-CN"/>
              </w:rPr>
              <w:t>污水主干管起点为大港路上三和泵站（3#泵站），沿大港路敷设，终点为</w:t>
            </w:r>
            <w:r>
              <w:rPr>
                <w:rFonts w:hint="eastAsia"/>
                <w:color w:val="auto"/>
                <w:sz w:val="21"/>
                <w:szCs w:val="21"/>
                <w:highlight w:val="none"/>
                <w:u w:val="none"/>
                <w:lang w:val="en-US" w:eastAsia="zh-CN"/>
              </w:rPr>
              <w:t>南通海门经开水务有限公司</w:t>
            </w:r>
            <w:r>
              <w:rPr>
                <w:rFonts w:hint="eastAsia" w:eastAsia="宋体"/>
                <w:color w:val="auto"/>
                <w:sz w:val="21"/>
                <w:szCs w:val="21"/>
                <w:highlight w:val="none"/>
                <w:u w:val="none"/>
                <w:lang w:val="en-US" w:eastAsia="zh-CN"/>
              </w:rPr>
              <w:t>。污水主管采用钢筋混凝土管，管径为DN1200，长度约为4.15km，过路段及过居民住宅区段采用顶管施工方法。污水处理厂进口汇水管采用钢筋混凝土管、管径为DN1600，长度约为40m，管道覆土厚度平均4.6m。本项目建成后，全厂废水处理后接管浓度均可满足</w:t>
            </w:r>
            <w:r>
              <w:rPr>
                <w:rFonts w:hint="eastAsia"/>
                <w:color w:val="auto"/>
                <w:sz w:val="21"/>
                <w:szCs w:val="21"/>
                <w:highlight w:val="none"/>
                <w:u w:val="none"/>
                <w:lang w:val="en-US" w:eastAsia="zh-CN"/>
              </w:rPr>
              <w:t>南通海门经开水务有限公司</w:t>
            </w:r>
            <w:r>
              <w:rPr>
                <w:rFonts w:hint="eastAsia" w:eastAsia="宋体"/>
                <w:color w:val="auto"/>
                <w:sz w:val="21"/>
                <w:szCs w:val="21"/>
                <w:highlight w:val="none"/>
                <w:u w:val="none"/>
                <w:lang w:val="en-US" w:eastAsia="zh-CN"/>
              </w:rPr>
              <w:t>接管水质要求，不会对</w:t>
            </w:r>
            <w:r>
              <w:rPr>
                <w:rFonts w:hint="eastAsia"/>
                <w:color w:val="auto"/>
                <w:sz w:val="21"/>
                <w:szCs w:val="21"/>
                <w:highlight w:val="none"/>
                <w:u w:val="none"/>
                <w:lang w:val="en-US" w:eastAsia="zh-CN"/>
              </w:rPr>
              <w:t>南通海门经开水务有限公司</w:t>
            </w:r>
            <w:r>
              <w:rPr>
                <w:rFonts w:hint="eastAsia" w:eastAsia="宋体"/>
                <w:color w:val="auto"/>
                <w:sz w:val="21"/>
                <w:szCs w:val="21"/>
                <w:highlight w:val="none"/>
                <w:u w:val="none"/>
                <w:lang w:val="en-US" w:eastAsia="zh-CN"/>
              </w:rPr>
              <w:t>的处理工艺造成大的冲击。本项目位于</w:t>
            </w:r>
            <w:r>
              <w:rPr>
                <w:rFonts w:hint="eastAsia"/>
                <w:color w:val="auto"/>
                <w:sz w:val="21"/>
                <w:szCs w:val="21"/>
                <w:highlight w:val="none"/>
                <w:u w:val="none"/>
                <w:lang w:val="en-US" w:eastAsia="zh-CN"/>
              </w:rPr>
              <w:t>南通海门经开水务有限公司</w:t>
            </w:r>
            <w:r>
              <w:rPr>
                <w:rFonts w:hint="eastAsia" w:eastAsia="宋体"/>
                <w:color w:val="auto"/>
                <w:sz w:val="21"/>
                <w:szCs w:val="21"/>
                <w:highlight w:val="none"/>
                <w:u w:val="none"/>
                <w:lang w:val="en-US" w:eastAsia="zh-CN"/>
              </w:rPr>
              <w:t>规划的接管范围内，项目达标废水可接管进入污水厂处理。</w:t>
            </w:r>
          </w:p>
          <w:p w14:paraId="30A94ED9">
            <w:pPr>
              <w:autoSpaceDE w:val="0"/>
              <w:autoSpaceDN w:val="0"/>
              <w:adjustRightInd w:val="0"/>
              <w:snapToGrid w:val="0"/>
              <w:spacing w:line="360" w:lineRule="auto"/>
              <w:ind w:firstLine="420" w:firstLineChars="200"/>
              <w:jc w:val="left"/>
              <w:rPr>
                <w:rFonts w:hint="eastAsia"/>
                <w:color w:val="auto"/>
                <w:sz w:val="21"/>
                <w:szCs w:val="21"/>
                <w:highlight w:val="none"/>
                <w:u w:val="none"/>
                <w:lang w:val="en-US" w:eastAsia="zh-CN"/>
              </w:rPr>
            </w:pPr>
            <w:r>
              <w:rPr>
                <w:rFonts w:hint="eastAsia" w:eastAsia="宋体"/>
                <w:color w:val="auto"/>
                <w:sz w:val="21"/>
                <w:szCs w:val="21"/>
                <w:highlight w:val="none"/>
                <w:u w:val="none"/>
                <w:lang w:val="en-US" w:eastAsia="zh-CN"/>
              </w:rPr>
              <w:t>目前，</w:t>
            </w:r>
            <w:r>
              <w:rPr>
                <w:rFonts w:hint="eastAsia"/>
                <w:color w:val="auto"/>
                <w:sz w:val="21"/>
                <w:szCs w:val="21"/>
                <w:highlight w:val="none"/>
                <w:u w:val="none"/>
                <w:lang w:val="en-US" w:eastAsia="zh-CN"/>
              </w:rPr>
              <w:t>南通海门经开水务有限公司</w:t>
            </w:r>
            <w:r>
              <w:rPr>
                <w:rFonts w:hint="eastAsia" w:eastAsia="宋体"/>
                <w:color w:val="auto"/>
                <w:sz w:val="21"/>
                <w:szCs w:val="21"/>
                <w:highlight w:val="none"/>
                <w:u w:val="none"/>
                <w:lang w:val="en-US" w:eastAsia="zh-CN"/>
              </w:rPr>
              <w:t>已经投入使用。本项目预计建成日期为2026年</w:t>
            </w:r>
            <w:r>
              <w:rPr>
                <w:rFonts w:hint="eastAsia"/>
                <w:color w:val="auto"/>
                <w:sz w:val="21"/>
                <w:szCs w:val="21"/>
                <w:highlight w:val="none"/>
                <w:u w:val="none"/>
                <w:lang w:val="en-US" w:eastAsia="zh-CN"/>
              </w:rPr>
              <w:t>3</w:t>
            </w:r>
            <w:r>
              <w:rPr>
                <w:rFonts w:hint="eastAsia" w:eastAsia="宋体"/>
                <w:color w:val="auto"/>
                <w:sz w:val="21"/>
                <w:szCs w:val="21"/>
                <w:highlight w:val="none"/>
                <w:u w:val="none"/>
                <w:lang w:val="en-US" w:eastAsia="zh-CN"/>
              </w:rPr>
              <w:t>月，故本项目所在区域污水处理厂及管网的建设进度可满足本项目的要求</w:t>
            </w:r>
            <w:r>
              <w:rPr>
                <w:rFonts w:hint="eastAsia"/>
                <w:color w:val="auto"/>
                <w:sz w:val="21"/>
                <w:szCs w:val="21"/>
                <w:highlight w:val="none"/>
                <w:u w:val="none"/>
                <w:lang w:val="en-US" w:eastAsia="zh-CN"/>
              </w:rPr>
              <w:t>。</w:t>
            </w:r>
          </w:p>
          <w:p w14:paraId="0B00EB00">
            <w:pPr>
              <w:autoSpaceDE w:val="0"/>
              <w:autoSpaceDN w:val="0"/>
              <w:adjustRightInd w:val="0"/>
              <w:snapToGrid w:val="0"/>
              <w:spacing w:line="360" w:lineRule="auto"/>
              <w:ind w:firstLine="420" w:firstLineChars="200"/>
              <w:jc w:val="left"/>
              <w:rPr>
                <w:rFonts w:hint="eastAsia" w:eastAsia="宋体"/>
                <w:color w:val="auto"/>
                <w:sz w:val="21"/>
                <w:szCs w:val="21"/>
                <w:highlight w:val="none"/>
                <w:u w:val="none"/>
                <w:lang w:val="en-US" w:eastAsia="zh-CN"/>
              </w:rPr>
            </w:pPr>
            <w:r>
              <w:rPr>
                <w:rFonts w:hint="eastAsia" w:eastAsia="宋体"/>
                <w:color w:val="auto"/>
                <w:sz w:val="21"/>
                <w:szCs w:val="21"/>
                <w:highlight w:val="none"/>
                <w:u w:val="none"/>
                <w:lang w:val="en-US" w:eastAsia="zh-CN"/>
              </w:rPr>
              <w:t>（3）雨水工程设施</w:t>
            </w:r>
          </w:p>
          <w:p w14:paraId="7C10EAD6">
            <w:pPr>
              <w:autoSpaceDE w:val="0"/>
              <w:autoSpaceDN w:val="0"/>
              <w:adjustRightInd w:val="0"/>
              <w:snapToGrid w:val="0"/>
              <w:spacing w:line="360" w:lineRule="auto"/>
              <w:ind w:firstLine="420" w:firstLineChars="200"/>
              <w:jc w:val="left"/>
              <w:rPr>
                <w:rFonts w:hint="eastAsia" w:eastAsia="宋体"/>
                <w:color w:val="auto"/>
                <w:sz w:val="21"/>
                <w:szCs w:val="21"/>
                <w:highlight w:val="none"/>
                <w:u w:val="none"/>
                <w:lang w:val="en-US" w:eastAsia="zh-CN"/>
              </w:rPr>
            </w:pPr>
            <w:r>
              <w:rPr>
                <w:rFonts w:hint="eastAsia" w:eastAsia="宋体"/>
                <w:color w:val="auto"/>
                <w:sz w:val="21"/>
                <w:szCs w:val="21"/>
                <w:highlight w:val="none"/>
                <w:u w:val="none"/>
                <w:lang w:val="en-US" w:eastAsia="zh-CN"/>
              </w:rPr>
              <w:t>开发区内划分四个雨水排水分区。浒通河以西地区属开发区片；海门河以北地区属城北片；海门河以南、浒通河以东、东洲河以西地区属城西片；海门河以南、东洲河以东地区属城东片。雨水管道就近接入片区内水体。</w:t>
            </w:r>
          </w:p>
          <w:p w14:paraId="741A494E">
            <w:pPr>
              <w:autoSpaceDE w:val="0"/>
              <w:autoSpaceDN w:val="0"/>
              <w:adjustRightInd w:val="0"/>
              <w:snapToGrid w:val="0"/>
              <w:spacing w:line="360" w:lineRule="auto"/>
              <w:ind w:firstLine="420" w:firstLineChars="200"/>
              <w:jc w:val="left"/>
              <w:rPr>
                <w:rFonts w:hint="eastAsia" w:eastAsia="宋体"/>
                <w:color w:val="auto"/>
                <w:sz w:val="21"/>
                <w:szCs w:val="21"/>
                <w:highlight w:val="none"/>
                <w:u w:val="none"/>
                <w:lang w:val="en-US" w:eastAsia="zh-CN"/>
              </w:rPr>
            </w:pPr>
            <w:r>
              <w:rPr>
                <w:rFonts w:hint="eastAsia" w:eastAsia="宋体"/>
                <w:color w:val="auto"/>
                <w:sz w:val="21"/>
                <w:szCs w:val="21"/>
                <w:highlight w:val="none"/>
                <w:u w:val="none"/>
                <w:lang w:val="en-US" w:eastAsia="zh-CN"/>
              </w:rPr>
              <w:t>（4）燃气工程情况</w:t>
            </w:r>
          </w:p>
          <w:p w14:paraId="15075C15">
            <w:pPr>
              <w:autoSpaceDE w:val="0"/>
              <w:autoSpaceDN w:val="0"/>
              <w:adjustRightInd w:val="0"/>
              <w:snapToGrid w:val="0"/>
              <w:spacing w:line="360" w:lineRule="auto"/>
              <w:ind w:firstLine="420" w:firstLineChars="200"/>
              <w:jc w:val="left"/>
              <w:rPr>
                <w:rFonts w:hint="eastAsia" w:eastAsia="宋体"/>
                <w:color w:val="auto"/>
                <w:sz w:val="21"/>
                <w:szCs w:val="21"/>
                <w:highlight w:val="none"/>
                <w:u w:val="none"/>
                <w:lang w:val="en-US" w:eastAsia="zh-CN"/>
              </w:rPr>
            </w:pPr>
            <w:r>
              <w:rPr>
                <w:rFonts w:hint="eastAsia" w:eastAsia="宋体"/>
                <w:color w:val="auto"/>
                <w:sz w:val="21"/>
                <w:szCs w:val="21"/>
                <w:highlight w:val="none"/>
                <w:u w:val="none"/>
                <w:lang w:val="en-US" w:eastAsia="zh-CN"/>
              </w:rPr>
              <w:t>划气源：可选择天然气气源有如东液化天然气、西气东输天然气和中俄天然气。上级气源来自规划城东门站和城西门站，通过滨江高中压调压站和海门高中压调压站调至0.4MPa后，通过中压燃气管为本片区供气。</w:t>
            </w:r>
          </w:p>
          <w:p w14:paraId="55FA2701">
            <w:pPr>
              <w:autoSpaceDE w:val="0"/>
              <w:autoSpaceDN w:val="0"/>
              <w:adjustRightInd w:val="0"/>
              <w:snapToGrid w:val="0"/>
              <w:spacing w:line="360" w:lineRule="auto"/>
              <w:ind w:firstLine="420" w:firstLineChars="200"/>
              <w:jc w:val="left"/>
              <w:rPr>
                <w:rFonts w:hint="eastAsia" w:eastAsia="宋体"/>
                <w:color w:val="auto"/>
                <w:sz w:val="21"/>
                <w:szCs w:val="21"/>
                <w:highlight w:val="none"/>
                <w:u w:val="none"/>
                <w:lang w:val="en-US" w:eastAsia="zh-CN"/>
              </w:rPr>
            </w:pPr>
            <w:r>
              <w:rPr>
                <w:rFonts w:hint="eastAsia" w:eastAsia="宋体"/>
                <w:color w:val="auto"/>
                <w:sz w:val="21"/>
                <w:szCs w:val="21"/>
                <w:highlight w:val="none"/>
                <w:u w:val="none"/>
                <w:lang w:val="en-US" w:eastAsia="zh-CN"/>
              </w:rPr>
              <w:t>燃气管网：中心城区工业用户采用高、中压二级压力级制，大中型工业用户可由次高压管供气；居民采用中、低压二级压力级制，商业用户由城市中压管道供给。</w:t>
            </w:r>
          </w:p>
          <w:p w14:paraId="445A526E">
            <w:pPr>
              <w:autoSpaceDE w:val="0"/>
              <w:autoSpaceDN w:val="0"/>
              <w:adjustRightInd w:val="0"/>
              <w:snapToGrid w:val="0"/>
              <w:spacing w:line="360" w:lineRule="auto"/>
              <w:ind w:firstLine="420" w:firstLineChars="200"/>
              <w:jc w:val="left"/>
              <w:rPr>
                <w:rFonts w:hint="eastAsia" w:eastAsia="宋体"/>
                <w:color w:val="auto"/>
                <w:sz w:val="21"/>
                <w:szCs w:val="21"/>
                <w:highlight w:val="none"/>
                <w:u w:val="none"/>
                <w:lang w:val="en-US" w:eastAsia="zh-CN"/>
              </w:rPr>
            </w:pPr>
            <w:r>
              <w:rPr>
                <w:rFonts w:hint="eastAsia" w:eastAsia="宋体"/>
                <w:color w:val="auto"/>
                <w:sz w:val="21"/>
                <w:szCs w:val="21"/>
                <w:highlight w:val="none"/>
                <w:u w:val="none"/>
                <w:lang w:val="en-US" w:eastAsia="zh-CN"/>
              </w:rPr>
              <w:t>（5）集中供热情况</w:t>
            </w:r>
          </w:p>
          <w:p w14:paraId="7798CDE1">
            <w:pPr>
              <w:autoSpaceDE w:val="0"/>
              <w:autoSpaceDN w:val="0"/>
              <w:adjustRightInd w:val="0"/>
              <w:snapToGrid w:val="0"/>
              <w:spacing w:line="360" w:lineRule="auto"/>
              <w:ind w:firstLine="420" w:firstLineChars="200"/>
              <w:jc w:val="left"/>
              <w:rPr>
                <w:rFonts w:hint="eastAsia" w:eastAsia="宋体"/>
                <w:color w:val="auto"/>
                <w:sz w:val="21"/>
                <w:szCs w:val="21"/>
                <w:highlight w:val="none"/>
                <w:u w:val="none"/>
                <w:lang w:val="en-US" w:eastAsia="zh-CN"/>
              </w:rPr>
            </w:pPr>
            <w:r>
              <w:rPr>
                <w:rFonts w:hint="eastAsia" w:eastAsia="宋体"/>
                <w:color w:val="auto"/>
                <w:sz w:val="21"/>
                <w:szCs w:val="21"/>
                <w:highlight w:val="none"/>
                <w:u w:val="none"/>
                <w:lang w:val="en-US" w:eastAsia="zh-CN"/>
              </w:rPr>
              <w:t>开发区统一由海门鑫源环保热电有限公司集中供热，热网管道包括东线、西线和城区线三条主干供热管网，主管网长度达40多公里，主要承担海门城区的供热。</w:t>
            </w:r>
          </w:p>
          <w:p w14:paraId="7B225965">
            <w:pPr>
              <w:autoSpaceDE w:val="0"/>
              <w:autoSpaceDN w:val="0"/>
              <w:adjustRightInd w:val="0"/>
              <w:snapToGrid w:val="0"/>
              <w:spacing w:line="360" w:lineRule="auto"/>
              <w:ind w:firstLine="420" w:firstLineChars="200"/>
              <w:jc w:val="left"/>
              <w:rPr>
                <w:rFonts w:hint="eastAsia" w:eastAsia="宋体"/>
                <w:color w:val="auto"/>
                <w:sz w:val="21"/>
                <w:szCs w:val="21"/>
                <w:highlight w:val="none"/>
                <w:u w:val="none"/>
                <w:lang w:val="en-US" w:eastAsia="zh-CN"/>
              </w:rPr>
            </w:pPr>
            <w:r>
              <w:rPr>
                <w:rFonts w:hint="eastAsia" w:eastAsia="宋体"/>
                <w:color w:val="auto"/>
                <w:sz w:val="21"/>
                <w:szCs w:val="21"/>
                <w:highlight w:val="none"/>
                <w:u w:val="none"/>
                <w:lang w:val="en-US" w:eastAsia="zh-CN"/>
              </w:rPr>
              <w:t>城区线：DN300管道，出厂后沿秀山东路向西敷设，主要向城区热用户，末端为光华酒店，长度约5公里。</w:t>
            </w:r>
          </w:p>
          <w:p w14:paraId="2DA04780">
            <w:pPr>
              <w:autoSpaceDE w:val="0"/>
              <w:autoSpaceDN w:val="0"/>
              <w:adjustRightInd w:val="0"/>
              <w:snapToGrid w:val="0"/>
              <w:spacing w:line="360" w:lineRule="auto"/>
              <w:ind w:firstLine="420" w:firstLineChars="200"/>
              <w:jc w:val="left"/>
              <w:rPr>
                <w:rFonts w:hint="eastAsia" w:eastAsia="宋体"/>
                <w:color w:val="auto"/>
                <w:sz w:val="21"/>
                <w:szCs w:val="21"/>
                <w:highlight w:val="none"/>
                <w:u w:val="none"/>
                <w:lang w:val="en-US" w:eastAsia="zh-CN"/>
              </w:rPr>
            </w:pPr>
            <w:r>
              <w:rPr>
                <w:rFonts w:hint="eastAsia" w:eastAsia="宋体"/>
                <w:color w:val="auto"/>
                <w:sz w:val="21"/>
                <w:szCs w:val="21"/>
                <w:highlight w:val="none"/>
                <w:u w:val="none"/>
                <w:lang w:val="en-US" w:eastAsia="zh-CN"/>
              </w:rPr>
              <w:t>东线：DN350管道，出厂后向南沿民生河敷设，至青西河向东敷设，跨越沿江公路后沿江敷设至新锦江印染，长度约14公里。</w:t>
            </w:r>
          </w:p>
          <w:p w14:paraId="4169B4E2">
            <w:pPr>
              <w:autoSpaceDE w:val="0"/>
              <w:autoSpaceDN w:val="0"/>
              <w:adjustRightInd w:val="0"/>
              <w:snapToGrid w:val="0"/>
              <w:spacing w:line="360" w:lineRule="auto"/>
              <w:ind w:firstLine="420" w:firstLineChars="200"/>
              <w:jc w:val="left"/>
              <w:rPr>
                <w:rFonts w:hint="eastAsia" w:eastAsia="宋体"/>
                <w:color w:val="auto"/>
                <w:sz w:val="21"/>
                <w:szCs w:val="21"/>
                <w:highlight w:val="none"/>
                <w:u w:val="none"/>
                <w:lang w:val="en-US" w:eastAsia="zh-CN"/>
              </w:rPr>
            </w:pPr>
            <w:r>
              <w:rPr>
                <w:rFonts w:hint="eastAsia" w:eastAsia="宋体"/>
                <w:color w:val="auto"/>
                <w:sz w:val="21"/>
                <w:szCs w:val="21"/>
                <w:highlight w:val="none"/>
                <w:u w:val="none"/>
                <w:lang w:val="en-US" w:eastAsia="zh-CN"/>
              </w:rPr>
              <w:t>西线：由南线支线 DN350、海门港支线DN350、滨江支线DN300组成，沿民生河向南敷设至原宝龙化工，沿东洲河向西敷设，末端用户为宝钢精密钢丝，长度约22公里。</w:t>
            </w:r>
          </w:p>
          <w:p w14:paraId="3741FA58">
            <w:pPr>
              <w:autoSpaceDE w:val="0"/>
              <w:autoSpaceDN w:val="0"/>
              <w:adjustRightInd w:val="0"/>
              <w:snapToGrid w:val="0"/>
              <w:spacing w:line="360" w:lineRule="auto"/>
              <w:ind w:firstLine="420" w:firstLineChars="200"/>
              <w:jc w:val="left"/>
              <w:rPr>
                <w:rFonts w:hint="eastAsia" w:eastAsia="宋体"/>
                <w:color w:val="auto"/>
                <w:sz w:val="21"/>
                <w:szCs w:val="21"/>
                <w:highlight w:val="none"/>
                <w:u w:val="none"/>
                <w:lang w:val="en-US" w:eastAsia="zh-CN"/>
              </w:rPr>
            </w:pPr>
            <w:r>
              <w:rPr>
                <w:rFonts w:hint="eastAsia" w:eastAsia="宋体"/>
                <w:color w:val="auto"/>
                <w:sz w:val="21"/>
                <w:szCs w:val="21"/>
                <w:highlight w:val="none"/>
                <w:u w:val="none"/>
                <w:lang w:val="en-US" w:eastAsia="zh-CN"/>
              </w:rPr>
              <w:t>（6）固废处置设施</w:t>
            </w:r>
          </w:p>
          <w:p w14:paraId="74A8FC05">
            <w:pPr>
              <w:autoSpaceDE w:val="0"/>
              <w:autoSpaceDN w:val="0"/>
              <w:adjustRightInd w:val="0"/>
              <w:snapToGrid w:val="0"/>
              <w:spacing w:line="360" w:lineRule="auto"/>
              <w:ind w:firstLine="420" w:firstLineChars="200"/>
              <w:jc w:val="left"/>
              <w:rPr>
                <w:rFonts w:hint="eastAsia" w:eastAsia="宋体"/>
                <w:color w:val="auto"/>
                <w:sz w:val="21"/>
                <w:szCs w:val="21"/>
                <w:highlight w:val="none"/>
                <w:u w:val="none"/>
                <w:lang w:val="en-US" w:eastAsia="zh-CN"/>
              </w:rPr>
            </w:pPr>
            <w:r>
              <w:rPr>
                <w:rFonts w:hint="eastAsia" w:eastAsia="宋体"/>
                <w:color w:val="auto"/>
                <w:sz w:val="21"/>
                <w:szCs w:val="21"/>
                <w:highlight w:val="none"/>
                <w:u w:val="none"/>
                <w:lang w:val="en-US" w:eastAsia="zh-CN"/>
              </w:rPr>
              <w:t>海门经济技术开发区现状无单独设置危险废物处置场所。开发区一般工业固废由企业进行分类收集，主要采用综合利用和安全处置的方式进行处理；危险固废送有资质单位集中处置；生活垃圾送至启东滨江工业园区垃圾焚烧厂处理。开发区一般工业固废主要为废（金属、木材、塑料）边角料、残次品、粉尘、包装废料等，采用外售、回用等方式综合利用，综合利用率100%。</w:t>
            </w:r>
          </w:p>
          <w:p w14:paraId="17D46FAB">
            <w:pPr>
              <w:autoSpaceDE w:val="0"/>
              <w:autoSpaceDN w:val="0"/>
              <w:adjustRightInd w:val="0"/>
              <w:snapToGrid w:val="0"/>
              <w:spacing w:line="360" w:lineRule="auto"/>
              <w:ind w:firstLine="420" w:firstLineChars="200"/>
              <w:jc w:val="left"/>
              <w:rPr>
                <w:rFonts w:hint="eastAsia" w:eastAsia="宋体"/>
                <w:color w:val="auto"/>
                <w:sz w:val="21"/>
                <w:szCs w:val="21"/>
                <w:u w:val="none"/>
                <w:lang w:val="en-US" w:eastAsia="zh-CN"/>
              </w:rPr>
            </w:pPr>
            <w:r>
              <w:rPr>
                <w:rFonts w:hint="eastAsia" w:eastAsia="宋体"/>
                <w:color w:val="auto"/>
                <w:sz w:val="21"/>
                <w:szCs w:val="21"/>
                <w:highlight w:val="none"/>
                <w:u w:val="none"/>
                <w:lang w:val="en-US" w:eastAsia="zh-CN"/>
              </w:rPr>
              <w:t>工业固废由专业单位进行统一收集至规划新建海门经济开发区固体废物储运中心，根据种类分别委外处置</w:t>
            </w:r>
            <w:r>
              <w:rPr>
                <w:rFonts w:hint="eastAsia" w:eastAsia="宋体"/>
                <w:color w:val="auto"/>
                <w:sz w:val="21"/>
                <w:szCs w:val="21"/>
                <w:u w:val="none"/>
                <w:lang w:val="en-US" w:eastAsia="zh-CN"/>
              </w:rPr>
              <w:t>。</w:t>
            </w:r>
          </w:p>
          <w:p w14:paraId="010228CC">
            <w:pPr>
              <w:keepNext w:val="0"/>
              <w:keepLines w:val="0"/>
              <w:pageBreakBefore w:val="0"/>
              <w:widowControl w:val="0"/>
              <w:kinsoku/>
              <w:wordWrap/>
              <w:overflowPunct/>
              <w:topLinePunct w:val="0"/>
              <w:autoSpaceDE/>
              <w:autoSpaceDN/>
              <w:bidi w:val="0"/>
              <w:adjustRightInd w:val="0"/>
              <w:snapToGrid w:val="0"/>
              <w:spacing w:line="360" w:lineRule="auto"/>
              <w:ind w:firstLine="420"/>
              <w:jc w:val="left"/>
              <w:textAlignment w:val="auto"/>
              <w:rPr>
                <w:rFonts w:hint="default" w:ascii="Times New Roman" w:hAnsi="Times New Roman" w:cs="Times New Roman"/>
                <w:b/>
                <w:bCs/>
                <w:color w:val="auto"/>
                <w:spacing w:val="0"/>
                <w:kern w:val="11"/>
                <w:sz w:val="21"/>
                <w:szCs w:val="21"/>
                <w:highlight w:val="none"/>
                <w:u w:val="none"/>
                <w:lang w:eastAsia="zh-CN"/>
              </w:rPr>
            </w:pPr>
            <w:r>
              <w:rPr>
                <w:rFonts w:hint="eastAsia" w:ascii="Times New Roman" w:hAnsi="Times New Roman" w:cs="Times New Roman"/>
                <w:b/>
                <w:bCs/>
                <w:color w:val="auto"/>
                <w:spacing w:val="0"/>
                <w:kern w:val="11"/>
                <w:sz w:val="21"/>
                <w:szCs w:val="21"/>
                <w:highlight w:val="none"/>
                <w:u w:val="none"/>
                <w:lang w:val="en-US" w:eastAsia="zh-CN"/>
              </w:rPr>
              <w:t>2</w:t>
            </w:r>
            <w:r>
              <w:rPr>
                <w:rFonts w:hint="default" w:ascii="Times New Roman" w:hAnsi="Times New Roman" w:cs="Times New Roman"/>
                <w:b/>
                <w:bCs/>
                <w:color w:val="auto"/>
                <w:spacing w:val="0"/>
                <w:kern w:val="11"/>
                <w:sz w:val="21"/>
                <w:szCs w:val="21"/>
                <w:highlight w:val="none"/>
                <w:u w:val="none"/>
                <w:lang w:eastAsia="zh-CN"/>
              </w:rPr>
              <w:t>、</w:t>
            </w:r>
            <w:r>
              <w:rPr>
                <w:rFonts w:hint="eastAsia" w:ascii="Times New Roman" w:hAnsi="Times New Roman" w:cs="Times New Roman"/>
                <w:b/>
                <w:bCs/>
                <w:color w:val="auto"/>
                <w:spacing w:val="0"/>
                <w:kern w:val="11"/>
                <w:sz w:val="21"/>
                <w:szCs w:val="21"/>
                <w:highlight w:val="none"/>
                <w:u w:val="none"/>
                <w:lang w:val="en-US" w:eastAsia="zh-CN"/>
              </w:rPr>
              <w:t>与</w:t>
            </w:r>
            <w:r>
              <w:rPr>
                <w:rFonts w:hint="default" w:ascii="Times New Roman" w:hAnsi="Times New Roman" w:eastAsia="新宋体" w:cs="Times New Roman"/>
                <w:b/>
                <w:bCs/>
                <w:color w:val="auto"/>
                <w:szCs w:val="21"/>
                <w:u w:val="none"/>
              </w:rPr>
              <w:t>《</w:t>
            </w:r>
            <w:r>
              <w:rPr>
                <w:rFonts w:hint="eastAsia" w:ascii="Times New Roman" w:hAnsi="Times New Roman" w:eastAsia="新宋体" w:cs="Times New Roman"/>
                <w:b/>
                <w:bCs/>
                <w:color w:val="auto"/>
                <w:szCs w:val="21"/>
                <w:u w:val="none"/>
                <w:lang w:val="en-US" w:eastAsia="zh-CN"/>
              </w:rPr>
              <w:t>省生态环境厅关于海门经济技术开发区建设规划（2022-2035年）环境影响报告书的审查意见</w:t>
            </w:r>
            <w:r>
              <w:rPr>
                <w:rFonts w:hint="default" w:ascii="Times New Roman" w:hAnsi="Times New Roman" w:eastAsia="新宋体" w:cs="Times New Roman"/>
                <w:b/>
                <w:bCs/>
                <w:color w:val="auto"/>
                <w:szCs w:val="21"/>
                <w:u w:val="none"/>
              </w:rPr>
              <w:t>》</w:t>
            </w:r>
            <w:r>
              <w:rPr>
                <w:rFonts w:hint="default" w:ascii="Times New Roman" w:hAnsi="Times New Roman" w:eastAsia="新宋体" w:cs="Times New Roman"/>
                <w:b/>
                <w:bCs/>
                <w:color w:val="auto"/>
                <w:szCs w:val="21"/>
                <w:u w:val="none"/>
                <w:lang w:eastAsia="zh-CN"/>
              </w:rPr>
              <w:t>（</w:t>
            </w:r>
            <w:r>
              <w:rPr>
                <w:rFonts w:hint="eastAsia" w:ascii="Times New Roman" w:hAnsi="Times New Roman" w:eastAsia="新宋体" w:cs="Times New Roman"/>
                <w:b/>
                <w:bCs/>
                <w:color w:val="auto"/>
                <w:szCs w:val="21"/>
                <w:u w:val="none"/>
                <w:lang w:val="en-US" w:eastAsia="zh-CN"/>
              </w:rPr>
              <w:t>苏</w:t>
            </w:r>
            <w:r>
              <w:rPr>
                <w:rFonts w:hint="default" w:ascii="Times New Roman" w:hAnsi="Times New Roman" w:cs="Times New Roman"/>
                <w:b/>
                <w:bCs/>
                <w:color w:val="auto"/>
                <w:szCs w:val="21"/>
                <w:u w:val="none"/>
              </w:rPr>
              <w:t>环审[20</w:t>
            </w:r>
            <w:r>
              <w:rPr>
                <w:rFonts w:hint="eastAsia" w:ascii="Times New Roman" w:hAnsi="Times New Roman" w:cs="Times New Roman"/>
                <w:b/>
                <w:bCs/>
                <w:color w:val="auto"/>
                <w:szCs w:val="21"/>
                <w:u w:val="none"/>
                <w:lang w:val="en-US" w:eastAsia="zh-CN"/>
              </w:rPr>
              <w:t>24</w:t>
            </w:r>
            <w:r>
              <w:rPr>
                <w:rFonts w:hint="default" w:ascii="Times New Roman" w:hAnsi="Times New Roman" w:cs="Times New Roman"/>
                <w:b/>
                <w:bCs/>
                <w:color w:val="auto"/>
                <w:szCs w:val="21"/>
                <w:u w:val="none"/>
              </w:rPr>
              <w:t>]</w:t>
            </w:r>
            <w:r>
              <w:rPr>
                <w:rFonts w:hint="eastAsia" w:ascii="Times New Roman" w:hAnsi="Times New Roman" w:cs="Times New Roman"/>
                <w:b/>
                <w:bCs/>
                <w:color w:val="auto"/>
                <w:szCs w:val="21"/>
                <w:u w:val="none"/>
                <w:lang w:val="en-US" w:eastAsia="zh-CN"/>
              </w:rPr>
              <w:t>7</w:t>
            </w:r>
            <w:r>
              <w:rPr>
                <w:rFonts w:hint="default" w:ascii="Times New Roman" w:hAnsi="Times New Roman" w:cs="Times New Roman"/>
                <w:b/>
                <w:bCs/>
                <w:color w:val="auto"/>
                <w:szCs w:val="21"/>
                <w:u w:val="none"/>
              </w:rPr>
              <w:t>号</w:t>
            </w:r>
            <w:r>
              <w:rPr>
                <w:rFonts w:hint="default" w:ascii="Times New Roman" w:hAnsi="Times New Roman" w:cs="Times New Roman"/>
                <w:b/>
                <w:bCs/>
                <w:color w:val="auto"/>
                <w:szCs w:val="21"/>
                <w:u w:val="none"/>
                <w:lang w:eastAsia="zh-CN"/>
              </w:rPr>
              <w:t>）</w:t>
            </w:r>
            <w:r>
              <w:rPr>
                <w:rFonts w:hint="default" w:ascii="Times New Roman" w:hAnsi="Times New Roman" w:cs="Times New Roman"/>
                <w:b/>
                <w:bCs/>
                <w:color w:val="auto"/>
                <w:spacing w:val="0"/>
                <w:kern w:val="11"/>
                <w:sz w:val="21"/>
                <w:szCs w:val="21"/>
                <w:highlight w:val="none"/>
                <w:u w:val="none"/>
                <w:lang w:eastAsia="zh-CN"/>
              </w:rPr>
              <w:t>符合性分析</w:t>
            </w:r>
          </w:p>
          <w:p w14:paraId="521DF22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cs="Times New Roman"/>
                <w:color w:val="auto"/>
                <w:spacing w:val="0"/>
                <w:kern w:val="11"/>
                <w:sz w:val="21"/>
                <w:szCs w:val="21"/>
                <w:highlight w:val="none"/>
                <w:u w:val="none"/>
                <w:lang w:val="en-US" w:eastAsia="zh-CN"/>
              </w:rPr>
            </w:pPr>
            <w:r>
              <w:rPr>
                <w:rFonts w:hint="default" w:ascii="Times New Roman" w:hAnsi="Times New Roman" w:cs="Times New Roman"/>
                <w:color w:val="auto"/>
                <w:kern w:val="0"/>
                <w:sz w:val="21"/>
                <w:szCs w:val="21"/>
                <w:highlight w:val="none"/>
                <w:u w:val="none"/>
                <w:lang w:val="en-US" w:eastAsia="zh-CN" w:bidi="ar"/>
              </w:rPr>
              <w:t>项目</w:t>
            </w:r>
            <w:r>
              <w:rPr>
                <w:rFonts w:hint="eastAsia" w:ascii="Times New Roman" w:hAnsi="Times New Roman" w:cs="Times New Roman"/>
                <w:color w:val="auto"/>
                <w:spacing w:val="0"/>
                <w:kern w:val="11"/>
                <w:sz w:val="21"/>
                <w:szCs w:val="21"/>
                <w:highlight w:val="none"/>
                <w:u w:val="none"/>
                <w:lang w:val="en-US" w:eastAsia="zh-CN"/>
              </w:rPr>
              <w:t>位于南通市海门经济技术开发区滨江街道福州路179号</w:t>
            </w:r>
            <w:r>
              <w:rPr>
                <w:rFonts w:hint="default" w:ascii="Times New Roman" w:hAnsi="Times New Roman" w:cs="Times New Roman"/>
                <w:color w:val="auto"/>
                <w:kern w:val="0"/>
                <w:sz w:val="21"/>
                <w:szCs w:val="21"/>
                <w:highlight w:val="none"/>
                <w:u w:val="none"/>
                <w:lang w:val="en-US" w:eastAsia="zh-CN" w:bidi="ar"/>
              </w:rPr>
              <w:t>，</w:t>
            </w:r>
            <w:r>
              <w:rPr>
                <w:rFonts w:hint="eastAsia" w:ascii="Times New Roman" w:hAnsi="Times New Roman" w:cs="Times New Roman"/>
                <w:color w:val="auto"/>
                <w:spacing w:val="0"/>
                <w:kern w:val="11"/>
                <w:sz w:val="21"/>
                <w:szCs w:val="21"/>
                <w:highlight w:val="none"/>
                <w:u w:val="none"/>
                <w:lang w:val="en-US" w:eastAsia="zh-CN"/>
              </w:rPr>
              <w:t>项目用地属于工业用地，本项目选址符合海门区土地利用总体规划。本项目与</w:t>
            </w:r>
            <w:r>
              <w:rPr>
                <w:rFonts w:hint="default" w:ascii="Times New Roman" w:hAnsi="Times New Roman" w:eastAsia="新宋体" w:cs="Times New Roman"/>
                <w:color w:val="auto"/>
                <w:szCs w:val="21"/>
                <w:u w:val="none"/>
              </w:rPr>
              <w:t>《</w:t>
            </w:r>
            <w:r>
              <w:rPr>
                <w:rFonts w:hint="eastAsia" w:ascii="Times New Roman" w:hAnsi="Times New Roman" w:eastAsia="新宋体" w:cs="Times New Roman"/>
                <w:color w:val="auto"/>
                <w:szCs w:val="21"/>
                <w:u w:val="none"/>
                <w:lang w:val="en-US" w:eastAsia="zh-CN"/>
              </w:rPr>
              <w:t>省生态环境厅关于海门经济技术开发区建设规划（2022-2035年）环境影响报告书的审查意见</w:t>
            </w:r>
            <w:r>
              <w:rPr>
                <w:rFonts w:hint="default" w:ascii="Times New Roman" w:hAnsi="Times New Roman" w:eastAsia="新宋体" w:cs="Times New Roman"/>
                <w:color w:val="auto"/>
                <w:szCs w:val="21"/>
                <w:u w:val="none"/>
              </w:rPr>
              <w:t>》</w:t>
            </w:r>
            <w:r>
              <w:rPr>
                <w:rFonts w:hint="default" w:ascii="Times New Roman" w:hAnsi="Times New Roman" w:eastAsia="新宋体" w:cs="Times New Roman"/>
                <w:color w:val="auto"/>
                <w:szCs w:val="21"/>
                <w:u w:val="none"/>
                <w:lang w:eastAsia="zh-CN"/>
              </w:rPr>
              <w:t>（</w:t>
            </w:r>
            <w:r>
              <w:rPr>
                <w:rFonts w:hint="eastAsia" w:ascii="Times New Roman" w:hAnsi="Times New Roman" w:eastAsia="新宋体" w:cs="Times New Roman"/>
                <w:color w:val="auto"/>
                <w:szCs w:val="21"/>
                <w:u w:val="none"/>
                <w:lang w:val="en-US" w:eastAsia="zh-CN"/>
              </w:rPr>
              <w:t>苏</w:t>
            </w:r>
            <w:r>
              <w:rPr>
                <w:rFonts w:hint="default" w:ascii="Times New Roman" w:hAnsi="Times New Roman" w:cs="Times New Roman"/>
                <w:color w:val="auto"/>
                <w:szCs w:val="21"/>
                <w:u w:val="none"/>
              </w:rPr>
              <w:t>环审[20</w:t>
            </w:r>
            <w:r>
              <w:rPr>
                <w:rFonts w:hint="eastAsia" w:ascii="Times New Roman" w:hAnsi="Times New Roman" w:cs="Times New Roman"/>
                <w:color w:val="auto"/>
                <w:szCs w:val="21"/>
                <w:u w:val="none"/>
                <w:lang w:val="en-US" w:eastAsia="zh-CN"/>
              </w:rPr>
              <w:t>24</w:t>
            </w:r>
            <w:r>
              <w:rPr>
                <w:rFonts w:hint="default" w:ascii="Times New Roman" w:hAnsi="Times New Roman" w:cs="Times New Roman"/>
                <w:color w:val="auto"/>
                <w:szCs w:val="21"/>
                <w:u w:val="none"/>
              </w:rPr>
              <w:t>]</w:t>
            </w:r>
            <w:r>
              <w:rPr>
                <w:rFonts w:hint="eastAsia" w:ascii="Times New Roman" w:hAnsi="Times New Roman" w:cs="Times New Roman"/>
                <w:color w:val="auto"/>
                <w:szCs w:val="21"/>
                <w:u w:val="none"/>
                <w:lang w:val="en-US" w:eastAsia="zh-CN"/>
              </w:rPr>
              <w:t>7</w:t>
            </w:r>
            <w:r>
              <w:rPr>
                <w:rFonts w:hint="default" w:ascii="Times New Roman" w:hAnsi="Times New Roman" w:cs="Times New Roman"/>
                <w:color w:val="auto"/>
                <w:szCs w:val="21"/>
                <w:u w:val="none"/>
              </w:rPr>
              <w:t>号</w:t>
            </w:r>
            <w:r>
              <w:rPr>
                <w:rFonts w:hint="default" w:ascii="Times New Roman" w:hAnsi="Times New Roman" w:cs="Times New Roman"/>
                <w:color w:val="auto"/>
                <w:szCs w:val="21"/>
                <w:u w:val="none"/>
                <w:lang w:eastAsia="zh-CN"/>
              </w:rPr>
              <w:t>）</w:t>
            </w:r>
            <w:r>
              <w:rPr>
                <w:rFonts w:hint="eastAsia" w:ascii="Times New Roman" w:hAnsi="Times New Roman" w:cs="Times New Roman"/>
                <w:color w:val="auto"/>
                <w:spacing w:val="0"/>
                <w:kern w:val="11"/>
                <w:sz w:val="21"/>
                <w:szCs w:val="21"/>
                <w:highlight w:val="none"/>
                <w:u w:val="none"/>
                <w:lang w:val="en-US" w:eastAsia="zh-CN"/>
              </w:rPr>
              <w:t>相符性分析见表1-1。</w:t>
            </w:r>
          </w:p>
          <w:p w14:paraId="79E40484">
            <w:pPr>
              <w:keepNext w:val="0"/>
              <w:keepLines w:val="0"/>
              <w:pageBreakBefore w:val="0"/>
              <w:widowControl w:val="0"/>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eastAsia="宋体" w:cs="Times New Roman"/>
                <w:b/>
                <w:bCs/>
                <w:color w:val="auto"/>
                <w:sz w:val="21"/>
                <w:szCs w:val="21"/>
                <w:highlight w:val="none"/>
                <w:u w:val="none"/>
                <w:lang w:eastAsia="zh-CN"/>
              </w:rPr>
            </w:pPr>
            <w:r>
              <w:rPr>
                <w:rFonts w:hint="default" w:ascii="Times New Roman" w:hAnsi="Times New Roman" w:cs="Times New Roman"/>
                <w:b/>
                <w:bCs/>
                <w:color w:val="auto"/>
                <w:sz w:val="21"/>
                <w:szCs w:val="21"/>
                <w:highlight w:val="none"/>
                <w:u w:val="none"/>
              </w:rPr>
              <w:t>表1-</w:t>
            </w:r>
            <w:r>
              <w:rPr>
                <w:rFonts w:hint="default" w:ascii="Times New Roman" w:hAnsi="Times New Roman" w:cs="Times New Roman"/>
                <w:b/>
                <w:bCs/>
                <w:color w:val="auto"/>
                <w:sz w:val="21"/>
                <w:szCs w:val="21"/>
                <w:highlight w:val="none"/>
                <w:u w:val="none"/>
                <w:lang w:val="en-US" w:eastAsia="zh-CN"/>
              </w:rPr>
              <w:t>1</w:t>
            </w:r>
            <w:r>
              <w:rPr>
                <w:rFonts w:hint="default" w:ascii="Times New Roman" w:hAnsi="Times New Roman" w:cs="Times New Roman"/>
                <w:b/>
                <w:bCs/>
                <w:color w:val="auto"/>
                <w:sz w:val="21"/>
                <w:szCs w:val="21"/>
                <w:highlight w:val="none"/>
                <w:u w:val="none"/>
              </w:rPr>
              <w:t xml:space="preserve">  </w:t>
            </w:r>
            <w:r>
              <w:rPr>
                <w:rFonts w:hint="default" w:ascii="Times New Roman" w:hAnsi="Times New Roman" w:cs="Times New Roman"/>
                <w:b/>
                <w:bCs/>
                <w:color w:val="auto"/>
                <w:sz w:val="21"/>
                <w:szCs w:val="21"/>
                <w:highlight w:val="none"/>
                <w:u w:val="none"/>
                <w:lang w:eastAsia="zh-CN"/>
              </w:rPr>
              <w:t>与</w:t>
            </w:r>
            <w:r>
              <w:rPr>
                <w:rFonts w:hint="default" w:ascii="Times New Roman" w:hAnsi="Times New Roman" w:cs="Times New Roman"/>
                <w:b/>
                <w:bCs/>
                <w:color w:val="auto"/>
                <w:spacing w:val="0"/>
                <w:kern w:val="11"/>
                <w:sz w:val="21"/>
                <w:szCs w:val="21"/>
                <w:highlight w:val="none"/>
                <w:u w:val="none"/>
                <w:lang w:eastAsia="zh-CN"/>
              </w:rPr>
              <w:t>《</w:t>
            </w:r>
            <w:r>
              <w:rPr>
                <w:rFonts w:hint="eastAsia" w:ascii="Times New Roman" w:hAnsi="Times New Roman" w:cs="Times New Roman"/>
                <w:b/>
                <w:bCs/>
                <w:color w:val="auto"/>
                <w:spacing w:val="0"/>
                <w:kern w:val="11"/>
                <w:sz w:val="21"/>
                <w:szCs w:val="21"/>
                <w:highlight w:val="none"/>
                <w:u w:val="none"/>
                <w:lang w:val="en-US" w:eastAsia="zh-CN"/>
              </w:rPr>
              <w:t>省生态环境厅关于海门经济技术开发区建设规划（2022-2035年）环境影响报告书的审查意见</w:t>
            </w:r>
            <w:r>
              <w:rPr>
                <w:rFonts w:hint="default" w:ascii="Times New Roman" w:hAnsi="Times New Roman" w:cs="Times New Roman"/>
                <w:b/>
                <w:bCs/>
                <w:color w:val="auto"/>
                <w:spacing w:val="0"/>
                <w:kern w:val="11"/>
                <w:sz w:val="21"/>
                <w:szCs w:val="21"/>
                <w:highlight w:val="none"/>
                <w:u w:val="none"/>
                <w:lang w:eastAsia="zh-CN"/>
              </w:rPr>
              <w:t>》（</w:t>
            </w:r>
            <w:r>
              <w:rPr>
                <w:rFonts w:hint="eastAsia" w:ascii="Times New Roman" w:hAnsi="Times New Roman" w:cs="Times New Roman"/>
                <w:b/>
                <w:bCs/>
                <w:color w:val="auto"/>
                <w:spacing w:val="0"/>
                <w:kern w:val="11"/>
                <w:sz w:val="21"/>
                <w:szCs w:val="21"/>
                <w:highlight w:val="none"/>
                <w:u w:val="none"/>
                <w:lang w:val="en-US" w:eastAsia="zh-CN"/>
              </w:rPr>
              <w:t>苏</w:t>
            </w:r>
            <w:r>
              <w:rPr>
                <w:rFonts w:hint="default" w:ascii="Times New Roman" w:hAnsi="Times New Roman" w:cs="Times New Roman"/>
                <w:b/>
                <w:bCs/>
                <w:color w:val="auto"/>
                <w:spacing w:val="0"/>
                <w:kern w:val="11"/>
                <w:sz w:val="21"/>
                <w:szCs w:val="21"/>
                <w:highlight w:val="none"/>
                <w:u w:val="none"/>
                <w:lang w:eastAsia="zh-CN"/>
              </w:rPr>
              <w:t>环审[20</w:t>
            </w:r>
            <w:r>
              <w:rPr>
                <w:rFonts w:hint="eastAsia" w:ascii="Times New Roman" w:hAnsi="Times New Roman" w:cs="Times New Roman"/>
                <w:b/>
                <w:bCs/>
                <w:color w:val="auto"/>
                <w:spacing w:val="0"/>
                <w:kern w:val="11"/>
                <w:sz w:val="21"/>
                <w:szCs w:val="21"/>
                <w:highlight w:val="none"/>
                <w:u w:val="none"/>
                <w:lang w:val="en-US" w:eastAsia="zh-CN"/>
              </w:rPr>
              <w:t>24</w:t>
            </w:r>
            <w:r>
              <w:rPr>
                <w:rFonts w:hint="default" w:ascii="Times New Roman" w:hAnsi="Times New Roman" w:cs="Times New Roman"/>
                <w:b/>
                <w:bCs/>
                <w:color w:val="auto"/>
                <w:spacing w:val="0"/>
                <w:kern w:val="11"/>
                <w:sz w:val="21"/>
                <w:szCs w:val="21"/>
                <w:highlight w:val="none"/>
                <w:u w:val="none"/>
                <w:lang w:eastAsia="zh-CN"/>
              </w:rPr>
              <w:t>]</w:t>
            </w:r>
            <w:r>
              <w:rPr>
                <w:rFonts w:hint="eastAsia" w:ascii="Times New Roman" w:hAnsi="Times New Roman" w:cs="Times New Roman"/>
                <w:b/>
                <w:bCs/>
                <w:color w:val="auto"/>
                <w:spacing w:val="0"/>
                <w:kern w:val="11"/>
                <w:sz w:val="21"/>
                <w:szCs w:val="21"/>
                <w:highlight w:val="none"/>
                <w:u w:val="none"/>
                <w:lang w:val="en-US" w:eastAsia="zh-CN"/>
              </w:rPr>
              <w:t>7</w:t>
            </w:r>
            <w:r>
              <w:rPr>
                <w:rFonts w:hint="default" w:ascii="Times New Roman" w:hAnsi="Times New Roman" w:cs="Times New Roman"/>
                <w:b/>
                <w:bCs/>
                <w:color w:val="auto"/>
                <w:spacing w:val="0"/>
                <w:kern w:val="11"/>
                <w:sz w:val="21"/>
                <w:szCs w:val="21"/>
                <w:highlight w:val="none"/>
                <w:u w:val="none"/>
                <w:lang w:eastAsia="zh-CN"/>
              </w:rPr>
              <w:t>号）相符性分析</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490"/>
              <w:gridCol w:w="4444"/>
              <w:gridCol w:w="2237"/>
              <w:gridCol w:w="1015"/>
            </w:tblGrid>
            <w:tr w14:paraId="36CB180B">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312" w:hRule="atLeast"/>
                <w:jc w:val="center"/>
              </w:trPr>
              <w:tc>
                <w:tcPr>
                  <w:tcW w:w="299" w:type="pct"/>
                  <w:tcBorders>
                    <w:tl2br w:val="nil"/>
                    <w:tr2bl w:val="nil"/>
                  </w:tcBorders>
                  <w:noWrap w:val="0"/>
                  <w:vAlign w:val="center"/>
                </w:tcPr>
                <w:p w14:paraId="5BF06DEF">
                  <w:pPr>
                    <w:adjustRightInd w:val="0"/>
                    <w:snapToGrid w:val="0"/>
                    <w:jc w:val="center"/>
                    <w:rPr>
                      <w:rFonts w:hint="default" w:ascii="Times New Roman" w:hAnsi="Times New Roman" w:eastAsia="宋体" w:cs="Times New Roman"/>
                      <w:b/>
                      <w:bCs/>
                      <w:color w:val="auto"/>
                      <w:sz w:val="18"/>
                      <w:szCs w:val="18"/>
                      <w:highlight w:val="none"/>
                      <w:u w:val="none"/>
                      <w:lang w:eastAsia="zh-CN"/>
                    </w:rPr>
                  </w:pPr>
                  <w:r>
                    <w:rPr>
                      <w:rFonts w:hint="default" w:ascii="Times New Roman" w:hAnsi="Times New Roman" w:cs="Times New Roman"/>
                      <w:b/>
                      <w:bCs/>
                      <w:color w:val="auto"/>
                      <w:sz w:val="18"/>
                      <w:szCs w:val="18"/>
                      <w:highlight w:val="none"/>
                      <w:u w:val="none"/>
                      <w:lang w:eastAsia="zh-CN"/>
                    </w:rPr>
                    <w:t>序号</w:t>
                  </w:r>
                </w:p>
              </w:tc>
              <w:tc>
                <w:tcPr>
                  <w:tcW w:w="2714" w:type="pct"/>
                  <w:tcBorders>
                    <w:tl2br w:val="nil"/>
                    <w:tr2bl w:val="nil"/>
                  </w:tcBorders>
                  <w:noWrap w:val="0"/>
                  <w:vAlign w:val="center"/>
                </w:tcPr>
                <w:p w14:paraId="02C7492D">
                  <w:pPr>
                    <w:adjustRightInd w:val="0"/>
                    <w:snapToGrid w:val="0"/>
                    <w:jc w:val="center"/>
                    <w:rPr>
                      <w:rFonts w:hint="default" w:ascii="Times New Roman" w:hAnsi="Times New Roman" w:eastAsia="宋体" w:cs="Times New Roman"/>
                      <w:b/>
                      <w:bCs/>
                      <w:color w:val="auto"/>
                      <w:sz w:val="18"/>
                      <w:szCs w:val="18"/>
                      <w:highlight w:val="none"/>
                      <w:u w:val="none"/>
                      <w:lang w:val="en-US" w:eastAsia="zh-CN"/>
                    </w:rPr>
                  </w:pPr>
                  <w:r>
                    <w:rPr>
                      <w:rFonts w:hint="eastAsia" w:ascii="Times New Roman" w:hAnsi="Times New Roman" w:cs="Times New Roman"/>
                      <w:b/>
                      <w:bCs/>
                      <w:color w:val="auto"/>
                      <w:spacing w:val="0"/>
                      <w:kern w:val="11"/>
                      <w:sz w:val="18"/>
                      <w:szCs w:val="18"/>
                      <w:highlight w:val="none"/>
                      <w:u w:val="none"/>
                      <w:lang w:val="en-US" w:eastAsia="zh-CN"/>
                    </w:rPr>
                    <w:t>规划环评批复具体内容</w:t>
                  </w:r>
                </w:p>
              </w:tc>
              <w:tc>
                <w:tcPr>
                  <w:tcW w:w="1366" w:type="pct"/>
                  <w:tcBorders>
                    <w:tl2br w:val="nil"/>
                    <w:tr2bl w:val="nil"/>
                  </w:tcBorders>
                  <w:noWrap w:val="0"/>
                  <w:vAlign w:val="center"/>
                </w:tcPr>
                <w:p w14:paraId="7BDE6A72">
                  <w:pPr>
                    <w:adjustRightInd w:val="0"/>
                    <w:snapToGrid w:val="0"/>
                    <w:jc w:val="center"/>
                    <w:rPr>
                      <w:rFonts w:hint="default" w:ascii="Times New Roman" w:hAnsi="Times New Roman" w:eastAsia="宋体" w:cs="Times New Roman"/>
                      <w:b/>
                      <w:bCs/>
                      <w:color w:val="auto"/>
                      <w:sz w:val="18"/>
                      <w:szCs w:val="18"/>
                      <w:highlight w:val="none"/>
                      <w:u w:val="none"/>
                      <w:lang w:val="en-US" w:eastAsia="zh-CN"/>
                    </w:rPr>
                  </w:pPr>
                  <w:r>
                    <w:rPr>
                      <w:rFonts w:hint="eastAsia" w:ascii="Times New Roman" w:hAnsi="Times New Roman" w:cs="Times New Roman"/>
                      <w:b/>
                      <w:bCs/>
                      <w:color w:val="auto"/>
                      <w:sz w:val="18"/>
                      <w:szCs w:val="18"/>
                      <w:highlight w:val="none"/>
                      <w:u w:val="none"/>
                      <w:lang w:val="en-US" w:eastAsia="zh-CN"/>
                    </w:rPr>
                    <w:t>本项目情况</w:t>
                  </w:r>
                </w:p>
              </w:tc>
              <w:tc>
                <w:tcPr>
                  <w:tcW w:w="620" w:type="pct"/>
                  <w:tcBorders>
                    <w:tl2br w:val="nil"/>
                    <w:tr2bl w:val="nil"/>
                  </w:tcBorders>
                  <w:noWrap w:val="0"/>
                  <w:vAlign w:val="center"/>
                </w:tcPr>
                <w:p w14:paraId="25D4838E">
                  <w:pPr>
                    <w:adjustRightInd w:val="0"/>
                    <w:snapToGrid w:val="0"/>
                    <w:jc w:val="center"/>
                    <w:rPr>
                      <w:rFonts w:hint="default" w:ascii="Times New Roman" w:hAnsi="Times New Roman" w:eastAsia="宋体" w:cs="Times New Roman"/>
                      <w:b/>
                      <w:bCs/>
                      <w:color w:val="auto"/>
                      <w:sz w:val="18"/>
                      <w:szCs w:val="18"/>
                      <w:highlight w:val="none"/>
                      <w:u w:val="none"/>
                      <w:lang w:eastAsia="zh-CN"/>
                    </w:rPr>
                  </w:pPr>
                  <w:r>
                    <w:rPr>
                      <w:rFonts w:hint="default" w:ascii="Times New Roman" w:hAnsi="Times New Roman" w:eastAsia="宋体" w:cs="Times New Roman"/>
                      <w:b/>
                      <w:bCs/>
                      <w:color w:val="auto"/>
                      <w:sz w:val="18"/>
                      <w:szCs w:val="18"/>
                      <w:highlight w:val="none"/>
                      <w:u w:val="none"/>
                      <w:lang w:eastAsia="zh-CN"/>
                    </w:rPr>
                    <w:t>相符性</w:t>
                  </w:r>
                </w:p>
              </w:tc>
            </w:tr>
            <w:tr w14:paraId="16EB3C31">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49" w:hRule="atLeast"/>
                <w:jc w:val="center"/>
              </w:trPr>
              <w:tc>
                <w:tcPr>
                  <w:tcW w:w="299" w:type="pct"/>
                  <w:tcBorders>
                    <w:tl2br w:val="nil"/>
                    <w:tr2bl w:val="nil"/>
                  </w:tcBorders>
                  <w:noWrap w:val="0"/>
                  <w:vAlign w:val="center"/>
                </w:tcPr>
                <w:p w14:paraId="05157C6A">
                  <w:pPr>
                    <w:widowControl/>
                    <w:jc w:val="center"/>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eastAsia="宋体" w:cs="Times New Roman"/>
                      <w:color w:val="auto"/>
                      <w:kern w:val="0"/>
                      <w:sz w:val="18"/>
                      <w:szCs w:val="18"/>
                      <w:highlight w:val="none"/>
                      <w:u w:val="none"/>
                      <w:lang w:val="en-US" w:eastAsia="zh-CN"/>
                    </w:rPr>
                    <w:t>1</w:t>
                  </w:r>
                </w:p>
              </w:tc>
              <w:tc>
                <w:tcPr>
                  <w:tcW w:w="2714" w:type="pct"/>
                  <w:tcBorders>
                    <w:tl2br w:val="nil"/>
                    <w:tr2bl w:val="nil"/>
                  </w:tcBorders>
                  <w:noWrap w:val="0"/>
                  <w:vAlign w:val="center"/>
                </w:tcPr>
                <w:p w14:paraId="5B8363AE">
                  <w:pPr>
                    <w:widowControl/>
                    <w:jc w:val="left"/>
                    <w:rPr>
                      <w:rFonts w:hint="default" w:ascii="Times New Roman" w:hAnsi="Times New Roman" w:cs="Times New Roman"/>
                      <w:color w:val="auto"/>
                      <w:sz w:val="18"/>
                      <w:szCs w:val="18"/>
                      <w:highlight w:val="none"/>
                      <w:u w:val="none"/>
                      <w:lang w:val="en-US" w:eastAsia="zh-CN"/>
                    </w:rPr>
                  </w:pPr>
                  <w:r>
                    <w:rPr>
                      <w:rFonts w:hint="default" w:ascii="Times New Roman" w:hAnsi="Times New Roman" w:cs="Times New Roman"/>
                      <w:color w:val="auto"/>
                      <w:sz w:val="18"/>
                      <w:szCs w:val="18"/>
                      <w:highlight w:val="none"/>
                      <w:u w:val="none"/>
                      <w:lang w:val="en-US" w:eastAsia="zh-CN"/>
                    </w:rPr>
                    <w:t>(一)《规划》应深入贯彻落实习近平生态文明思想，完整、准确、全面贯彻新发展理念，坚持生态优先、节约集约、绿色低碳发展，以生态保护和环境质量持续改善为目标，做好与国土空间总体规划和生态环境分区管控体系的协调衔接，进一步优化《规划》布局、产业结构和发展规模，降低区域环境风险，协同推进生态环境高水平保护与经济高质量发展。</w:t>
                  </w:r>
                </w:p>
              </w:tc>
              <w:tc>
                <w:tcPr>
                  <w:tcW w:w="1366" w:type="pct"/>
                  <w:tcBorders>
                    <w:tl2br w:val="nil"/>
                    <w:tr2bl w:val="nil"/>
                  </w:tcBorders>
                  <w:noWrap w:val="0"/>
                  <w:vAlign w:val="center"/>
                </w:tcPr>
                <w:p w14:paraId="4E89172A">
                  <w:pPr>
                    <w:widowControl/>
                    <w:jc w:val="center"/>
                    <w:rPr>
                      <w:rFonts w:hint="default" w:ascii="Times New Roman" w:hAnsi="Times New Roman" w:eastAsia="宋体" w:cs="Times New Roman"/>
                      <w:color w:val="auto"/>
                      <w:kern w:val="0"/>
                      <w:sz w:val="18"/>
                      <w:szCs w:val="18"/>
                      <w:highlight w:val="none"/>
                      <w:u w:val="none"/>
                      <w:lang w:val="en-US" w:eastAsia="zh-CN"/>
                    </w:rPr>
                  </w:pPr>
                  <w:r>
                    <w:rPr>
                      <w:rFonts w:hint="eastAsia" w:ascii="Times New Roman" w:hAnsi="Times New Roman" w:cs="Times New Roman"/>
                      <w:color w:val="auto"/>
                      <w:spacing w:val="0"/>
                      <w:kern w:val="11"/>
                      <w:sz w:val="18"/>
                      <w:szCs w:val="18"/>
                      <w:highlight w:val="none"/>
                      <w:u w:val="none"/>
                      <w:lang w:val="en-US" w:eastAsia="zh-CN"/>
                    </w:rPr>
                    <w:t>本项目位于</w:t>
                  </w:r>
                  <w:r>
                    <w:rPr>
                      <w:rFonts w:hint="eastAsia" w:cs="Times New Roman"/>
                      <w:color w:val="auto"/>
                      <w:spacing w:val="0"/>
                      <w:kern w:val="11"/>
                      <w:sz w:val="18"/>
                      <w:szCs w:val="18"/>
                      <w:highlight w:val="none"/>
                      <w:u w:val="none"/>
                      <w:lang w:val="en-US" w:eastAsia="zh-CN"/>
                    </w:rPr>
                    <w:t>南通市海门经济技术开发区滨江街道福州路179号</w:t>
                  </w:r>
                  <w:r>
                    <w:rPr>
                      <w:rFonts w:hint="default" w:ascii="Times New Roman" w:hAnsi="Times New Roman" w:eastAsia="宋体" w:cs="Times New Roman"/>
                      <w:color w:val="auto"/>
                      <w:kern w:val="0"/>
                      <w:sz w:val="18"/>
                      <w:szCs w:val="18"/>
                      <w:highlight w:val="none"/>
                      <w:u w:val="none"/>
                      <w:lang w:val="en-US" w:eastAsia="zh-CN"/>
                    </w:rPr>
                    <w:t>，项目所在地为工业用地</w:t>
                  </w:r>
                  <w:r>
                    <w:rPr>
                      <w:rFonts w:hint="eastAsia" w:eastAsia="宋体" w:cs="Times New Roman"/>
                      <w:color w:val="auto"/>
                      <w:kern w:val="0"/>
                      <w:sz w:val="18"/>
                      <w:szCs w:val="18"/>
                      <w:highlight w:val="none"/>
                      <w:u w:val="none"/>
                      <w:lang w:val="en-US" w:eastAsia="zh-CN"/>
                    </w:rPr>
                    <w:t>。</w:t>
                  </w:r>
                </w:p>
              </w:tc>
              <w:tc>
                <w:tcPr>
                  <w:tcW w:w="620" w:type="pct"/>
                  <w:tcBorders>
                    <w:tl2br w:val="nil"/>
                    <w:tr2bl w:val="nil"/>
                  </w:tcBorders>
                  <w:noWrap w:val="0"/>
                  <w:vAlign w:val="center"/>
                </w:tcPr>
                <w:p w14:paraId="769CAF0F">
                  <w:pPr>
                    <w:widowControl/>
                    <w:jc w:val="center"/>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eastAsia="宋体" w:cs="Times New Roman"/>
                      <w:color w:val="auto"/>
                      <w:kern w:val="0"/>
                      <w:sz w:val="18"/>
                      <w:szCs w:val="18"/>
                      <w:highlight w:val="none"/>
                      <w:u w:val="none"/>
                      <w:lang w:val="en-US" w:eastAsia="zh-CN"/>
                    </w:rPr>
                    <w:t>相符</w:t>
                  </w:r>
                </w:p>
              </w:tc>
            </w:tr>
            <w:tr w14:paraId="4978E64F">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49" w:hRule="atLeast"/>
                <w:jc w:val="center"/>
              </w:trPr>
              <w:tc>
                <w:tcPr>
                  <w:tcW w:w="299" w:type="pct"/>
                  <w:tcBorders>
                    <w:tl2br w:val="nil"/>
                    <w:tr2bl w:val="nil"/>
                  </w:tcBorders>
                  <w:noWrap w:val="0"/>
                  <w:vAlign w:val="center"/>
                </w:tcPr>
                <w:p w14:paraId="1956DE71">
                  <w:pPr>
                    <w:widowControl/>
                    <w:jc w:val="center"/>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eastAsia="宋体" w:cs="Times New Roman"/>
                      <w:color w:val="auto"/>
                      <w:kern w:val="0"/>
                      <w:sz w:val="18"/>
                      <w:szCs w:val="18"/>
                      <w:highlight w:val="none"/>
                      <w:u w:val="none"/>
                      <w:lang w:val="en-US" w:eastAsia="zh-CN"/>
                    </w:rPr>
                    <w:t>2</w:t>
                  </w:r>
                </w:p>
              </w:tc>
              <w:tc>
                <w:tcPr>
                  <w:tcW w:w="2714" w:type="pct"/>
                  <w:tcBorders>
                    <w:tl2br w:val="nil"/>
                    <w:tr2bl w:val="nil"/>
                  </w:tcBorders>
                  <w:noWrap w:val="0"/>
                  <w:vAlign w:val="center"/>
                </w:tcPr>
                <w:p w14:paraId="0425EE7F">
                  <w:pPr>
                    <w:widowControl/>
                    <w:jc w:val="center"/>
                    <w:rPr>
                      <w:rFonts w:hint="default" w:ascii="Times New Roman" w:hAnsi="Times New Roman" w:cs="Times New Roman"/>
                      <w:color w:val="auto"/>
                      <w:kern w:val="0"/>
                      <w:sz w:val="18"/>
                      <w:szCs w:val="18"/>
                      <w:highlight w:val="none"/>
                      <w:u w:val="none"/>
                      <w:lang w:val="en-US" w:eastAsia="zh-CN" w:bidi="ar"/>
                    </w:rPr>
                  </w:pPr>
                  <w:r>
                    <w:rPr>
                      <w:rFonts w:hint="default" w:ascii="Times New Roman" w:hAnsi="Times New Roman" w:cs="Times New Roman"/>
                      <w:color w:val="auto"/>
                      <w:kern w:val="0"/>
                      <w:sz w:val="18"/>
                      <w:szCs w:val="18"/>
                      <w:highlight w:val="none"/>
                      <w:u w:val="none"/>
                      <w:lang w:val="en-US" w:eastAsia="zh-CN" w:bidi="ar"/>
                    </w:rPr>
                    <w:t>(二)严格空间管控，优化空间布局。严格落实生态空间管控要求，海门河清水通道维护区、海门区沿江堤防生态公益林和謇公湖重要湿地等3处生态空间管控区原则上不得开展有损主导生态功能的开发建设活动，不得随意占用和调整。开发区内绿地及水域在规划期内原则上不得开发利用。加快推进老城片区工居混杂用地综合整治，南通市先锋印刷有限公司、南通东莲纺织品有限公司、乾钟鞋业(海门)有限公司、海门市星苑绣衣有限责任公司、南通铭家纺织品有限公司等5家企业于2025年前退出。强化工业企业退出和产业升级过程中的污染防治、生态修复。严格落实企业卫生防护距离要求，企业卫生防护距离内不得规划布局敏感目标。加强滨江片区浒通河两侧居住用地与工业用地之间100米绿化防护带建设，排放VOCs、氨气等废气污染物的企业远离居住用地布置，确保开发区产业布局与生态环境保护、人居环境安全相协调。</w:t>
                  </w:r>
                </w:p>
              </w:tc>
              <w:tc>
                <w:tcPr>
                  <w:tcW w:w="1366" w:type="pct"/>
                  <w:tcBorders>
                    <w:tl2br w:val="nil"/>
                    <w:tr2bl w:val="nil"/>
                  </w:tcBorders>
                  <w:noWrap w:val="0"/>
                  <w:vAlign w:val="center"/>
                </w:tcPr>
                <w:p w14:paraId="4B797BBA">
                  <w:pPr>
                    <w:widowControl/>
                    <w:jc w:val="center"/>
                    <w:rPr>
                      <w:rFonts w:hint="default" w:ascii="Times New Roman" w:hAnsi="Times New Roman" w:cs="Times New Roman"/>
                      <w:color w:val="auto"/>
                      <w:kern w:val="0"/>
                      <w:sz w:val="18"/>
                      <w:szCs w:val="18"/>
                      <w:highlight w:val="none"/>
                      <w:u w:val="none"/>
                      <w:lang w:val="en-US" w:eastAsia="zh-CN" w:bidi="ar"/>
                    </w:rPr>
                  </w:pPr>
                  <w:r>
                    <w:rPr>
                      <w:rFonts w:hint="default" w:ascii="Times New Roman" w:hAnsi="Times New Roman" w:cs="Times New Roman"/>
                      <w:color w:val="auto"/>
                      <w:kern w:val="0"/>
                      <w:sz w:val="18"/>
                      <w:szCs w:val="18"/>
                      <w:highlight w:val="none"/>
                      <w:u w:val="none"/>
                      <w:lang w:val="en-US" w:eastAsia="zh-CN" w:bidi="ar"/>
                    </w:rPr>
                    <w:t>本项目不涉及生态管控空间。建设项目</w:t>
                  </w:r>
                  <w:r>
                    <w:rPr>
                      <w:rFonts w:hint="eastAsia" w:ascii="Times New Roman" w:hAnsi="Times New Roman" w:cs="Times New Roman"/>
                      <w:color w:val="auto"/>
                      <w:spacing w:val="0"/>
                      <w:kern w:val="11"/>
                      <w:sz w:val="18"/>
                      <w:szCs w:val="18"/>
                      <w:highlight w:val="none"/>
                      <w:u w:val="none"/>
                      <w:lang w:val="en-US" w:eastAsia="zh-CN"/>
                    </w:rPr>
                    <w:t>位于南通市海门经济技术开发区滨江街道福州路179号</w:t>
                  </w:r>
                  <w:r>
                    <w:rPr>
                      <w:rFonts w:hint="default" w:ascii="Times New Roman" w:hAnsi="Times New Roman" w:cs="Times New Roman"/>
                      <w:color w:val="auto"/>
                      <w:kern w:val="0"/>
                      <w:sz w:val="18"/>
                      <w:szCs w:val="18"/>
                      <w:highlight w:val="none"/>
                      <w:u w:val="none"/>
                      <w:lang w:val="en-US" w:eastAsia="zh-CN" w:bidi="ar"/>
                    </w:rPr>
                    <w:t>，不属于海门区沿江堤防生态公益林内；不属于海门长江饮用水水源保护区范围内；</w:t>
                  </w:r>
                  <w:r>
                    <w:rPr>
                      <w:rFonts w:hint="eastAsia"/>
                      <w:color w:val="auto"/>
                      <w:sz w:val="18"/>
                      <w:szCs w:val="18"/>
                      <w:u w:val="none"/>
                    </w:rPr>
                    <w:t>本项目为</w:t>
                  </w:r>
                  <w:r>
                    <w:rPr>
                      <w:rFonts w:hint="eastAsia" w:cs="Times New Roman"/>
                      <w:color w:val="auto"/>
                      <w:sz w:val="18"/>
                      <w:szCs w:val="18"/>
                      <w:u w:val="none"/>
                      <w:lang w:val="en-US" w:eastAsia="zh-CN"/>
                    </w:rPr>
                    <w:t>C3670汽车零部件及配件制造</w:t>
                  </w:r>
                  <w:r>
                    <w:rPr>
                      <w:rFonts w:hint="default" w:ascii="Times New Roman" w:hAnsi="Times New Roman" w:cs="Times New Roman"/>
                      <w:color w:val="auto"/>
                      <w:kern w:val="0"/>
                      <w:sz w:val="18"/>
                      <w:szCs w:val="18"/>
                      <w:highlight w:val="none"/>
                      <w:u w:val="none"/>
                      <w:lang w:val="en-US" w:eastAsia="zh-CN" w:bidi="ar"/>
                    </w:rPr>
                    <w:t>，属于允许类，符合总体发展规划。</w:t>
                  </w:r>
                </w:p>
              </w:tc>
              <w:tc>
                <w:tcPr>
                  <w:tcW w:w="620" w:type="pct"/>
                  <w:tcBorders>
                    <w:tl2br w:val="nil"/>
                    <w:tr2bl w:val="nil"/>
                  </w:tcBorders>
                  <w:noWrap w:val="0"/>
                  <w:vAlign w:val="center"/>
                </w:tcPr>
                <w:p w14:paraId="00F397EC">
                  <w:pPr>
                    <w:widowControl/>
                    <w:jc w:val="center"/>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eastAsia="宋体" w:cs="Times New Roman"/>
                      <w:color w:val="auto"/>
                      <w:kern w:val="0"/>
                      <w:sz w:val="18"/>
                      <w:szCs w:val="18"/>
                      <w:highlight w:val="none"/>
                      <w:u w:val="none"/>
                      <w:lang w:val="en-US" w:eastAsia="zh-CN"/>
                    </w:rPr>
                    <w:t>相符</w:t>
                  </w:r>
                </w:p>
              </w:tc>
            </w:tr>
            <w:tr w14:paraId="2D8D073E">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49" w:hRule="atLeast"/>
                <w:jc w:val="center"/>
              </w:trPr>
              <w:tc>
                <w:tcPr>
                  <w:tcW w:w="299" w:type="pct"/>
                  <w:tcBorders>
                    <w:tl2br w:val="nil"/>
                    <w:tr2bl w:val="nil"/>
                  </w:tcBorders>
                  <w:noWrap w:val="0"/>
                  <w:vAlign w:val="center"/>
                </w:tcPr>
                <w:p w14:paraId="2CC24E71">
                  <w:pPr>
                    <w:widowControl/>
                    <w:jc w:val="center"/>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eastAsia="宋体" w:cs="Times New Roman"/>
                      <w:color w:val="auto"/>
                      <w:kern w:val="0"/>
                      <w:sz w:val="18"/>
                      <w:szCs w:val="18"/>
                      <w:highlight w:val="none"/>
                      <w:u w:val="none"/>
                      <w:lang w:val="en-US" w:eastAsia="zh-CN"/>
                    </w:rPr>
                    <w:t>3</w:t>
                  </w:r>
                </w:p>
              </w:tc>
              <w:tc>
                <w:tcPr>
                  <w:tcW w:w="2714" w:type="pct"/>
                  <w:tcBorders>
                    <w:tl2br w:val="nil"/>
                    <w:tr2bl w:val="nil"/>
                  </w:tcBorders>
                  <w:noWrap w:val="0"/>
                  <w:vAlign w:val="center"/>
                </w:tcPr>
                <w:p w14:paraId="446B797D">
                  <w:pPr>
                    <w:widowControl/>
                    <w:jc w:val="center"/>
                    <w:rPr>
                      <w:rFonts w:hint="default" w:ascii="Times New Roman" w:hAnsi="Times New Roman" w:cs="Times New Roman"/>
                      <w:color w:val="auto"/>
                      <w:sz w:val="18"/>
                      <w:szCs w:val="18"/>
                      <w:highlight w:val="none"/>
                      <w:u w:val="none"/>
                      <w:lang w:val="en-US" w:eastAsia="zh-CN"/>
                    </w:rPr>
                  </w:pPr>
                  <w:r>
                    <w:rPr>
                      <w:rFonts w:hint="default" w:ascii="Times New Roman" w:hAnsi="Times New Roman" w:cs="Times New Roman"/>
                      <w:color w:val="auto"/>
                      <w:sz w:val="18"/>
                      <w:szCs w:val="18"/>
                      <w:highlight w:val="none"/>
                      <w:u w:val="none"/>
                      <w:lang w:val="en-US" w:eastAsia="zh-CN"/>
                    </w:rPr>
                    <w:t>(三)严守环境质量底线，实施污染物排放限值限量管理。落实国家和江苏省关于大气、水、土壤、噪声污染防治、区域生态环境分区管控、工业园区(集中区)污染物排放限值限量管理相关要求，建立以环境质量为核心的污染物总量控制管理体系，实施主要污染物排放浓度和总量“双管控”。2025年，开发区环境空气细颗粒物(PM2.5)年均浓度应达到25微克/立方米；大港河、新江海河、立新河稳定达到II类水质标准。</w:t>
                  </w:r>
                </w:p>
              </w:tc>
              <w:tc>
                <w:tcPr>
                  <w:tcW w:w="1366" w:type="pct"/>
                  <w:tcBorders>
                    <w:tl2br w:val="nil"/>
                    <w:tr2bl w:val="nil"/>
                  </w:tcBorders>
                  <w:noWrap w:val="0"/>
                  <w:vAlign w:val="center"/>
                </w:tcPr>
                <w:p w14:paraId="06F6AE4C">
                  <w:pPr>
                    <w:widowControl/>
                    <w:jc w:val="center"/>
                    <w:rPr>
                      <w:rFonts w:hint="default" w:ascii="Times New Roman" w:hAnsi="Times New Roman" w:cs="Times New Roman"/>
                      <w:color w:val="auto"/>
                      <w:kern w:val="0"/>
                      <w:sz w:val="18"/>
                      <w:szCs w:val="18"/>
                      <w:highlight w:val="none"/>
                      <w:u w:val="none"/>
                      <w:lang w:eastAsia="zh-CN" w:bidi="ar"/>
                    </w:rPr>
                  </w:pPr>
                  <w:r>
                    <w:rPr>
                      <w:rFonts w:hint="default" w:ascii="Times New Roman" w:hAnsi="Times New Roman" w:cs="Times New Roman"/>
                      <w:color w:val="auto"/>
                      <w:kern w:val="0"/>
                      <w:sz w:val="18"/>
                      <w:szCs w:val="18"/>
                      <w:highlight w:val="none"/>
                      <w:u w:val="none"/>
                      <w:lang w:eastAsia="zh-CN" w:bidi="ar"/>
                    </w:rPr>
                    <w:t>本项目采取有效污染防治措施，废水、废气及噪声均可达标排放，排放总量在海门区内平衡</w:t>
                  </w:r>
                  <w:r>
                    <w:rPr>
                      <w:rFonts w:hint="eastAsia" w:cs="Times New Roman"/>
                      <w:color w:val="auto"/>
                      <w:kern w:val="0"/>
                      <w:sz w:val="18"/>
                      <w:szCs w:val="18"/>
                      <w:highlight w:val="none"/>
                      <w:u w:val="none"/>
                      <w:lang w:eastAsia="zh-CN" w:bidi="ar"/>
                    </w:rPr>
                    <w:t>。</w:t>
                  </w:r>
                </w:p>
              </w:tc>
              <w:tc>
                <w:tcPr>
                  <w:tcW w:w="620" w:type="pct"/>
                  <w:tcBorders>
                    <w:tl2br w:val="nil"/>
                    <w:tr2bl w:val="nil"/>
                  </w:tcBorders>
                  <w:noWrap w:val="0"/>
                  <w:vAlign w:val="center"/>
                </w:tcPr>
                <w:p w14:paraId="4D5168A5">
                  <w:pPr>
                    <w:widowControl/>
                    <w:jc w:val="center"/>
                    <w:rPr>
                      <w:rFonts w:hint="default" w:ascii="Times New Roman" w:hAnsi="Times New Roman" w:cs="Times New Roman"/>
                      <w:color w:val="auto"/>
                      <w:kern w:val="0"/>
                      <w:sz w:val="18"/>
                      <w:szCs w:val="18"/>
                      <w:highlight w:val="none"/>
                      <w:u w:val="none"/>
                      <w:lang w:eastAsia="zh-CN" w:bidi="ar"/>
                    </w:rPr>
                  </w:pPr>
                  <w:r>
                    <w:rPr>
                      <w:rFonts w:hint="default" w:ascii="Times New Roman" w:hAnsi="Times New Roman" w:cs="Times New Roman"/>
                      <w:color w:val="auto"/>
                      <w:kern w:val="0"/>
                      <w:sz w:val="18"/>
                      <w:szCs w:val="18"/>
                      <w:highlight w:val="none"/>
                      <w:u w:val="none"/>
                      <w:lang w:eastAsia="zh-CN" w:bidi="ar"/>
                    </w:rPr>
                    <w:t>相符</w:t>
                  </w:r>
                </w:p>
              </w:tc>
            </w:tr>
            <w:tr w14:paraId="0C76078B">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49" w:hRule="atLeast"/>
                <w:jc w:val="center"/>
              </w:trPr>
              <w:tc>
                <w:tcPr>
                  <w:tcW w:w="299" w:type="pct"/>
                  <w:tcBorders>
                    <w:tl2br w:val="nil"/>
                    <w:tr2bl w:val="nil"/>
                  </w:tcBorders>
                  <w:noWrap w:val="0"/>
                  <w:vAlign w:val="center"/>
                </w:tcPr>
                <w:p w14:paraId="1B838D0F">
                  <w:pPr>
                    <w:widowControl/>
                    <w:jc w:val="center"/>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eastAsia="宋体" w:cs="Times New Roman"/>
                      <w:color w:val="auto"/>
                      <w:kern w:val="0"/>
                      <w:sz w:val="18"/>
                      <w:szCs w:val="18"/>
                      <w:highlight w:val="none"/>
                      <w:u w:val="none"/>
                      <w:lang w:val="en-US" w:eastAsia="zh-CN"/>
                    </w:rPr>
                    <w:t>4</w:t>
                  </w:r>
                </w:p>
              </w:tc>
              <w:tc>
                <w:tcPr>
                  <w:tcW w:w="2714" w:type="pct"/>
                  <w:tcBorders>
                    <w:tl2br w:val="nil"/>
                    <w:tr2bl w:val="nil"/>
                  </w:tcBorders>
                  <w:noWrap w:val="0"/>
                  <w:vAlign w:val="center"/>
                </w:tcPr>
                <w:p w14:paraId="290C7EAB">
                  <w:pPr>
                    <w:widowControl/>
                    <w:jc w:val="center"/>
                    <w:rPr>
                      <w:rFonts w:hint="default" w:ascii="Times New Roman" w:hAnsi="Times New Roman" w:cs="Times New Roman"/>
                      <w:color w:val="auto"/>
                      <w:kern w:val="0"/>
                      <w:sz w:val="18"/>
                      <w:szCs w:val="18"/>
                      <w:highlight w:val="none"/>
                      <w:u w:val="none"/>
                      <w:lang w:eastAsia="zh-CN" w:bidi="ar"/>
                    </w:rPr>
                  </w:pPr>
                  <w:r>
                    <w:rPr>
                      <w:rFonts w:hint="default" w:ascii="Times New Roman" w:hAnsi="Times New Roman" w:cs="Times New Roman"/>
                      <w:color w:val="auto"/>
                      <w:kern w:val="0"/>
                      <w:sz w:val="18"/>
                      <w:szCs w:val="18"/>
                      <w:highlight w:val="none"/>
                      <w:u w:val="none"/>
                      <w:lang w:eastAsia="zh-CN" w:bidi="ar"/>
                    </w:rPr>
                    <w:t>(四)加强源头治理，协同推进减污降碳。严格落实生态环境准入清单(附件2)，落实《报告书》提出的生态环境准入要求，严格限制与主导产业不相关且排污负荷大的项目入区，执行最严格的废水、废气排放控制要求。强化企业特征污染物排放控制、高效治理设施建设，落实精细化管控要求。引进项目的生产工艺、设备，以及单位产品水耗、能耗、污染物排放和资源利用效率等应达到同行业国际先进水平。全面开展清洁生产审核，推动重点行业依法实施强制性审核，引导其他行业自觉自愿开展审核，不断提高现有企业清洁生产和污染治理水平。根据国家和地方碳减排、碳达峰行动方案和路径要求，推进开发区绿色低碳转型发展，优化产业结构、能源结构、交通运输等规划内</w:t>
                  </w:r>
                </w:p>
              </w:tc>
              <w:tc>
                <w:tcPr>
                  <w:tcW w:w="1366" w:type="pct"/>
                  <w:tcBorders>
                    <w:tl2br w:val="nil"/>
                    <w:tr2bl w:val="nil"/>
                  </w:tcBorders>
                  <w:noWrap w:val="0"/>
                  <w:vAlign w:val="center"/>
                </w:tcPr>
                <w:p w14:paraId="2122D5DD">
                  <w:pPr>
                    <w:widowControl/>
                    <w:jc w:val="center"/>
                    <w:rPr>
                      <w:rFonts w:hint="default" w:ascii="Times New Roman" w:hAnsi="Times New Roman" w:cs="Times New Roman"/>
                      <w:color w:val="auto"/>
                      <w:kern w:val="0"/>
                      <w:sz w:val="18"/>
                      <w:szCs w:val="18"/>
                      <w:highlight w:val="none"/>
                      <w:u w:val="none"/>
                      <w:lang w:val="en-US" w:eastAsia="zh-CN" w:bidi="ar"/>
                    </w:rPr>
                  </w:pPr>
                  <w:r>
                    <w:rPr>
                      <w:rFonts w:hint="default" w:ascii="Times New Roman" w:hAnsi="Times New Roman" w:cs="Times New Roman"/>
                      <w:color w:val="auto"/>
                      <w:kern w:val="0"/>
                      <w:sz w:val="18"/>
                      <w:szCs w:val="18"/>
                      <w:highlight w:val="none"/>
                      <w:u w:val="none"/>
                      <w:lang w:val="en-US" w:eastAsia="zh-CN" w:bidi="ar"/>
                    </w:rPr>
                    <w:t>本项目所使用的能源主要为水、电，</w:t>
                  </w:r>
                  <w:r>
                    <w:rPr>
                      <w:rFonts w:hint="eastAsia" w:cs="Times New Roman"/>
                      <w:color w:val="auto"/>
                      <w:kern w:val="0"/>
                      <w:sz w:val="18"/>
                      <w:szCs w:val="18"/>
                      <w:highlight w:val="none"/>
                      <w:u w:val="none"/>
                      <w:lang w:val="en-US" w:eastAsia="zh-CN" w:bidi="ar"/>
                    </w:rPr>
                    <w:t>污染物排放量较少、资源利用率为100%</w:t>
                  </w:r>
                  <w:r>
                    <w:rPr>
                      <w:rFonts w:hint="default" w:ascii="Times New Roman" w:hAnsi="Times New Roman" w:cs="Times New Roman"/>
                      <w:color w:val="auto"/>
                      <w:kern w:val="0"/>
                      <w:sz w:val="18"/>
                      <w:szCs w:val="18"/>
                      <w:highlight w:val="none"/>
                      <w:u w:val="none"/>
                      <w:lang w:val="en-US" w:eastAsia="zh-CN" w:bidi="ar"/>
                    </w:rPr>
                    <w:t>。</w:t>
                  </w:r>
                  <w:r>
                    <w:rPr>
                      <w:rFonts w:hint="eastAsia" w:cs="Times New Roman"/>
                      <w:color w:val="auto"/>
                      <w:kern w:val="0"/>
                      <w:sz w:val="18"/>
                      <w:szCs w:val="18"/>
                      <w:highlight w:val="none"/>
                      <w:u w:val="none"/>
                      <w:lang w:val="en-US" w:eastAsia="zh-CN" w:bidi="ar"/>
                    </w:rPr>
                    <w:t>本项目所用生产工艺、设备属于同行业先进水平，项目将采取干式漆雾过滤器+二级活性炭吸附装置+15m高排气筒（DA016）处理产生的涂装废气，确保建成后能耗、产污、资源利用率处于国际先进水平</w:t>
                  </w:r>
                  <w:r>
                    <w:rPr>
                      <w:rFonts w:hint="eastAsia" w:cs="Times New Roman"/>
                      <w:color w:val="auto"/>
                      <w:kern w:val="0"/>
                      <w:sz w:val="18"/>
                      <w:szCs w:val="18"/>
                      <w:highlight w:val="none"/>
                      <w:u w:val="none"/>
                      <w:lang w:eastAsia="zh-CN" w:bidi="ar"/>
                    </w:rPr>
                    <w:t>。</w:t>
                  </w:r>
                </w:p>
              </w:tc>
              <w:tc>
                <w:tcPr>
                  <w:tcW w:w="620" w:type="pct"/>
                  <w:tcBorders>
                    <w:tl2br w:val="nil"/>
                    <w:tr2bl w:val="nil"/>
                  </w:tcBorders>
                  <w:noWrap w:val="0"/>
                  <w:vAlign w:val="center"/>
                </w:tcPr>
                <w:p w14:paraId="52D77662">
                  <w:pPr>
                    <w:widowControl/>
                    <w:jc w:val="center"/>
                    <w:rPr>
                      <w:rFonts w:hint="default" w:ascii="Times New Roman" w:hAnsi="Times New Roman" w:cs="Times New Roman"/>
                      <w:color w:val="auto"/>
                      <w:kern w:val="0"/>
                      <w:sz w:val="18"/>
                      <w:szCs w:val="18"/>
                      <w:highlight w:val="none"/>
                      <w:u w:val="none"/>
                      <w:lang w:eastAsia="zh-CN"/>
                    </w:rPr>
                  </w:pPr>
                  <w:r>
                    <w:rPr>
                      <w:rFonts w:hint="default" w:ascii="Times New Roman" w:hAnsi="Times New Roman" w:cs="Times New Roman"/>
                      <w:color w:val="auto"/>
                      <w:kern w:val="0"/>
                      <w:sz w:val="18"/>
                      <w:szCs w:val="18"/>
                      <w:highlight w:val="none"/>
                      <w:u w:val="none"/>
                      <w:lang w:eastAsia="zh-CN"/>
                    </w:rPr>
                    <w:t>相符</w:t>
                  </w:r>
                </w:p>
              </w:tc>
            </w:tr>
            <w:tr w14:paraId="277845AE">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49" w:hRule="atLeast"/>
                <w:jc w:val="center"/>
              </w:trPr>
              <w:tc>
                <w:tcPr>
                  <w:tcW w:w="299" w:type="pct"/>
                  <w:tcBorders>
                    <w:tl2br w:val="nil"/>
                    <w:tr2bl w:val="nil"/>
                  </w:tcBorders>
                  <w:noWrap w:val="0"/>
                  <w:vAlign w:val="center"/>
                </w:tcPr>
                <w:p w14:paraId="6AEC978F">
                  <w:pPr>
                    <w:widowControl/>
                    <w:jc w:val="center"/>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eastAsia="宋体" w:cs="Times New Roman"/>
                      <w:color w:val="auto"/>
                      <w:kern w:val="0"/>
                      <w:sz w:val="18"/>
                      <w:szCs w:val="18"/>
                      <w:highlight w:val="none"/>
                      <w:u w:val="none"/>
                      <w:lang w:val="en-US" w:eastAsia="zh-CN"/>
                    </w:rPr>
                    <w:t>5</w:t>
                  </w:r>
                </w:p>
              </w:tc>
              <w:tc>
                <w:tcPr>
                  <w:tcW w:w="2714" w:type="pct"/>
                  <w:tcBorders>
                    <w:tl2br w:val="nil"/>
                    <w:tr2bl w:val="nil"/>
                  </w:tcBorders>
                  <w:noWrap w:val="0"/>
                  <w:vAlign w:val="center"/>
                </w:tcPr>
                <w:p w14:paraId="657F7BCB">
                  <w:pPr>
                    <w:widowControl/>
                    <w:jc w:val="center"/>
                    <w:rPr>
                      <w:rFonts w:hint="default" w:ascii="Times New Roman" w:hAnsi="Times New Roman" w:cs="Times New Roman"/>
                      <w:color w:val="auto"/>
                      <w:kern w:val="0"/>
                      <w:sz w:val="18"/>
                      <w:szCs w:val="18"/>
                      <w:highlight w:val="none"/>
                      <w:u w:val="none"/>
                      <w:lang w:eastAsia="zh-CN" w:bidi="ar"/>
                    </w:rPr>
                  </w:pPr>
                  <w:r>
                    <w:rPr>
                      <w:rFonts w:hint="default" w:ascii="Times New Roman" w:hAnsi="Times New Roman" w:cs="Times New Roman"/>
                      <w:color w:val="auto"/>
                      <w:kern w:val="0"/>
                      <w:sz w:val="18"/>
                      <w:szCs w:val="18"/>
                      <w:highlight w:val="none"/>
                      <w:u w:val="none"/>
                      <w:lang w:eastAsia="zh-CN" w:bidi="ar"/>
                    </w:rPr>
                    <w:t>(五)完善环境基础设施建设，提高基础设施运行效能。完善区域污水管网建设，加快推进东洲污水处理厂、开发区污水处理厂扩建工程，确保工业废水与生活污水分类收集、分质处理；根据新一代信息技术产业项目引进情况推进工业绿岛建设，确保重金属废水“零排放”。推进中水回用设施及配套管网建设，确保开发区中水回用率不低于30%。定期开展开发区污水管网渗漏排查工作，建立健全地下水污染监督、检查、管理及修复机制。积极推进供热管网建设，依托海门鑫源热电厂实施集中供热。加强开发区固体废物资源化、减量化、无害化处理，一般工业固废、危险废物应依法依规收集、处理处置，做到“就地分类收集、就近转移处置”。推进开发区固体废物储运中心建设，提升园区危废监管水平。</w:t>
                  </w:r>
                </w:p>
              </w:tc>
              <w:tc>
                <w:tcPr>
                  <w:tcW w:w="1366" w:type="pct"/>
                  <w:tcBorders>
                    <w:tl2br w:val="nil"/>
                    <w:tr2bl w:val="nil"/>
                  </w:tcBorders>
                  <w:noWrap w:val="0"/>
                  <w:vAlign w:val="center"/>
                </w:tcPr>
                <w:p w14:paraId="74195DA1">
                  <w:pPr>
                    <w:widowControl/>
                    <w:jc w:val="center"/>
                    <w:rPr>
                      <w:rFonts w:hint="default" w:ascii="Times New Roman" w:hAnsi="Times New Roman" w:eastAsia="宋体" w:cs="Times New Roman"/>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u w:val="none"/>
                      <w:lang w:val="en-US" w:eastAsia="zh-CN" w:bidi="ar"/>
                    </w:rPr>
                    <w:t>本项目</w:t>
                  </w:r>
                  <w:r>
                    <w:rPr>
                      <w:rFonts w:hint="default" w:ascii="Times New Roman" w:hAnsi="Times New Roman" w:cs="Times New Roman"/>
                      <w:color w:val="auto"/>
                      <w:kern w:val="0"/>
                      <w:sz w:val="18"/>
                      <w:szCs w:val="18"/>
                      <w:highlight w:val="none"/>
                      <w:u w:val="none"/>
                      <w:lang w:eastAsia="zh-CN" w:bidi="ar"/>
                    </w:rPr>
                    <w:t>废气经污染治理措施治理后达标排放；</w:t>
                  </w:r>
                  <w:r>
                    <w:rPr>
                      <w:rFonts w:hint="eastAsia" w:ascii="Times New Roman" w:hAnsi="Times New Roman" w:cs="Times New Roman"/>
                      <w:color w:val="auto"/>
                      <w:kern w:val="0"/>
                      <w:sz w:val="18"/>
                      <w:szCs w:val="18"/>
                      <w:highlight w:val="none"/>
                      <w:u w:val="none"/>
                      <w:lang w:val="en-US" w:eastAsia="zh-CN" w:bidi="ar"/>
                    </w:rPr>
                    <w:t>污水经处理后接管达标排放</w:t>
                  </w:r>
                  <w:r>
                    <w:rPr>
                      <w:rFonts w:hint="default" w:ascii="Times New Roman" w:hAnsi="Times New Roman" w:cs="Times New Roman"/>
                      <w:color w:val="auto"/>
                      <w:kern w:val="0"/>
                      <w:sz w:val="18"/>
                      <w:szCs w:val="18"/>
                      <w:highlight w:val="none"/>
                      <w:u w:val="none"/>
                      <w:lang w:eastAsia="zh-CN" w:bidi="ar"/>
                    </w:rPr>
                    <w:t>；固废妥善处置零排放</w:t>
                  </w:r>
                  <w:r>
                    <w:rPr>
                      <w:rFonts w:hint="default" w:ascii="Times New Roman" w:hAnsi="Times New Roman" w:eastAsia="宋体" w:cs="Times New Roman"/>
                      <w:color w:val="auto"/>
                      <w:kern w:val="0"/>
                      <w:sz w:val="18"/>
                      <w:szCs w:val="18"/>
                      <w:highlight w:val="none"/>
                      <w:u w:val="none"/>
                      <w:lang w:val="en-US" w:eastAsia="zh-CN" w:bidi="ar"/>
                    </w:rPr>
                    <w:t>。</w:t>
                  </w:r>
                </w:p>
              </w:tc>
              <w:tc>
                <w:tcPr>
                  <w:tcW w:w="620" w:type="pct"/>
                  <w:tcBorders>
                    <w:tl2br w:val="nil"/>
                    <w:tr2bl w:val="nil"/>
                  </w:tcBorders>
                  <w:noWrap w:val="0"/>
                  <w:vAlign w:val="center"/>
                </w:tcPr>
                <w:p w14:paraId="59761605">
                  <w:pPr>
                    <w:widowControl/>
                    <w:jc w:val="center"/>
                    <w:rPr>
                      <w:rFonts w:hint="default" w:ascii="Times New Roman" w:hAnsi="Times New Roman" w:cs="Times New Roman"/>
                      <w:color w:val="auto"/>
                      <w:kern w:val="0"/>
                      <w:sz w:val="18"/>
                      <w:szCs w:val="18"/>
                      <w:highlight w:val="none"/>
                      <w:u w:val="none"/>
                      <w:lang w:val="en-US" w:eastAsia="zh-CN" w:bidi="ar"/>
                    </w:rPr>
                  </w:pPr>
                  <w:r>
                    <w:rPr>
                      <w:rFonts w:hint="default" w:ascii="Times New Roman" w:hAnsi="Times New Roman" w:cs="Times New Roman"/>
                      <w:color w:val="auto"/>
                      <w:sz w:val="18"/>
                      <w:szCs w:val="18"/>
                      <w:highlight w:val="none"/>
                      <w:u w:val="none"/>
                      <w:lang w:eastAsia="zh-CN"/>
                    </w:rPr>
                    <w:t>相符</w:t>
                  </w:r>
                </w:p>
              </w:tc>
            </w:tr>
            <w:tr w14:paraId="70A74463">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49" w:hRule="atLeast"/>
                <w:jc w:val="center"/>
              </w:trPr>
              <w:tc>
                <w:tcPr>
                  <w:tcW w:w="299" w:type="pct"/>
                  <w:tcBorders>
                    <w:tl2br w:val="nil"/>
                    <w:tr2bl w:val="nil"/>
                  </w:tcBorders>
                  <w:noWrap w:val="0"/>
                  <w:vAlign w:val="center"/>
                </w:tcPr>
                <w:p w14:paraId="51233273">
                  <w:pPr>
                    <w:widowControl/>
                    <w:jc w:val="center"/>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eastAsia="宋体" w:cs="Times New Roman"/>
                      <w:color w:val="auto"/>
                      <w:kern w:val="0"/>
                      <w:sz w:val="18"/>
                      <w:szCs w:val="18"/>
                      <w:highlight w:val="none"/>
                      <w:u w:val="none"/>
                      <w:lang w:val="en-US" w:eastAsia="zh-CN"/>
                    </w:rPr>
                    <w:t>6</w:t>
                  </w:r>
                </w:p>
              </w:tc>
              <w:tc>
                <w:tcPr>
                  <w:tcW w:w="2714" w:type="pct"/>
                  <w:tcBorders>
                    <w:tl2br w:val="nil"/>
                    <w:tr2bl w:val="nil"/>
                  </w:tcBorders>
                  <w:noWrap w:val="0"/>
                  <w:vAlign w:val="center"/>
                </w:tcPr>
                <w:p w14:paraId="51B60C6E">
                  <w:pPr>
                    <w:widowControl/>
                    <w:jc w:val="center"/>
                    <w:rPr>
                      <w:rFonts w:hint="default" w:ascii="Times New Roman" w:hAnsi="Times New Roman" w:cs="Times New Roman"/>
                      <w:color w:val="auto"/>
                      <w:kern w:val="0"/>
                      <w:sz w:val="18"/>
                      <w:szCs w:val="18"/>
                      <w:highlight w:val="none"/>
                      <w:u w:val="none"/>
                      <w:lang w:eastAsia="zh-CN" w:bidi="ar"/>
                    </w:rPr>
                  </w:pPr>
                  <w:r>
                    <w:rPr>
                      <w:rFonts w:hint="default" w:ascii="Times New Roman" w:hAnsi="Times New Roman" w:cs="Times New Roman"/>
                      <w:color w:val="auto"/>
                      <w:kern w:val="0"/>
                      <w:sz w:val="18"/>
                      <w:szCs w:val="18"/>
                      <w:highlight w:val="none"/>
                      <w:u w:val="none"/>
                      <w:lang w:eastAsia="zh-CN" w:bidi="ar"/>
                    </w:rPr>
                    <w:t>(六)建立健全环境监测监控体系。开展包括环境空气、地表水、地下水、土壤、底泥等环境要素的长期跟踪监测与管理。结合区域跟踪监测情况，动态调整开发区开发建设规模和时序进度，优化生态环境保护措施，确保区域环境质量不恶化。对于企业关闭、搬迁遗留的污染地块应依法开展土壤污染状况调查、治理与修复工作。严格落实环境质量监测要求，建立开发区土壤和地下水隐患排查制度并纳入监控预警体系。探索开展新污染物环境本底调查监测，依法公开新污染物信息。指导区内企业规范安装在线监测设备并联网，推进区内排污许可重点管理单位自动监测全覆盖;暂不具备安装在线监测设备条件的企业，应做好委托监测工作。积极推进氟化物污染物排放及水环境质量的监测监控，区内重点涉氟企业雨水、污水排放口应安装氟化物自动监控系统并联网。</w:t>
                  </w:r>
                </w:p>
              </w:tc>
              <w:tc>
                <w:tcPr>
                  <w:tcW w:w="1366" w:type="pct"/>
                  <w:tcBorders>
                    <w:tl2br w:val="nil"/>
                    <w:tr2bl w:val="nil"/>
                  </w:tcBorders>
                  <w:noWrap w:val="0"/>
                  <w:vAlign w:val="center"/>
                </w:tcPr>
                <w:p w14:paraId="59444688">
                  <w:pPr>
                    <w:widowControl/>
                    <w:jc w:val="center"/>
                    <w:rPr>
                      <w:rFonts w:hint="default" w:ascii="Times New Roman" w:hAnsi="Times New Roman" w:cs="Times New Roman"/>
                      <w:color w:val="auto"/>
                      <w:kern w:val="0"/>
                      <w:sz w:val="18"/>
                      <w:szCs w:val="18"/>
                      <w:highlight w:val="none"/>
                      <w:u w:val="none"/>
                      <w:lang w:eastAsia="zh-CN" w:bidi="ar"/>
                    </w:rPr>
                  </w:pPr>
                  <w:r>
                    <w:rPr>
                      <w:rFonts w:hint="default" w:ascii="Times New Roman" w:hAnsi="Times New Roman" w:cs="Times New Roman"/>
                      <w:color w:val="auto"/>
                      <w:kern w:val="0"/>
                      <w:sz w:val="18"/>
                      <w:szCs w:val="18"/>
                      <w:highlight w:val="none"/>
                      <w:u w:val="none"/>
                      <w:lang w:eastAsia="zh-CN" w:bidi="ar"/>
                    </w:rPr>
                    <w:t>本项目建成后要求企业定期开展自行监测。</w:t>
                  </w:r>
                </w:p>
              </w:tc>
              <w:tc>
                <w:tcPr>
                  <w:tcW w:w="620" w:type="pct"/>
                  <w:tcBorders>
                    <w:tl2br w:val="nil"/>
                    <w:tr2bl w:val="nil"/>
                  </w:tcBorders>
                  <w:noWrap w:val="0"/>
                  <w:vAlign w:val="center"/>
                </w:tcPr>
                <w:p w14:paraId="31B48BC6">
                  <w:pPr>
                    <w:widowControl/>
                    <w:jc w:val="center"/>
                    <w:rPr>
                      <w:rFonts w:hint="default" w:ascii="Times New Roman" w:hAnsi="Times New Roman" w:cs="Times New Roman"/>
                      <w:color w:val="auto"/>
                      <w:kern w:val="0"/>
                      <w:sz w:val="18"/>
                      <w:szCs w:val="18"/>
                      <w:highlight w:val="none"/>
                      <w:u w:val="none"/>
                      <w:lang w:eastAsia="zh-CN" w:bidi="ar"/>
                    </w:rPr>
                  </w:pPr>
                  <w:r>
                    <w:rPr>
                      <w:rFonts w:hint="default" w:ascii="Times New Roman" w:hAnsi="Times New Roman" w:cs="Times New Roman"/>
                      <w:color w:val="auto"/>
                      <w:kern w:val="0"/>
                      <w:sz w:val="18"/>
                      <w:szCs w:val="18"/>
                      <w:highlight w:val="none"/>
                      <w:u w:val="none"/>
                      <w:lang w:eastAsia="zh-CN" w:bidi="ar"/>
                    </w:rPr>
                    <w:t>相符</w:t>
                  </w:r>
                </w:p>
              </w:tc>
            </w:tr>
            <w:tr w14:paraId="247A61C5">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249" w:hRule="atLeast"/>
                <w:jc w:val="center"/>
              </w:trPr>
              <w:tc>
                <w:tcPr>
                  <w:tcW w:w="299" w:type="pct"/>
                  <w:tcBorders>
                    <w:tl2br w:val="nil"/>
                    <w:tr2bl w:val="nil"/>
                  </w:tcBorders>
                  <w:noWrap w:val="0"/>
                  <w:vAlign w:val="center"/>
                </w:tcPr>
                <w:p w14:paraId="0A1C9F8E">
                  <w:pPr>
                    <w:widowControl/>
                    <w:jc w:val="center"/>
                    <w:rPr>
                      <w:rFonts w:hint="default" w:ascii="Times New Roman" w:hAnsi="Times New Roman" w:eastAsia="宋体" w:cs="Times New Roman"/>
                      <w:color w:val="auto"/>
                      <w:kern w:val="0"/>
                      <w:sz w:val="18"/>
                      <w:szCs w:val="18"/>
                      <w:highlight w:val="none"/>
                      <w:u w:val="none"/>
                      <w:lang w:val="en-US" w:eastAsia="zh-CN"/>
                    </w:rPr>
                  </w:pPr>
                  <w:r>
                    <w:rPr>
                      <w:rFonts w:hint="default" w:ascii="Times New Roman" w:hAnsi="Times New Roman" w:eastAsia="宋体" w:cs="Times New Roman"/>
                      <w:color w:val="auto"/>
                      <w:kern w:val="0"/>
                      <w:sz w:val="18"/>
                      <w:szCs w:val="18"/>
                      <w:highlight w:val="none"/>
                      <w:u w:val="none"/>
                      <w:lang w:val="en-US" w:eastAsia="zh-CN"/>
                    </w:rPr>
                    <w:t>7</w:t>
                  </w:r>
                </w:p>
              </w:tc>
              <w:tc>
                <w:tcPr>
                  <w:tcW w:w="2714" w:type="pct"/>
                  <w:tcBorders>
                    <w:tl2br w:val="nil"/>
                    <w:tr2bl w:val="nil"/>
                  </w:tcBorders>
                  <w:noWrap w:val="0"/>
                  <w:vAlign w:val="center"/>
                </w:tcPr>
                <w:p w14:paraId="5B4AF339">
                  <w:pPr>
                    <w:widowControl/>
                    <w:jc w:val="center"/>
                    <w:rPr>
                      <w:rFonts w:hint="default" w:ascii="Times New Roman" w:hAnsi="Times New Roman" w:cs="Times New Roman"/>
                      <w:color w:val="auto"/>
                      <w:kern w:val="0"/>
                      <w:sz w:val="18"/>
                      <w:szCs w:val="18"/>
                      <w:highlight w:val="none"/>
                      <w:u w:val="none"/>
                      <w:lang w:eastAsia="zh-CN" w:bidi="ar"/>
                    </w:rPr>
                  </w:pPr>
                  <w:r>
                    <w:rPr>
                      <w:rFonts w:hint="default" w:ascii="Times New Roman" w:hAnsi="Times New Roman" w:cs="Times New Roman"/>
                      <w:color w:val="auto"/>
                      <w:kern w:val="0"/>
                      <w:sz w:val="18"/>
                      <w:szCs w:val="18"/>
                      <w:highlight w:val="none"/>
                      <w:u w:val="none"/>
                      <w:lang w:eastAsia="zh-CN" w:bidi="ar"/>
                    </w:rPr>
                    <w:t>(七)健全环境风险防控体系，提升环境应急能力。强化入河排污口监督管理，有效管控入河污染物排放，加强通江河流环境风险管理，确保海门长江饮用水源保护区用水安全。进一步完善开发区特别是以涉重片区为重点的突发水污染事件风险防控体系建设，确保“小事故不出厂区、大事故不出园区”。加强环境应急基础设施建设，配备充足的应急装备物资,提高环境应急救援能力。建立健全环境风险评估和应急预案制度，定期开展环境应急演练，完善环境应急响应联动机制，提升应急实战水平。建立突发环境事件隐患排查长效机制，定期排查突发环境事件隐患，建立隐患清单并督促整改到位，保障区域环境安全。重点关注并督促指导涉重金属企业构筑“风险单元-管网、应急池-厂界”环境风险防控体系，严防涉重金属突发水污染事件。</w:t>
                  </w:r>
                </w:p>
              </w:tc>
              <w:tc>
                <w:tcPr>
                  <w:tcW w:w="1366" w:type="pct"/>
                  <w:tcBorders>
                    <w:tl2br w:val="nil"/>
                    <w:tr2bl w:val="nil"/>
                  </w:tcBorders>
                  <w:noWrap w:val="0"/>
                  <w:vAlign w:val="center"/>
                </w:tcPr>
                <w:p w14:paraId="28C225AF">
                  <w:pPr>
                    <w:widowControl/>
                    <w:jc w:val="center"/>
                    <w:rPr>
                      <w:rFonts w:hint="default" w:ascii="Times New Roman" w:hAnsi="Times New Roman" w:eastAsia="宋体" w:cs="Times New Roman"/>
                      <w:color w:val="auto"/>
                      <w:kern w:val="0"/>
                      <w:sz w:val="18"/>
                      <w:szCs w:val="18"/>
                      <w:highlight w:val="none"/>
                      <w:u w:val="none"/>
                      <w:lang w:val="en-US" w:eastAsia="zh-CN" w:bidi="ar"/>
                    </w:rPr>
                  </w:pPr>
                  <w:r>
                    <w:rPr>
                      <w:rFonts w:hint="default" w:ascii="Times New Roman" w:hAnsi="Times New Roman" w:eastAsia="宋体" w:cs="Times New Roman"/>
                      <w:color w:val="auto"/>
                      <w:kern w:val="0"/>
                      <w:sz w:val="18"/>
                      <w:szCs w:val="18"/>
                      <w:highlight w:val="none"/>
                      <w:u w:val="none"/>
                      <w:lang w:val="en-US" w:eastAsia="zh-CN" w:bidi="ar"/>
                    </w:rPr>
                    <w:t>本项目建成后将</w:t>
                  </w:r>
                  <w:r>
                    <w:rPr>
                      <w:rFonts w:hint="eastAsia" w:cs="Times New Roman"/>
                      <w:color w:val="auto"/>
                      <w:kern w:val="0"/>
                      <w:sz w:val="18"/>
                      <w:szCs w:val="18"/>
                      <w:highlight w:val="none"/>
                      <w:u w:val="none"/>
                      <w:lang w:val="en-US" w:eastAsia="zh-CN" w:bidi="ar"/>
                    </w:rPr>
                    <w:t>修编</w:t>
                  </w:r>
                  <w:r>
                    <w:rPr>
                      <w:rFonts w:hint="default" w:ascii="Times New Roman" w:hAnsi="Times New Roman" w:eastAsia="宋体" w:cs="Times New Roman"/>
                      <w:color w:val="auto"/>
                      <w:kern w:val="0"/>
                      <w:sz w:val="18"/>
                      <w:szCs w:val="18"/>
                      <w:highlight w:val="none"/>
                      <w:u w:val="none"/>
                      <w:lang w:val="en-US" w:eastAsia="zh-CN" w:bidi="ar"/>
                    </w:rPr>
                    <w:t>环境风险应急预案，同时企业内储备有足够的环境应急物资，实现环境风险联防联控，故能满足环境风险防控的相关要求。</w:t>
                  </w:r>
                </w:p>
              </w:tc>
              <w:tc>
                <w:tcPr>
                  <w:tcW w:w="620" w:type="pct"/>
                  <w:tcBorders>
                    <w:tl2br w:val="nil"/>
                    <w:tr2bl w:val="nil"/>
                  </w:tcBorders>
                  <w:noWrap w:val="0"/>
                  <w:vAlign w:val="center"/>
                </w:tcPr>
                <w:p w14:paraId="3BF0950B">
                  <w:pPr>
                    <w:widowControl/>
                    <w:jc w:val="center"/>
                    <w:rPr>
                      <w:rFonts w:hint="default" w:ascii="Times New Roman" w:hAnsi="Times New Roman" w:eastAsia="宋体" w:cs="Times New Roman"/>
                      <w:color w:val="auto"/>
                      <w:kern w:val="0"/>
                      <w:sz w:val="18"/>
                      <w:szCs w:val="18"/>
                      <w:highlight w:val="none"/>
                      <w:u w:val="none"/>
                      <w:lang w:val="en-US" w:eastAsia="zh-CN" w:bidi="ar"/>
                    </w:rPr>
                  </w:pPr>
                  <w:r>
                    <w:rPr>
                      <w:rFonts w:hint="default" w:ascii="Times New Roman" w:hAnsi="Times New Roman" w:cs="Times New Roman"/>
                      <w:color w:val="auto"/>
                      <w:kern w:val="0"/>
                      <w:sz w:val="18"/>
                      <w:szCs w:val="18"/>
                      <w:highlight w:val="none"/>
                      <w:u w:val="none"/>
                      <w:lang w:val="en-US" w:eastAsia="zh-CN" w:bidi="ar"/>
                    </w:rPr>
                    <w:t>相符</w:t>
                  </w:r>
                </w:p>
              </w:tc>
            </w:tr>
          </w:tbl>
          <w:p w14:paraId="29B2617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color w:val="auto"/>
                <w:u w:val="none"/>
                <w:lang w:val="en-US" w:eastAsia="zh-CN"/>
              </w:rPr>
            </w:pPr>
            <w:r>
              <w:rPr>
                <w:rFonts w:hint="eastAsia" w:ascii="Times New Roman" w:hAnsi="Times New Roman" w:cs="Times New Roman"/>
                <w:b w:val="0"/>
                <w:bCs/>
                <w:color w:val="auto"/>
                <w:sz w:val="21"/>
                <w:szCs w:val="21"/>
                <w:u w:val="none"/>
                <w:lang w:val="en-US" w:eastAsia="zh-CN"/>
              </w:rPr>
              <w:t xml:space="preserve">  由上表可知，本项目建设符合</w:t>
            </w:r>
            <w:r>
              <w:rPr>
                <w:rFonts w:hint="default" w:ascii="Times New Roman" w:hAnsi="Times New Roman" w:eastAsia="新宋体" w:cs="Times New Roman"/>
                <w:color w:val="auto"/>
                <w:szCs w:val="21"/>
                <w:u w:val="none"/>
              </w:rPr>
              <w:t>《</w:t>
            </w:r>
            <w:r>
              <w:rPr>
                <w:rFonts w:hint="eastAsia" w:ascii="Times New Roman" w:hAnsi="Times New Roman" w:eastAsia="新宋体" w:cs="Times New Roman"/>
                <w:color w:val="auto"/>
                <w:szCs w:val="21"/>
                <w:u w:val="none"/>
                <w:lang w:val="en-US" w:eastAsia="zh-CN"/>
              </w:rPr>
              <w:t>省生态环境厅关于海门经济技术开发区建设规划（2022-2035年）环境影响报告书的审查意见</w:t>
            </w:r>
            <w:r>
              <w:rPr>
                <w:rFonts w:hint="default" w:ascii="Times New Roman" w:hAnsi="Times New Roman" w:eastAsia="新宋体" w:cs="Times New Roman"/>
                <w:color w:val="auto"/>
                <w:szCs w:val="21"/>
                <w:u w:val="none"/>
              </w:rPr>
              <w:t>》</w:t>
            </w:r>
            <w:r>
              <w:rPr>
                <w:rFonts w:hint="default" w:ascii="Times New Roman" w:hAnsi="Times New Roman" w:eastAsia="新宋体" w:cs="Times New Roman"/>
                <w:color w:val="auto"/>
                <w:szCs w:val="21"/>
                <w:u w:val="none"/>
                <w:lang w:eastAsia="zh-CN"/>
              </w:rPr>
              <w:t>（</w:t>
            </w:r>
            <w:r>
              <w:rPr>
                <w:rFonts w:hint="eastAsia" w:ascii="Times New Roman" w:hAnsi="Times New Roman" w:eastAsia="新宋体" w:cs="Times New Roman"/>
                <w:color w:val="auto"/>
                <w:szCs w:val="21"/>
                <w:u w:val="none"/>
                <w:lang w:val="en-US" w:eastAsia="zh-CN"/>
              </w:rPr>
              <w:t>苏</w:t>
            </w:r>
            <w:r>
              <w:rPr>
                <w:rFonts w:hint="default" w:ascii="Times New Roman" w:hAnsi="Times New Roman" w:cs="Times New Roman"/>
                <w:color w:val="auto"/>
                <w:szCs w:val="21"/>
                <w:u w:val="none"/>
              </w:rPr>
              <w:t>环审[20</w:t>
            </w:r>
            <w:r>
              <w:rPr>
                <w:rFonts w:hint="eastAsia" w:ascii="Times New Roman" w:hAnsi="Times New Roman" w:cs="Times New Roman"/>
                <w:color w:val="auto"/>
                <w:szCs w:val="21"/>
                <w:u w:val="none"/>
                <w:lang w:val="en-US" w:eastAsia="zh-CN"/>
              </w:rPr>
              <w:t>24</w:t>
            </w:r>
            <w:r>
              <w:rPr>
                <w:rFonts w:hint="default" w:ascii="Times New Roman" w:hAnsi="Times New Roman" w:cs="Times New Roman"/>
                <w:color w:val="auto"/>
                <w:szCs w:val="21"/>
                <w:u w:val="none"/>
              </w:rPr>
              <w:t>]</w:t>
            </w:r>
            <w:r>
              <w:rPr>
                <w:rFonts w:hint="eastAsia" w:ascii="Times New Roman" w:hAnsi="Times New Roman" w:cs="Times New Roman"/>
                <w:color w:val="auto"/>
                <w:szCs w:val="21"/>
                <w:u w:val="none"/>
                <w:lang w:val="en-US" w:eastAsia="zh-CN"/>
              </w:rPr>
              <w:t>7</w:t>
            </w:r>
            <w:r>
              <w:rPr>
                <w:rFonts w:hint="default" w:ascii="Times New Roman" w:hAnsi="Times New Roman" w:cs="Times New Roman"/>
                <w:color w:val="auto"/>
                <w:szCs w:val="21"/>
                <w:u w:val="none"/>
              </w:rPr>
              <w:t>号</w:t>
            </w:r>
            <w:r>
              <w:rPr>
                <w:rFonts w:hint="default" w:ascii="Times New Roman" w:hAnsi="Times New Roman" w:cs="Times New Roman"/>
                <w:color w:val="auto"/>
                <w:szCs w:val="21"/>
                <w:u w:val="none"/>
                <w:lang w:eastAsia="zh-CN"/>
              </w:rPr>
              <w:t>）</w:t>
            </w:r>
            <w:r>
              <w:rPr>
                <w:rFonts w:hint="eastAsia" w:ascii="Times New Roman" w:hAnsi="Times New Roman" w:cs="Times New Roman"/>
                <w:color w:val="auto"/>
                <w:szCs w:val="21"/>
                <w:u w:val="none"/>
                <w:lang w:val="en-US" w:eastAsia="zh-CN"/>
              </w:rPr>
              <w:t>的相关要求。</w:t>
            </w:r>
          </w:p>
          <w:p w14:paraId="63304E23">
            <w:pPr>
              <w:spacing w:line="360" w:lineRule="auto"/>
              <w:jc w:val="left"/>
              <w:rPr>
                <w:rFonts w:hint="eastAsia"/>
                <w:b/>
                <w:bCs/>
                <w:color w:val="auto"/>
                <w:u w:val="none"/>
                <w:lang w:val="en-US" w:eastAsia="zh-CN"/>
              </w:rPr>
            </w:pPr>
            <w:r>
              <w:rPr>
                <w:rFonts w:hint="eastAsia"/>
                <w:b/>
                <w:bCs/>
                <w:color w:val="auto"/>
                <w:u w:val="none"/>
                <w:lang w:val="en-US" w:eastAsia="zh-CN"/>
              </w:rPr>
              <w:t>3、与海门经济技术开发区生态环境准入清单相符性分析</w:t>
            </w:r>
          </w:p>
          <w:p w14:paraId="6C5C0ADD">
            <w:pPr>
              <w:spacing w:line="360" w:lineRule="auto"/>
              <w:jc w:val="center"/>
              <w:rPr>
                <w:rFonts w:hint="default"/>
                <w:color w:val="auto"/>
                <w:u w:val="none"/>
                <w:lang w:val="en-US" w:eastAsia="zh-CN"/>
              </w:rPr>
            </w:pPr>
            <w:r>
              <w:rPr>
                <w:rFonts w:hint="eastAsia"/>
                <w:b/>
                <w:color w:val="auto"/>
                <w:sz w:val="21"/>
                <w:szCs w:val="24"/>
                <w:u w:val="none"/>
              </w:rPr>
              <w:t>表1-</w:t>
            </w:r>
            <w:r>
              <w:rPr>
                <w:rFonts w:hint="eastAsia"/>
                <w:b/>
                <w:color w:val="auto"/>
                <w:sz w:val="21"/>
                <w:szCs w:val="24"/>
                <w:u w:val="none"/>
                <w:lang w:val="en-US" w:eastAsia="zh-CN"/>
              </w:rPr>
              <w:t>2</w:t>
            </w:r>
            <w:r>
              <w:rPr>
                <w:rFonts w:hint="eastAsia"/>
                <w:b/>
                <w:color w:val="auto"/>
                <w:sz w:val="21"/>
                <w:szCs w:val="24"/>
                <w:u w:val="none"/>
              </w:rPr>
              <w:t xml:space="preserve"> 与海门经济技术开发区生态环境准入清单相符性分析</w:t>
            </w:r>
          </w:p>
          <w:tbl>
            <w:tblPr>
              <w:tblStyle w:val="20"/>
              <w:tblW w:w="82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8"/>
              <w:gridCol w:w="328"/>
              <w:gridCol w:w="677"/>
              <w:gridCol w:w="3705"/>
              <w:gridCol w:w="2310"/>
              <w:gridCol w:w="850"/>
            </w:tblGrid>
            <w:tr w14:paraId="225965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3" w:type="dxa"/>
                  <w:gridSpan w:val="3"/>
                  <w:tcBorders>
                    <w:top w:val="single" w:color="auto" w:sz="12" w:space="0"/>
                    <w:left w:val="nil"/>
                    <w:bottom w:val="single" w:color="auto" w:sz="4" w:space="0"/>
                    <w:right w:val="single" w:color="auto" w:sz="4" w:space="0"/>
                    <w:tl2br w:val="nil"/>
                    <w:tr2bl w:val="nil"/>
                  </w:tcBorders>
                  <w:noWrap w:val="0"/>
                  <w:vAlign w:val="center"/>
                </w:tcPr>
                <w:p w14:paraId="66453869">
                  <w:pPr>
                    <w:widowControl/>
                    <w:spacing w:beforeLines="0" w:afterLines="0" w:line="240" w:lineRule="auto"/>
                    <w:jc w:val="center"/>
                    <w:rPr>
                      <w:rFonts w:hint="default"/>
                      <w:b/>
                      <w:color w:val="auto"/>
                      <w:sz w:val="18"/>
                      <w:szCs w:val="18"/>
                      <w:u w:val="none"/>
                    </w:rPr>
                  </w:pPr>
                  <w:r>
                    <w:rPr>
                      <w:rFonts w:hint="eastAsia"/>
                      <w:b/>
                      <w:color w:val="auto"/>
                      <w:sz w:val="18"/>
                      <w:szCs w:val="18"/>
                      <w:u w:val="none"/>
                    </w:rPr>
                    <w:t>清单类别</w:t>
                  </w:r>
                </w:p>
              </w:tc>
              <w:tc>
                <w:tcPr>
                  <w:tcW w:w="3705" w:type="dxa"/>
                  <w:tcBorders>
                    <w:top w:val="single" w:color="auto" w:sz="12" w:space="0"/>
                    <w:left w:val="single" w:color="auto" w:sz="4" w:space="0"/>
                    <w:bottom w:val="single" w:color="auto" w:sz="4" w:space="0"/>
                    <w:right w:val="single" w:color="auto" w:sz="4" w:space="0"/>
                    <w:tl2br w:val="nil"/>
                    <w:tr2bl w:val="nil"/>
                  </w:tcBorders>
                  <w:noWrap w:val="0"/>
                  <w:vAlign w:val="center"/>
                </w:tcPr>
                <w:p w14:paraId="63C81953">
                  <w:pPr>
                    <w:widowControl/>
                    <w:spacing w:beforeLines="0" w:afterLines="0" w:line="240" w:lineRule="auto"/>
                    <w:jc w:val="center"/>
                    <w:rPr>
                      <w:rFonts w:hint="default"/>
                      <w:b/>
                      <w:color w:val="auto"/>
                      <w:sz w:val="18"/>
                      <w:szCs w:val="18"/>
                      <w:u w:val="none"/>
                    </w:rPr>
                  </w:pPr>
                  <w:r>
                    <w:rPr>
                      <w:rFonts w:hint="eastAsia"/>
                      <w:b/>
                      <w:color w:val="auto"/>
                      <w:sz w:val="18"/>
                      <w:szCs w:val="18"/>
                      <w:u w:val="none"/>
                    </w:rPr>
                    <w:t>生态环境准入条件</w:t>
                  </w:r>
                </w:p>
              </w:tc>
              <w:tc>
                <w:tcPr>
                  <w:tcW w:w="2310" w:type="dxa"/>
                  <w:tcBorders>
                    <w:top w:val="single" w:color="auto" w:sz="12" w:space="0"/>
                    <w:left w:val="single" w:color="auto" w:sz="4" w:space="0"/>
                    <w:bottom w:val="single" w:color="auto" w:sz="4" w:space="0"/>
                    <w:right w:val="single" w:color="auto" w:sz="4" w:space="0"/>
                    <w:tl2br w:val="nil"/>
                    <w:tr2bl w:val="nil"/>
                  </w:tcBorders>
                  <w:noWrap w:val="0"/>
                  <w:vAlign w:val="center"/>
                </w:tcPr>
                <w:p w14:paraId="14419D14">
                  <w:pPr>
                    <w:widowControl/>
                    <w:spacing w:beforeLines="0" w:afterLines="0" w:line="240" w:lineRule="auto"/>
                    <w:jc w:val="center"/>
                    <w:rPr>
                      <w:rFonts w:hint="default"/>
                      <w:b/>
                      <w:color w:val="auto"/>
                      <w:sz w:val="18"/>
                      <w:szCs w:val="18"/>
                      <w:u w:val="none"/>
                    </w:rPr>
                  </w:pPr>
                  <w:r>
                    <w:rPr>
                      <w:rFonts w:hint="eastAsia"/>
                      <w:b/>
                      <w:color w:val="auto"/>
                      <w:sz w:val="18"/>
                      <w:szCs w:val="18"/>
                      <w:u w:val="none"/>
                    </w:rPr>
                    <w:t>本项目情况</w:t>
                  </w:r>
                </w:p>
              </w:tc>
              <w:tc>
                <w:tcPr>
                  <w:tcW w:w="850" w:type="dxa"/>
                  <w:tcBorders>
                    <w:top w:val="single" w:color="auto" w:sz="12" w:space="0"/>
                    <w:left w:val="single" w:color="auto" w:sz="4" w:space="0"/>
                    <w:bottom w:val="single" w:color="auto" w:sz="4" w:space="0"/>
                    <w:right w:val="nil"/>
                    <w:tl2br w:val="nil"/>
                    <w:tr2bl w:val="nil"/>
                  </w:tcBorders>
                  <w:noWrap w:val="0"/>
                  <w:vAlign w:val="center"/>
                </w:tcPr>
                <w:p w14:paraId="1502C666">
                  <w:pPr>
                    <w:widowControl/>
                    <w:spacing w:beforeLines="0" w:afterLines="0" w:line="240" w:lineRule="auto"/>
                    <w:jc w:val="center"/>
                    <w:rPr>
                      <w:rFonts w:hint="default"/>
                      <w:b/>
                      <w:color w:val="auto"/>
                      <w:sz w:val="18"/>
                      <w:szCs w:val="18"/>
                      <w:u w:val="none"/>
                    </w:rPr>
                  </w:pPr>
                  <w:r>
                    <w:rPr>
                      <w:rFonts w:hint="eastAsia"/>
                      <w:b/>
                      <w:color w:val="auto"/>
                      <w:sz w:val="18"/>
                      <w:szCs w:val="18"/>
                      <w:u w:val="none"/>
                    </w:rPr>
                    <w:t>相符性</w:t>
                  </w:r>
                </w:p>
              </w:tc>
            </w:tr>
            <w:tr w14:paraId="2515C7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48" w:type="dxa"/>
                  <w:vMerge w:val="restart"/>
                  <w:tcBorders>
                    <w:top w:val="single" w:color="auto" w:sz="4" w:space="0"/>
                    <w:left w:val="nil"/>
                    <w:bottom w:val="single" w:color="auto" w:sz="4" w:space="0"/>
                    <w:right w:val="single" w:color="auto" w:sz="4" w:space="0"/>
                    <w:tl2br w:val="nil"/>
                    <w:tr2bl w:val="nil"/>
                  </w:tcBorders>
                  <w:noWrap w:val="0"/>
                  <w:vAlign w:val="center"/>
                </w:tcPr>
                <w:p w14:paraId="21EDF9C3">
                  <w:pPr>
                    <w:widowControl/>
                    <w:spacing w:beforeLines="0" w:afterLines="0" w:line="240" w:lineRule="auto"/>
                    <w:jc w:val="center"/>
                    <w:rPr>
                      <w:rFonts w:hint="default"/>
                      <w:color w:val="auto"/>
                      <w:sz w:val="18"/>
                      <w:szCs w:val="18"/>
                      <w:u w:val="none"/>
                    </w:rPr>
                  </w:pPr>
                  <w:r>
                    <w:rPr>
                      <w:rFonts w:hint="eastAsia"/>
                      <w:color w:val="auto"/>
                      <w:sz w:val="18"/>
                      <w:szCs w:val="18"/>
                      <w:u w:val="none"/>
                    </w:rPr>
                    <w:t>产业准入</w:t>
                  </w:r>
                </w:p>
              </w:tc>
              <w:tc>
                <w:tcPr>
                  <w:tcW w:w="100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6059CCB0">
                  <w:pPr>
                    <w:widowControl/>
                    <w:spacing w:beforeLines="0" w:afterLines="0" w:line="240" w:lineRule="auto"/>
                    <w:jc w:val="center"/>
                    <w:rPr>
                      <w:rFonts w:hint="default"/>
                      <w:color w:val="auto"/>
                      <w:sz w:val="18"/>
                      <w:szCs w:val="18"/>
                      <w:u w:val="none"/>
                    </w:rPr>
                  </w:pPr>
                  <w:r>
                    <w:rPr>
                      <w:rFonts w:hint="eastAsia"/>
                      <w:color w:val="auto"/>
                      <w:sz w:val="18"/>
                      <w:szCs w:val="18"/>
                      <w:u w:val="none"/>
                    </w:rPr>
                    <w:t>主导产业</w:t>
                  </w:r>
                </w:p>
              </w:tc>
              <w:tc>
                <w:tcPr>
                  <w:tcW w:w="370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B949BF5">
                  <w:pPr>
                    <w:widowControl/>
                    <w:spacing w:beforeLines="0" w:afterLines="0" w:line="240" w:lineRule="auto"/>
                    <w:jc w:val="left"/>
                    <w:rPr>
                      <w:rFonts w:hint="default"/>
                      <w:color w:val="auto"/>
                      <w:sz w:val="18"/>
                      <w:szCs w:val="18"/>
                      <w:u w:val="none"/>
                    </w:rPr>
                  </w:pPr>
                  <w:r>
                    <w:rPr>
                      <w:rFonts w:hint="eastAsia"/>
                      <w:color w:val="auto"/>
                      <w:sz w:val="18"/>
                      <w:szCs w:val="18"/>
                      <w:u w:val="none"/>
                    </w:rPr>
                    <w:t>海工装备、智能制造、新一代信息技术等产业</w:t>
                  </w:r>
                </w:p>
              </w:tc>
              <w:tc>
                <w:tcPr>
                  <w:tcW w:w="231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DF49793">
                  <w:pPr>
                    <w:tabs>
                      <w:tab w:val="left" w:pos="3208"/>
                      <w:tab w:val="center" w:pos="4212"/>
                    </w:tabs>
                    <w:ind w:firstLine="360" w:firstLineChars="200"/>
                    <w:jc w:val="left"/>
                    <w:rPr>
                      <w:rFonts w:hint="eastAsia"/>
                      <w:color w:val="auto"/>
                      <w:sz w:val="18"/>
                      <w:szCs w:val="18"/>
                      <w:u w:val="none"/>
                      <w:lang w:val="en-US" w:eastAsia="zh-CN"/>
                    </w:rPr>
                  </w:pPr>
                  <w:r>
                    <w:rPr>
                      <w:rFonts w:hint="eastAsia" w:ascii="Times New Roman" w:hAnsi="Times New Roman" w:eastAsia="宋体" w:cs="Times New Roman"/>
                      <w:color w:val="auto"/>
                      <w:sz w:val="18"/>
                      <w:szCs w:val="18"/>
                      <w:u w:val="none"/>
                    </w:rPr>
                    <w:t>本项目属于</w:t>
                  </w:r>
                  <w:r>
                    <w:rPr>
                      <w:rFonts w:hint="eastAsia" w:cs="Times New Roman"/>
                      <w:color w:val="auto"/>
                      <w:sz w:val="18"/>
                      <w:szCs w:val="18"/>
                      <w:u w:val="none"/>
                      <w:lang w:val="en-US" w:eastAsia="zh-CN"/>
                    </w:rPr>
                    <w:t>C3670汽车零部件及配件制造</w:t>
                  </w:r>
                  <w:r>
                    <w:rPr>
                      <w:rFonts w:hint="eastAsia" w:ascii="Times New Roman" w:hAnsi="Times New Roman" w:eastAsia="宋体" w:cs="Times New Roman"/>
                      <w:color w:val="auto"/>
                      <w:sz w:val="18"/>
                      <w:szCs w:val="18"/>
                      <w:u w:val="none"/>
                    </w:rPr>
                    <w:t>，</w:t>
                  </w:r>
                  <w:r>
                    <w:rPr>
                      <w:rFonts w:hint="eastAsia"/>
                      <w:color w:val="auto"/>
                      <w:sz w:val="18"/>
                      <w:szCs w:val="18"/>
                      <w:u w:val="none"/>
                      <w:lang w:val="en-US" w:eastAsia="zh-CN"/>
                    </w:rPr>
                    <w:t>本项目有机硅硬质涂层UVHC5000-50可增加车灯表面抗划伤能力，属于车灯硬化漆，该涂料使用UV光固化，属于辐射固化涂料，防雾涂料能有效增加车灯防雾能力，属于溶剂型涂料，根据《涂料中有害物质限量第2部分：工业涂料》（GB30981.2-2025）3.8款，明确了车灯硬化漆、防雾涂料为特殊功能涂料，属于受技术的限制暂不能被环境友好型涂料替代的涂料；且根据涂料MSDS及VOCs检测报告，本项目涉及的车灯硬化漆、防雾涂料中不含苯、甲苯、二甲苯等有害物质，且满足《涂料中有害物质限量第2部分：工业涂料》（GB30981.2-2025）要求；车灯硬化漆、防雾涂料均为车灯生产中不可缺少的原料，具有不可替代性。</w:t>
                  </w:r>
                </w:p>
                <w:p w14:paraId="3369EC23">
                  <w:pPr>
                    <w:widowControl/>
                    <w:spacing w:beforeLines="0" w:afterLines="0" w:line="240" w:lineRule="auto"/>
                    <w:jc w:val="left"/>
                    <w:rPr>
                      <w:rFonts w:hint="default" w:eastAsia="宋体"/>
                      <w:color w:val="auto"/>
                      <w:sz w:val="18"/>
                      <w:szCs w:val="18"/>
                      <w:u w:val="none"/>
                      <w:lang w:val="en-US" w:eastAsia="zh-CN"/>
                    </w:rPr>
                  </w:pPr>
                  <w:r>
                    <w:rPr>
                      <w:rFonts w:hint="eastAsia"/>
                      <w:color w:val="auto"/>
                      <w:sz w:val="18"/>
                      <w:szCs w:val="18"/>
                      <w:u w:val="none"/>
                      <w:lang w:val="en-US" w:eastAsia="zh-CN"/>
                    </w:rPr>
                    <w:t>不可替代证明详见附件。故</w:t>
                  </w:r>
                  <w:r>
                    <w:rPr>
                      <w:rFonts w:hint="eastAsia" w:ascii="Times New Roman" w:hAnsi="Times New Roman" w:eastAsia="宋体" w:cs="Times New Roman"/>
                      <w:color w:val="auto"/>
                      <w:sz w:val="18"/>
                      <w:szCs w:val="18"/>
                      <w:u w:val="none"/>
                    </w:rPr>
                    <w:t>不属于禁止引入和限制引</w:t>
                  </w:r>
                  <w:r>
                    <w:rPr>
                      <w:rFonts w:hint="eastAsia"/>
                      <w:color w:val="auto"/>
                      <w:sz w:val="18"/>
                      <w:szCs w:val="18"/>
                      <w:u w:val="none"/>
                    </w:rPr>
                    <w:t>入的项目，符合海门经济开发区产业规划。</w:t>
                  </w:r>
                </w:p>
              </w:tc>
              <w:tc>
                <w:tcPr>
                  <w:tcW w:w="850" w:type="dxa"/>
                  <w:vMerge w:val="restart"/>
                  <w:tcBorders>
                    <w:top w:val="single" w:color="auto" w:sz="4" w:space="0"/>
                    <w:left w:val="single" w:color="auto" w:sz="4" w:space="0"/>
                    <w:bottom w:val="single" w:color="auto" w:sz="4" w:space="0"/>
                    <w:right w:val="nil"/>
                    <w:tl2br w:val="nil"/>
                    <w:tr2bl w:val="nil"/>
                  </w:tcBorders>
                  <w:noWrap w:val="0"/>
                  <w:vAlign w:val="center"/>
                </w:tcPr>
                <w:p w14:paraId="71F75A65">
                  <w:pPr>
                    <w:widowControl/>
                    <w:spacing w:beforeLines="0" w:afterLines="0" w:line="240" w:lineRule="auto"/>
                    <w:jc w:val="center"/>
                    <w:rPr>
                      <w:rFonts w:hint="default"/>
                      <w:color w:val="auto"/>
                      <w:sz w:val="18"/>
                      <w:szCs w:val="18"/>
                      <w:u w:val="none"/>
                    </w:rPr>
                  </w:pPr>
                  <w:r>
                    <w:rPr>
                      <w:rFonts w:hint="eastAsia"/>
                      <w:color w:val="auto"/>
                      <w:sz w:val="18"/>
                      <w:szCs w:val="18"/>
                      <w:u w:val="none"/>
                    </w:rPr>
                    <w:t>相符</w:t>
                  </w:r>
                </w:p>
              </w:tc>
            </w:tr>
            <w:tr w14:paraId="07AC9E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48" w:type="dxa"/>
                  <w:vMerge w:val="continue"/>
                  <w:tcBorders>
                    <w:top w:val="single" w:color="auto" w:sz="4" w:space="0"/>
                    <w:left w:val="nil"/>
                    <w:bottom w:val="single" w:color="auto" w:sz="4" w:space="0"/>
                    <w:right w:val="single" w:color="auto" w:sz="4" w:space="0"/>
                    <w:tl2br w:val="nil"/>
                    <w:tr2bl w:val="nil"/>
                  </w:tcBorders>
                  <w:noWrap w:val="0"/>
                  <w:vAlign w:val="center"/>
                </w:tcPr>
                <w:p w14:paraId="76C919D9">
                  <w:pPr>
                    <w:widowControl/>
                    <w:spacing w:beforeLines="0" w:afterLines="0" w:line="240" w:lineRule="auto"/>
                    <w:jc w:val="center"/>
                    <w:rPr>
                      <w:rFonts w:hint="default"/>
                      <w:color w:val="auto"/>
                      <w:sz w:val="18"/>
                      <w:szCs w:val="18"/>
                      <w:u w:val="none"/>
                    </w:rPr>
                  </w:pPr>
                </w:p>
              </w:tc>
              <w:tc>
                <w:tcPr>
                  <w:tcW w:w="100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C32B84B">
                  <w:pPr>
                    <w:widowControl/>
                    <w:spacing w:beforeLines="0" w:afterLines="0" w:line="240" w:lineRule="auto"/>
                    <w:jc w:val="center"/>
                    <w:rPr>
                      <w:rFonts w:hint="default"/>
                      <w:color w:val="auto"/>
                      <w:sz w:val="18"/>
                      <w:szCs w:val="18"/>
                      <w:u w:val="none"/>
                    </w:rPr>
                  </w:pPr>
                  <w:r>
                    <w:rPr>
                      <w:rFonts w:hint="eastAsia"/>
                      <w:color w:val="auto"/>
                      <w:sz w:val="18"/>
                      <w:szCs w:val="18"/>
                      <w:u w:val="none"/>
                    </w:rPr>
                    <w:t>优先引入</w:t>
                  </w:r>
                </w:p>
              </w:tc>
              <w:tc>
                <w:tcPr>
                  <w:tcW w:w="370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80F3AA">
                  <w:pPr>
                    <w:widowControl/>
                    <w:spacing w:beforeLines="0" w:afterLines="0" w:line="240" w:lineRule="auto"/>
                    <w:jc w:val="left"/>
                    <w:rPr>
                      <w:rFonts w:hint="default"/>
                      <w:color w:val="auto"/>
                      <w:sz w:val="18"/>
                      <w:szCs w:val="18"/>
                      <w:u w:val="none"/>
                    </w:rPr>
                  </w:pPr>
                  <w:r>
                    <w:rPr>
                      <w:rFonts w:hint="default"/>
                      <w:color w:val="auto"/>
                      <w:sz w:val="18"/>
                      <w:szCs w:val="18"/>
                      <w:u w:val="none"/>
                    </w:rPr>
                    <w:t>(1)</w:t>
                  </w:r>
                  <w:r>
                    <w:rPr>
                      <w:rFonts w:hint="eastAsia"/>
                      <w:color w:val="auto"/>
                      <w:sz w:val="18"/>
                      <w:szCs w:val="18"/>
                      <w:u w:val="none"/>
                    </w:rPr>
                    <w:t>优先引入符合产业定位且属于相关产业政策文件中的鼓励类和重点发展行业中的产品、工艺和技术；</w:t>
                  </w:r>
                </w:p>
                <w:p w14:paraId="438C5AD3">
                  <w:pPr>
                    <w:widowControl/>
                    <w:spacing w:beforeLines="0" w:afterLines="0" w:line="240" w:lineRule="auto"/>
                    <w:jc w:val="left"/>
                    <w:rPr>
                      <w:rFonts w:hint="default"/>
                      <w:color w:val="auto"/>
                      <w:sz w:val="18"/>
                      <w:szCs w:val="18"/>
                      <w:u w:val="none"/>
                    </w:rPr>
                  </w:pPr>
                  <w:r>
                    <w:rPr>
                      <w:rFonts w:hint="default"/>
                      <w:color w:val="auto"/>
                      <w:sz w:val="18"/>
                      <w:szCs w:val="18"/>
                      <w:u w:val="none"/>
                    </w:rPr>
                    <w:t>(2)</w:t>
                  </w:r>
                  <w:r>
                    <w:rPr>
                      <w:rFonts w:hint="eastAsia"/>
                      <w:color w:val="auto"/>
                      <w:sz w:val="18"/>
                      <w:szCs w:val="18"/>
                      <w:u w:val="none"/>
                    </w:rPr>
                    <w:t>优先引入符合产业定位的国家战略需要和尖端科技事业相关的项目，高性能、技术含量高的关键性、基础性、资源优势性的项目；</w:t>
                  </w:r>
                </w:p>
                <w:p w14:paraId="05AEB0C7">
                  <w:pPr>
                    <w:widowControl/>
                    <w:spacing w:beforeLines="0" w:afterLines="0" w:line="240" w:lineRule="auto"/>
                    <w:jc w:val="left"/>
                    <w:rPr>
                      <w:rFonts w:hint="default"/>
                      <w:color w:val="auto"/>
                      <w:sz w:val="18"/>
                      <w:szCs w:val="18"/>
                      <w:u w:val="none"/>
                    </w:rPr>
                  </w:pPr>
                  <w:r>
                    <w:rPr>
                      <w:rFonts w:hint="default"/>
                      <w:color w:val="auto"/>
                      <w:sz w:val="18"/>
                      <w:szCs w:val="18"/>
                      <w:u w:val="none"/>
                    </w:rPr>
                    <w:t>(3)</w:t>
                  </w:r>
                  <w:r>
                    <w:rPr>
                      <w:rFonts w:hint="eastAsia"/>
                      <w:color w:val="auto"/>
                      <w:sz w:val="18"/>
                      <w:szCs w:val="18"/>
                      <w:u w:val="none"/>
                    </w:rPr>
                    <w:t>鼓励依托龙头企业发展上下游关联度强、技术水平高、绿色安全环保的企业和项目，进一步补链、延链、强链。</w:t>
                  </w:r>
                </w:p>
              </w:tc>
              <w:tc>
                <w:tcPr>
                  <w:tcW w:w="231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87CDCCE">
                  <w:pPr>
                    <w:widowControl/>
                    <w:spacing w:beforeLines="0" w:afterLines="0" w:line="240" w:lineRule="auto"/>
                    <w:jc w:val="center"/>
                    <w:rPr>
                      <w:rFonts w:hint="default"/>
                      <w:color w:val="auto"/>
                      <w:sz w:val="18"/>
                      <w:szCs w:val="18"/>
                      <w:u w:val="none"/>
                    </w:rPr>
                  </w:pPr>
                </w:p>
              </w:tc>
              <w:tc>
                <w:tcPr>
                  <w:tcW w:w="850" w:type="dxa"/>
                  <w:vMerge w:val="continue"/>
                  <w:tcBorders>
                    <w:top w:val="single" w:color="auto" w:sz="4" w:space="0"/>
                    <w:left w:val="single" w:color="auto" w:sz="4" w:space="0"/>
                    <w:bottom w:val="single" w:color="auto" w:sz="4" w:space="0"/>
                    <w:right w:val="nil"/>
                    <w:tl2br w:val="nil"/>
                    <w:tr2bl w:val="nil"/>
                  </w:tcBorders>
                  <w:noWrap w:val="0"/>
                  <w:vAlign w:val="center"/>
                </w:tcPr>
                <w:p w14:paraId="6FE17EAE">
                  <w:pPr>
                    <w:widowControl/>
                    <w:spacing w:beforeLines="0" w:afterLines="0" w:line="240" w:lineRule="auto"/>
                    <w:jc w:val="center"/>
                    <w:rPr>
                      <w:rFonts w:hint="default"/>
                      <w:color w:val="auto"/>
                      <w:sz w:val="18"/>
                      <w:szCs w:val="18"/>
                      <w:u w:val="none"/>
                    </w:rPr>
                  </w:pPr>
                </w:p>
              </w:tc>
            </w:tr>
            <w:tr w14:paraId="28700C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48" w:type="dxa"/>
                  <w:vMerge w:val="continue"/>
                  <w:tcBorders>
                    <w:top w:val="single" w:color="auto" w:sz="4" w:space="0"/>
                    <w:left w:val="nil"/>
                    <w:bottom w:val="single" w:color="auto" w:sz="4" w:space="0"/>
                    <w:right w:val="single" w:color="auto" w:sz="4" w:space="0"/>
                    <w:tl2br w:val="nil"/>
                    <w:tr2bl w:val="nil"/>
                  </w:tcBorders>
                  <w:noWrap w:val="0"/>
                  <w:vAlign w:val="center"/>
                </w:tcPr>
                <w:p w14:paraId="7D666BC4">
                  <w:pPr>
                    <w:widowControl/>
                    <w:spacing w:beforeLines="0" w:afterLines="0" w:line="240" w:lineRule="auto"/>
                    <w:jc w:val="center"/>
                    <w:rPr>
                      <w:rFonts w:hint="default"/>
                      <w:color w:val="auto"/>
                      <w:sz w:val="18"/>
                      <w:szCs w:val="18"/>
                      <w:u w:val="none"/>
                    </w:rPr>
                  </w:pPr>
                </w:p>
              </w:tc>
              <w:tc>
                <w:tcPr>
                  <w:tcW w:w="100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42D60B37">
                  <w:pPr>
                    <w:widowControl/>
                    <w:spacing w:beforeLines="0" w:afterLines="0" w:line="240" w:lineRule="auto"/>
                    <w:jc w:val="center"/>
                    <w:rPr>
                      <w:rFonts w:hint="default"/>
                      <w:color w:val="auto"/>
                      <w:sz w:val="18"/>
                      <w:szCs w:val="18"/>
                      <w:u w:val="none"/>
                    </w:rPr>
                  </w:pPr>
                  <w:r>
                    <w:rPr>
                      <w:rFonts w:hint="eastAsia"/>
                      <w:color w:val="auto"/>
                      <w:sz w:val="18"/>
                      <w:szCs w:val="18"/>
                      <w:u w:val="none"/>
                    </w:rPr>
                    <w:t>禁止引入</w:t>
                  </w:r>
                </w:p>
              </w:tc>
              <w:tc>
                <w:tcPr>
                  <w:tcW w:w="370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D119D24">
                  <w:pPr>
                    <w:widowControl/>
                    <w:spacing w:beforeLines="0" w:afterLines="0" w:line="240" w:lineRule="auto"/>
                    <w:jc w:val="left"/>
                    <w:rPr>
                      <w:rFonts w:hint="default"/>
                      <w:color w:val="auto"/>
                      <w:sz w:val="18"/>
                      <w:szCs w:val="18"/>
                      <w:u w:val="none"/>
                    </w:rPr>
                  </w:pPr>
                  <w:r>
                    <w:rPr>
                      <w:rFonts w:hint="default"/>
                      <w:color w:val="auto"/>
                      <w:sz w:val="18"/>
                      <w:szCs w:val="18"/>
                      <w:u w:val="none"/>
                    </w:rPr>
                    <w:t>(1)</w:t>
                  </w:r>
                  <w:r>
                    <w:rPr>
                      <w:rFonts w:hint="eastAsia"/>
                      <w:color w:val="auto"/>
                      <w:sz w:val="18"/>
                      <w:szCs w:val="18"/>
                      <w:u w:val="none"/>
                    </w:rPr>
                    <w:t>禁止引入与国家、地方现行产业政策相冲突的项目；</w:t>
                  </w:r>
                </w:p>
                <w:p w14:paraId="44538258">
                  <w:pPr>
                    <w:widowControl/>
                    <w:spacing w:beforeLines="0" w:afterLines="0" w:line="240" w:lineRule="auto"/>
                    <w:jc w:val="left"/>
                    <w:rPr>
                      <w:rFonts w:hint="default"/>
                      <w:color w:val="auto"/>
                      <w:sz w:val="18"/>
                      <w:szCs w:val="18"/>
                      <w:u w:val="none"/>
                    </w:rPr>
                  </w:pPr>
                  <w:r>
                    <w:rPr>
                      <w:rFonts w:hint="default"/>
                      <w:color w:val="auto"/>
                      <w:sz w:val="18"/>
                      <w:szCs w:val="18"/>
                      <w:u w:val="none"/>
                    </w:rPr>
                    <w:t>(2)</w:t>
                  </w:r>
                  <w:r>
                    <w:rPr>
                      <w:rFonts w:hint="eastAsia"/>
                      <w:color w:val="auto"/>
                      <w:sz w:val="18"/>
                      <w:szCs w:val="18"/>
                      <w:u w:val="none"/>
                    </w:rPr>
                    <w:t>禁止新建纯电镀项目(为本地产业配套的“绿岛”类项目除外)、新引进含印染的项目，禁止现有印染企业新建、扩建印染项目；</w:t>
                  </w:r>
                </w:p>
                <w:p w14:paraId="76484C0A">
                  <w:pPr>
                    <w:widowControl/>
                    <w:spacing w:beforeLines="0" w:afterLines="0" w:line="240" w:lineRule="auto"/>
                    <w:jc w:val="left"/>
                    <w:rPr>
                      <w:rFonts w:hint="default"/>
                      <w:color w:val="auto"/>
                      <w:sz w:val="18"/>
                      <w:szCs w:val="18"/>
                      <w:u w:val="none"/>
                    </w:rPr>
                  </w:pPr>
                  <w:r>
                    <w:rPr>
                      <w:rFonts w:hint="default"/>
                      <w:color w:val="auto"/>
                      <w:sz w:val="18"/>
                      <w:szCs w:val="18"/>
                      <w:u w:val="none"/>
                    </w:rPr>
                    <w:t>(3)</w:t>
                  </w:r>
                  <w:r>
                    <w:rPr>
                      <w:rFonts w:hint="eastAsia"/>
                      <w:color w:val="auto"/>
                      <w:sz w:val="18"/>
                      <w:szCs w:val="18"/>
                      <w:u w:val="none"/>
                    </w:rPr>
                    <w:t>禁止引入金属或非金属表面处理外加工产业(不包括新一代信息、海工装备、智能制造等产业生产工艺流程中必备的磷化、喷涂、电泳等工序);</w:t>
                  </w:r>
                </w:p>
                <w:p w14:paraId="2B364566">
                  <w:pPr>
                    <w:widowControl/>
                    <w:spacing w:beforeLines="0" w:afterLines="0" w:line="240" w:lineRule="auto"/>
                    <w:jc w:val="left"/>
                    <w:rPr>
                      <w:rFonts w:hint="default"/>
                      <w:color w:val="auto"/>
                      <w:sz w:val="18"/>
                      <w:szCs w:val="18"/>
                      <w:u w:val="none"/>
                    </w:rPr>
                  </w:pPr>
                  <w:r>
                    <w:rPr>
                      <w:rFonts w:hint="default"/>
                      <w:color w:val="auto"/>
                      <w:sz w:val="18"/>
                      <w:szCs w:val="18"/>
                      <w:u w:val="none"/>
                    </w:rPr>
                    <w:t>(4)</w:t>
                  </w:r>
                  <w:r>
                    <w:rPr>
                      <w:rFonts w:hint="eastAsia"/>
                      <w:color w:val="auto"/>
                      <w:sz w:val="18"/>
                      <w:szCs w:val="18"/>
                      <w:u w:val="none"/>
                    </w:rPr>
                    <w:t>禁止引入使用高VOCs含量的溶剂型涂料、油墨、胶粘剂等项目；</w:t>
                  </w:r>
                </w:p>
                <w:p w14:paraId="0614DEA2">
                  <w:pPr>
                    <w:widowControl/>
                    <w:spacing w:beforeLines="0" w:afterLines="0" w:line="240" w:lineRule="auto"/>
                    <w:jc w:val="left"/>
                    <w:rPr>
                      <w:rFonts w:hint="default"/>
                      <w:color w:val="auto"/>
                      <w:sz w:val="18"/>
                      <w:szCs w:val="18"/>
                      <w:u w:val="none"/>
                    </w:rPr>
                  </w:pPr>
                  <w:r>
                    <w:rPr>
                      <w:rFonts w:hint="default"/>
                      <w:color w:val="auto"/>
                      <w:sz w:val="18"/>
                      <w:szCs w:val="18"/>
                      <w:u w:val="none"/>
                    </w:rPr>
                    <w:t>(5)</w:t>
                  </w:r>
                  <w:r>
                    <w:rPr>
                      <w:rFonts w:hint="eastAsia"/>
                      <w:color w:val="auto"/>
                      <w:sz w:val="18"/>
                      <w:szCs w:val="18"/>
                      <w:u w:val="none"/>
                    </w:rPr>
                    <w:t>禁止引入生产工艺及设备落后、风险防范措施疏漏、抗风险能力差的项目。</w:t>
                  </w:r>
                </w:p>
              </w:tc>
              <w:tc>
                <w:tcPr>
                  <w:tcW w:w="231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7F4FBA7">
                  <w:pPr>
                    <w:widowControl/>
                    <w:spacing w:beforeLines="0" w:afterLines="0" w:line="240" w:lineRule="auto"/>
                    <w:jc w:val="center"/>
                    <w:rPr>
                      <w:rFonts w:hint="default"/>
                      <w:color w:val="auto"/>
                      <w:sz w:val="18"/>
                      <w:szCs w:val="18"/>
                      <w:u w:val="none"/>
                    </w:rPr>
                  </w:pPr>
                </w:p>
              </w:tc>
              <w:tc>
                <w:tcPr>
                  <w:tcW w:w="850" w:type="dxa"/>
                  <w:vMerge w:val="continue"/>
                  <w:tcBorders>
                    <w:top w:val="single" w:color="auto" w:sz="4" w:space="0"/>
                    <w:left w:val="single" w:color="auto" w:sz="4" w:space="0"/>
                    <w:bottom w:val="single" w:color="auto" w:sz="4" w:space="0"/>
                    <w:right w:val="nil"/>
                    <w:tl2br w:val="nil"/>
                    <w:tr2bl w:val="nil"/>
                  </w:tcBorders>
                  <w:noWrap w:val="0"/>
                  <w:vAlign w:val="center"/>
                </w:tcPr>
                <w:p w14:paraId="7DDDDB33">
                  <w:pPr>
                    <w:widowControl/>
                    <w:spacing w:beforeLines="0" w:afterLines="0" w:line="240" w:lineRule="auto"/>
                    <w:jc w:val="center"/>
                    <w:rPr>
                      <w:rFonts w:hint="default"/>
                      <w:color w:val="auto"/>
                      <w:sz w:val="18"/>
                      <w:szCs w:val="18"/>
                      <w:u w:val="none"/>
                    </w:rPr>
                  </w:pPr>
                </w:p>
              </w:tc>
            </w:tr>
            <w:tr w14:paraId="76BB31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348" w:type="dxa"/>
                  <w:vMerge w:val="continue"/>
                  <w:tcBorders>
                    <w:top w:val="single" w:color="auto" w:sz="4" w:space="0"/>
                    <w:left w:val="nil"/>
                    <w:bottom w:val="single" w:color="auto" w:sz="4" w:space="0"/>
                    <w:right w:val="single" w:color="auto" w:sz="4" w:space="0"/>
                    <w:tl2br w:val="nil"/>
                    <w:tr2bl w:val="nil"/>
                  </w:tcBorders>
                  <w:noWrap w:val="0"/>
                  <w:vAlign w:val="center"/>
                </w:tcPr>
                <w:p w14:paraId="6DD3E1B0">
                  <w:pPr>
                    <w:widowControl/>
                    <w:spacing w:beforeLines="0" w:afterLines="0" w:line="240" w:lineRule="auto"/>
                    <w:jc w:val="center"/>
                    <w:rPr>
                      <w:rFonts w:hint="default"/>
                      <w:color w:val="auto"/>
                      <w:sz w:val="18"/>
                      <w:szCs w:val="18"/>
                      <w:u w:val="none"/>
                    </w:rPr>
                  </w:pPr>
                </w:p>
              </w:tc>
              <w:tc>
                <w:tcPr>
                  <w:tcW w:w="1005"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49FFEED1">
                  <w:pPr>
                    <w:widowControl/>
                    <w:spacing w:beforeLines="0" w:afterLines="0" w:line="240" w:lineRule="auto"/>
                    <w:jc w:val="center"/>
                    <w:rPr>
                      <w:rFonts w:hint="default"/>
                      <w:color w:val="auto"/>
                      <w:sz w:val="18"/>
                      <w:szCs w:val="18"/>
                      <w:u w:val="none"/>
                    </w:rPr>
                  </w:pPr>
                  <w:r>
                    <w:rPr>
                      <w:rFonts w:hint="eastAsia"/>
                      <w:color w:val="auto"/>
                      <w:sz w:val="18"/>
                      <w:szCs w:val="18"/>
                      <w:u w:val="none"/>
                    </w:rPr>
                    <w:t>限制引入</w:t>
                  </w:r>
                </w:p>
              </w:tc>
              <w:tc>
                <w:tcPr>
                  <w:tcW w:w="370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BE06E1B">
                  <w:pPr>
                    <w:widowControl/>
                    <w:spacing w:beforeLines="0" w:afterLines="0" w:line="240" w:lineRule="auto"/>
                    <w:jc w:val="left"/>
                    <w:rPr>
                      <w:rFonts w:hint="default"/>
                      <w:color w:val="auto"/>
                      <w:sz w:val="18"/>
                      <w:szCs w:val="18"/>
                      <w:u w:val="none"/>
                    </w:rPr>
                  </w:pPr>
                  <w:r>
                    <w:rPr>
                      <w:rFonts w:hint="eastAsia"/>
                      <w:color w:val="auto"/>
                      <w:sz w:val="18"/>
                      <w:szCs w:val="18"/>
                      <w:u w:val="none"/>
                    </w:rPr>
                    <w:t>国家和地方产业政策限制类的建设项目和工艺。</w:t>
                  </w:r>
                </w:p>
              </w:tc>
              <w:tc>
                <w:tcPr>
                  <w:tcW w:w="231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569BFDC">
                  <w:pPr>
                    <w:widowControl/>
                    <w:spacing w:beforeLines="0" w:afterLines="0" w:line="240" w:lineRule="auto"/>
                    <w:jc w:val="center"/>
                    <w:rPr>
                      <w:rFonts w:hint="default"/>
                      <w:color w:val="auto"/>
                      <w:sz w:val="18"/>
                      <w:szCs w:val="18"/>
                      <w:u w:val="none"/>
                    </w:rPr>
                  </w:pPr>
                </w:p>
              </w:tc>
              <w:tc>
                <w:tcPr>
                  <w:tcW w:w="850" w:type="dxa"/>
                  <w:vMerge w:val="continue"/>
                  <w:tcBorders>
                    <w:top w:val="single" w:color="auto" w:sz="4" w:space="0"/>
                    <w:left w:val="single" w:color="auto" w:sz="4" w:space="0"/>
                    <w:bottom w:val="single" w:color="auto" w:sz="4" w:space="0"/>
                    <w:right w:val="nil"/>
                    <w:tl2br w:val="nil"/>
                    <w:tr2bl w:val="nil"/>
                  </w:tcBorders>
                  <w:noWrap w:val="0"/>
                  <w:vAlign w:val="center"/>
                </w:tcPr>
                <w:p w14:paraId="445ADB3F">
                  <w:pPr>
                    <w:widowControl/>
                    <w:spacing w:beforeLines="0" w:afterLines="0" w:line="240" w:lineRule="auto"/>
                    <w:jc w:val="center"/>
                    <w:rPr>
                      <w:rFonts w:hint="default"/>
                      <w:color w:val="auto"/>
                      <w:sz w:val="18"/>
                      <w:szCs w:val="18"/>
                      <w:u w:val="none"/>
                    </w:rPr>
                  </w:pPr>
                </w:p>
              </w:tc>
            </w:tr>
            <w:tr w14:paraId="52AD65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3" w:type="dxa"/>
                  <w:gridSpan w:val="3"/>
                  <w:tcBorders>
                    <w:top w:val="single" w:color="auto" w:sz="4" w:space="0"/>
                    <w:left w:val="nil"/>
                    <w:bottom w:val="single" w:color="auto" w:sz="4" w:space="0"/>
                    <w:right w:val="single" w:color="auto" w:sz="4" w:space="0"/>
                    <w:tl2br w:val="nil"/>
                    <w:tr2bl w:val="nil"/>
                  </w:tcBorders>
                  <w:noWrap w:val="0"/>
                  <w:vAlign w:val="center"/>
                </w:tcPr>
                <w:p w14:paraId="255574B4">
                  <w:pPr>
                    <w:widowControl/>
                    <w:spacing w:beforeLines="0" w:afterLines="0" w:line="240" w:lineRule="auto"/>
                    <w:jc w:val="center"/>
                    <w:rPr>
                      <w:rFonts w:hint="default"/>
                      <w:color w:val="auto"/>
                      <w:sz w:val="18"/>
                      <w:szCs w:val="18"/>
                      <w:u w:val="none"/>
                    </w:rPr>
                  </w:pPr>
                  <w:r>
                    <w:rPr>
                      <w:rFonts w:hint="eastAsia"/>
                      <w:color w:val="auto"/>
                      <w:sz w:val="18"/>
                      <w:szCs w:val="18"/>
                      <w:u w:val="none"/>
                    </w:rPr>
                    <w:t>空间布局约束</w:t>
                  </w:r>
                </w:p>
              </w:tc>
              <w:tc>
                <w:tcPr>
                  <w:tcW w:w="370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63DB17">
                  <w:pPr>
                    <w:widowControl/>
                    <w:spacing w:beforeLines="0" w:afterLines="0" w:line="240" w:lineRule="auto"/>
                    <w:jc w:val="left"/>
                    <w:rPr>
                      <w:rFonts w:hint="default"/>
                      <w:color w:val="auto"/>
                      <w:sz w:val="18"/>
                      <w:szCs w:val="18"/>
                      <w:u w:val="none"/>
                    </w:rPr>
                  </w:pPr>
                  <w:r>
                    <w:rPr>
                      <w:rFonts w:hint="default"/>
                      <w:color w:val="auto"/>
                      <w:sz w:val="18"/>
                      <w:szCs w:val="18"/>
                      <w:u w:val="none"/>
                    </w:rPr>
                    <w:t>(1)</w:t>
                  </w:r>
                  <w:r>
                    <w:rPr>
                      <w:rFonts w:hint="eastAsia"/>
                      <w:color w:val="auto"/>
                      <w:sz w:val="18"/>
                      <w:szCs w:val="18"/>
                      <w:u w:val="none"/>
                    </w:rPr>
                    <w:t>依据《基本农田保护条例》,对基本农田实行严格保护，确保基本农田面积不减、质量提升、布局稳定；</w:t>
                  </w:r>
                </w:p>
                <w:p w14:paraId="13DD1607">
                  <w:pPr>
                    <w:widowControl/>
                    <w:spacing w:beforeLines="0" w:afterLines="0" w:line="240" w:lineRule="auto"/>
                    <w:jc w:val="left"/>
                    <w:rPr>
                      <w:rFonts w:hint="default"/>
                      <w:color w:val="auto"/>
                      <w:sz w:val="18"/>
                      <w:szCs w:val="18"/>
                      <w:u w:val="none"/>
                    </w:rPr>
                  </w:pPr>
                  <w:r>
                    <w:rPr>
                      <w:rFonts w:hint="default"/>
                      <w:color w:val="auto"/>
                      <w:sz w:val="18"/>
                      <w:szCs w:val="18"/>
                      <w:u w:val="none"/>
                    </w:rPr>
                    <w:t>(2)</w:t>
                  </w:r>
                  <w:r>
                    <w:rPr>
                      <w:rFonts w:hint="eastAsia"/>
                      <w:color w:val="auto"/>
                      <w:sz w:val="18"/>
                      <w:szCs w:val="18"/>
                      <w:u w:val="none"/>
                    </w:rPr>
                    <w:t>区内水域和防护绿地作为生态空间重点保护，原则上不得开发和占用；</w:t>
                  </w:r>
                </w:p>
                <w:p w14:paraId="5CAB062B">
                  <w:pPr>
                    <w:widowControl/>
                    <w:spacing w:beforeLines="0" w:afterLines="0" w:line="240" w:lineRule="auto"/>
                    <w:jc w:val="left"/>
                    <w:rPr>
                      <w:rFonts w:hint="default"/>
                      <w:color w:val="auto"/>
                      <w:sz w:val="18"/>
                      <w:szCs w:val="18"/>
                      <w:u w:val="none"/>
                    </w:rPr>
                  </w:pPr>
                  <w:r>
                    <w:rPr>
                      <w:rFonts w:hint="default"/>
                      <w:color w:val="auto"/>
                      <w:sz w:val="18"/>
                      <w:szCs w:val="18"/>
                      <w:u w:val="none"/>
                    </w:rPr>
                    <w:t>(3)</w:t>
                  </w:r>
                  <w:r>
                    <w:rPr>
                      <w:rFonts w:hint="eastAsia"/>
                      <w:color w:val="auto"/>
                      <w:sz w:val="18"/>
                      <w:szCs w:val="18"/>
                      <w:u w:val="none"/>
                    </w:rPr>
                    <w:t>各类开发建设活动应符合相关规划要求，落实生态红线管控要求；</w:t>
                  </w:r>
                </w:p>
                <w:p w14:paraId="1E656629">
                  <w:pPr>
                    <w:widowControl/>
                    <w:spacing w:beforeLines="0" w:afterLines="0" w:line="240" w:lineRule="auto"/>
                    <w:jc w:val="left"/>
                    <w:rPr>
                      <w:rFonts w:hint="default"/>
                      <w:color w:val="auto"/>
                      <w:sz w:val="18"/>
                      <w:szCs w:val="18"/>
                      <w:u w:val="none"/>
                    </w:rPr>
                  </w:pPr>
                  <w:r>
                    <w:rPr>
                      <w:rFonts w:hint="default"/>
                      <w:color w:val="auto"/>
                      <w:sz w:val="18"/>
                      <w:szCs w:val="18"/>
                      <w:u w:val="none"/>
                    </w:rPr>
                    <w:t>(4)</w:t>
                  </w:r>
                  <w:r>
                    <w:rPr>
                      <w:rFonts w:hint="eastAsia"/>
                      <w:color w:val="auto"/>
                      <w:sz w:val="18"/>
                      <w:szCs w:val="18"/>
                      <w:u w:val="none"/>
                    </w:rPr>
                    <w:t>工业用地与人口集中居住区之间，应设置以道路(河道)+防护林为主要形式的空间防护带，防护带的宽度原则上不小于50米，非生产型企业空间防护距离可以适当缩小，但不应小于30米；居住用地周边100米范围内工业用地禁止引入含喷涂、酸洗、危化品仓库的项目，排放VOCs、氨气等废气污染物的企业远离居住用地布置。</w:t>
                  </w:r>
                </w:p>
              </w:tc>
              <w:tc>
                <w:tcPr>
                  <w:tcW w:w="23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BD2CBB">
                  <w:pPr>
                    <w:widowControl/>
                    <w:spacing w:beforeLines="0" w:afterLines="0" w:line="240" w:lineRule="auto"/>
                    <w:jc w:val="left"/>
                    <w:rPr>
                      <w:rFonts w:hint="eastAsia" w:eastAsia="宋体"/>
                      <w:color w:val="auto"/>
                      <w:sz w:val="18"/>
                      <w:szCs w:val="18"/>
                      <w:u w:val="none"/>
                      <w:lang w:eastAsia="zh-CN"/>
                    </w:rPr>
                  </w:pPr>
                  <w:r>
                    <w:rPr>
                      <w:rFonts w:hint="eastAsia"/>
                      <w:color w:val="auto"/>
                      <w:sz w:val="18"/>
                      <w:szCs w:val="18"/>
                      <w:u w:val="none"/>
                    </w:rPr>
                    <w:t>本项目不在基本农田范围内，不占用水域和防护绿地，不在生态红线管控区内。</w:t>
                  </w:r>
                  <w:r>
                    <w:rPr>
                      <w:rFonts w:hint="eastAsia"/>
                      <w:color w:val="auto"/>
                      <w:sz w:val="18"/>
                      <w:szCs w:val="18"/>
                      <w:u w:val="none"/>
                      <w:lang w:eastAsia="zh-CN"/>
                    </w:rPr>
                    <w:t>本项目</w:t>
                  </w:r>
                  <w:r>
                    <w:rPr>
                      <w:rFonts w:hint="eastAsia"/>
                      <w:color w:val="auto"/>
                      <w:sz w:val="18"/>
                      <w:szCs w:val="18"/>
                      <w:u w:val="none"/>
                      <w:lang w:val="en-US" w:eastAsia="zh-CN"/>
                    </w:rPr>
                    <w:t>周边100米范围内无居住地</w:t>
                  </w:r>
                  <w:r>
                    <w:rPr>
                      <w:rFonts w:hint="eastAsia"/>
                      <w:color w:val="auto"/>
                      <w:sz w:val="18"/>
                      <w:szCs w:val="18"/>
                      <w:u w:val="none"/>
                      <w:lang w:eastAsia="zh-CN"/>
                    </w:rPr>
                    <w:t>。</w:t>
                  </w:r>
                </w:p>
              </w:tc>
              <w:tc>
                <w:tcPr>
                  <w:tcW w:w="850" w:type="dxa"/>
                  <w:tcBorders>
                    <w:top w:val="single" w:color="auto" w:sz="4" w:space="0"/>
                    <w:left w:val="single" w:color="auto" w:sz="4" w:space="0"/>
                    <w:bottom w:val="single" w:color="auto" w:sz="4" w:space="0"/>
                    <w:right w:val="nil"/>
                    <w:tl2br w:val="nil"/>
                    <w:tr2bl w:val="nil"/>
                  </w:tcBorders>
                  <w:noWrap w:val="0"/>
                  <w:vAlign w:val="center"/>
                </w:tcPr>
                <w:p w14:paraId="4DFDE967">
                  <w:pPr>
                    <w:widowControl/>
                    <w:spacing w:beforeLines="0" w:afterLines="0" w:line="240" w:lineRule="auto"/>
                    <w:jc w:val="center"/>
                    <w:rPr>
                      <w:rFonts w:hint="default"/>
                      <w:color w:val="auto"/>
                      <w:sz w:val="18"/>
                      <w:szCs w:val="18"/>
                      <w:u w:val="none"/>
                    </w:rPr>
                  </w:pPr>
                  <w:r>
                    <w:rPr>
                      <w:rFonts w:hint="eastAsia"/>
                      <w:color w:val="auto"/>
                      <w:sz w:val="18"/>
                      <w:szCs w:val="18"/>
                      <w:u w:val="none"/>
                    </w:rPr>
                    <w:t>相符</w:t>
                  </w:r>
                </w:p>
              </w:tc>
            </w:tr>
            <w:tr w14:paraId="71188B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6" w:type="dxa"/>
                  <w:gridSpan w:val="2"/>
                  <w:vMerge w:val="restart"/>
                  <w:tcBorders>
                    <w:top w:val="single" w:color="auto" w:sz="4" w:space="0"/>
                    <w:left w:val="nil"/>
                    <w:bottom w:val="single" w:color="auto" w:sz="4" w:space="0"/>
                    <w:right w:val="single" w:color="auto" w:sz="4" w:space="0"/>
                    <w:tl2br w:val="nil"/>
                    <w:tr2bl w:val="nil"/>
                  </w:tcBorders>
                  <w:noWrap w:val="0"/>
                  <w:vAlign w:val="center"/>
                </w:tcPr>
                <w:p w14:paraId="5BDD63CC">
                  <w:pPr>
                    <w:widowControl/>
                    <w:spacing w:beforeLines="0" w:afterLines="0" w:line="240" w:lineRule="auto"/>
                    <w:jc w:val="center"/>
                    <w:rPr>
                      <w:rFonts w:hint="eastAsia"/>
                      <w:color w:val="auto"/>
                      <w:sz w:val="18"/>
                      <w:szCs w:val="18"/>
                      <w:u w:val="none"/>
                    </w:rPr>
                  </w:pPr>
                  <w:r>
                    <w:rPr>
                      <w:rFonts w:hint="eastAsia"/>
                      <w:color w:val="auto"/>
                      <w:sz w:val="18"/>
                      <w:szCs w:val="18"/>
                      <w:u w:val="none"/>
                    </w:rPr>
                    <w:t>污染物排放管控</w:t>
                  </w:r>
                </w:p>
              </w:tc>
              <w:tc>
                <w:tcPr>
                  <w:tcW w:w="6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88D6139">
                  <w:pPr>
                    <w:widowControl/>
                    <w:spacing w:beforeLines="0" w:afterLines="0" w:line="240" w:lineRule="auto"/>
                    <w:jc w:val="center"/>
                    <w:rPr>
                      <w:rFonts w:hint="eastAsia"/>
                      <w:color w:val="auto"/>
                      <w:sz w:val="18"/>
                      <w:szCs w:val="18"/>
                      <w:u w:val="none"/>
                    </w:rPr>
                  </w:pPr>
                  <w:r>
                    <w:rPr>
                      <w:rFonts w:hint="eastAsia"/>
                      <w:color w:val="auto"/>
                      <w:sz w:val="18"/>
                      <w:szCs w:val="18"/>
                      <w:u w:val="none"/>
                    </w:rPr>
                    <w:t>环境质量</w:t>
                  </w:r>
                </w:p>
              </w:tc>
              <w:tc>
                <w:tcPr>
                  <w:tcW w:w="370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A22BDD5">
                  <w:pPr>
                    <w:widowControl/>
                    <w:spacing w:beforeLines="0" w:afterLines="0" w:line="240" w:lineRule="auto"/>
                    <w:jc w:val="left"/>
                    <w:rPr>
                      <w:rFonts w:hint="default"/>
                      <w:color w:val="auto"/>
                      <w:sz w:val="18"/>
                      <w:szCs w:val="18"/>
                      <w:u w:val="none"/>
                    </w:rPr>
                  </w:pPr>
                  <w:r>
                    <w:rPr>
                      <w:rFonts w:hint="default"/>
                      <w:color w:val="auto"/>
                      <w:sz w:val="18"/>
                      <w:szCs w:val="18"/>
                      <w:u w:val="none"/>
                    </w:rPr>
                    <w:t>(1)</w:t>
                  </w:r>
                  <w:r>
                    <w:rPr>
                      <w:rFonts w:hint="eastAsia"/>
                      <w:color w:val="auto"/>
                      <w:sz w:val="18"/>
                      <w:szCs w:val="18"/>
                      <w:u w:val="none"/>
                    </w:rPr>
                    <w:t>大气环境质量达到《环境空气质量标准》二级标准、《环境影响评价技术导则大气环境》(HJ2.2-2018)附录D其他污染物空气质量浓度参考限值等；2025年，环境空气细颗粒物(PM₂s)、臭氧、二氧化氮浓度分别达到25、160、17微克/立方米；2035年，环境空气细颗粒物(PM₂s)达到23微克/立方米，环境质量持续改善；</w:t>
                  </w:r>
                </w:p>
                <w:p w14:paraId="1C9044B8">
                  <w:pPr>
                    <w:widowControl/>
                    <w:spacing w:beforeLines="0" w:afterLines="0" w:line="240" w:lineRule="auto"/>
                    <w:jc w:val="left"/>
                    <w:rPr>
                      <w:rFonts w:hint="default"/>
                      <w:color w:val="auto"/>
                      <w:sz w:val="18"/>
                      <w:szCs w:val="18"/>
                      <w:u w:val="none"/>
                    </w:rPr>
                  </w:pPr>
                  <w:r>
                    <w:rPr>
                      <w:rFonts w:hint="default"/>
                      <w:color w:val="auto"/>
                      <w:sz w:val="18"/>
                      <w:szCs w:val="18"/>
                      <w:u w:val="none"/>
                    </w:rPr>
                    <w:t>(2)</w:t>
                  </w:r>
                  <w:r>
                    <w:rPr>
                      <w:rFonts w:hint="eastAsia"/>
                      <w:color w:val="auto"/>
                      <w:sz w:val="18"/>
                      <w:szCs w:val="18"/>
                      <w:u w:val="none"/>
                    </w:rPr>
                    <w:t>大港河、新江海河、立新河、浒通河、海门河稳定达到Ⅲ类水质标准；</w:t>
                  </w:r>
                </w:p>
                <w:p w14:paraId="31322820">
                  <w:pPr>
                    <w:widowControl/>
                    <w:spacing w:beforeLines="0" w:afterLines="0" w:line="240" w:lineRule="auto"/>
                    <w:jc w:val="left"/>
                    <w:rPr>
                      <w:rFonts w:hint="default"/>
                      <w:color w:val="auto"/>
                      <w:sz w:val="18"/>
                      <w:szCs w:val="18"/>
                      <w:u w:val="none"/>
                    </w:rPr>
                  </w:pPr>
                  <w:r>
                    <w:rPr>
                      <w:rFonts w:hint="default"/>
                      <w:color w:val="auto"/>
                      <w:sz w:val="18"/>
                      <w:szCs w:val="18"/>
                      <w:u w:val="none"/>
                    </w:rPr>
                    <w:t>(3)</w:t>
                  </w:r>
                  <w:r>
                    <w:rPr>
                      <w:rFonts w:hint="eastAsia"/>
                      <w:color w:val="auto"/>
                      <w:sz w:val="18"/>
                      <w:szCs w:val="18"/>
                      <w:u w:val="none"/>
                    </w:rPr>
                    <w:t>土壤达到《土壤环境质量建设用地土壤污染风险管控标准(试行)》(GB36600-2018)筛选值中的第一类、第二类用地标准；</w:t>
                  </w:r>
                </w:p>
                <w:p w14:paraId="39C2879D">
                  <w:pPr>
                    <w:widowControl/>
                    <w:spacing w:beforeLines="0" w:afterLines="0" w:line="240" w:lineRule="auto"/>
                    <w:jc w:val="left"/>
                    <w:rPr>
                      <w:rFonts w:hint="default"/>
                      <w:color w:val="auto"/>
                      <w:sz w:val="18"/>
                      <w:szCs w:val="18"/>
                      <w:u w:val="none"/>
                    </w:rPr>
                  </w:pPr>
                  <w:r>
                    <w:rPr>
                      <w:rFonts w:hint="default"/>
                      <w:color w:val="auto"/>
                      <w:sz w:val="18"/>
                      <w:szCs w:val="18"/>
                      <w:u w:val="none"/>
                    </w:rPr>
                    <w:t>(4)</w:t>
                  </w:r>
                  <w:r>
                    <w:rPr>
                      <w:rFonts w:hint="eastAsia"/>
                      <w:color w:val="auto"/>
                      <w:sz w:val="18"/>
                      <w:szCs w:val="18"/>
                      <w:u w:val="none"/>
                    </w:rPr>
                    <w:t>工业区声环境满足《声环境质量标准》(GB3096-2008)中3类标准要求；居住区、商业区满足2类标准要求；交通干线两侧满足4a类标准要求。</w:t>
                  </w:r>
                </w:p>
              </w:tc>
              <w:tc>
                <w:tcPr>
                  <w:tcW w:w="231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09CDD672">
                  <w:pPr>
                    <w:widowControl/>
                    <w:spacing w:line="240" w:lineRule="auto"/>
                    <w:jc w:val="left"/>
                    <w:rPr>
                      <w:rFonts w:hint="default" w:eastAsia="宋体"/>
                      <w:color w:val="auto"/>
                      <w:sz w:val="18"/>
                      <w:szCs w:val="18"/>
                      <w:u w:val="none"/>
                      <w:lang w:val="en-US" w:eastAsia="zh-CN"/>
                    </w:rPr>
                  </w:pPr>
                  <w:r>
                    <w:rPr>
                      <w:rFonts w:hint="default" w:ascii="Times New Roman" w:hAnsi="Times New Roman" w:cs="Times New Roman"/>
                      <w:color w:val="auto"/>
                      <w:sz w:val="18"/>
                      <w:szCs w:val="18"/>
                      <w:highlight w:val="none"/>
                      <w:vertAlign w:val="baseline"/>
                      <w:lang w:val="en-US" w:eastAsia="zh-CN"/>
                    </w:rPr>
                    <w:t>项目</w:t>
                  </w:r>
                  <w:r>
                    <w:rPr>
                      <w:rFonts w:hint="default" w:ascii="Times New Roman" w:hAnsi="Times New Roman" w:cs="Times New Roman"/>
                      <w:color w:val="auto"/>
                      <w:sz w:val="18"/>
                      <w:szCs w:val="18"/>
                      <w:highlight w:val="none"/>
                      <w:vertAlign w:val="baseline"/>
                      <w:lang w:eastAsia="zh-CN"/>
                    </w:rPr>
                    <w:t>所需申请总量为：</w:t>
                  </w:r>
                  <w:r>
                    <w:rPr>
                      <w:rFonts w:hint="default" w:eastAsia="宋体"/>
                      <w:color w:val="auto"/>
                      <w:sz w:val="18"/>
                      <w:szCs w:val="18"/>
                      <w:u w:val="none"/>
                    </w:rPr>
                    <w:t>有组织</w:t>
                  </w:r>
                  <w:r>
                    <w:rPr>
                      <w:rFonts w:hint="eastAsia" w:eastAsia="宋体"/>
                      <w:color w:val="auto"/>
                      <w:sz w:val="18"/>
                      <w:szCs w:val="18"/>
                      <w:u w:val="none"/>
                      <w:lang w:val="en-US" w:eastAsia="zh-CN"/>
                    </w:rPr>
                    <w:t>颗粒物</w:t>
                  </w:r>
                  <w:r>
                    <w:rPr>
                      <w:rFonts w:hint="default" w:eastAsia="宋体"/>
                      <w:color w:val="auto"/>
                      <w:sz w:val="18"/>
                      <w:szCs w:val="18"/>
                      <w:u w:val="none"/>
                    </w:rPr>
                    <w:t>排放量为</w:t>
                  </w:r>
                  <w:r>
                    <w:rPr>
                      <w:rFonts w:hint="eastAsia"/>
                      <w:color w:val="auto"/>
                      <w:sz w:val="18"/>
                      <w:szCs w:val="18"/>
                      <w:u w:val="none"/>
                      <w:lang w:val="en-US" w:eastAsia="zh-CN"/>
                    </w:rPr>
                    <w:t>0.0090</w:t>
                  </w:r>
                  <w:r>
                    <w:rPr>
                      <w:rFonts w:hint="default" w:eastAsia="宋体"/>
                      <w:color w:val="auto"/>
                      <w:sz w:val="18"/>
                      <w:szCs w:val="18"/>
                      <w:u w:val="none"/>
                    </w:rPr>
                    <w:t>t/a、</w:t>
                  </w:r>
                  <w:r>
                    <w:rPr>
                      <w:rFonts w:hint="eastAsia" w:eastAsia="宋体"/>
                      <w:color w:val="auto"/>
                      <w:sz w:val="18"/>
                      <w:szCs w:val="18"/>
                      <w:u w:val="none"/>
                      <w:lang w:val="en-US" w:eastAsia="zh-CN"/>
                    </w:rPr>
                    <w:t>VOCs</w:t>
                  </w:r>
                  <w:r>
                    <w:rPr>
                      <w:rFonts w:hint="default" w:eastAsia="宋体"/>
                      <w:color w:val="auto"/>
                      <w:sz w:val="18"/>
                      <w:szCs w:val="18"/>
                      <w:u w:val="none"/>
                    </w:rPr>
                    <w:t>排放量为</w:t>
                  </w:r>
                  <w:r>
                    <w:rPr>
                      <w:rFonts w:hint="eastAsia"/>
                      <w:color w:val="auto"/>
                      <w:sz w:val="18"/>
                      <w:szCs w:val="18"/>
                      <w:u w:val="none"/>
                      <w:lang w:val="en-US" w:eastAsia="zh-CN"/>
                    </w:rPr>
                    <w:t>0.2955</w:t>
                  </w:r>
                  <w:r>
                    <w:rPr>
                      <w:rFonts w:hint="default" w:eastAsia="宋体"/>
                      <w:color w:val="auto"/>
                      <w:sz w:val="18"/>
                      <w:szCs w:val="18"/>
                      <w:u w:val="none"/>
                    </w:rPr>
                    <w:t>t/a</w:t>
                  </w:r>
                  <w:r>
                    <w:rPr>
                      <w:rFonts w:hint="eastAsia" w:eastAsia="宋体"/>
                      <w:color w:val="auto"/>
                      <w:sz w:val="18"/>
                      <w:szCs w:val="18"/>
                      <w:u w:val="none"/>
                      <w:lang w:eastAsia="zh-CN"/>
                    </w:rPr>
                    <w:t>；</w:t>
                  </w:r>
                  <w:r>
                    <w:rPr>
                      <w:rFonts w:hint="default" w:eastAsia="宋体"/>
                      <w:color w:val="auto"/>
                      <w:sz w:val="18"/>
                      <w:szCs w:val="18"/>
                      <w:u w:val="none"/>
                    </w:rPr>
                    <w:t>无组织</w:t>
                  </w:r>
                  <w:r>
                    <w:rPr>
                      <w:rFonts w:hint="eastAsia" w:eastAsia="宋体"/>
                      <w:color w:val="auto"/>
                      <w:sz w:val="18"/>
                      <w:szCs w:val="18"/>
                      <w:u w:val="none"/>
                      <w:lang w:val="en-US" w:eastAsia="zh-CN"/>
                    </w:rPr>
                    <w:t>颗粒物</w:t>
                  </w:r>
                  <w:r>
                    <w:rPr>
                      <w:rFonts w:hint="default" w:eastAsia="宋体"/>
                      <w:color w:val="auto"/>
                      <w:sz w:val="18"/>
                      <w:szCs w:val="18"/>
                      <w:u w:val="none"/>
                    </w:rPr>
                    <w:t>排放量为</w:t>
                  </w:r>
                  <w:r>
                    <w:rPr>
                      <w:rFonts w:hint="eastAsia" w:eastAsia="宋体"/>
                      <w:color w:val="auto"/>
                      <w:sz w:val="18"/>
                      <w:szCs w:val="18"/>
                      <w:u w:val="none"/>
                      <w:lang w:val="en-US" w:eastAsia="zh-CN"/>
                    </w:rPr>
                    <w:t>0.</w:t>
                  </w:r>
                  <w:r>
                    <w:rPr>
                      <w:rFonts w:hint="eastAsia"/>
                      <w:color w:val="auto"/>
                      <w:sz w:val="18"/>
                      <w:szCs w:val="18"/>
                      <w:u w:val="none"/>
                      <w:lang w:val="en-US" w:eastAsia="zh-CN"/>
                    </w:rPr>
                    <w:t>0970</w:t>
                  </w:r>
                  <w:r>
                    <w:rPr>
                      <w:rFonts w:hint="default" w:eastAsia="宋体"/>
                      <w:color w:val="auto"/>
                      <w:sz w:val="18"/>
                      <w:szCs w:val="18"/>
                      <w:u w:val="none"/>
                    </w:rPr>
                    <w:t>t/a</w:t>
                  </w:r>
                  <w:r>
                    <w:rPr>
                      <w:rFonts w:hint="eastAsia" w:eastAsia="宋体"/>
                      <w:color w:val="auto"/>
                      <w:sz w:val="18"/>
                      <w:szCs w:val="18"/>
                      <w:u w:val="none"/>
                      <w:lang w:eastAsia="zh-CN"/>
                    </w:rPr>
                    <w:t>、</w:t>
                  </w:r>
                  <w:r>
                    <w:rPr>
                      <w:rFonts w:hint="eastAsia" w:eastAsia="宋体"/>
                      <w:color w:val="auto"/>
                      <w:sz w:val="18"/>
                      <w:szCs w:val="18"/>
                      <w:u w:val="none"/>
                      <w:lang w:val="en-US" w:eastAsia="zh-CN"/>
                    </w:rPr>
                    <w:t>VOCs</w:t>
                  </w:r>
                  <w:r>
                    <w:rPr>
                      <w:rFonts w:hint="default" w:eastAsia="宋体"/>
                      <w:color w:val="auto"/>
                      <w:sz w:val="18"/>
                      <w:szCs w:val="18"/>
                      <w:u w:val="none"/>
                    </w:rPr>
                    <w:t>排放量为</w:t>
                  </w:r>
                  <w:r>
                    <w:rPr>
                      <w:rFonts w:hint="eastAsia"/>
                      <w:color w:val="auto"/>
                      <w:sz w:val="18"/>
                      <w:szCs w:val="18"/>
                      <w:u w:val="none"/>
                      <w:lang w:val="en-US" w:eastAsia="zh-CN"/>
                    </w:rPr>
                    <w:t>0.3273</w:t>
                  </w:r>
                  <w:r>
                    <w:rPr>
                      <w:rFonts w:hint="eastAsia" w:eastAsia="宋体"/>
                      <w:color w:val="auto"/>
                      <w:sz w:val="18"/>
                      <w:szCs w:val="18"/>
                      <w:u w:val="none"/>
                      <w:lang w:val="en-US" w:eastAsia="zh-CN"/>
                    </w:rPr>
                    <w:t>t</w:t>
                  </w:r>
                  <w:r>
                    <w:rPr>
                      <w:rFonts w:hint="default" w:eastAsia="宋体"/>
                      <w:color w:val="auto"/>
                      <w:sz w:val="18"/>
                      <w:szCs w:val="18"/>
                      <w:u w:val="none"/>
                    </w:rPr>
                    <w:t>/a</w:t>
                  </w:r>
                  <w:r>
                    <w:rPr>
                      <w:rFonts w:hint="eastAsia" w:eastAsia="宋体"/>
                      <w:color w:val="auto"/>
                      <w:sz w:val="18"/>
                      <w:szCs w:val="18"/>
                      <w:u w:val="none"/>
                      <w:lang w:val="en-US" w:eastAsia="zh-CN"/>
                    </w:rPr>
                    <w:t>。</w:t>
                  </w:r>
                  <w:r>
                    <w:rPr>
                      <w:rFonts w:hint="default" w:ascii="Times New Roman" w:hAnsi="Times New Roman" w:cs="Times New Roman"/>
                      <w:color w:val="auto"/>
                      <w:sz w:val="18"/>
                      <w:szCs w:val="18"/>
                      <w:highlight w:val="none"/>
                      <w:vertAlign w:val="baseline"/>
                      <w:lang w:val="en-US" w:eastAsia="zh-CN"/>
                    </w:rPr>
                    <w:t>未超过污染物排放总量，符合。</w:t>
                  </w:r>
                </w:p>
              </w:tc>
              <w:tc>
                <w:tcPr>
                  <w:tcW w:w="850" w:type="dxa"/>
                  <w:vMerge w:val="restart"/>
                  <w:tcBorders>
                    <w:top w:val="single" w:color="auto" w:sz="4" w:space="0"/>
                    <w:left w:val="single" w:color="auto" w:sz="4" w:space="0"/>
                    <w:bottom w:val="single" w:color="auto" w:sz="4" w:space="0"/>
                    <w:right w:val="nil"/>
                    <w:tl2br w:val="nil"/>
                    <w:tr2bl w:val="nil"/>
                  </w:tcBorders>
                  <w:noWrap w:val="0"/>
                  <w:vAlign w:val="center"/>
                </w:tcPr>
                <w:p w14:paraId="314A5AC4">
                  <w:pPr>
                    <w:widowControl/>
                    <w:spacing w:beforeLines="0" w:afterLines="0" w:line="240" w:lineRule="auto"/>
                    <w:jc w:val="center"/>
                    <w:rPr>
                      <w:rFonts w:hint="default"/>
                      <w:color w:val="auto"/>
                      <w:sz w:val="18"/>
                      <w:szCs w:val="18"/>
                      <w:u w:val="none"/>
                    </w:rPr>
                  </w:pPr>
                  <w:r>
                    <w:rPr>
                      <w:rFonts w:hint="eastAsia"/>
                      <w:color w:val="auto"/>
                      <w:sz w:val="18"/>
                      <w:szCs w:val="18"/>
                      <w:u w:val="none"/>
                    </w:rPr>
                    <w:t>相符</w:t>
                  </w:r>
                </w:p>
              </w:tc>
            </w:tr>
            <w:tr w14:paraId="1B6BD7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6" w:type="dxa"/>
                  <w:gridSpan w:val="2"/>
                  <w:vMerge w:val="continue"/>
                  <w:tcBorders>
                    <w:top w:val="single" w:color="auto" w:sz="4" w:space="0"/>
                    <w:left w:val="nil"/>
                    <w:bottom w:val="single" w:color="auto" w:sz="4" w:space="0"/>
                    <w:right w:val="single" w:color="auto" w:sz="4" w:space="0"/>
                    <w:tl2br w:val="nil"/>
                    <w:tr2bl w:val="nil"/>
                  </w:tcBorders>
                  <w:noWrap w:val="0"/>
                  <w:vAlign w:val="center"/>
                </w:tcPr>
                <w:p w14:paraId="30D96F41">
                  <w:pPr>
                    <w:widowControl/>
                    <w:spacing w:beforeLines="0" w:afterLines="0" w:line="240" w:lineRule="auto"/>
                    <w:jc w:val="center"/>
                    <w:rPr>
                      <w:rFonts w:hint="default"/>
                      <w:color w:val="auto"/>
                      <w:sz w:val="18"/>
                      <w:szCs w:val="18"/>
                      <w:u w:val="none"/>
                    </w:rPr>
                  </w:pPr>
                </w:p>
              </w:tc>
              <w:tc>
                <w:tcPr>
                  <w:tcW w:w="67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00702A">
                  <w:pPr>
                    <w:widowControl/>
                    <w:spacing w:beforeLines="0" w:afterLines="0" w:line="240" w:lineRule="auto"/>
                    <w:jc w:val="center"/>
                    <w:rPr>
                      <w:rFonts w:hint="eastAsia"/>
                      <w:color w:val="auto"/>
                      <w:sz w:val="18"/>
                      <w:szCs w:val="18"/>
                      <w:u w:val="none"/>
                    </w:rPr>
                  </w:pPr>
                  <w:r>
                    <w:rPr>
                      <w:rFonts w:hint="eastAsia"/>
                      <w:color w:val="auto"/>
                      <w:sz w:val="18"/>
                      <w:szCs w:val="18"/>
                      <w:u w:val="none"/>
                    </w:rPr>
                    <w:t>污染物排放总量</w:t>
                  </w:r>
                </w:p>
              </w:tc>
              <w:tc>
                <w:tcPr>
                  <w:tcW w:w="370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0CE58CC">
                  <w:pPr>
                    <w:widowControl/>
                    <w:spacing w:beforeLines="0" w:afterLines="0" w:line="240" w:lineRule="auto"/>
                    <w:jc w:val="left"/>
                    <w:rPr>
                      <w:rFonts w:hint="eastAsia"/>
                      <w:color w:val="auto"/>
                      <w:sz w:val="18"/>
                      <w:szCs w:val="18"/>
                      <w:u w:val="none"/>
                    </w:rPr>
                  </w:pPr>
                  <w:r>
                    <w:rPr>
                      <w:rFonts w:hint="eastAsia"/>
                      <w:color w:val="auto"/>
                      <w:sz w:val="18"/>
                      <w:szCs w:val="18"/>
                      <w:u w:val="none"/>
                    </w:rPr>
                    <w:t>(1)废水污染物(外排量):2025年排放量，化学需氧量小于592.46吨/年，氨氮小于46.44吨/年、总磷小于5.92吨/年、总氮小于228.98吨/年；2035年排放量化学需氧量小于859.80吨/年，氨氮小于54.07吨/年、总磷小于8,60吨/年、总氮小于356.05吨/年；</w:t>
                  </w:r>
                </w:p>
                <w:p w14:paraId="5AC35AA5">
                  <w:pPr>
                    <w:widowControl/>
                    <w:spacing w:beforeLines="0" w:afterLines="0" w:line="240" w:lineRule="auto"/>
                    <w:jc w:val="left"/>
                    <w:rPr>
                      <w:rFonts w:hint="eastAsia"/>
                      <w:color w:val="auto"/>
                      <w:sz w:val="18"/>
                      <w:szCs w:val="18"/>
                      <w:u w:val="none"/>
                    </w:rPr>
                  </w:pPr>
                  <w:r>
                    <w:rPr>
                      <w:rFonts w:hint="eastAsia"/>
                      <w:color w:val="auto"/>
                      <w:sz w:val="18"/>
                      <w:szCs w:val="18"/>
                      <w:u w:val="none"/>
                    </w:rPr>
                    <w:t>(2)大气污染物：2025年排放量，二氧化硫小于524.14吨/年，氮氧化物小于446.93吨/年，颗粒物小724.79吨/年，VOCs小于113.61吨/年；2035年排放量，二氧化硫小于535.07吨/年，氮氧化物小于454.81吨/年，颗粒物小于750.19吨/年，VOC小于128.33吨/年</w:t>
                  </w:r>
                </w:p>
                <w:p w14:paraId="2592AC70">
                  <w:pPr>
                    <w:widowControl/>
                    <w:spacing w:beforeLines="0" w:afterLines="0" w:line="240" w:lineRule="auto"/>
                    <w:jc w:val="left"/>
                    <w:rPr>
                      <w:rFonts w:hint="eastAsia"/>
                      <w:color w:val="auto"/>
                      <w:sz w:val="18"/>
                      <w:szCs w:val="18"/>
                      <w:u w:val="none"/>
                    </w:rPr>
                  </w:pPr>
                  <w:r>
                    <w:rPr>
                      <w:rFonts w:hint="eastAsia"/>
                      <w:color w:val="auto"/>
                      <w:sz w:val="18"/>
                      <w:szCs w:val="18"/>
                      <w:u w:val="none"/>
                    </w:rPr>
                    <w:t>(3)2025年一般工业固废8.16万吨/年，危险废物0.65万吨/年；2035年一般工业固废9.11万吨/年，危险废物1.20万吨/年，全部综合利用或者委外合法安全处置。</w:t>
                  </w:r>
                </w:p>
              </w:tc>
              <w:tc>
                <w:tcPr>
                  <w:tcW w:w="231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31952A8">
                  <w:pPr>
                    <w:widowControl/>
                    <w:spacing w:beforeLines="0" w:afterLines="0" w:line="240" w:lineRule="auto"/>
                    <w:jc w:val="center"/>
                    <w:rPr>
                      <w:rFonts w:hint="eastAsia"/>
                      <w:color w:val="auto"/>
                      <w:sz w:val="18"/>
                      <w:szCs w:val="18"/>
                      <w:u w:val="none"/>
                    </w:rPr>
                  </w:pPr>
                </w:p>
              </w:tc>
              <w:tc>
                <w:tcPr>
                  <w:tcW w:w="850" w:type="dxa"/>
                  <w:vMerge w:val="continue"/>
                  <w:tcBorders>
                    <w:top w:val="single" w:color="auto" w:sz="4" w:space="0"/>
                    <w:left w:val="single" w:color="auto" w:sz="4" w:space="0"/>
                    <w:bottom w:val="single" w:color="auto" w:sz="4" w:space="0"/>
                    <w:right w:val="nil"/>
                    <w:tl2br w:val="nil"/>
                    <w:tr2bl w:val="nil"/>
                  </w:tcBorders>
                  <w:noWrap w:val="0"/>
                  <w:vAlign w:val="center"/>
                </w:tcPr>
                <w:p w14:paraId="57076179">
                  <w:pPr>
                    <w:widowControl/>
                    <w:spacing w:beforeLines="0" w:afterLines="0" w:line="240" w:lineRule="auto"/>
                    <w:jc w:val="center"/>
                    <w:rPr>
                      <w:rFonts w:hint="eastAsia"/>
                      <w:color w:val="auto"/>
                      <w:sz w:val="18"/>
                      <w:szCs w:val="18"/>
                      <w:u w:val="none"/>
                    </w:rPr>
                  </w:pPr>
                </w:p>
              </w:tc>
            </w:tr>
            <w:tr w14:paraId="7F1017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3" w:type="dxa"/>
                  <w:gridSpan w:val="3"/>
                  <w:tcBorders>
                    <w:top w:val="single" w:color="auto" w:sz="4" w:space="0"/>
                    <w:left w:val="nil"/>
                    <w:bottom w:val="single" w:color="auto" w:sz="4" w:space="0"/>
                    <w:right w:val="single" w:color="auto" w:sz="4" w:space="0"/>
                    <w:tl2br w:val="nil"/>
                    <w:tr2bl w:val="nil"/>
                  </w:tcBorders>
                  <w:noWrap w:val="0"/>
                  <w:vAlign w:val="center"/>
                </w:tcPr>
                <w:p w14:paraId="7A677CBC">
                  <w:pPr>
                    <w:widowControl/>
                    <w:spacing w:beforeLines="0" w:afterLines="0" w:line="240" w:lineRule="auto"/>
                    <w:jc w:val="center"/>
                    <w:rPr>
                      <w:rFonts w:hint="eastAsia"/>
                      <w:color w:val="auto"/>
                      <w:sz w:val="18"/>
                      <w:szCs w:val="18"/>
                      <w:u w:val="none"/>
                    </w:rPr>
                  </w:pPr>
                  <w:r>
                    <w:rPr>
                      <w:rFonts w:hint="eastAsia"/>
                      <w:color w:val="auto"/>
                      <w:sz w:val="18"/>
                      <w:szCs w:val="18"/>
                      <w:u w:val="none"/>
                    </w:rPr>
                    <w:t>环境风险管控</w:t>
                  </w:r>
                </w:p>
              </w:tc>
              <w:tc>
                <w:tcPr>
                  <w:tcW w:w="370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F256E9A">
                  <w:pPr>
                    <w:widowControl/>
                    <w:spacing w:beforeLines="0" w:afterLines="0" w:line="240" w:lineRule="auto"/>
                    <w:jc w:val="left"/>
                    <w:rPr>
                      <w:rFonts w:hint="default"/>
                      <w:color w:val="auto"/>
                      <w:sz w:val="18"/>
                      <w:szCs w:val="18"/>
                      <w:u w:val="none"/>
                    </w:rPr>
                  </w:pPr>
                  <w:r>
                    <w:rPr>
                      <w:rFonts w:hint="default"/>
                      <w:color w:val="auto"/>
                      <w:sz w:val="18"/>
                      <w:szCs w:val="18"/>
                      <w:u w:val="none"/>
                    </w:rPr>
                    <w:t>(1)</w:t>
                  </w:r>
                  <w:r>
                    <w:rPr>
                      <w:rFonts w:hint="eastAsia"/>
                      <w:color w:val="auto"/>
                      <w:sz w:val="18"/>
                      <w:szCs w:val="18"/>
                      <w:u w:val="none"/>
                    </w:rPr>
                    <w:t>建立区内环境风险物质和环境风险防控措施两个清单；及时完成环境应急预案更新、备案；定期开展环境应急演练，完善环境应急响应联动机制，提升应急实战水平；建立突发环境事件隐患排查长效机制，定期排查整治突发环境事件隐患，督促区内企业开展突发环境事件应急预案“一图两单两卡”管理，指导区内较大及以上重点环境风险企业按要求实施“三落实三必须”;应急物资库配备必要的污染物吸附、拦截、消减及现场快速检测设备等应急物资，提高环境应急救援能力；</w:t>
                  </w:r>
                </w:p>
                <w:p w14:paraId="05E784BD">
                  <w:pPr>
                    <w:widowControl/>
                    <w:spacing w:beforeLines="0" w:afterLines="0" w:line="240" w:lineRule="auto"/>
                    <w:jc w:val="left"/>
                    <w:rPr>
                      <w:rFonts w:hint="default"/>
                      <w:color w:val="auto"/>
                      <w:sz w:val="18"/>
                      <w:szCs w:val="18"/>
                      <w:u w:val="none"/>
                    </w:rPr>
                  </w:pPr>
                  <w:r>
                    <w:rPr>
                      <w:rFonts w:hint="default"/>
                      <w:color w:val="auto"/>
                      <w:sz w:val="18"/>
                      <w:szCs w:val="18"/>
                      <w:u w:val="none"/>
                    </w:rPr>
                    <w:t>(2)</w:t>
                  </w:r>
                  <w:r>
                    <w:rPr>
                      <w:rFonts w:hint="eastAsia"/>
                      <w:color w:val="auto"/>
                      <w:sz w:val="18"/>
                      <w:szCs w:val="18"/>
                      <w:u w:val="none"/>
                    </w:rPr>
                    <w:t>根据新一代信息技术产业片区引进产业，建立突发水污染事件等环境应急防范体系，完善“企业-公共管网-区内水体”水污染三级防控基础设施建设；建立有毒有害气体监控预警体系，完善重点监控区域预警和应急机制，涉及有毒有害气体的企业全部安装毒害气体监控预警装置并与当地生态环境主管部门或开发区管理平台联网，加强监控；</w:t>
                  </w:r>
                </w:p>
                <w:p w14:paraId="0C3A75B3">
                  <w:pPr>
                    <w:widowControl/>
                    <w:spacing w:beforeLines="0" w:afterLines="0" w:line="240" w:lineRule="auto"/>
                    <w:jc w:val="left"/>
                    <w:rPr>
                      <w:rFonts w:hint="default"/>
                      <w:color w:val="auto"/>
                      <w:sz w:val="18"/>
                      <w:szCs w:val="18"/>
                      <w:u w:val="none"/>
                    </w:rPr>
                  </w:pPr>
                  <w:r>
                    <w:rPr>
                      <w:rFonts w:hint="default"/>
                      <w:color w:val="auto"/>
                      <w:sz w:val="18"/>
                      <w:szCs w:val="18"/>
                      <w:u w:val="none"/>
                    </w:rPr>
                    <w:t>(3)</w:t>
                  </w:r>
                  <w:r>
                    <w:rPr>
                      <w:rFonts w:hint="eastAsia"/>
                      <w:color w:val="auto"/>
                      <w:sz w:val="18"/>
                      <w:szCs w:val="18"/>
                      <w:u w:val="none"/>
                    </w:rPr>
                    <w:t>按照相关管理要求申报、处置废弃危险化学品。强化对危险废物的收集， 贮存和处置的监督管理，实现危险废物监管无盲区、无死角。</w:t>
                  </w:r>
                </w:p>
              </w:tc>
              <w:tc>
                <w:tcPr>
                  <w:tcW w:w="23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19BDE3">
                  <w:pPr>
                    <w:widowControl/>
                    <w:spacing w:beforeLines="0" w:afterLines="0" w:line="240" w:lineRule="auto"/>
                    <w:jc w:val="left"/>
                    <w:rPr>
                      <w:rFonts w:hint="eastAsia" w:eastAsia="宋体"/>
                      <w:color w:val="auto"/>
                      <w:sz w:val="18"/>
                      <w:szCs w:val="18"/>
                      <w:u w:val="none"/>
                      <w:lang w:eastAsia="zh-CN"/>
                    </w:rPr>
                  </w:pPr>
                  <w:r>
                    <w:rPr>
                      <w:rFonts w:hint="eastAsia"/>
                      <w:color w:val="auto"/>
                      <w:sz w:val="18"/>
                      <w:szCs w:val="18"/>
                      <w:u w:val="none"/>
                    </w:rPr>
                    <w:t>本项目不涉及有毒有害气体，</w:t>
                  </w:r>
                  <w:r>
                    <w:rPr>
                      <w:rFonts w:hint="eastAsia"/>
                      <w:color w:val="auto"/>
                      <w:sz w:val="18"/>
                      <w:szCs w:val="18"/>
                      <w:u w:val="none"/>
                      <w:lang w:val="en-US" w:eastAsia="zh-CN"/>
                    </w:rPr>
                    <w:t>企业</w:t>
                  </w:r>
                  <w:r>
                    <w:rPr>
                      <w:rFonts w:hint="eastAsia"/>
                      <w:color w:val="auto"/>
                      <w:sz w:val="18"/>
                      <w:szCs w:val="18"/>
                      <w:u w:val="none"/>
                    </w:rPr>
                    <w:t>已取得应急预案备案，并按应急预案要求，定期开展环境应急演练，已完善环境应急响应联动机制，已建立突发环境事件隐患排查长效机制，</w:t>
                  </w:r>
                  <w:r>
                    <w:rPr>
                      <w:rFonts w:hint="eastAsia"/>
                      <w:color w:val="auto"/>
                      <w:sz w:val="18"/>
                      <w:szCs w:val="18"/>
                      <w:u w:val="none"/>
                      <w:lang w:val="en-US" w:eastAsia="zh-CN"/>
                    </w:rPr>
                    <w:t>且</w:t>
                  </w:r>
                  <w:r>
                    <w:rPr>
                      <w:rFonts w:hint="eastAsia"/>
                      <w:color w:val="auto"/>
                      <w:sz w:val="18"/>
                      <w:szCs w:val="18"/>
                      <w:u w:val="none"/>
                    </w:rPr>
                    <w:t>定期排查整治突发环境事件隐患，企业已配备必要的应急物资，待取得环评批复后，企业将及时</w:t>
                  </w:r>
                  <w:r>
                    <w:rPr>
                      <w:rFonts w:hint="eastAsia"/>
                      <w:color w:val="auto"/>
                      <w:sz w:val="18"/>
                      <w:szCs w:val="18"/>
                      <w:u w:val="none"/>
                      <w:lang w:eastAsia="zh-CN"/>
                    </w:rPr>
                    <w:t>修编</w:t>
                  </w:r>
                  <w:r>
                    <w:rPr>
                      <w:rFonts w:hint="eastAsia"/>
                      <w:color w:val="auto"/>
                      <w:sz w:val="18"/>
                      <w:szCs w:val="18"/>
                      <w:u w:val="none"/>
                    </w:rPr>
                    <w:t>突发环境事件应急预案</w:t>
                  </w:r>
                  <w:r>
                    <w:rPr>
                      <w:rFonts w:hint="eastAsia"/>
                      <w:color w:val="auto"/>
                      <w:sz w:val="18"/>
                      <w:szCs w:val="18"/>
                      <w:u w:val="none"/>
                      <w:lang w:eastAsia="zh-CN"/>
                    </w:rPr>
                    <w:t>。</w:t>
                  </w:r>
                </w:p>
              </w:tc>
              <w:tc>
                <w:tcPr>
                  <w:tcW w:w="850" w:type="dxa"/>
                  <w:tcBorders>
                    <w:top w:val="single" w:color="auto" w:sz="4" w:space="0"/>
                    <w:left w:val="single" w:color="auto" w:sz="4" w:space="0"/>
                    <w:bottom w:val="single" w:color="auto" w:sz="4" w:space="0"/>
                    <w:right w:val="nil"/>
                    <w:tl2br w:val="nil"/>
                    <w:tr2bl w:val="nil"/>
                  </w:tcBorders>
                  <w:noWrap w:val="0"/>
                  <w:vAlign w:val="center"/>
                </w:tcPr>
                <w:p w14:paraId="78369560">
                  <w:pPr>
                    <w:widowControl/>
                    <w:spacing w:beforeLines="0" w:afterLines="0" w:line="240" w:lineRule="auto"/>
                    <w:jc w:val="center"/>
                    <w:rPr>
                      <w:rFonts w:hint="default"/>
                      <w:color w:val="auto"/>
                      <w:sz w:val="18"/>
                      <w:szCs w:val="18"/>
                      <w:u w:val="none"/>
                    </w:rPr>
                  </w:pPr>
                  <w:r>
                    <w:rPr>
                      <w:rFonts w:hint="eastAsia"/>
                      <w:color w:val="auto"/>
                      <w:sz w:val="18"/>
                      <w:szCs w:val="18"/>
                      <w:u w:val="none"/>
                    </w:rPr>
                    <w:t>相符</w:t>
                  </w:r>
                </w:p>
              </w:tc>
            </w:tr>
            <w:tr w14:paraId="2672E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3" w:type="dxa"/>
                  <w:gridSpan w:val="3"/>
                  <w:tcBorders>
                    <w:top w:val="single" w:color="auto" w:sz="4" w:space="0"/>
                    <w:left w:val="nil"/>
                    <w:bottom w:val="single" w:color="auto" w:sz="12" w:space="0"/>
                    <w:right w:val="single" w:color="auto" w:sz="4" w:space="0"/>
                    <w:tl2br w:val="nil"/>
                    <w:tr2bl w:val="nil"/>
                  </w:tcBorders>
                  <w:noWrap w:val="0"/>
                  <w:vAlign w:val="center"/>
                </w:tcPr>
                <w:p w14:paraId="5AF03256">
                  <w:pPr>
                    <w:widowControl/>
                    <w:spacing w:beforeLines="0" w:afterLines="0" w:line="240" w:lineRule="auto"/>
                    <w:jc w:val="center"/>
                    <w:rPr>
                      <w:rFonts w:hint="default"/>
                      <w:color w:val="auto"/>
                      <w:sz w:val="18"/>
                      <w:szCs w:val="18"/>
                      <w:u w:val="none"/>
                    </w:rPr>
                  </w:pPr>
                  <w:r>
                    <w:rPr>
                      <w:rFonts w:hint="eastAsia"/>
                      <w:color w:val="auto"/>
                      <w:sz w:val="18"/>
                      <w:szCs w:val="18"/>
                      <w:u w:val="none"/>
                    </w:rPr>
                    <w:t>资源开发利用要求</w:t>
                  </w:r>
                </w:p>
              </w:tc>
              <w:tc>
                <w:tcPr>
                  <w:tcW w:w="3705" w:type="dxa"/>
                  <w:tcBorders>
                    <w:top w:val="single" w:color="auto" w:sz="4" w:space="0"/>
                    <w:left w:val="single" w:color="auto" w:sz="4" w:space="0"/>
                    <w:bottom w:val="single" w:color="auto" w:sz="12" w:space="0"/>
                    <w:right w:val="single" w:color="auto" w:sz="4" w:space="0"/>
                    <w:tl2br w:val="nil"/>
                    <w:tr2bl w:val="nil"/>
                  </w:tcBorders>
                  <w:noWrap w:val="0"/>
                  <w:vAlign w:val="center"/>
                </w:tcPr>
                <w:p w14:paraId="29B5A828">
                  <w:pPr>
                    <w:widowControl/>
                    <w:spacing w:beforeLines="0" w:afterLines="0" w:line="240" w:lineRule="auto"/>
                    <w:jc w:val="left"/>
                    <w:rPr>
                      <w:rFonts w:hint="eastAsia" w:eastAsia="宋体"/>
                      <w:color w:val="auto"/>
                      <w:sz w:val="18"/>
                      <w:szCs w:val="18"/>
                      <w:u w:val="none"/>
                      <w:lang w:eastAsia="zh-CN"/>
                    </w:rPr>
                  </w:pPr>
                  <w:r>
                    <w:rPr>
                      <w:rFonts w:hint="default"/>
                      <w:color w:val="auto"/>
                      <w:sz w:val="18"/>
                      <w:szCs w:val="18"/>
                      <w:u w:val="none"/>
                    </w:rPr>
                    <w:t>(1)</w:t>
                  </w:r>
                  <w:r>
                    <w:rPr>
                      <w:rFonts w:hint="eastAsia"/>
                      <w:color w:val="auto"/>
                      <w:sz w:val="18"/>
                      <w:szCs w:val="18"/>
                      <w:u w:val="none"/>
                    </w:rPr>
                    <w:t>单位工业增加值新鲜水耗不高于6.5吨/万元</w:t>
                  </w:r>
                  <w:r>
                    <w:rPr>
                      <w:rFonts w:hint="eastAsia"/>
                      <w:color w:val="auto"/>
                      <w:sz w:val="18"/>
                      <w:szCs w:val="18"/>
                      <w:u w:val="none"/>
                      <w:lang w:eastAsia="zh-CN"/>
                    </w:rPr>
                    <w:t>；</w:t>
                  </w:r>
                </w:p>
                <w:p w14:paraId="529D96B3">
                  <w:pPr>
                    <w:widowControl/>
                    <w:spacing w:beforeLines="0" w:afterLines="0" w:line="240" w:lineRule="auto"/>
                    <w:jc w:val="left"/>
                    <w:rPr>
                      <w:rFonts w:hint="default"/>
                      <w:color w:val="auto"/>
                      <w:sz w:val="18"/>
                      <w:szCs w:val="18"/>
                      <w:u w:val="none"/>
                    </w:rPr>
                  </w:pPr>
                  <w:r>
                    <w:rPr>
                      <w:rFonts w:hint="default"/>
                      <w:color w:val="auto"/>
                      <w:sz w:val="18"/>
                      <w:szCs w:val="18"/>
                      <w:u w:val="none"/>
                    </w:rPr>
                    <w:t>(2)</w:t>
                  </w:r>
                  <w:r>
                    <w:rPr>
                      <w:rFonts w:hint="eastAsia"/>
                      <w:color w:val="auto"/>
                      <w:sz w:val="18"/>
                      <w:szCs w:val="18"/>
                      <w:u w:val="none"/>
                    </w:rPr>
                    <w:t>建设用地总量上限不高于50.99平方公里，工业用地及仓储用地总量不高于18.83平方公里；</w:t>
                  </w:r>
                </w:p>
                <w:p w14:paraId="55962E86">
                  <w:pPr>
                    <w:widowControl/>
                    <w:spacing w:beforeLines="0" w:afterLines="0" w:line="240" w:lineRule="auto"/>
                    <w:jc w:val="left"/>
                    <w:rPr>
                      <w:rFonts w:hint="eastAsia" w:eastAsia="宋体"/>
                      <w:color w:val="auto"/>
                      <w:sz w:val="18"/>
                      <w:szCs w:val="18"/>
                      <w:u w:val="none"/>
                      <w:lang w:eastAsia="zh-CN"/>
                    </w:rPr>
                  </w:pPr>
                  <w:r>
                    <w:rPr>
                      <w:rFonts w:hint="default"/>
                      <w:color w:val="auto"/>
                      <w:sz w:val="18"/>
                      <w:szCs w:val="18"/>
                      <w:u w:val="none"/>
                    </w:rPr>
                    <w:t>(3)</w:t>
                  </w:r>
                  <w:r>
                    <w:rPr>
                      <w:rFonts w:hint="eastAsia"/>
                      <w:color w:val="auto"/>
                      <w:sz w:val="18"/>
                      <w:szCs w:val="18"/>
                      <w:u w:val="none"/>
                    </w:rPr>
                    <w:t>单位工业增加值综合能耗不高于0.41吨标煤/万元</w:t>
                  </w:r>
                  <w:r>
                    <w:rPr>
                      <w:rFonts w:hint="eastAsia"/>
                      <w:color w:val="auto"/>
                      <w:sz w:val="18"/>
                      <w:szCs w:val="18"/>
                      <w:u w:val="none"/>
                      <w:lang w:eastAsia="zh-CN"/>
                    </w:rPr>
                    <w:t>；</w:t>
                  </w:r>
                </w:p>
                <w:p w14:paraId="2027EEEB">
                  <w:pPr>
                    <w:widowControl/>
                    <w:spacing w:beforeLines="0" w:afterLines="0" w:line="240" w:lineRule="auto"/>
                    <w:jc w:val="left"/>
                    <w:rPr>
                      <w:rFonts w:hint="default"/>
                      <w:color w:val="auto"/>
                      <w:sz w:val="18"/>
                      <w:szCs w:val="18"/>
                      <w:u w:val="none"/>
                    </w:rPr>
                  </w:pPr>
                  <w:r>
                    <w:rPr>
                      <w:rFonts w:hint="default"/>
                      <w:color w:val="auto"/>
                      <w:sz w:val="18"/>
                      <w:szCs w:val="18"/>
                      <w:u w:val="none"/>
                    </w:rPr>
                    <w:t>(4)</w:t>
                  </w:r>
                  <w:r>
                    <w:rPr>
                      <w:rFonts w:hint="eastAsia"/>
                      <w:color w:val="auto"/>
                      <w:sz w:val="18"/>
                      <w:szCs w:val="18"/>
                      <w:u w:val="none"/>
                    </w:rPr>
                    <w:t>引进项目的生产工艺、设备，以及单位产品水耗、能耗、污染物排放和资源利用效率等应达到同行业国际先进水平；</w:t>
                  </w:r>
                </w:p>
                <w:p w14:paraId="41DCF73A">
                  <w:pPr>
                    <w:widowControl/>
                    <w:spacing w:beforeLines="0" w:afterLines="0" w:line="240" w:lineRule="auto"/>
                    <w:jc w:val="left"/>
                    <w:rPr>
                      <w:rFonts w:hint="default"/>
                      <w:color w:val="auto"/>
                      <w:sz w:val="18"/>
                      <w:szCs w:val="18"/>
                      <w:u w:val="none"/>
                    </w:rPr>
                  </w:pPr>
                  <w:r>
                    <w:rPr>
                      <w:rFonts w:hint="default"/>
                      <w:color w:val="auto"/>
                      <w:sz w:val="18"/>
                      <w:szCs w:val="18"/>
                      <w:u w:val="none"/>
                    </w:rPr>
                    <w:t>(5)</w:t>
                  </w:r>
                  <w:r>
                    <w:rPr>
                      <w:rFonts w:hint="eastAsia"/>
                      <w:color w:val="auto"/>
                      <w:sz w:val="18"/>
                      <w:szCs w:val="18"/>
                      <w:u w:val="none"/>
                    </w:rPr>
                    <w:t>企业应加强水的循环利用，提高水的重复利用率，推进节水型企业、节水型园区建设，提高区域中水回用率，2035年开发区工业污水处理厂中水回用率不低于30%</w:t>
                  </w:r>
                </w:p>
              </w:tc>
              <w:tc>
                <w:tcPr>
                  <w:tcW w:w="2310" w:type="dxa"/>
                  <w:tcBorders>
                    <w:top w:val="single" w:color="auto" w:sz="4" w:space="0"/>
                    <w:left w:val="single" w:color="auto" w:sz="4" w:space="0"/>
                    <w:bottom w:val="single" w:color="auto" w:sz="12" w:space="0"/>
                    <w:right w:val="single" w:color="auto" w:sz="4" w:space="0"/>
                    <w:tl2br w:val="nil"/>
                    <w:tr2bl w:val="nil"/>
                  </w:tcBorders>
                  <w:noWrap w:val="0"/>
                  <w:vAlign w:val="center"/>
                </w:tcPr>
                <w:p w14:paraId="29487925">
                  <w:pPr>
                    <w:widowControl/>
                    <w:spacing w:beforeLines="0" w:afterLines="0" w:line="240" w:lineRule="auto"/>
                    <w:jc w:val="left"/>
                    <w:rPr>
                      <w:rFonts w:hint="eastAsia"/>
                      <w:color w:val="auto"/>
                      <w:sz w:val="18"/>
                      <w:szCs w:val="18"/>
                      <w:u w:val="none"/>
                    </w:rPr>
                  </w:pPr>
                  <w:r>
                    <w:rPr>
                      <w:rFonts w:hint="eastAsia"/>
                      <w:color w:val="auto"/>
                      <w:sz w:val="18"/>
                      <w:szCs w:val="18"/>
                      <w:u w:val="none"/>
                    </w:rPr>
                    <w:t>本项目</w:t>
                  </w:r>
                  <w:r>
                    <w:rPr>
                      <w:rFonts w:hint="eastAsia"/>
                      <w:color w:val="auto"/>
                      <w:sz w:val="18"/>
                      <w:szCs w:val="18"/>
                      <w:u w:val="none"/>
                      <w:lang w:val="en-US" w:eastAsia="zh-CN"/>
                    </w:rPr>
                    <w:t>不新增用水，</w:t>
                  </w:r>
                  <w:r>
                    <w:rPr>
                      <w:rFonts w:hint="eastAsia"/>
                      <w:color w:val="auto"/>
                      <w:sz w:val="18"/>
                      <w:szCs w:val="18"/>
                      <w:u w:val="none"/>
                    </w:rPr>
                    <w:t>单位工业增加值新鲜水耗</w:t>
                  </w:r>
                  <w:r>
                    <w:rPr>
                      <w:rFonts w:hint="eastAsia"/>
                      <w:color w:val="auto"/>
                      <w:sz w:val="18"/>
                      <w:szCs w:val="18"/>
                      <w:u w:val="none"/>
                      <w:lang w:val="en-US" w:eastAsia="zh-CN"/>
                    </w:rPr>
                    <w:t>为0，</w:t>
                  </w:r>
                  <w:r>
                    <w:rPr>
                      <w:rFonts w:hint="eastAsia"/>
                      <w:color w:val="auto"/>
                      <w:sz w:val="18"/>
                      <w:szCs w:val="18"/>
                      <w:u w:val="none"/>
                      <w:lang w:eastAsia="zh-CN"/>
                    </w:rPr>
                    <w:t>低于</w:t>
                  </w:r>
                  <w:r>
                    <w:rPr>
                      <w:rFonts w:hint="eastAsia"/>
                      <w:color w:val="auto"/>
                      <w:sz w:val="18"/>
                      <w:szCs w:val="18"/>
                      <w:u w:val="none"/>
                    </w:rPr>
                    <w:t>6.5吨/万元</w:t>
                  </w:r>
                  <w:r>
                    <w:rPr>
                      <w:rFonts w:hint="eastAsia"/>
                      <w:color w:val="auto"/>
                      <w:sz w:val="18"/>
                      <w:szCs w:val="18"/>
                      <w:u w:val="none"/>
                      <w:lang w:eastAsia="zh-CN"/>
                    </w:rPr>
                    <w:t>，</w:t>
                  </w:r>
                  <w:r>
                    <w:rPr>
                      <w:rFonts w:hint="eastAsia"/>
                      <w:color w:val="auto"/>
                      <w:sz w:val="18"/>
                      <w:szCs w:val="18"/>
                      <w:u w:val="none"/>
                      <w:lang w:eastAsia="zh-CN"/>
                    </w:rPr>
                    <w:t>本项目生产工艺、设备先进，水耗能耗资源利用效率等达到同行业国际先进水平，</w:t>
                  </w:r>
                  <w:r>
                    <w:rPr>
                      <w:rFonts w:hint="eastAsia"/>
                      <w:color w:val="auto"/>
                      <w:sz w:val="18"/>
                      <w:szCs w:val="18"/>
                      <w:u w:val="none"/>
                    </w:rPr>
                    <w:t>不属于工业污水处理厂。</w:t>
                  </w:r>
                </w:p>
              </w:tc>
              <w:tc>
                <w:tcPr>
                  <w:tcW w:w="850" w:type="dxa"/>
                  <w:tcBorders>
                    <w:top w:val="single" w:color="auto" w:sz="4" w:space="0"/>
                    <w:left w:val="single" w:color="auto" w:sz="4" w:space="0"/>
                    <w:bottom w:val="single" w:color="auto" w:sz="12" w:space="0"/>
                    <w:right w:val="nil"/>
                    <w:tl2br w:val="nil"/>
                    <w:tr2bl w:val="nil"/>
                  </w:tcBorders>
                  <w:noWrap w:val="0"/>
                  <w:vAlign w:val="center"/>
                </w:tcPr>
                <w:p w14:paraId="16C30780">
                  <w:pPr>
                    <w:widowControl/>
                    <w:spacing w:beforeLines="0" w:afterLines="0" w:line="240" w:lineRule="auto"/>
                    <w:jc w:val="center"/>
                    <w:rPr>
                      <w:rFonts w:hint="default"/>
                      <w:color w:val="auto"/>
                      <w:sz w:val="18"/>
                      <w:szCs w:val="18"/>
                      <w:u w:val="none"/>
                    </w:rPr>
                  </w:pPr>
                  <w:r>
                    <w:rPr>
                      <w:rFonts w:hint="eastAsia"/>
                      <w:color w:val="auto"/>
                      <w:sz w:val="18"/>
                      <w:szCs w:val="18"/>
                      <w:u w:val="none"/>
                    </w:rPr>
                    <w:t>相符</w:t>
                  </w:r>
                </w:p>
              </w:tc>
            </w:tr>
          </w:tbl>
          <w:p w14:paraId="006615A3">
            <w:pPr>
              <w:bidi w:val="0"/>
              <w:spacing w:line="360" w:lineRule="auto"/>
              <w:ind w:firstLine="420"/>
              <w:rPr>
                <w:rFonts w:hint="default"/>
                <w:color w:val="auto"/>
                <w:lang w:val="en-US" w:eastAsia="zh-CN"/>
              </w:rPr>
            </w:pPr>
          </w:p>
        </w:tc>
      </w:tr>
      <w:tr w14:paraId="712B0B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68" w:hRule="atLeast"/>
          <w:jc w:val="center"/>
        </w:trPr>
        <w:tc>
          <w:tcPr>
            <w:tcW w:w="579" w:type="dxa"/>
            <w:noWrap w:val="0"/>
            <w:vAlign w:val="center"/>
          </w:tcPr>
          <w:p w14:paraId="26B22C45">
            <w:pPr>
              <w:pStyle w:val="46"/>
              <w:jc w:val="center"/>
              <w:rPr>
                <w:rFonts w:hint="default" w:ascii="Times New Roman" w:hAnsi="Times New Roman" w:cs="Times New Roman"/>
                <w:color w:val="auto"/>
                <w:sz w:val="21"/>
                <w:szCs w:val="28"/>
                <w:lang w:val="en-US" w:eastAsia="zh-CN"/>
              </w:rPr>
            </w:pPr>
            <w:r>
              <w:rPr>
                <w:rFonts w:hint="default" w:ascii="Times New Roman" w:hAnsi="Times New Roman" w:cs="Times New Roman"/>
                <w:color w:val="auto"/>
                <w:sz w:val="21"/>
                <w:szCs w:val="28"/>
                <w:lang w:val="en-US" w:eastAsia="zh-CN"/>
              </w:rPr>
              <w:t>其</w:t>
            </w:r>
          </w:p>
          <w:p w14:paraId="387B94AD">
            <w:pPr>
              <w:pStyle w:val="46"/>
              <w:jc w:val="center"/>
              <w:rPr>
                <w:rFonts w:hint="default" w:ascii="Times New Roman" w:hAnsi="Times New Roman" w:cs="Times New Roman"/>
                <w:color w:val="auto"/>
                <w:sz w:val="21"/>
                <w:szCs w:val="28"/>
                <w:lang w:val="en-US" w:eastAsia="zh-CN"/>
              </w:rPr>
            </w:pPr>
            <w:r>
              <w:rPr>
                <w:rFonts w:hint="default" w:ascii="Times New Roman" w:hAnsi="Times New Roman" w:cs="Times New Roman"/>
                <w:color w:val="auto"/>
                <w:sz w:val="21"/>
                <w:szCs w:val="28"/>
                <w:lang w:val="en-US" w:eastAsia="zh-CN"/>
              </w:rPr>
              <w:t>他</w:t>
            </w:r>
          </w:p>
          <w:p w14:paraId="22BEF89D">
            <w:pPr>
              <w:pStyle w:val="46"/>
              <w:jc w:val="center"/>
              <w:rPr>
                <w:rFonts w:hint="default" w:ascii="Times New Roman" w:hAnsi="Times New Roman" w:cs="Times New Roman"/>
                <w:color w:val="auto"/>
                <w:sz w:val="21"/>
                <w:szCs w:val="28"/>
                <w:lang w:val="en-US" w:eastAsia="zh-CN"/>
              </w:rPr>
            </w:pPr>
            <w:r>
              <w:rPr>
                <w:rFonts w:hint="default" w:ascii="Times New Roman" w:hAnsi="Times New Roman" w:cs="Times New Roman"/>
                <w:color w:val="auto"/>
                <w:sz w:val="21"/>
                <w:szCs w:val="28"/>
                <w:lang w:val="en-US" w:eastAsia="zh-CN"/>
              </w:rPr>
              <w:t>符</w:t>
            </w:r>
          </w:p>
          <w:p w14:paraId="6FCD1AFF">
            <w:pPr>
              <w:pStyle w:val="46"/>
              <w:jc w:val="center"/>
              <w:rPr>
                <w:rFonts w:hint="default" w:ascii="Times New Roman" w:hAnsi="Times New Roman" w:cs="Times New Roman"/>
                <w:color w:val="auto"/>
                <w:sz w:val="21"/>
                <w:szCs w:val="28"/>
                <w:lang w:val="en-US" w:eastAsia="zh-CN"/>
              </w:rPr>
            </w:pPr>
            <w:r>
              <w:rPr>
                <w:rFonts w:hint="default" w:ascii="Times New Roman" w:hAnsi="Times New Roman" w:cs="Times New Roman"/>
                <w:color w:val="auto"/>
                <w:sz w:val="21"/>
                <w:szCs w:val="28"/>
                <w:lang w:val="en-US" w:eastAsia="zh-CN"/>
              </w:rPr>
              <w:t>合</w:t>
            </w:r>
          </w:p>
          <w:p w14:paraId="54F6F55C">
            <w:pPr>
              <w:pStyle w:val="46"/>
              <w:jc w:val="center"/>
              <w:rPr>
                <w:rFonts w:hint="default" w:ascii="Times New Roman" w:hAnsi="Times New Roman" w:cs="Times New Roman"/>
                <w:color w:val="auto"/>
                <w:sz w:val="21"/>
                <w:szCs w:val="28"/>
                <w:lang w:val="en-US" w:eastAsia="zh-CN"/>
              </w:rPr>
            </w:pPr>
            <w:r>
              <w:rPr>
                <w:rFonts w:hint="default" w:ascii="Times New Roman" w:hAnsi="Times New Roman" w:cs="Times New Roman"/>
                <w:color w:val="auto"/>
                <w:sz w:val="21"/>
                <w:szCs w:val="28"/>
                <w:lang w:val="en-US" w:eastAsia="zh-CN"/>
              </w:rPr>
              <w:t>性</w:t>
            </w:r>
          </w:p>
          <w:p w14:paraId="64F43510">
            <w:pPr>
              <w:pStyle w:val="46"/>
              <w:jc w:val="center"/>
              <w:rPr>
                <w:rFonts w:hint="default" w:ascii="Times New Roman" w:hAnsi="Times New Roman" w:cs="Times New Roman"/>
                <w:color w:val="auto"/>
                <w:sz w:val="21"/>
                <w:szCs w:val="28"/>
                <w:lang w:val="en-US" w:eastAsia="zh-CN"/>
              </w:rPr>
            </w:pPr>
            <w:r>
              <w:rPr>
                <w:rFonts w:hint="default" w:ascii="Times New Roman" w:hAnsi="Times New Roman" w:cs="Times New Roman"/>
                <w:color w:val="auto"/>
                <w:sz w:val="21"/>
                <w:szCs w:val="28"/>
                <w:lang w:val="en-US" w:eastAsia="zh-CN"/>
              </w:rPr>
              <w:t>分</w:t>
            </w:r>
          </w:p>
          <w:p w14:paraId="686283D3">
            <w:pPr>
              <w:pStyle w:val="18"/>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析</w:t>
            </w:r>
          </w:p>
        </w:tc>
        <w:tc>
          <w:tcPr>
            <w:tcW w:w="8405" w:type="dxa"/>
            <w:gridSpan w:val="5"/>
            <w:noWrap w:val="0"/>
            <w:vAlign w:val="top"/>
          </w:tcPr>
          <w:p w14:paraId="213CD101">
            <w:pPr>
              <w:pStyle w:val="3"/>
              <w:bidi w:val="0"/>
              <w:ind w:left="0" w:leftChars="0" w:firstLine="0" w:firstLineChars="0"/>
              <w:rPr>
                <w:rFonts w:hint="default" w:ascii="Times New Roman" w:hAnsi="Times New Roman" w:cs="Times New Roman"/>
                <w:color w:val="auto"/>
              </w:rPr>
            </w:pPr>
            <w:r>
              <w:rPr>
                <w:rFonts w:hint="eastAsia" w:ascii="Times New Roman" w:hAnsi="Times New Roman" w:cs="Times New Roman"/>
                <w:color w:val="auto"/>
                <w:lang w:val="en-US" w:eastAsia="zh-CN"/>
              </w:rPr>
              <w:t>1</w:t>
            </w:r>
            <w:r>
              <w:rPr>
                <w:rFonts w:hint="default" w:ascii="Times New Roman" w:hAnsi="Times New Roman" w:cs="Times New Roman"/>
                <w:color w:val="auto"/>
              </w:rPr>
              <w:t>、与“三线一单”相符性</w:t>
            </w:r>
          </w:p>
          <w:p w14:paraId="2F27850E">
            <w:pPr>
              <w:pStyle w:val="4"/>
              <w:bidi w:val="0"/>
              <w:rPr>
                <w:rFonts w:hint="default" w:ascii="Times New Roman" w:hAnsi="Times New Roman" w:cs="Times New Roman"/>
                <w:color w:val="auto"/>
              </w:rPr>
            </w:pPr>
            <w:r>
              <w:rPr>
                <w:rFonts w:hint="default" w:ascii="Times New Roman" w:hAnsi="Times New Roman" w:cs="Times New Roman"/>
                <w:color w:val="auto"/>
              </w:rPr>
              <w:t>（1）与生态保护红线的相符性</w:t>
            </w:r>
          </w:p>
          <w:p w14:paraId="026CF2CC">
            <w:pPr>
              <w:pStyle w:val="5"/>
              <w:bidi w:val="0"/>
              <w:rPr>
                <w:rFonts w:hint="default" w:ascii="Times New Roman" w:hAnsi="Times New Roman" w:cs="Times New Roman"/>
                <w:color w:val="auto"/>
              </w:rPr>
            </w:pPr>
            <w:r>
              <w:rPr>
                <w:rFonts w:hint="default" w:ascii="Times New Roman" w:hAnsi="Times New Roman" w:cs="Times New Roman"/>
                <w:color w:val="auto"/>
              </w:rPr>
              <w:t>①与国家级生态保护红线管理的相符性分析</w:t>
            </w:r>
          </w:p>
          <w:p w14:paraId="40C2EE8B">
            <w:pPr>
              <w:bidi w:val="0"/>
              <w:spacing w:line="360" w:lineRule="auto"/>
              <w:ind w:firstLine="420" w:firstLineChars="200"/>
              <w:rPr>
                <w:rFonts w:hint="default"/>
                <w:color w:val="auto"/>
              </w:rPr>
            </w:pPr>
            <w:r>
              <w:rPr>
                <w:rFonts w:hint="default"/>
                <w:color w:val="auto"/>
              </w:rPr>
              <w:t>本项目选址位于南通市海门经济技术开发区滨江街道福州路179号，属于南通市海门经济技术开发区范围，根据《南通市国土空间总体规划》（2021-2035年）及《自然资源部办公厅关于依据“三区三线”划定成果报批建设项目用地用海有关事宜的函》（自然资办函〔2022〕2072号），项目位于城镇开发边界范围内，不涉及永久基本农田和生态保护红线。</w:t>
            </w:r>
          </w:p>
          <w:p w14:paraId="3CB5DB84">
            <w:pPr>
              <w:bidi w:val="0"/>
              <w:spacing w:line="360" w:lineRule="auto"/>
              <w:ind w:firstLine="420" w:firstLineChars="200"/>
              <w:rPr>
                <w:rFonts w:hint="default"/>
                <w:color w:val="auto"/>
              </w:rPr>
            </w:pPr>
            <w:r>
              <w:rPr>
                <w:rFonts w:hint="default"/>
                <w:color w:val="auto"/>
              </w:rPr>
              <w:t>对照《自然资源部 生态环境部 国家林业和草原局关于加强生态保护红线管理的通知（试行）》（自然资发〔2022〕142号），本项目不占用生态保护红线范围。</w:t>
            </w:r>
          </w:p>
          <w:p w14:paraId="2072DB0A">
            <w:pPr>
              <w:pStyle w:val="5"/>
              <w:bidi w:val="0"/>
              <w:rPr>
                <w:rFonts w:hint="default" w:ascii="Times New Roman" w:hAnsi="Times New Roman" w:cs="Times New Roman"/>
                <w:color w:val="auto"/>
              </w:rPr>
            </w:pPr>
            <w:r>
              <w:rPr>
                <w:rFonts w:hint="default" w:ascii="Times New Roman" w:hAnsi="Times New Roman" w:cs="Times New Roman"/>
                <w:color w:val="auto"/>
              </w:rPr>
              <w:t>②与地方生态保护红线管理的相符性分析</w:t>
            </w:r>
          </w:p>
          <w:p w14:paraId="0956669A">
            <w:pPr>
              <w:keepNext w:val="0"/>
              <w:keepLines w:val="0"/>
              <w:widowControl/>
              <w:suppressLineNumbers w:val="0"/>
              <w:spacing w:line="360" w:lineRule="auto"/>
              <w:ind w:firstLine="420" w:firstLineChars="200"/>
              <w:jc w:val="left"/>
              <w:rPr>
                <w:rFonts w:hint="default" w:ascii="Times New Roman" w:hAnsi="Times New Roman" w:cs="Times New Roman"/>
                <w:color w:val="auto"/>
                <w:u w:val="none"/>
              </w:rPr>
            </w:pPr>
            <w:r>
              <w:rPr>
                <w:rFonts w:hint="default" w:ascii="Times New Roman" w:hAnsi="Times New Roman" w:cs="Times New Roman"/>
                <w:color w:val="auto"/>
                <w:u w:val="none"/>
              </w:rPr>
              <w:t>对照</w:t>
            </w:r>
            <w:r>
              <w:rPr>
                <w:rFonts w:hint="default" w:ascii="Times New Roman" w:hAnsi="Times New Roman" w:eastAsia="宋体" w:cs="Times New Roman"/>
                <w:bCs/>
                <w:color w:val="auto"/>
                <w:sz w:val="21"/>
                <w:szCs w:val="21"/>
                <w:u w:val="none"/>
              </w:rPr>
              <w:t>《江苏省生态空间管控区域规划》</w:t>
            </w:r>
            <w:r>
              <w:rPr>
                <w:rFonts w:hint="eastAsia" w:cs="Times New Roman"/>
                <w:bCs/>
                <w:color w:val="auto"/>
                <w:sz w:val="21"/>
                <w:szCs w:val="21"/>
                <w:u w:val="none"/>
                <w:lang w:eastAsia="zh-CN"/>
              </w:rPr>
              <w:t>、</w:t>
            </w:r>
            <w:r>
              <w:rPr>
                <w:rFonts w:hint="default" w:ascii="Times New Roman" w:hAnsi="Times New Roman" w:eastAsia="宋体" w:cs="Times New Roman"/>
                <w:bCs/>
                <w:color w:val="auto"/>
                <w:sz w:val="21"/>
                <w:szCs w:val="21"/>
                <w:u w:val="none"/>
              </w:rPr>
              <w:t>《南通市海门区</w:t>
            </w:r>
            <w:r>
              <w:rPr>
                <w:rFonts w:hint="eastAsia" w:ascii="Times New Roman" w:hAnsi="Times New Roman" w:eastAsia="宋体" w:cs="Times New Roman"/>
                <w:bCs/>
                <w:color w:val="auto"/>
                <w:sz w:val="21"/>
                <w:szCs w:val="21"/>
                <w:u w:val="none"/>
                <w:lang w:val="en-US" w:eastAsia="zh-CN"/>
              </w:rPr>
              <w:t>2024年度</w:t>
            </w:r>
            <w:r>
              <w:rPr>
                <w:rFonts w:hint="default" w:ascii="Times New Roman" w:hAnsi="Times New Roman" w:eastAsia="宋体" w:cs="Times New Roman"/>
                <w:bCs/>
                <w:color w:val="auto"/>
                <w:sz w:val="21"/>
                <w:szCs w:val="21"/>
                <w:u w:val="none"/>
              </w:rPr>
              <w:t>生态空间管控区域调整方案》（202</w:t>
            </w:r>
            <w:r>
              <w:rPr>
                <w:rFonts w:hint="eastAsia" w:ascii="Times New Roman" w:hAnsi="Times New Roman" w:eastAsia="宋体" w:cs="Times New Roman"/>
                <w:bCs/>
                <w:color w:val="auto"/>
                <w:sz w:val="21"/>
                <w:szCs w:val="21"/>
                <w:u w:val="none"/>
                <w:lang w:val="en-US" w:eastAsia="zh-CN"/>
              </w:rPr>
              <w:t>4</w:t>
            </w:r>
            <w:r>
              <w:rPr>
                <w:rFonts w:hint="default" w:ascii="Times New Roman" w:hAnsi="Times New Roman" w:eastAsia="宋体" w:cs="Times New Roman"/>
                <w:bCs/>
                <w:color w:val="auto"/>
                <w:sz w:val="21"/>
                <w:szCs w:val="21"/>
                <w:u w:val="none"/>
              </w:rPr>
              <w:t>年</w:t>
            </w:r>
            <w:r>
              <w:rPr>
                <w:rFonts w:hint="eastAsia" w:ascii="Times New Roman" w:hAnsi="Times New Roman" w:eastAsia="宋体" w:cs="Times New Roman"/>
                <w:bCs/>
                <w:color w:val="auto"/>
                <w:sz w:val="21"/>
                <w:szCs w:val="21"/>
                <w:u w:val="none"/>
                <w:lang w:val="en-US" w:eastAsia="zh-CN"/>
              </w:rPr>
              <w:t>6</w:t>
            </w:r>
            <w:r>
              <w:rPr>
                <w:rFonts w:hint="default" w:ascii="Times New Roman" w:hAnsi="Times New Roman" w:eastAsia="宋体" w:cs="Times New Roman"/>
                <w:bCs/>
                <w:color w:val="auto"/>
                <w:sz w:val="21"/>
                <w:szCs w:val="21"/>
                <w:u w:val="none"/>
              </w:rPr>
              <w:t>月）</w:t>
            </w:r>
            <w:r>
              <w:rPr>
                <w:rFonts w:hint="eastAsia"/>
                <w:color w:val="auto"/>
                <w:lang w:val="en-US" w:eastAsia="zh-CN"/>
              </w:rPr>
              <w:t>及</w:t>
            </w:r>
            <w:r>
              <w:rPr>
                <w:rFonts w:hint="eastAsia"/>
                <w:color w:val="auto"/>
                <w:lang w:val="en-US" w:eastAsia="zh-CN"/>
              </w:rPr>
              <w:t>《江苏省自然资源厅关于南通市海门区生态空间管控区域调整方案的复函》（苏自然函【2024】566号）</w:t>
            </w:r>
            <w:r>
              <w:rPr>
                <w:rFonts w:hint="eastAsia" w:cs="Times New Roman"/>
                <w:color w:val="auto"/>
                <w:u w:val="none"/>
                <w:lang w:eastAsia="zh-CN"/>
              </w:rPr>
              <w:t>，</w:t>
            </w:r>
            <w:r>
              <w:rPr>
                <w:rFonts w:hint="default" w:ascii="Times New Roman" w:hAnsi="Times New Roman" w:cs="Times New Roman"/>
                <w:color w:val="auto"/>
                <w:u w:val="none"/>
              </w:rPr>
              <w:t>距离项目最近的生态空间管控区为</w:t>
            </w:r>
            <w:r>
              <w:rPr>
                <w:rFonts w:hint="eastAsia" w:cs="Times New Roman"/>
                <w:b w:val="0"/>
                <w:bCs/>
                <w:color w:val="auto"/>
                <w:u w:val="none"/>
                <w:lang w:val="en-US" w:eastAsia="zh-CN"/>
              </w:rPr>
              <w:t>海门区沿江堤防生态公益林</w:t>
            </w:r>
            <w:r>
              <w:rPr>
                <w:rFonts w:hint="default" w:ascii="Times New Roman" w:hAnsi="Times New Roman" w:cs="Times New Roman"/>
                <w:color w:val="auto"/>
                <w:u w:val="none"/>
              </w:rPr>
              <w:t>，最近距离约为</w:t>
            </w:r>
            <w:r>
              <w:rPr>
                <w:rFonts w:hint="eastAsia" w:cs="Times New Roman"/>
                <w:color w:val="auto"/>
                <w:u w:val="none"/>
                <w:lang w:val="en-US" w:eastAsia="zh-CN"/>
              </w:rPr>
              <w:t>1.71</w:t>
            </w:r>
            <w:r>
              <w:rPr>
                <w:rFonts w:hint="default" w:ascii="Times New Roman" w:hAnsi="Times New Roman" w:cs="Times New Roman"/>
                <w:color w:val="auto"/>
                <w:u w:val="none"/>
              </w:rPr>
              <w:t>km，</w:t>
            </w:r>
            <w:r>
              <w:rPr>
                <w:rFonts w:hint="eastAsia" w:cs="Times New Roman"/>
                <w:b w:val="0"/>
                <w:bCs/>
                <w:color w:val="auto"/>
                <w:u w:val="none"/>
                <w:lang w:val="en-US" w:eastAsia="zh-CN"/>
              </w:rPr>
              <w:t>海门区沿江堤防生态公益林</w:t>
            </w:r>
            <w:r>
              <w:rPr>
                <w:rFonts w:hint="default" w:ascii="Times New Roman" w:hAnsi="Times New Roman" w:cs="Times New Roman"/>
                <w:color w:val="auto"/>
                <w:u w:val="none"/>
              </w:rPr>
              <w:t>的范围为：</w:t>
            </w:r>
            <w:r>
              <w:rPr>
                <w:rFonts w:hint="eastAsia" w:cs="Times New Roman"/>
                <w:color w:val="auto"/>
                <w:spacing w:val="-5"/>
                <w:sz w:val="21"/>
                <w:u w:val="none"/>
                <w:lang w:val="en-US" w:eastAsia="zh-CN"/>
              </w:rPr>
              <w:t>包括7个区域。区域1：东至张謇大道以西约1400米，西至浒通河以西700米，南临长江，北至长江堤岸100－600米处；区域2：西至日新河，东至青龙港，南临长江，北至长江堤岸100－600米处；区域3：三厂街道和常乐镇区域，长9.5公里，宽50米区域；区域4：西至临永汽渡，东至海门边界以西100米；区域5：西至十八匡河以东450米，东至海门启东界，宽度100米；区域6：北至苏州路，南至杭州路，东至东江路，西至浒通河以东150米-500米；区域7：东至十八匡河，西至十八匡河以西1190米，南至沿江公路，北至沿江公路以北150-400米</w:t>
            </w:r>
            <w:r>
              <w:rPr>
                <w:rFonts w:hint="default" w:ascii="Times New Roman" w:hAnsi="Times New Roman" w:cs="Times New Roman"/>
                <w:color w:val="auto"/>
                <w:u w:val="none"/>
              </w:rPr>
              <w:t>。建设项目位于</w:t>
            </w:r>
            <w:r>
              <w:rPr>
                <w:rFonts w:hint="default" w:ascii="Times New Roman" w:hAnsi="Times New Roman" w:cs="Times New Roman"/>
                <w:color w:val="auto"/>
                <w:szCs w:val="21"/>
                <w:u w:val="none"/>
              </w:rPr>
              <w:t>南通市海门经济技术开发区滨江街道福州路179号</w:t>
            </w:r>
            <w:r>
              <w:rPr>
                <w:rFonts w:hint="default" w:ascii="Times New Roman" w:hAnsi="Times New Roman" w:cs="Times New Roman"/>
                <w:color w:val="auto"/>
                <w:u w:val="none"/>
                <w:lang w:val="en-US" w:eastAsia="zh-CN"/>
              </w:rPr>
              <w:t>，</w:t>
            </w:r>
            <w:r>
              <w:rPr>
                <w:rFonts w:hint="default" w:ascii="Times New Roman" w:hAnsi="Times New Roman" w:cs="Times New Roman"/>
                <w:color w:val="auto"/>
                <w:u w:val="none"/>
              </w:rPr>
              <w:t>不属于</w:t>
            </w:r>
            <w:r>
              <w:rPr>
                <w:rFonts w:hint="eastAsia" w:cs="Times New Roman"/>
                <w:b w:val="0"/>
                <w:bCs/>
                <w:color w:val="auto"/>
                <w:u w:val="none"/>
                <w:lang w:val="en-US" w:eastAsia="zh-CN"/>
              </w:rPr>
              <w:t>海门区沿江堤防生态公益林</w:t>
            </w:r>
            <w:r>
              <w:rPr>
                <w:rFonts w:hint="default" w:ascii="Times New Roman" w:hAnsi="Times New Roman" w:cs="Times New Roman"/>
                <w:color w:val="auto"/>
                <w:u w:val="none"/>
              </w:rPr>
              <w:t>管控区内。因此本项目建设符合</w:t>
            </w:r>
            <w:r>
              <w:rPr>
                <w:rFonts w:hint="default" w:ascii="Times New Roman" w:hAnsi="Times New Roman" w:eastAsia="宋体" w:cs="Times New Roman"/>
                <w:bCs/>
                <w:color w:val="auto"/>
                <w:sz w:val="21"/>
                <w:szCs w:val="21"/>
                <w:u w:val="none"/>
                <w:lang w:eastAsia="zh-CN"/>
              </w:rPr>
              <w:t>江苏省生态空间管控区域保护规划</w:t>
            </w:r>
            <w:r>
              <w:rPr>
                <w:rFonts w:hint="default" w:ascii="Times New Roman" w:hAnsi="Times New Roman" w:cs="Times New Roman"/>
                <w:color w:val="auto"/>
                <w:u w:val="none"/>
              </w:rPr>
              <w:t>要求。</w:t>
            </w:r>
          </w:p>
          <w:p w14:paraId="3AF9817B">
            <w:pPr>
              <w:pStyle w:val="4"/>
              <w:bidi w:val="0"/>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与环境质量底线相符性</w:t>
            </w:r>
          </w:p>
          <w:p w14:paraId="39735281">
            <w:pPr>
              <w:pStyle w:val="8"/>
              <w:keepNext w:val="0"/>
              <w:keepLines w:val="0"/>
              <w:pageBreakBefore w:val="0"/>
              <w:widowControl/>
              <w:kinsoku/>
              <w:wordWrap/>
              <w:overflowPunct/>
              <w:topLinePunct w:val="0"/>
              <w:autoSpaceDE/>
              <w:autoSpaceDN/>
              <w:bidi w:val="0"/>
              <w:adjustRightInd/>
              <w:snapToGrid w:val="0"/>
              <w:spacing w:before="139" w:line="360" w:lineRule="auto"/>
              <w:ind w:right="0" w:firstLine="420" w:firstLineChars="200"/>
              <w:textAlignment w:val="auto"/>
              <w:rPr>
                <w:rFonts w:hint="default" w:ascii="Times New Roman" w:hAnsi="Times New Roman" w:cs="Times New Roman"/>
                <w:color w:val="auto"/>
              </w:rPr>
            </w:pPr>
            <w:r>
              <w:rPr>
                <w:rFonts w:hint="eastAsia" w:ascii="Times New Roman" w:hAnsi="Times New Roman" w:cs="Times New Roman"/>
                <w:color w:val="auto"/>
                <w:sz w:val="21"/>
                <w:szCs w:val="21"/>
              </w:rPr>
              <w:t>根据《南通市生态环境状况公报》</w:t>
            </w:r>
            <w:r>
              <w:rPr>
                <w:rFonts w:hint="eastAsia"/>
                <w:color w:val="auto"/>
                <w:kern w:val="0"/>
                <w:sz w:val="21"/>
                <w:szCs w:val="21"/>
              </w:rPr>
              <w:t>（20</w:t>
            </w:r>
            <w:r>
              <w:rPr>
                <w:rFonts w:hint="eastAsia"/>
                <w:color w:val="auto"/>
                <w:kern w:val="0"/>
                <w:sz w:val="21"/>
                <w:szCs w:val="21"/>
                <w:lang w:val="en-US" w:eastAsia="zh-CN"/>
              </w:rPr>
              <w:t>24</w:t>
            </w:r>
            <w:r>
              <w:rPr>
                <w:rFonts w:hint="eastAsia"/>
                <w:color w:val="auto"/>
                <w:kern w:val="0"/>
                <w:sz w:val="21"/>
                <w:szCs w:val="21"/>
              </w:rPr>
              <w:t>年）</w:t>
            </w:r>
            <w:r>
              <w:rPr>
                <w:rFonts w:hint="eastAsia" w:ascii="Times New Roman" w:hAnsi="Times New Roman" w:cs="Times New Roman"/>
                <w:color w:val="auto"/>
                <w:sz w:val="21"/>
                <w:szCs w:val="21"/>
              </w:rPr>
              <w:t>，</w:t>
            </w:r>
            <w:r>
              <w:rPr>
                <w:rFonts w:hint="eastAsia" w:ascii="Times New Roman" w:hAnsi="Times New Roman" w:eastAsia="宋体" w:cs="Times New Roman"/>
                <w:color w:val="auto"/>
                <w:sz w:val="21"/>
                <w:szCs w:val="21"/>
                <w:lang w:val="en-US" w:eastAsia="zh-CN"/>
              </w:rPr>
              <w:t>海门区</w:t>
            </w:r>
            <w:r>
              <w:rPr>
                <w:rFonts w:hint="default" w:ascii="Times New Roman" w:hAnsi="Times New Roman" w:eastAsia="宋体" w:cs="Times New Roman"/>
                <w:color w:val="auto"/>
                <w:sz w:val="21"/>
                <w:szCs w:val="21"/>
                <w:lang w:val="en-US" w:eastAsia="zh-CN"/>
              </w:rPr>
              <w:t>环境空气中可吸入颗粒物（PM</w:t>
            </w:r>
            <w:r>
              <w:rPr>
                <w:rFonts w:hint="default" w:ascii="Times New Roman" w:hAnsi="Times New Roman" w:eastAsia="宋体" w:cs="Times New Roman"/>
                <w:color w:val="auto"/>
                <w:sz w:val="21"/>
                <w:szCs w:val="21"/>
                <w:vertAlign w:val="subscript"/>
                <w:lang w:val="en-US" w:eastAsia="zh-CN"/>
              </w:rPr>
              <w:t>10</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42</w:t>
            </w:r>
            <w:r>
              <w:rPr>
                <w:rFonts w:hint="default" w:ascii="Times New Roman" w:hAnsi="Times New Roman" w:eastAsia="宋体" w:cs="Times New Roman"/>
                <w:color w:val="auto"/>
                <w:sz w:val="21"/>
                <w:szCs w:val="21"/>
                <w:lang w:val="en-US" w:eastAsia="zh-CN"/>
              </w:rPr>
              <w:t>微克/立方米、可吸入颗粒物（PM</w:t>
            </w:r>
            <w:r>
              <w:rPr>
                <w:rFonts w:hint="eastAsia" w:ascii="Times New Roman" w:hAnsi="Times New Roman" w:eastAsia="宋体" w:cs="Times New Roman"/>
                <w:color w:val="auto"/>
                <w:sz w:val="21"/>
                <w:szCs w:val="21"/>
                <w:vertAlign w:val="subscript"/>
                <w:lang w:val="en-US" w:eastAsia="zh-CN"/>
              </w:rPr>
              <w:t>2.5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27</w:t>
            </w:r>
            <w:r>
              <w:rPr>
                <w:rFonts w:hint="default" w:ascii="Times New Roman" w:hAnsi="Times New Roman" w:eastAsia="宋体" w:cs="Times New Roman"/>
                <w:color w:val="auto"/>
                <w:sz w:val="21"/>
                <w:szCs w:val="21"/>
                <w:lang w:val="en-US" w:eastAsia="zh-CN"/>
              </w:rPr>
              <w:t>微克/立方米</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二氧化硫（SO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微克/立方米、二氧化氮（NO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19</w:t>
            </w:r>
            <w:r>
              <w:rPr>
                <w:rFonts w:hint="default" w:ascii="Times New Roman" w:hAnsi="Times New Roman" w:eastAsia="宋体" w:cs="Times New Roman"/>
                <w:color w:val="auto"/>
                <w:sz w:val="21"/>
                <w:szCs w:val="21"/>
                <w:lang w:val="en-US" w:eastAsia="zh-CN"/>
              </w:rPr>
              <w:t>微克/立方米、一氧化碳第95百分位浓度（CO</w:t>
            </w:r>
            <w:r>
              <w:rPr>
                <w:rFonts w:hint="default" w:ascii="Times New Roman" w:hAnsi="Times New Roman" w:eastAsia="宋体" w:cs="Times New Roman"/>
                <w:color w:val="auto"/>
                <w:sz w:val="21"/>
                <w:szCs w:val="21"/>
                <w:vertAlign w:val="baseline"/>
                <w:lang w:val="en-US" w:eastAsia="zh-CN"/>
              </w:rPr>
              <w:t>-95%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lang w:val="en-US" w:eastAsia="zh-CN"/>
              </w:rPr>
              <w:t>微克/立方米和臭氧日最大8小时滑动平均值第90百分位浓度（O</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vertAlign w:val="baseline"/>
                <w:lang w:val="en-US" w:eastAsia="zh-CN"/>
              </w:rPr>
              <w:t>-8h-90%</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156</w:t>
            </w:r>
            <w:r>
              <w:rPr>
                <w:rFonts w:hint="default" w:ascii="Times New Roman" w:hAnsi="Times New Roman" w:eastAsia="宋体" w:cs="Times New Roman"/>
                <w:color w:val="auto"/>
                <w:sz w:val="21"/>
                <w:szCs w:val="21"/>
                <w:lang w:val="en-US" w:eastAsia="zh-CN"/>
              </w:rPr>
              <w:t>微克/立方米。</w:t>
            </w:r>
            <w:r>
              <w:rPr>
                <w:rFonts w:hint="eastAsia" w:ascii="Times New Roman" w:hAnsi="Times New Roman" w:eastAsia="宋体" w:cs="Times New Roman"/>
                <w:color w:val="auto"/>
                <w:sz w:val="21"/>
                <w:szCs w:val="21"/>
                <w:lang w:val="en-US" w:eastAsia="zh-CN"/>
              </w:rPr>
              <w:t>属于达标区。海门区</w:t>
            </w:r>
            <w:r>
              <w:rPr>
                <w:rFonts w:hint="eastAsia" w:ascii="Times New Roman" w:hAnsi="Times New Roman" w:cs="Times New Roman"/>
                <w:color w:val="auto"/>
                <w:kern w:val="0"/>
                <w:sz w:val="21"/>
                <w:szCs w:val="21"/>
                <w:lang w:val="zh-CN"/>
              </w:rPr>
              <w:t>坚持生态优先、绿色发展，推进大气环境治理体系和治理能力现代化建设。突出源头治理，坚持精准治污、科学治污、依法治污，强化减污降碳协同、臭氧和PM</w:t>
            </w:r>
            <w:r>
              <w:rPr>
                <w:rFonts w:hint="eastAsia" w:ascii="Times New Roman" w:hAnsi="Times New Roman" w:cs="Times New Roman"/>
                <w:color w:val="auto"/>
                <w:kern w:val="0"/>
                <w:sz w:val="21"/>
                <w:szCs w:val="21"/>
                <w:vertAlign w:val="subscript"/>
                <w:lang w:val="zh-CN"/>
              </w:rPr>
              <w:t>2.5</w:t>
            </w:r>
            <w:r>
              <w:rPr>
                <w:rFonts w:hint="eastAsia" w:ascii="Times New Roman" w:hAnsi="Times New Roman" w:cs="Times New Roman"/>
                <w:color w:val="auto"/>
                <w:kern w:val="0"/>
                <w:sz w:val="21"/>
                <w:szCs w:val="21"/>
                <w:lang w:val="zh-CN"/>
              </w:rPr>
              <w:t>防治协同、区域联防联控协同“三大协同”，持续改善环境空气质量</w:t>
            </w:r>
            <w:r>
              <w:rPr>
                <w:rFonts w:hint="eastAsia" w:ascii="Times New Roman" w:hAnsi="Times New Roman" w:cs="Times New Roman"/>
                <w:color w:val="auto"/>
                <w:sz w:val="21"/>
                <w:szCs w:val="21"/>
              </w:rPr>
              <w:t>。根据</w:t>
            </w:r>
            <w:r>
              <w:rPr>
                <w:rFonts w:hint="eastAsia"/>
                <w:color w:val="auto"/>
                <w:kern w:val="0"/>
                <w:sz w:val="21"/>
                <w:szCs w:val="21"/>
              </w:rPr>
              <w:t>《南通市生态环境状况公报》（20</w:t>
            </w:r>
            <w:r>
              <w:rPr>
                <w:rFonts w:hint="eastAsia"/>
                <w:color w:val="auto"/>
                <w:kern w:val="0"/>
                <w:sz w:val="21"/>
                <w:szCs w:val="21"/>
                <w:lang w:val="en-US" w:eastAsia="zh-CN"/>
              </w:rPr>
              <w:t>24</w:t>
            </w:r>
            <w:r>
              <w:rPr>
                <w:rFonts w:hint="eastAsia"/>
                <w:color w:val="auto"/>
                <w:kern w:val="0"/>
                <w:sz w:val="21"/>
                <w:szCs w:val="21"/>
              </w:rPr>
              <w:t>年），</w:t>
            </w:r>
            <w:r>
              <w:rPr>
                <w:rFonts w:hint="eastAsia" w:ascii="Times New Roman" w:hAnsi="Times New Roman" w:cs="Times New Roman"/>
                <w:color w:val="auto"/>
                <w:sz w:val="21"/>
                <w:szCs w:val="21"/>
              </w:rPr>
              <w:t>长江（南通段）水质达到Ⅱ类，水质优良。</w:t>
            </w:r>
            <w:r>
              <w:rPr>
                <w:rFonts w:ascii="Times New Roman" w:hAnsi="Times New Roman" w:cs="Times New Roman"/>
                <w:color w:val="auto"/>
                <w:sz w:val="21"/>
                <w:szCs w:val="21"/>
              </w:rPr>
              <w:t>声环境达到《声环境质量标准》（GB3096-2008）3类标准。</w:t>
            </w:r>
            <w:r>
              <w:rPr>
                <w:rFonts w:ascii="宋体" w:hAnsi="宋体" w:cs="宋体"/>
                <w:color w:val="auto"/>
                <w:sz w:val="21"/>
                <w:szCs w:val="21"/>
              </w:rPr>
              <w:t>项目建成后，废气、废水、噪声及固废均有效处置，对周边环境影响较小，不会降低所在地的环境功能质量，符合环境质量底线要求</w:t>
            </w:r>
            <w:r>
              <w:rPr>
                <w:rFonts w:hint="default" w:ascii="Times New Roman" w:hAnsi="Times New Roman" w:cs="Times New Roman"/>
                <w:color w:val="auto"/>
                <w:sz w:val="21"/>
                <w:szCs w:val="22"/>
              </w:rPr>
              <w:t>。</w:t>
            </w:r>
          </w:p>
          <w:p w14:paraId="16B9C987">
            <w:pPr>
              <w:pStyle w:val="4"/>
              <w:bidi w:val="0"/>
              <w:rPr>
                <w:rFonts w:hint="default" w:ascii="Times New Roman" w:hAnsi="Times New Roman" w:cs="Times New Roman"/>
                <w:color w:val="auto"/>
                <w:u w:val="none"/>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资源利用</w:t>
            </w:r>
            <w:r>
              <w:rPr>
                <w:rFonts w:hint="eastAsia" w:cs="Times New Roman"/>
                <w:color w:val="auto"/>
                <w:lang w:val="en-US" w:eastAsia="zh-CN"/>
              </w:rPr>
              <w:t>上限</w:t>
            </w:r>
            <w:r>
              <w:rPr>
                <w:rFonts w:hint="default" w:ascii="Times New Roman" w:hAnsi="Times New Roman" w:cs="Times New Roman"/>
                <w:color w:val="auto"/>
              </w:rPr>
              <w:t>相符性</w:t>
            </w:r>
          </w:p>
          <w:p w14:paraId="64CE2673">
            <w:pPr>
              <w:adjustRightInd w:val="0"/>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u w:val="none"/>
              </w:rPr>
              <w:t>项目位于</w:t>
            </w:r>
            <w:r>
              <w:rPr>
                <w:rFonts w:hint="default" w:ascii="Times New Roman" w:hAnsi="Times New Roman" w:cs="Times New Roman"/>
                <w:color w:val="auto"/>
                <w:szCs w:val="21"/>
                <w:u w:val="none"/>
              </w:rPr>
              <w:t>南通市海门经济技术开发区滨江街道福州路179号</w:t>
            </w:r>
            <w:r>
              <w:rPr>
                <w:rFonts w:hint="default" w:ascii="Times New Roman" w:hAnsi="Times New Roman" w:cs="Times New Roman"/>
                <w:bCs/>
                <w:color w:val="auto"/>
                <w:szCs w:val="21"/>
                <w:u w:val="none"/>
              </w:rPr>
              <w:t>，属于</w:t>
            </w:r>
            <w:r>
              <w:rPr>
                <w:rFonts w:hint="default" w:ascii="Times New Roman" w:hAnsi="Times New Roman" w:eastAsia="宋体" w:cs="Times New Roman"/>
                <w:color w:val="auto"/>
                <w:szCs w:val="21"/>
                <w:lang w:val="en-US" w:eastAsia="zh-CN"/>
              </w:rPr>
              <w:t>汽车制造业</w:t>
            </w:r>
            <w:r>
              <w:rPr>
                <w:rFonts w:hint="default" w:ascii="Times New Roman" w:hAnsi="Times New Roman" w:cs="Times New Roman"/>
                <w:bCs/>
                <w:color w:val="auto"/>
                <w:szCs w:val="21"/>
                <w:u w:val="none"/>
              </w:rPr>
              <w:t>，所使用的能源主要为</w:t>
            </w:r>
            <w:r>
              <w:rPr>
                <w:rFonts w:hint="eastAsia" w:ascii="Times New Roman" w:hAnsi="Times New Roman" w:cs="Times New Roman"/>
                <w:bCs/>
                <w:color w:val="auto"/>
                <w:szCs w:val="21"/>
                <w:u w:val="none"/>
                <w:lang w:val="en-US" w:eastAsia="zh-CN"/>
              </w:rPr>
              <w:t>电能和水</w:t>
            </w:r>
            <w:r>
              <w:rPr>
                <w:rFonts w:hint="default" w:ascii="Times New Roman" w:hAnsi="Times New Roman" w:cs="Times New Roman"/>
                <w:bCs/>
                <w:color w:val="auto"/>
                <w:szCs w:val="21"/>
                <w:u w:val="none"/>
              </w:rPr>
              <w:t>，物耗及能耗水平均较低，不会超过资源利用</w:t>
            </w:r>
            <w:r>
              <w:rPr>
                <w:rFonts w:hint="eastAsia" w:cs="Times New Roman"/>
                <w:bCs/>
                <w:color w:val="auto"/>
                <w:szCs w:val="21"/>
                <w:u w:val="none"/>
                <w:lang w:val="en-US" w:eastAsia="zh-CN"/>
              </w:rPr>
              <w:t>上限</w:t>
            </w:r>
            <w:r>
              <w:rPr>
                <w:rFonts w:hint="default" w:ascii="Times New Roman" w:hAnsi="Times New Roman" w:cs="Times New Roman"/>
                <w:bCs/>
                <w:color w:val="auto"/>
                <w:szCs w:val="21"/>
                <w:u w:val="none"/>
              </w:rPr>
              <w:t>。本项目用水水源依托市政管网，能满足本项目</w:t>
            </w:r>
            <w:r>
              <w:rPr>
                <w:rFonts w:hint="default" w:ascii="Times New Roman" w:hAnsi="Times New Roman" w:cs="Times New Roman"/>
                <w:bCs/>
                <w:color w:val="auto"/>
                <w:szCs w:val="21"/>
              </w:rPr>
              <w:t>的供水需求。本项目排水接管至</w:t>
            </w:r>
            <w:r>
              <w:rPr>
                <w:rFonts w:hint="eastAsia" w:cs="Times New Roman"/>
                <w:color w:val="auto"/>
                <w:sz w:val="21"/>
                <w:szCs w:val="22"/>
                <w:u w:val="none"/>
                <w:lang w:eastAsia="zh-CN"/>
              </w:rPr>
              <w:t>南通海门经开水务有限公司</w:t>
            </w:r>
            <w:r>
              <w:rPr>
                <w:rFonts w:hint="default" w:ascii="Times New Roman" w:hAnsi="Times New Roman" w:cs="Times New Roman"/>
                <w:color w:val="auto"/>
                <w:sz w:val="21"/>
                <w:szCs w:val="22"/>
              </w:rPr>
              <w:t>处理</w:t>
            </w:r>
            <w:r>
              <w:rPr>
                <w:rFonts w:hint="default" w:ascii="Times New Roman" w:hAnsi="Times New Roman" w:cs="Times New Roman"/>
                <w:bCs/>
                <w:color w:val="auto"/>
                <w:szCs w:val="21"/>
              </w:rPr>
              <w:t>，废水水质水量均在该污水处理厂处理能力范围内，能满足本项目的排水要求。</w:t>
            </w:r>
          </w:p>
          <w:p w14:paraId="770D9440">
            <w:pPr>
              <w:pStyle w:val="4"/>
              <w:bidi w:val="0"/>
              <w:rPr>
                <w:rFonts w:hint="default" w:ascii="Times New Roman" w:hAnsi="Times New Roman" w:cs="Times New Roman"/>
                <w:color w:val="auto"/>
              </w:rPr>
            </w:pPr>
            <w:r>
              <w:rPr>
                <w:rFonts w:hint="default" w:ascii="Times New Roman" w:hAnsi="Times New Roman" w:cs="Times New Roman"/>
                <w:color w:val="auto"/>
              </w:rPr>
              <w:t>（4）与环境准入负面清单相符性</w:t>
            </w:r>
          </w:p>
          <w:p w14:paraId="47B3D69D">
            <w:pPr>
              <w:adjustRightInd w:val="0"/>
              <w:snapToGrid w:val="0"/>
              <w:spacing w:line="360" w:lineRule="auto"/>
              <w:ind w:firstLine="420" w:firstLineChars="200"/>
              <w:rPr>
                <w:rFonts w:hint="default" w:ascii="Times New Roman" w:hAnsi="Times New Roman" w:cs="Times New Roman"/>
                <w:color w:val="auto"/>
                <w:sz w:val="21"/>
              </w:rPr>
            </w:pPr>
            <w:r>
              <w:rPr>
                <w:rFonts w:hint="default" w:ascii="Times New Roman" w:hAnsi="Times New Roman" w:cs="Times New Roman"/>
                <w:b w:val="0"/>
                <w:bCs/>
                <w:color w:val="auto"/>
                <w:sz w:val="21"/>
                <w:lang w:val="en-US" w:eastAsia="zh-CN"/>
              </w:rPr>
              <w:t>对照</w:t>
            </w:r>
            <w:r>
              <w:rPr>
                <w:rFonts w:hint="default" w:ascii="Times New Roman" w:hAnsi="Times New Roman" w:cs="Times New Roman"/>
                <w:b w:val="0"/>
                <w:bCs/>
                <w:color w:val="auto"/>
                <w:sz w:val="21"/>
              </w:rPr>
              <w:t>《</w:t>
            </w:r>
            <w:r>
              <w:rPr>
                <w:rFonts w:hint="default" w:ascii="Times New Roman" w:hAnsi="Times New Roman" w:eastAsia="Times New Roman" w:cs="Times New Roman"/>
                <w:b w:val="0"/>
                <w:bCs/>
                <w:color w:val="auto"/>
                <w:sz w:val="21"/>
              </w:rPr>
              <w:t>&lt;</w:t>
            </w:r>
            <w:r>
              <w:rPr>
                <w:rFonts w:hint="default" w:ascii="Times New Roman" w:hAnsi="Times New Roman" w:cs="Times New Roman"/>
                <w:b w:val="0"/>
                <w:bCs/>
                <w:color w:val="auto"/>
                <w:sz w:val="21"/>
              </w:rPr>
              <w:t>长江经济带发展负面清单指南</w:t>
            </w:r>
            <w:r>
              <w:rPr>
                <w:rFonts w:hint="default" w:ascii="Times New Roman" w:hAnsi="Times New Roman" w:eastAsia="Times New Roman" w:cs="Times New Roman"/>
                <w:b w:val="0"/>
                <w:bCs/>
                <w:color w:val="auto"/>
                <w:sz w:val="21"/>
              </w:rPr>
              <w:t>&gt;</w:t>
            </w:r>
            <w:r>
              <w:rPr>
                <w:rFonts w:hint="default" w:ascii="Times New Roman" w:hAnsi="Times New Roman" w:cs="Times New Roman"/>
                <w:b w:val="0"/>
                <w:bCs/>
                <w:color w:val="auto"/>
                <w:sz w:val="21"/>
              </w:rPr>
              <w:t>江苏省实施细则》</w:t>
            </w:r>
            <w:r>
              <w:rPr>
                <w:rFonts w:hint="default" w:ascii="Times New Roman" w:hAnsi="Times New Roman" w:cs="Times New Roman"/>
                <w:b w:val="0"/>
                <w:bCs/>
                <w:color w:val="auto"/>
                <w:sz w:val="21"/>
                <w:lang w:val="en-US" w:eastAsia="zh-CN"/>
              </w:rPr>
              <w:t>中的要求，</w:t>
            </w:r>
            <w:r>
              <w:rPr>
                <w:rFonts w:hint="default" w:ascii="Times New Roman" w:hAnsi="Times New Roman" w:cs="Times New Roman"/>
                <w:color w:val="auto"/>
                <w:sz w:val="21"/>
              </w:rPr>
              <w:t>本项目位于</w:t>
            </w:r>
            <w:r>
              <w:rPr>
                <w:rFonts w:hint="eastAsia" w:cs="Times New Roman"/>
                <w:color w:val="auto"/>
                <w:sz w:val="21"/>
                <w:u w:val="none"/>
                <w:lang w:val="en-US" w:eastAsia="zh-CN"/>
              </w:rPr>
              <w:t>南通市海门经济技术开发区滨江街道福州路179号</w:t>
            </w:r>
            <w:r>
              <w:rPr>
                <w:rFonts w:hint="default" w:ascii="Times New Roman" w:hAnsi="Times New Roman" w:cs="Times New Roman"/>
                <w:color w:val="auto"/>
                <w:sz w:val="21"/>
              </w:rPr>
              <w:t>，属</w:t>
            </w:r>
            <w:r>
              <w:rPr>
                <w:rFonts w:hint="default" w:ascii="Times New Roman" w:hAnsi="Times New Roman" w:cs="Times New Roman"/>
                <w:color w:val="auto"/>
                <w:sz w:val="21"/>
                <w:u w:val="none"/>
              </w:rPr>
              <w:t>于</w:t>
            </w:r>
            <w:r>
              <w:rPr>
                <w:rFonts w:hint="eastAsia" w:cs="Times New Roman"/>
                <w:color w:val="auto"/>
                <w:sz w:val="21"/>
                <w:u w:val="none"/>
                <w:lang w:val="en-US" w:eastAsia="zh-CN"/>
              </w:rPr>
              <w:t>汽车制造业</w:t>
            </w:r>
            <w:r>
              <w:rPr>
                <w:rFonts w:hint="default" w:ascii="Times New Roman" w:hAnsi="Times New Roman" w:cs="Times New Roman"/>
                <w:color w:val="auto"/>
                <w:sz w:val="21"/>
              </w:rPr>
              <w:t>，</w:t>
            </w:r>
            <w:r>
              <w:rPr>
                <w:rFonts w:hint="default" w:ascii="Times New Roman" w:hAnsi="Times New Roman" w:cs="Times New Roman"/>
                <w:color w:val="auto"/>
                <w:spacing w:val="-7"/>
                <w:sz w:val="21"/>
              </w:rPr>
              <w:t>具体管控要求对照详见</w:t>
            </w:r>
            <w:r>
              <w:rPr>
                <w:rFonts w:hint="eastAsia" w:cs="Times New Roman"/>
                <w:color w:val="auto"/>
                <w:spacing w:val="-7"/>
                <w:sz w:val="21"/>
                <w:lang w:val="en-US" w:eastAsia="zh-CN"/>
              </w:rPr>
              <w:t>下</w:t>
            </w:r>
            <w:r>
              <w:rPr>
                <w:rFonts w:hint="default" w:ascii="Times New Roman" w:hAnsi="Times New Roman" w:cs="Times New Roman"/>
                <w:color w:val="auto"/>
                <w:spacing w:val="-7"/>
                <w:sz w:val="21"/>
              </w:rPr>
              <w:t>表</w:t>
            </w:r>
            <w:r>
              <w:rPr>
                <w:rFonts w:hint="default" w:ascii="Times New Roman" w:hAnsi="Times New Roman" w:cs="Times New Roman"/>
                <w:color w:val="auto"/>
                <w:sz w:val="21"/>
              </w:rPr>
              <w:t>。</w:t>
            </w:r>
          </w:p>
          <w:p w14:paraId="360AA007">
            <w:pPr>
              <w:pStyle w:val="46"/>
              <w:spacing w:line="240" w:lineRule="auto"/>
              <w:ind w:left="9" w:right="-29" w:firstLine="420"/>
              <w:jc w:val="center"/>
              <w:rPr>
                <w:rFonts w:hint="default" w:ascii="Times New Roman" w:hAnsi="Times New Roman" w:eastAsia="宋体" w:cs="Times New Roman"/>
                <w:b/>
                <w:color w:val="auto"/>
                <w:sz w:val="21"/>
                <w:lang w:val="en-US" w:eastAsia="zh-CN"/>
              </w:rPr>
            </w:pPr>
            <w:r>
              <w:rPr>
                <w:rFonts w:hint="default" w:ascii="Times New Roman" w:hAnsi="Times New Roman" w:cs="Times New Roman"/>
                <w:b/>
                <w:color w:val="auto"/>
                <w:sz w:val="21"/>
              </w:rPr>
              <w:t>表</w:t>
            </w:r>
            <w:r>
              <w:rPr>
                <w:rFonts w:hint="default" w:ascii="Times New Roman" w:hAnsi="Times New Roman" w:cs="Times New Roman"/>
                <w:b/>
                <w:color w:val="auto"/>
                <w:spacing w:val="-53"/>
                <w:sz w:val="21"/>
              </w:rPr>
              <w:t xml:space="preserve"> </w:t>
            </w:r>
            <w:r>
              <w:rPr>
                <w:rFonts w:hint="default" w:ascii="Times New Roman" w:hAnsi="Times New Roman" w:eastAsia="Times New Roman" w:cs="Times New Roman"/>
                <w:b/>
                <w:color w:val="auto"/>
                <w:sz w:val="21"/>
              </w:rPr>
              <w:t>1-</w:t>
            </w:r>
            <w:r>
              <w:rPr>
                <w:rFonts w:hint="eastAsia" w:ascii="Times New Roman" w:hAnsi="Times New Roman" w:cs="Times New Roman"/>
                <w:b/>
                <w:color w:val="auto"/>
                <w:sz w:val="21"/>
                <w:lang w:val="en-US" w:eastAsia="zh-CN"/>
              </w:rPr>
              <w:t>3</w:t>
            </w:r>
            <w:r>
              <w:rPr>
                <w:rFonts w:hint="default" w:ascii="Times New Roman" w:hAnsi="Times New Roman" w:eastAsia="宋体" w:cs="Times New Roman"/>
                <w:b/>
                <w:color w:val="auto"/>
                <w:sz w:val="21"/>
                <w:lang w:val="en-US" w:eastAsia="zh-CN"/>
              </w:rPr>
              <w:t xml:space="preserve">  </w:t>
            </w:r>
            <w:r>
              <w:rPr>
                <w:rFonts w:hint="default" w:ascii="Times New Roman" w:hAnsi="Times New Roman" w:cs="Times New Roman"/>
                <w:b/>
                <w:color w:val="auto"/>
                <w:sz w:val="21"/>
              </w:rPr>
              <w:t>与《&lt;长江经济带发展负面清单指南&gt;江苏省实施细则》相符性分析</w:t>
            </w:r>
          </w:p>
          <w:tbl>
            <w:tblPr>
              <w:tblStyle w:val="21"/>
              <w:tblW w:w="8220" w:type="dxa"/>
              <w:jc w:val="center"/>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1"/>
              <w:gridCol w:w="3518"/>
              <w:gridCol w:w="3053"/>
              <w:gridCol w:w="1058"/>
            </w:tblGrid>
            <w:tr w14:paraId="056A16A4">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1" w:type="dxa"/>
                  <w:tcBorders>
                    <w:tl2br w:val="nil"/>
                    <w:tr2bl w:val="nil"/>
                  </w:tcBorders>
                  <w:vAlign w:val="center"/>
                </w:tcPr>
                <w:p w14:paraId="7C7DC8E2">
                  <w:pPr>
                    <w:pStyle w:val="46"/>
                    <w:spacing w:before="1"/>
                    <w:jc w:val="center"/>
                    <w:rPr>
                      <w:rFonts w:hint="default" w:ascii="Times New Roman" w:hAnsi="Times New Roman" w:cs="Times New Roman"/>
                      <w:b/>
                      <w:bCs w:val="0"/>
                      <w:color w:val="auto"/>
                      <w:sz w:val="18"/>
                      <w:szCs w:val="18"/>
                      <w:vertAlign w:val="baseline"/>
                    </w:rPr>
                  </w:pPr>
                  <w:r>
                    <w:rPr>
                      <w:rFonts w:hint="default" w:ascii="Times New Roman" w:hAnsi="Times New Roman" w:cs="Times New Roman"/>
                      <w:b/>
                      <w:bCs w:val="0"/>
                      <w:color w:val="auto"/>
                      <w:w w:val="99"/>
                      <w:sz w:val="18"/>
                      <w:szCs w:val="18"/>
                    </w:rPr>
                    <w:t>序号</w:t>
                  </w:r>
                </w:p>
              </w:tc>
              <w:tc>
                <w:tcPr>
                  <w:tcW w:w="3518" w:type="dxa"/>
                  <w:tcBorders>
                    <w:tl2br w:val="nil"/>
                    <w:tr2bl w:val="nil"/>
                  </w:tcBorders>
                  <w:vAlign w:val="center"/>
                </w:tcPr>
                <w:p w14:paraId="06502311">
                  <w:pPr>
                    <w:pStyle w:val="46"/>
                    <w:spacing w:before="1"/>
                    <w:jc w:val="center"/>
                    <w:rPr>
                      <w:rFonts w:hint="default" w:ascii="Times New Roman" w:hAnsi="Times New Roman" w:cs="Times New Roman"/>
                      <w:b/>
                      <w:bCs w:val="0"/>
                      <w:color w:val="auto"/>
                      <w:w w:val="99"/>
                      <w:sz w:val="18"/>
                      <w:szCs w:val="18"/>
                      <w:lang w:val="zh-CN" w:eastAsia="zh-CN"/>
                    </w:rPr>
                  </w:pPr>
                  <w:r>
                    <w:rPr>
                      <w:rFonts w:hint="default" w:ascii="Times New Roman" w:hAnsi="Times New Roman" w:cs="Times New Roman"/>
                      <w:b/>
                      <w:bCs w:val="0"/>
                      <w:color w:val="auto"/>
                      <w:w w:val="99"/>
                      <w:sz w:val="18"/>
                      <w:szCs w:val="18"/>
                    </w:rPr>
                    <w:t>管控条款</w:t>
                  </w:r>
                </w:p>
              </w:tc>
              <w:tc>
                <w:tcPr>
                  <w:tcW w:w="3053" w:type="dxa"/>
                  <w:tcBorders>
                    <w:tl2br w:val="nil"/>
                    <w:tr2bl w:val="nil"/>
                  </w:tcBorders>
                  <w:vAlign w:val="center"/>
                </w:tcPr>
                <w:p w14:paraId="5A9FB7E1">
                  <w:pPr>
                    <w:pStyle w:val="46"/>
                    <w:spacing w:before="1"/>
                    <w:jc w:val="center"/>
                    <w:rPr>
                      <w:rFonts w:hint="default" w:ascii="Times New Roman" w:hAnsi="Times New Roman" w:eastAsia="宋体" w:cs="Times New Roman"/>
                      <w:b/>
                      <w:bCs w:val="0"/>
                      <w:color w:val="auto"/>
                      <w:w w:val="99"/>
                      <w:sz w:val="18"/>
                      <w:szCs w:val="18"/>
                      <w:lang w:val="en-US" w:eastAsia="zh-CN"/>
                    </w:rPr>
                  </w:pPr>
                  <w:r>
                    <w:rPr>
                      <w:rFonts w:hint="eastAsia" w:ascii="Times New Roman" w:hAnsi="Times New Roman" w:cs="Times New Roman"/>
                      <w:b/>
                      <w:bCs w:val="0"/>
                      <w:color w:val="auto"/>
                      <w:w w:val="99"/>
                      <w:sz w:val="18"/>
                      <w:szCs w:val="18"/>
                      <w:lang w:val="en-US" w:eastAsia="zh-CN"/>
                    </w:rPr>
                    <w:t>相符性分析</w:t>
                  </w:r>
                </w:p>
              </w:tc>
              <w:tc>
                <w:tcPr>
                  <w:tcW w:w="1058" w:type="dxa"/>
                  <w:tcBorders>
                    <w:tl2br w:val="nil"/>
                    <w:tr2bl w:val="nil"/>
                  </w:tcBorders>
                  <w:vAlign w:val="center"/>
                </w:tcPr>
                <w:p w14:paraId="688BF494">
                  <w:pPr>
                    <w:pStyle w:val="46"/>
                    <w:spacing w:before="1"/>
                    <w:jc w:val="center"/>
                    <w:rPr>
                      <w:rFonts w:hint="default" w:ascii="Times New Roman" w:hAnsi="Times New Roman" w:cs="Times New Roman"/>
                      <w:b/>
                      <w:bCs w:val="0"/>
                      <w:color w:val="auto"/>
                      <w:w w:val="99"/>
                      <w:sz w:val="18"/>
                      <w:szCs w:val="18"/>
                      <w:lang w:val="zh-CN" w:eastAsia="zh-CN"/>
                    </w:rPr>
                  </w:pPr>
                  <w:r>
                    <w:rPr>
                      <w:rFonts w:hint="default" w:ascii="Times New Roman" w:hAnsi="Times New Roman" w:cs="Times New Roman"/>
                      <w:b/>
                      <w:bCs w:val="0"/>
                      <w:color w:val="auto"/>
                      <w:w w:val="99"/>
                      <w:sz w:val="18"/>
                      <w:szCs w:val="18"/>
                    </w:rPr>
                    <w:t>相符性</w:t>
                  </w:r>
                </w:p>
              </w:tc>
            </w:tr>
            <w:tr w14:paraId="3FFD84BA">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591" w:type="dxa"/>
                  <w:tcBorders>
                    <w:tl2br w:val="nil"/>
                    <w:tr2bl w:val="nil"/>
                  </w:tcBorders>
                  <w:vAlign w:val="center"/>
                </w:tcPr>
                <w:p w14:paraId="56EE3E4C">
                  <w:pPr>
                    <w:pStyle w:val="46"/>
                    <w:tabs>
                      <w:tab w:val="left" w:pos="823"/>
                    </w:tabs>
                    <w:spacing w:line="248" w:lineRule="exact"/>
                    <w:jc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cs="Times New Roman"/>
                      <w:b w:val="0"/>
                      <w:bCs/>
                      <w:color w:val="auto"/>
                      <w:sz w:val="18"/>
                      <w:szCs w:val="18"/>
                      <w:vertAlign w:val="baseline"/>
                      <w:lang w:val="en-US" w:eastAsia="zh-CN"/>
                    </w:rPr>
                    <w:t>1</w:t>
                  </w:r>
                </w:p>
              </w:tc>
              <w:tc>
                <w:tcPr>
                  <w:tcW w:w="3518" w:type="dxa"/>
                  <w:tcBorders>
                    <w:tl2br w:val="nil"/>
                    <w:tr2bl w:val="nil"/>
                  </w:tcBorders>
                  <w:vAlign w:val="center"/>
                </w:tcPr>
                <w:p w14:paraId="12AF95B0">
                  <w:pPr>
                    <w:pStyle w:val="46"/>
                    <w:spacing w:line="242" w:lineRule="auto"/>
                    <w:ind w:right="-15"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禁止建设不符合国家港口布局规划和《江苏省</w:t>
                  </w:r>
                  <w:r>
                    <w:rPr>
                      <w:rFonts w:hint="default" w:ascii="Times New Roman" w:hAnsi="Times New Roman" w:cs="Times New Roman"/>
                      <w:b w:val="0"/>
                      <w:bCs/>
                      <w:color w:val="auto"/>
                      <w:spacing w:val="-1"/>
                      <w:sz w:val="18"/>
                      <w:szCs w:val="18"/>
                    </w:rPr>
                    <w:t>沿江沿海港口布局规划</w:t>
                  </w:r>
                  <w:r>
                    <w:rPr>
                      <w:rFonts w:hint="default" w:ascii="Times New Roman" w:hAnsi="Times New Roman" w:cs="Times New Roman"/>
                      <w:b w:val="0"/>
                      <w:bCs/>
                      <w:color w:val="auto"/>
                      <w:sz w:val="18"/>
                      <w:szCs w:val="18"/>
                    </w:rPr>
                    <w:t>（</w:t>
                  </w:r>
                  <w:r>
                    <w:rPr>
                      <w:rFonts w:hint="default" w:ascii="Times New Roman" w:hAnsi="Times New Roman" w:eastAsia="Times New Roman" w:cs="Times New Roman"/>
                      <w:b w:val="0"/>
                      <w:bCs/>
                      <w:color w:val="auto"/>
                      <w:sz w:val="18"/>
                      <w:szCs w:val="18"/>
                    </w:rPr>
                    <w:t xml:space="preserve">2015-2030 </w:t>
                  </w:r>
                  <w:r>
                    <w:rPr>
                      <w:rFonts w:hint="default" w:ascii="Times New Roman" w:hAnsi="Times New Roman" w:cs="Times New Roman"/>
                      <w:b w:val="0"/>
                      <w:bCs/>
                      <w:color w:val="auto"/>
                      <w:sz w:val="18"/>
                      <w:szCs w:val="18"/>
                    </w:rPr>
                    <w:t>年</w:t>
                  </w:r>
                  <w:r>
                    <w:rPr>
                      <w:rFonts w:hint="default" w:ascii="Times New Roman" w:hAnsi="Times New Roman" w:cs="Times New Roman"/>
                      <w:b w:val="0"/>
                      <w:bCs/>
                      <w:color w:val="auto"/>
                      <w:spacing w:val="-8"/>
                      <w:sz w:val="18"/>
                      <w:szCs w:val="18"/>
                    </w:rPr>
                    <w:t>）</w:t>
                  </w:r>
                  <w:r>
                    <w:rPr>
                      <w:rFonts w:hint="default" w:ascii="Times New Roman" w:hAnsi="Times New Roman" w:cs="Times New Roman"/>
                      <w:b w:val="0"/>
                      <w:bCs/>
                      <w:color w:val="auto"/>
                      <w:spacing w:val="-6"/>
                      <w:sz w:val="18"/>
                      <w:szCs w:val="18"/>
                    </w:rPr>
                    <w:t>》《江</w:t>
                  </w:r>
                  <w:r>
                    <w:rPr>
                      <w:rFonts w:hint="default" w:ascii="Times New Roman" w:hAnsi="Times New Roman" w:cs="Times New Roman"/>
                      <w:b w:val="0"/>
                      <w:bCs/>
                      <w:color w:val="auto"/>
                      <w:spacing w:val="-7"/>
                      <w:sz w:val="18"/>
                      <w:szCs w:val="18"/>
                    </w:rPr>
                    <w:t>苏省内河港口布局规划</w:t>
                  </w:r>
                  <w:r>
                    <w:rPr>
                      <w:rFonts w:hint="default" w:ascii="Times New Roman" w:hAnsi="Times New Roman" w:cs="Times New Roman"/>
                      <w:b w:val="0"/>
                      <w:bCs/>
                      <w:color w:val="auto"/>
                      <w:sz w:val="18"/>
                      <w:szCs w:val="18"/>
                    </w:rPr>
                    <w:t>（</w:t>
                  </w:r>
                  <w:r>
                    <w:rPr>
                      <w:rFonts w:hint="default" w:ascii="Times New Roman" w:hAnsi="Times New Roman" w:eastAsia="Times New Roman" w:cs="Times New Roman"/>
                      <w:b w:val="0"/>
                      <w:bCs/>
                      <w:color w:val="auto"/>
                      <w:sz w:val="18"/>
                      <w:szCs w:val="18"/>
                    </w:rPr>
                    <w:t xml:space="preserve">2017-2035 </w:t>
                  </w:r>
                  <w:r>
                    <w:rPr>
                      <w:rFonts w:hint="default" w:ascii="Times New Roman" w:hAnsi="Times New Roman" w:cs="Times New Roman"/>
                      <w:b w:val="0"/>
                      <w:bCs/>
                      <w:color w:val="auto"/>
                      <w:sz w:val="18"/>
                      <w:szCs w:val="18"/>
                    </w:rPr>
                    <w:t>年</w:t>
                  </w:r>
                  <w:r>
                    <w:rPr>
                      <w:rFonts w:hint="default" w:ascii="Times New Roman" w:hAnsi="Times New Roman" w:cs="Times New Roman"/>
                      <w:b w:val="0"/>
                      <w:bCs/>
                      <w:color w:val="auto"/>
                      <w:spacing w:val="-10"/>
                      <w:sz w:val="18"/>
                      <w:szCs w:val="18"/>
                    </w:rPr>
                    <w:t>）</w:t>
                  </w:r>
                  <w:r>
                    <w:rPr>
                      <w:rFonts w:hint="default" w:ascii="Times New Roman" w:hAnsi="Times New Roman" w:cs="Times New Roman"/>
                      <w:b w:val="0"/>
                      <w:bCs/>
                      <w:color w:val="auto"/>
                      <w:spacing w:val="-4"/>
                      <w:sz w:val="18"/>
                      <w:szCs w:val="18"/>
                    </w:rPr>
                    <w:t>》以及</w:t>
                  </w:r>
                  <w:r>
                    <w:rPr>
                      <w:rFonts w:hint="default" w:ascii="Times New Roman" w:hAnsi="Times New Roman" w:cs="Times New Roman"/>
                      <w:b w:val="0"/>
                      <w:bCs/>
                      <w:color w:val="auto"/>
                      <w:spacing w:val="-9"/>
                      <w:sz w:val="18"/>
                      <w:szCs w:val="18"/>
                    </w:rPr>
                    <w:t>我省有关港口总体规划的码头项目，禁止建设未</w:t>
                  </w:r>
                  <w:r>
                    <w:rPr>
                      <w:rFonts w:hint="default" w:ascii="Times New Roman" w:hAnsi="Times New Roman" w:cs="Times New Roman"/>
                      <w:b w:val="0"/>
                      <w:bCs/>
                      <w:color w:val="auto"/>
                      <w:spacing w:val="-13"/>
                      <w:sz w:val="18"/>
                      <w:szCs w:val="18"/>
                    </w:rPr>
                    <w:t>纳入《长江干线过江通道布局规划》的过长江干</w:t>
                  </w:r>
                  <w:r>
                    <w:rPr>
                      <w:rFonts w:hint="default" w:ascii="Times New Roman" w:hAnsi="Times New Roman" w:cs="Times New Roman"/>
                      <w:b w:val="0"/>
                      <w:bCs/>
                      <w:color w:val="auto"/>
                      <w:sz w:val="18"/>
                      <w:szCs w:val="18"/>
                    </w:rPr>
                    <w:t>线通道项目。</w:t>
                  </w:r>
                </w:p>
              </w:tc>
              <w:tc>
                <w:tcPr>
                  <w:tcW w:w="3053" w:type="dxa"/>
                  <w:tcBorders>
                    <w:tl2br w:val="nil"/>
                    <w:tr2bl w:val="nil"/>
                  </w:tcBorders>
                  <w:vAlign w:val="center"/>
                </w:tcPr>
                <w:p w14:paraId="1C5F5F71">
                  <w:pPr>
                    <w:pStyle w:val="46"/>
                    <w:spacing w:line="242" w:lineRule="auto"/>
                    <w:ind w:right="22"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本项目不属于码头及长江干线过江通道项目</w:t>
                  </w:r>
                  <w:r>
                    <w:rPr>
                      <w:rFonts w:hint="default" w:ascii="Times New Roman" w:hAnsi="Times New Roman" w:cs="Times New Roman"/>
                      <w:b w:val="0"/>
                      <w:bCs/>
                      <w:color w:val="auto"/>
                      <w:spacing w:val="-5"/>
                      <w:sz w:val="18"/>
                      <w:szCs w:val="18"/>
                    </w:rPr>
                    <w:t>。</w:t>
                  </w:r>
                </w:p>
              </w:tc>
              <w:tc>
                <w:tcPr>
                  <w:tcW w:w="1058" w:type="dxa"/>
                  <w:tcBorders>
                    <w:tl2br w:val="nil"/>
                    <w:tr2bl w:val="nil"/>
                  </w:tcBorders>
                  <w:vAlign w:val="center"/>
                </w:tcPr>
                <w:p w14:paraId="5CE88B8A">
                  <w:pPr>
                    <w:pStyle w:val="46"/>
                    <w:ind w:right="101"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相符</w:t>
                  </w:r>
                </w:p>
              </w:tc>
            </w:tr>
            <w:tr w14:paraId="43854B5D">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591" w:type="dxa"/>
                  <w:tcBorders>
                    <w:tl2br w:val="nil"/>
                    <w:tr2bl w:val="nil"/>
                  </w:tcBorders>
                  <w:vAlign w:val="center"/>
                </w:tcPr>
                <w:p w14:paraId="542B065B">
                  <w:pPr>
                    <w:pStyle w:val="46"/>
                    <w:tabs>
                      <w:tab w:val="left" w:pos="823"/>
                    </w:tabs>
                    <w:spacing w:line="248" w:lineRule="exact"/>
                    <w:jc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cs="Times New Roman"/>
                      <w:b w:val="0"/>
                      <w:bCs/>
                      <w:color w:val="auto"/>
                      <w:sz w:val="18"/>
                      <w:szCs w:val="18"/>
                      <w:vertAlign w:val="baseline"/>
                      <w:lang w:val="en-US" w:eastAsia="zh-CN"/>
                    </w:rPr>
                    <w:t>2</w:t>
                  </w:r>
                </w:p>
              </w:tc>
              <w:tc>
                <w:tcPr>
                  <w:tcW w:w="3518" w:type="dxa"/>
                  <w:tcBorders>
                    <w:tl2br w:val="nil"/>
                    <w:tr2bl w:val="nil"/>
                  </w:tcBorders>
                  <w:vAlign w:val="center"/>
                </w:tcPr>
                <w:p w14:paraId="58CBF608">
                  <w:pPr>
                    <w:pStyle w:val="46"/>
                    <w:spacing w:line="242" w:lineRule="auto"/>
                    <w:ind w:right="-44"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pacing w:val="-8"/>
                      <w:sz w:val="18"/>
                      <w:szCs w:val="18"/>
                    </w:rPr>
                    <w:t xml:space="preserve">严格执行《中华人民共和国自然保护区条例》， </w:t>
                  </w:r>
                  <w:r>
                    <w:rPr>
                      <w:rFonts w:hint="default" w:ascii="Times New Roman" w:hAnsi="Times New Roman" w:cs="Times New Roman"/>
                      <w:b w:val="0"/>
                      <w:bCs/>
                      <w:color w:val="auto"/>
                      <w:sz w:val="18"/>
                      <w:szCs w:val="18"/>
                    </w:rPr>
                    <w:t>禁止在自然保护区核心区、缓冲区的岸线和河段范围内投资建设旅游和生产经营项目。严格</w:t>
                  </w:r>
                  <w:r>
                    <w:rPr>
                      <w:rFonts w:hint="default" w:ascii="Times New Roman" w:hAnsi="Times New Roman" w:cs="Times New Roman"/>
                      <w:b w:val="0"/>
                      <w:bCs/>
                      <w:color w:val="auto"/>
                      <w:spacing w:val="-11"/>
                      <w:sz w:val="18"/>
                      <w:szCs w:val="18"/>
                    </w:rPr>
                    <w:t>执行《风景名胜区条例》《江苏省风景名胜区管理条例》，禁止在国家级和省级风景名胜区核心景区的岸线和河段范围内投资建设与风景名胜</w:t>
                  </w:r>
                  <w:r>
                    <w:rPr>
                      <w:rFonts w:hint="default" w:ascii="Times New Roman" w:hAnsi="Times New Roman" w:cs="Times New Roman"/>
                      <w:b w:val="0"/>
                      <w:bCs/>
                      <w:color w:val="auto"/>
                      <w:sz w:val="18"/>
                      <w:szCs w:val="18"/>
                    </w:rPr>
                    <w:t>资源保护无关的项目。</w:t>
                  </w:r>
                </w:p>
              </w:tc>
              <w:tc>
                <w:tcPr>
                  <w:tcW w:w="3053" w:type="dxa"/>
                  <w:tcBorders>
                    <w:tl2br w:val="nil"/>
                    <w:tr2bl w:val="nil"/>
                  </w:tcBorders>
                  <w:vAlign w:val="center"/>
                </w:tcPr>
                <w:p w14:paraId="4B8B93CF">
                  <w:pPr>
                    <w:pStyle w:val="46"/>
                    <w:spacing w:line="242" w:lineRule="auto"/>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本项目位于</w:t>
                  </w:r>
                  <w:r>
                    <w:rPr>
                      <w:rFonts w:hint="eastAsia" w:ascii="Times New Roman" w:hAnsi="Times New Roman" w:cs="Times New Roman"/>
                      <w:b w:val="0"/>
                      <w:bCs/>
                      <w:color w:val="auto"/>
                      <w:sz w:val="18"/>
                      <w:szCs w:val="18"/>
                      <w:u w:val="none"/>
                      <w:lang w:val="en-US" w:eastAsia="zh-CN"/>
                    </w:rPr>
                    <w:t>南通市海门经济技术开发区滨江街道福州路179号</w:t>
                  </w:r>
                  <w:r>
                    <w:rPr>
                      <w:rFonts w:hint="default" w:ascii="Times New Roman" w:hAnsi="Times New Roman" w:cs="Times New Roman"/>
                      <w:b w:val="0"/>
                      <w:bCs/>
                      <w:color w:val="auto"/>
                      <w:sz w:val="18"/>
                      <w:szCs w:val="18"/>
                    </w:rPr>
                    <w:t>，不在自然保护区核心区、缓冲区的岸线和河段范围内，不在国家级和省级风景名胜区核心景区的岸线和河段范围内。</w:t>
                  </w:r>
                </w:p>
              </w:tc>
              <w:tc>
                <w:tcPr>
                  <w:tcW w:w="1058" w:type="dxa"/>
                  <w:tcBorders>
                    <w:tl2br w:val="nil"/>
                    <w:tr2bl w:val="nil"/>
                  </w:tcBorders>
                  <w:vAlign w:val="center"/>
                </w:tcPr>
                <w:p w14:paraId="5ED627B9">
                  <w:pPr>
                    <w:pStyle w:val="46"/>
                    <w:ind w:right="101"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相符</w:t>
                  </w:r>
                </w:p>
              </w:tc>
            </w:tr>
            <w:tr w14:paraId="0222E749">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591" w:type="dxa"/>
                  <w:tcBorders>
                    <w:tl2br w:val="nil"/>
                    <w:tr2bl w:val="nil"/>
                  </w:tcBorders>
                  <w:vAlign w:val="center"/>
                </w:tcPr>
                <w:p w14:paraId="4038A0F6">
                  <w:pPr>
                    <w:pStyle w:val="46"/>
                    <w:tabs>
                      <w:tab w:val="left" w:pos="823"/>
                    </w:tabs>
                    <w:spacing w:line="248" w:lineRule="exact"/>
                    <w:jc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cs="Times New Roman"/>
                      <w:b w:val="0"/>
                      <w:bCs/>
                      <w:color w:val="auto"/>
                      <w:sz w:val="18"/>
                      <w:szCs w:val="18"/>
                      <w:vertAlign w:val="baseline"/>
                      <w:lang w:val="en-US" w:eastAsia="zh-CN"/>
                    </w:rPr>
                    <w:t>3</w:t>
                  </w:r>
                </w:p>
              </w:tc>
              <w:tc>
                <w:tcPr>
                  <w:tcW w:w="3518" w:type="dxa"/>
                  <w:tcBorders>
                    <w:tl2br w:val="nil"/>
                    <w:tr2bl w:val="nil"/>
                  </w:tcBorders>
                  <w:vAlign w:val="center"/>
                </w:tcPr>
                <w:p w14:paraId="7F669A47">
                  <w:pPr>
                    <w:pStyle w:val="46"/>
                    <w:spacing w:line="242" w:lineRule="auto"/>
                    <w:ind w:right="-44" w:rightChars="0"/>
                    <w:jc w:val="center"/>
                    <w:rPr>
                      <w:rFonts w:hint="default" w:ascii="Times New Roman" w:hAnsi="Times New Roman" w:eastAsia="宋体" w:cs="Times New Roman"/>
                      <w:b w:val="0"/>
                      <w:bCs/>
                      <w:color w:val="auto"/>
                      <w:spacing w:val="-8"/>
                      <w:sz w:val="18"/>
                      <w:szCs w:val="18"/>
                      <w:lang w:val="zh-CN" w:eastAsia="zh-CN" w:bidi="zh-CN"/>
                    </w:rPr>
                  </w:pPr>
                  <w:r>
                    <w:rPr>
                      <w:rFonts w:hint="default" w:ascii="Times New Roman" w:hAnsi="Times New Roman" w:cs="Times New Roman"/>
                      <w:b w:val="0"/>
                      <w:bCs/>
                      <w:color w:val="auto"/>
                      <w:spacing w:val="-8"/>
                      <w:sz w:val="18"/>
                      <w:szCs w:val="18"/>
                    </w:rPr>
                    <w:t>严格执行《中华人民共和国水污染防治法》《江苏省人民代表大会常务委员会关于加强饮用水源地保护的决定》，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3053" w:type="dxa"/>
                  <w:tcBorders>
                    <w:tl2br w:val="nil"/>
                    <w:tr2bl w:val="nil"/>
                  </w:tcBorders>
                  <w:vAlign w:val="center"/>
                </w:tcPr>
                <w:p w14:paraId="48ACFC36">
                  <w:pPr>
                    <w:pStyle w:val="46"/>
                    <w:spacing w:line="242" w:lineRule="auto"/>
                    <w:ind w:left="10" w:right="-44" w:firstLine="328" w:firstLineChars="200"/>
                    <w:jc w:val="center"/>
                    <w:rPr>
                      <w:rFonts w:hint="default" w:ascii="Times New Roman" w:hAnsi="Times New Roman" w:cs="Times New Roman"/>
                      <w:b w:val="0"/>
                      <w:bCs/>
                      <w:color w:val="auto"/>
                      <w:spacing w:val="-8"/>
                      <w:sz w:val="18"/>
                      <w:szCs w:val="18"/>
                    </w:rPr>
                  </w:pPr>
                </w:p>
                <w:p w14:paraId="1E6A7DB8">
                  <w:pPr>
                    <w:pStyle w:val="46"/>
                    <w:spacing w:line="242" w:lineRule="auto"/>
                    <w:ind w:right="-44" w:rightChars="0"/>
                    <w:jc w:val="center"/>
                    <w:rPr>
                      <w:rFonts w:hint="default" w:ascii="Times New Roman" w:hAnsi="Times New Roman" w:eastAsia="宋体" w:cs="Times New Roman"/>
                      <w:b w:val="0"/>
                      <w:bCs/>
                      <w:color w:val="auto"/>
                      <w:spacing w:val="-8"/>
                      <w:sz w:val="18"/>
                      <w:szCs w:val="18"/>
                      <w:lang w:val="zh-CN" w:eastAsia="zh-CN" w:bidi="zh-CN"/>
                    </w:rPr>
                  </w:pPr>
                  <w:r>
                    <w:rPr>
                      <w:rFonts w:hint="default" w:ascii="Times New Roman" w:hAnsi="Times New Roman" w:cs="Times New Roman"/>
                      <w:b w:val="0"/>
                      <w:bCs/>
                      <w:color w:val="auto"/>
                      <w:spacing w:val="-8"/>
                      <w:sz w:val="18"/>
                      <w:szCs w:val="18"/>
                    </w:rPr>
                    <w:t>本项目位于</w:t>
                  </w:r>
                  <w:r>
                    <w:rPr>
                      <w:rFonts w:hint="eastAsia" w:ascii="Times New Roman" w:hAnsi="Times New Roman" w:cs="Times New Roman"/>
                      <w:b w:val="0"/>
                      <w:bCs/>
                      <w:color w:val="auto"/>
                      <w:sz w:val="18"/>
                      <w:szCs w:val="18"/>
                      <w:u w:val="none"/>
                      <w:lang w:val="en-US" w:eastAsia="zh-CN"/>
                    </w:rPr>
                    <w:t>南通市海门经济技术开发区滨江街道福州路179号</w:t>
                  </w:r>
                  <w:r>
                    <w:rPr>
                      <w:rFonts w:hint="default" w:ascii="Times New Roman" w:hAnsi="Times New Roman" w:cs="Times New Roman"/>
                      <w:b w:val="0"/>
                      <w:bCs/>
                      <w:color w:val="auto"/>
                      <w:spacing w:val="-8"/>
                      <w:sz w:val="18"/>
                      <w:szCs w:val="18"/>
                    </w:rPr>
                    <w:t>，不在饮用水水源一级保护区的岸线和河段范围内，不在饮用水水源二级保护区的岸线和河段范围内。</w:t>
                  </w:r>
                </w:p>
              </w:tc>
              <w:tc>
                <w:tcPr>
                  <w:tcW w:w="1058" w:type="dxa"/>
                  <w:tcBorders>
                    <w:tl2br w:val="nil"/>
                    <w:tr2bl w:val="nil"/>
                  </w:tcBorders>
                  <w:vAlign w:val="center"/>
                </w:tcPr>
                <w:p w14:paraId="42727E54">
                  <w:pPr>
                    <w:pStyle w:val="46"/>
                    <w:ind w:right="101"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相符</w:t>
                  </w:r>
                </w:p>
              </w:tc>
            </w:tr>
            <w:tr w14:paraId="7E1059E7">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591" w:type="dxa"/>
                  <w:tcBorders>
                    <w:tl2br w:val="nil"/>
                    <w:tr2bl w:val="nil"/>
                  </w:tcBorders>
                  <w:vAlign w:val="center"/>
                </w:tcPr>
                <w:p w14:paraId="4082A4CB">
                  <w:pPr>
                    <w:pStyle w:val="46"/>
                    <w:tabs>
                      <w:tab w:val="left" w:pos="823"/>
                    </w:tabs>
                    <w:spacing w:line="248" w:lineRule="exact"/>
                    <w:jc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cs="Times New Roman"/>
                      <w:b w:val="0"/>
                      <w:bCs/>
                      <w:color w:val="auto"/>
                      <w:sz w:val="18"/>
                      <w:szCs w:val="18"/>
                      <w:vertAlign w:val="baseline"/>
                      <w:lang w:val="en-US" w:eastAsia="zh-CN"/>
                    </w:rPr>
                    <w:t>4</w:t>
                  </w:r>
                </w:p>
              </w:tc>
              <w:tc>
                <w:tcPr>
                  <w:tcW w:w="3518" w:type="dxa"/>
                  <w:tcBorders>
                    <w:tl2br w:val="nil"/>
                    <w:tr2bl w:val="nil"/>
                  </w:tcBorders>
                  <w:vAlign w:val="center"/>
                </w:tcPr>
                <w:p w14:paraId="4C0B49AA">
                  <w:pPr>
                    <w:pStyle w:val="46"/>
                    <w:spacing w:line="242" w:lineRule="auto"/>
                    <w:ind w:right="27"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严格执行《水产种质资源保护区管理暂行办</w:t>
                  </w:r>
                  <w:r>
                    <w:rPr>
                      <w:rFonts w:hint="default" w:ascii="Times New Roman" w:hAnsi="Times New Roman" w:cs="Times New Roman"/>
                      <w:b w:val="0"/>
                      <w:bCs/>
                      <w:color w:val="auto"/>
                      <w:spacing w:val="-1"/>
                      <w:sz w:val="18"/>
                      <w:szCs w:val="18"/>
                    </w:rPr>
                    <w:t>法》，禁止在国家级和省级水产种质资源保护区的岸线和河段范围内新建排污口，以及围湖造田、围海造地或围填海等投资建设项目。严格执行《江苏省湿地保护条例》，禁止在国家湿地公园的岸线和河段范围内挖沙、采矿，以</w:t>
                  </w:r>
                  <w:r>
                    <w:rPr>
                      <w:rFonts w:hint="default" w:ascii="Times New Roman" w:hAnsi="Times New Roman" w:cs="Times New Roman"/>
                      <w:b w:val="0"/>
                      <w:bCs/>
                      <w:color w:val="auto"/>
                      <w:sz w:val="18"/>
                      <w:szCs w:val="18"/>
                    </w:rPr>
                    <w:t>及任何不符合主体功能定位的投资建设项目。</w:t>
                  </w:r>
                </w:p>
              </w:tc>
              <w:tc>
                <w:tcPr>
                  <w:tcW w:w="3053" w:type="dxa"/>
                  <w:tcBorders>
                    <w:tl2br w:val="nil"/>
                    <w:tr2bl w:val="nil"/>
                  </w:tcBorders>
                  <w:vAlign w:val="center"/>
                </w:tcPr>
                <w:p w14:paraId="23DF3865">
                  <w:pPr>
                    <w:pStyle w:val="46"/>
                    <w:spacing w:before="115" w:line="242" w:lineRule="auto"/>
                    <w:ind w:right="0"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本项目位于</w:t>
                  </w:r>
                  <w:r>
                    <w:rPr>
                      <w:rFonts w:hint="eastAsia" w:ascii="Times New Roman" w:hAnsi="Times New Roman" w:cs="Times New Roman"/>
                      <w:b w:val="0"/>
                      <w:bCs/>
                      <w:color w:val="auto"/>
                      <w:sz w:val="18"/>
                      <w:szCs w:val="18"/>
                      <w:u w:val="none"/>
                      <w:lang w:val="en-US" w:eastAsia="zh-CN"/>
                    </w:rPr>
                    <w:t>南通市海门经济技术开发区滨江街道福州路179号</w:t>
                  </w:r>
                  <w:r>
                    <w:rPr>
                      <w:rFonts w:hint="default" w:ascii="Times New Roman" w:hAnsi="Times New Roman" w:cs="Times New Roman"/>
                      <w:b w:val="0"/>
                      <w:bCs/>
                      <w:color w:val="auto"/>
                      <w:sz w:val="18"/>
                      <w:szCs w:val="18"/>
                    </w:rPr>
                    <w:t>，不在国家级和省级水产种质资源保护区的岸线和河段范围内，不在国家湿地公园的岸线和河段范围内。</w:t>
                  </w:r>
                </w:p>
              </w:tc>
              <w:tc>
                <w:tcPr>
                  <w:tcW w:w="1058" w:type="dxa"/>
                  <w:tcBorders>
                    <w:tl2br w:val="nil"/>
                    <w:tr2bl w:val="nil"/>
                  </w:tcBorders>
                  <w:vAlign w:val="center"/>
                </w:tcPr>
                <w:p w14:paraId="138409F0">
                  <w:pPr>
                    <w:pStyle w:val="46"/>
                    <w:spacing w:before="1"/>
                    <w:ind w:right="0"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相符</w:t>
                  </w:r>
                </w:p>
              </w:tc>
            </w:tr>
            <w:tr w14:paraId="13508A75">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591" w:type="dxa"/>
                  <w:tcBorders>
                    <w:tl2br w:val="nil"/>
                    <w:tr2bl w:val="nil"/>
                  </w:tcBorders>
                  <w:vAlign w:val="center"/>
                </w:tcPr>
                <w:p w14:paraId="4E309368">
                  <w:pPr>
                    <w:pStyle w:val="46"/>
                    <w:tabs>
                      <w:tab w:val="left" w:pos="823"/>
                    </w:tabs>
                    <w:spacing w:line="248" w:lineRule="exact"/>
                    <w:jc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cs="Times New Roman"/>
                      <w:b w:val="0"/>
                      <w:bCs/>
                      <w:color w:val="auto"/>
                      <w:sz w:val="18"/>
                      <w:szCs w:val="18"/>
                      <w:vertAlign w:val="baseline"/>
                      <w:lang w:val="en-US" w:eastAsia="zh-CN"/>
                    </w:rPr>
                    <w:t>5</w:t>
                  </w:r>
                </w:p>
              </w:tc>
              <w:tc>
                <w:tcPr>
                  <w:tcW w:w="3518" w:type="dxa"/>
                  <w:tcBorders>
                    <w:tl2br w:val="nil"/>
                    <w:tr2bl w:val="nil"/>
                  </w:tcBorders>
                  <w:vAlign w:val="center"/>
                </w:tcPr>
                <w:p w14:paraId="23E268C0">
                  <w:pPr>
                    <w:pStyle w:val="46"/>
                    <w:spacing w:line="242" w:lineRule="auto"/>
                    <w:ind w:right="27"/>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pacing w:val="-1"/>
                      <w:sz w:val="18"/>
                      <w:szCs w:val="18"/>
                    </w:rPr>
                    <w:t>禁止在《长江岸线保护和开发利用总体规划》</w:t>
                  </w:r>
                  <w:r>
                    <w:rPr>
                      <w:rFonts w:hint="default" w:ascii="Times New Roman" w:hAnsi="Times New Roman" w:cs="Times New Roman"/>
                      <w:b w:val="0"/>
                      <w:bCs/>
                      <w:color w:val="auto"/>
                      <w:sz w:val="18"/>
                      <w:szCs w:val="18"/>
                    </w:rPr>
                    <w:t xml:space="preserve">划定的岸线保护区内投资建设除保障防洪安 </w:t>
                  </w:r>
                  <w:r>
                    <w:rPr>
                      <w:rFonts w:hint="default" w:ascii="Times New Roman" w:hAnsi="Times New Roman" w:cs="Times New Roman"/>
                      <w:b w:val="0"/>
                      <w:bCs/>
                      <w:color w:val="auto"/>
                      <w:spacing w:val="-1"/>
                      <w:sz w:val="18"/>
                      <w:szCs w:val="18"/>
                    </w:rPr>
                    <w:t>全、河势稳定、供水安全以及保护生态环境、已建重要枢纽工程以外的项目，禁止在岸线保留区内投资建设除保障防洪安全、河势稳定、供水安全、航道稳定以及保护生态环境以外的项目。长江干支流基础设施项目应按照《长江岸线保护和开发利用总体规划》和生态环境保护、岸线保护等要求，按规定开展项目前期论证并办理相关手续。禁止在《全国重要江河湖泊水功能区划》划定的河段保护区、保留区内</w:t>
                  </w:r>
                  <w:r>
                    <w:rPr>
                      <w:rFonts w:hint="default" w:ascii="Times New Roman" w:hAnsi="Times New Roman" w:cs="Times New Roman"/>
                      <w:b w:val="0"/>
                      <w:bCs/>
                      <w:color w:val="auto"/>
                      <w:sz w:val="18"/>
                      <w:szCs w:val="18"/>
                    </w:rPr>
                    <w:t>投资建设不利于水资源及自然生态保护的项目。</w:t>
                  </w:r>
                </w:p>
              </w:tc>
              <w:tc>
                <w:tcPr>
                  <w:tcW w:w="3053" w:type="dxa"/>
                  <w:tcBorders>
                    <w:tl2br w:val="nil"/>
                    <w:tr2bl w:val="nil"/>
                  </w:tcBorders>
                  <w:vAlign w:val="center"/>
                </w:tcPr>
                <w:p w14:paraId="6CFBA39F">
                  <w:pPr>
                    <w:pStyle w:val="46"/>
                    <w:spacing w:before="1" w:line="242" w:lineRule="auto"/>
                    <w:ind w:right="0"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本项目位于</w:t>
                  </w:r>
                  <w:r>
                    <w:rPr>
                      <w:rFonts w:hint="eastAsia" w:ascii="Times New Roman" w:hAnsi="Times New Roman" w:cs="Times New Roman"/>
                      <w:b w:val="0"/>
                      <w:bCs/>
                      <w:color w:val="auto"/>
                      <w:sz w:val="18"/>
                      <w:szCs w:val="18"/>
                      <w:u w:val="none"/>
                      <w:lang w:val="en-US" w:eastAsia="zh-CN"/>
                    </w:rPr>
                    <w:t>南通市海门经济技术开发区滨江街道福州路179号</w:t>
                  </w:r>
                  <w:r>
                    <w:rPr>
                      <w:rFonts w:hint="default" w:ascii="Times New Roman" w:hAnsi="Times New Roman" w:cs="Times New Roman"/>
                      <w:b w:val="0"/>
                      <w:bCs/>
                      <w:color w:val="auto"/>
                      <w:sz w:val="18"/>
                      <w:szCs w:val="18"/>
                    </w:rPr>
                    <w:t>，不在《长江岸线保护和开发利用总体规划》划定的岸线保护区和岸线保留区内，不在《全国重要江河湖泊水功能区划》划定的河段保护区、保留区内。</w:t>
                  </w:r>
                </w:p>
              </w:tc>
              <w:tc>
                <w:tcPr>
                  <w:tcW w:w="1058" w:type="dxa"/>
                  <w:tcBorders>
                    <w:tl2br w:val="nil"/>
                    <w:tr2bl w:val="nil"/>
                  </w:tcBorders>
                  <w:vAlign w:val="center"/>
                </w:tcPr>
                <w:p w14:paraId="160091E8">
                  <w:pPr>
                    <w:pStyle w:val="46"/>
                    <w:spacing w:before="155"/>
                    <w:ind w:left="134" w:leftChars="0" w:right="0"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相符</w:t>
                  </w:r>
                </w:p>
              </w:tc>
            </w:tr>
            <w:tr w14:paraId="108D0CCA">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91" w:type="dxa"/>
                  <w:tcBorders>
                    <w:tl2br w:val="nil"/>
                    <w:tr2bl w:val="nil"/>
                  </w:tcBorders>
                  <w:vAlign w:val="center"/>
                </w:tcPr>
                <w:p w14:paraId="2D0E685E">
                  <w:pPr>
                    <w:pStyle w:val="46"/>
                    <w:tabs>
                      <w:tab w:val="left" w:pos="823"/>
                    </w:tabs>
                    <w:spacing w:line="248" w:lineRule="exact"/>
                    <w:jc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cs="Times New Roman"/>
                      <w:b w:val="0"/>
                      <w:bCs/>
                      <w:color w:val="auto"/>
                      <w:sz w:val="18"/>
                      <w:szCs w:val="18"/>
                      <w:vertAlign w:val="baseline"/>
                      <w:lang w:val="en-US" w:eastAsia="zh-CN"/>
                    </w:rPr>
                    <w:t>6</w:t>
                  </w:r>
                </w:p>
              </w:tc>
              <w:tc>
                <w:tcPr>
                  <w:tcW w:w="3518" w:type="dxa"/>
                  <w:tcBorders>
                    <w:tl2br w:val="nil"/>
                    <w:tr2bl w:val="nil"/>
                  </w:tcBorders>
                  <w:vAlign w:val="center"/>
                </w:tcPr>
                <w:p w14:paraId="77FD5742">
                  <w:pPr>
                    <w:pStyle w:val="46"/>
                    <w:spacing w:line="242" w:lineRule="auto"/>
                    <w:ind w:right="27"/>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禁止在国家确定的生态保护红线和永久基本农田范围内，投资建设除国家重大战略资源勘查项目、生态保护修复和环境及地质灾害治理项目、重大基础设施项目、军事国防项目以及农民基本生产生活等必要的民生项目以外的项目。</w:t>
                  </w:r>
                </w:p>
              </w:tc>
              <w:tc>
                <w:tcPr>
                  <w:tcW w:w="3053" w:type="dxa"/>
                  <w:tcBorders>
                    <w:tl2br w:val="nil"/>
                    <w:tr2bl w:val="nil"/>
                  </w:tcBorders>
                  <w:vAlign w:val="center"/>
                </w:tcPr>
                <w:p w14:paraId="54589364">
                  <w:pPr>
                    <w:pStyle w:val="46"/>
                    <w:spacing w:before="111" w:line="242" w:lineRule="auto"/>
                    <w:ind w:left="19" w:leftChars="0" w:right="0"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本项目位于</w:t>
                  </w:r>
                  <w:r>
                    <w:rPr>
                      <w:rFonts w:hint="eastAsia" w:ascii="Times New Roman" w:hAnsi="Times New Roman" w:cs="Times New Roman"/>
                      <w:b w:val="0"/>
                      <w:bCs/>
                      <w:color w:val="auto"/>
                      <w:sz w:val="18"/>
                      <w:szCs w:val="18"/>
                      <w:u w:val="none"/>
                      <w:lang w:val="en-US" w:eastAsia="zh-CN"/>
                    </w:rPr>
                    <w:t>南通市海门经济技术开发区滨江街道福州路179号</w:t>
                  </w:r>
                  <w:r>
                    <w:rPr>
                      <w:rFonts w:hint="default" w:ascii="Times New Roman" w:hAnsi="Times New Roman" w:cs="Times New Roman"/>
                      <w:b w:val="0"/>
                      <w:bCs/>
                      <w:color w:val="auto"/>
                      <w:sz w:val="18"/>
                      <w:szCs w:val="18"/>
                    </w:rPr>
                    <w:t>，不在国家确定的生态保护红线和永久基本农田范围内。</w:t>
                  </w:r>
                </w:p>
              </w:tc>
              <w:tc>
                <w:tcPr>
                  <w:tcW w:w="1058" w:type="dxa"/>
                  <w:tcBorders>
                    <w:tl2br w:val="nil"/>
                    <w:tr2bl w:val="nil"/>
                  </w:tcBorders>
                  <w:vAlign w:val="center"/>
                </w:tcPr>
                <w:p w14:paraId="214ABAAE">
                  <w:pPr>
                    <w:pStyle w:val="46"/>
                    <w:ind w:right="0"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相符</w:t>
                  </w:r>
                </w:p>
              </w:tc>
            </w:tr>
            <w:tr w14:paraId="1DA5588E">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91" w:type="dxa"/>
                  <w:tcBorders>
                    <w:tl2br w:val="nil"/>
                    <w:tr2bl w:val="nil"/>
                  </w:tcBorders>
                  <w:vAlign w:val="center"/>
                </w:tcPr>
                <w:p w14:paraId="79429F96">
                  <w:pPr>
                    <w:pStyle w:val="46"/>
                    <w:tabs>
                      <w:tab w:val="left" w:pos="823"/>
                    </w:tabs>
                    <w:spacing w:line="248" w:lineRule="exact"/>
                    <w:jc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cs="Times New Roman"/>
                      <w:b w:val="0"/>
                      <w:bCs/>
                      <w:color w:val="auto"/>
                      <w:sz w:val="18"/>
                      <w:szCs w:val="18"/>
                      <w:vertAlign w:val="baseline"/>
                      <w:lang w:val="en-US" w:eastAsia="zh-CN"/>
                    </w:rPr>
                    <w:t>7</w:t>
                  </w:r>
                </w:p>
              </w:tc>
              <w:tc>
                <w:tcPr>
                  <w:tcW w:w="3518" w:type="dxa"/>
                  <w:tcBorders>
                    <w:tl2br w:val="nil"/>
                    <w:tr2bl w:val="nil"/>
                  </w:tcBorders>
                  <w:vAlign w:val="center"/>
                </w:tcPr>
                <w:p w14:paraId="77C03419">
                  <w:pPr>
                    <w:pStyle w:val="46"/>
                    <w:spacing w:line="242" w:lineRule="auto"/>
                    <w:ind w:right="-15"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禁止在距离长江干流和京杭大运河（南水北调东线江苏段）、新沟河、新孟河、走马塘、望</w:t>
                  </w:r>
                  <w:r>
                    <w:rPr>
                      <w:rFonts w:hint="default" w:ascii="Times New Roman" w:hAnsi="Times New Roman" w:cs="Times New Roman"/>
                      <w:b w:val="0"/>
                      <w:bCs/>
                      <w:color w:val="auto"/>
                      <w:spacing w:val="-4"/>
                      <w:sz w:val="18"/>
                      <w:szCs w:val="18"/>
                    </w:rPr>
                    <w:t>虞河、秦淮新河、城南河、德胜河、三茅大港夹江（扬州）、润扬河、潘家河、蟛蜞港、泰州引江河</w:t>
                  </w:r>
                  <w:r>
                    <w:rPr>
                      <w:rFonts w:hint="default" w:ascii="Times New Roman" w:hAnsi="Times New Roman" w:eastAsia="Times New Roman" w:cs="Times New Roman"/>
                      <w:b w:val="0"/>
                      <w:bCs/>
                      <w:color w:val="auto"/>
                      <w:spacing w:val="-4"/>
                      <w:sz w:val="18"/>
                      <w:szCs w:val="18"/>
                    </w:rPr>
                    <w:t xml:space="preserve">1 </w:t>
                  </w:r>
                  <w:r>
                    <w:rPr>
                      <w:rFonts w:hint="default" w:ascii="Times New Roman" w:hAnsi="Times New Roman" w:cs="Times New Roman"/>
                      <w:b w:val="0"/>
                      <w:bCs/>
                      <w:color w:val="auto"/>
                      <w:spacing w:val="-4"/>
                      <w:sz w:val="18"/>
                      <w:szCs w:val="18"/>
                    </w:rPr>
                    <w:t>公里范围内新建、扩建化工园区和</w:t>
                  </w:r>
                  <w:r>
                    <w:rPr>
                      <w:rFonts w:hint="default" w:ascii="Times New Roman" w:hAnsi="Times New Roman" w:cs="Times New Roman"/>
                      <w:b w:val="0"/>
                      <w:bCs/>
                      <w:color w:val="auto"/>
                      <w:spacing w:val="-9"/>
                      <w:sz w:val="18"/>
                      <w:szCs w:val="18"/>
                    </w:rPr>
                    <w:t>化工项目。长江干支流</w:t>
                  </w:r>
                  <w:r>
                    <w:rPr>
                      <w:rFonts w:hint="default" w:ascii="Times New Roman" w:hAnsi="Times New Roman" w:eastAsia="Times New Roman" w:cs="Times New Roman"/>
                      <w:b w:val="0"/>
                      <w:bCs/>
                      <w:color w:val="auto"/>
                      <w:sz w:val="18"/>
                      <w:szCs w:val="18"/>
                    </w:rPr>
                    <w:t xml:space="preserve">1 </w:t>
                  </w:r>
                  <w:r>
                    <w:rPr>
                      <w:rFonts w:hint="default" w:ascii="Times New Roman" w:hAnsi="Times New Roman" w:cs="Times New Roman"/>
                      <w:b w:val="0"/>
                      <w:bCs/>
                      <w:color w:val="auto"/>
                      <w:spacing w:val="-2"/>
                      <w:sz w:val="18"/>
                      <w:szCs w:val="18"/>
                    </w:rPr>
                    <w:t>公里按照长江干支流岸</w:t>
                  </w:r>
                  <w:r>
                    <w:rPr>
                      <w:rFonts w:hint="default" w:ascii="Times New Roman" w:hAnsi="Times New Roman" w:cs="Times New Roman"/>
                      <w:b w:val="0"/>
                      <w:bCs/>
                      <w:color w:val="auto"/>
                      <w:sz w:val="18"/>
                      <w:szCs w:val="18"/>
                    </w:rPr>
                    <w:t>线边界（即水利部门河道管理范围边界）向陆域纵深</w:t>
                  </w:r>
                  <w:r>
                    <w:rPr>
                      <w:rFonts w:hint="default" w:ascii="Times New Roman" w:hAnsi="Times New Roman" w:eastAsia="Times New Roman" w:cs="Times New Roman"/>
                      <w:b w:val="0"/>
                      <w:bCs/>
                      <w:color w:val="auto"/>
                      <w:sz w:val="18"/>
                      <w:szCs w:val="18"/>
                    </w:rPr>
                    <w:t xml:space="preserve">1 </w:t>
                  </w:r>
                  <w:r>
                    <w:rPr>
                      <w:rFonts w:hint="default" w:ascii="Times New Roman" w:hAnsi="Times New Roman" w:cs="Times New Roman"/>
                      <w:b w:val="0"/>
                      <w:bCs/>
                      <w:color w:val="auto"/>
                      <w:spacing w:val="-9"/>
                      <w:sz w:val="18"/>
                      <w:szCs w:val="18"/>
                    </w:rPr>
                    <w:t>公里执行。严格落实国家和省关于水源</w:t>
                  </w:r>
                  <w:r>
                    <w:rPr>
                      <w:rFonts w:hint="default" w:ascii="Times New Roman" w:hAnsi="Times New Roman" w:cs="Times New Roman"/>
                      <w:b w:val="0"/>
                      <w:bCs/>
                      <w:color w:val="auto"/>
                      <w:sz w:val="18"/>
                      <w:szCs w:val="18"/>
                    </w:rPr>
                    <w:t>地保护、岸线利用项目清理整治、沿江重化产能转型升级等相关政策文件要求，对长江干支流两岸排污行为实行严格监管，对违法违规工业园区和企业依法淘汰取缔。</w:t>
                  </w:r>
                </w:p>
              </w:tc>
              <w:tc>
                <w:tcPr>
                  <w:tcW w:w="3053" w:type="dxa"/>
                  <w:tcBorders>
                    <w:tl2br w:val="nil"/>
                    <w:tr2bl w:val="nil"/>
                  </w:tcBorders>
                  <w:vAlign w:val="center"/>
                </w:tcPr>
                <w:p w14:paraId="5663019D">
                  <w:pPr>
                    <w:pStyle w:val="46"/>
                    <w:spacing w:before="1"/>
                    <w:ind w:left="199" w:leftChars="0" w:right="0"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本项目不属于化工项目。</w:t>
                  </w:r>
                </w:p>
              </w:tc>
              <w:tc>
                <w:tcPr>
                  <w:tcW w:w="1058" w:type="dxa"/>
                  <w:tcBorders>
                    <w:tl2br w:val="nil"/>
                    <w:tr2bl w:val="nil"/>
                  </w:tcBorders>
                  <w:vAlign w:val="center"/>
                </w:tcPr>
                <w:p w14:paraId="649E2EC3">
                  <w:pPr>
                    <w:pStyle w:val="46"/>
                    <w:ind w:right="0"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相符</w:t>
                  </w:r>
                </w:p>
              </w:tc>
            </w:tr>
            <w:tr w14:paraId="2ABB391B">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91" w:type="dxa"/>
                  <w:tcBorders>
                    <w:tl2br w:val="nil"/>
                    <w:tr2bl w:val="nil"/>
                  </w:tcBorders>
                  <w:vAlign w:val="center"/>
                </w:tcPr>
                <w:p w14:paraId="02180754">
                  <w:pPr>
                    <w:pStyle w:val="46"/>
                    <w:tabs>
                      <w:tab w:val="left" w:pos="823"/>
                    </w:tabs>
                    <w:spacing w:line="248" w:lineRule="exact"/>
                    <w:jc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cs="Times New Roman"/>
                      <w:b w:val="0"/>
                      <w:bCs/>
                      <w:color w:val="auto"/>
                      <w:sz w:val="18"/>
                      <w:szCs w:val="18"/>
                      <w:vertAlign w:val="baseline"/>
                      <w:lang w:val="en-US" w:eastAsia="zh-CN"/>
                    </w:rPr>
                    <w:t>8</w:t>
                  </w:r>
                </w:p>
              </w:tc>
              <w:tc>
                <w:tcPr>
                  <w:tcW w:w="3518" w:type="dxa"/>
                  <w:tcBorders>
                    <w:tl2br w:val="nil"/>
                    <w:tr2bl w:val="nil"/>
                  </w:tcBorders>
                  <w:vAlign w:val="center"/>
                </w:tcPr>
                <w:p w14:paraId="5022A43D">
                  <w:pPr>
                    <w:pStyle w:val="46"/>
                    <w:spacing w:line="226" w:lineRule="exact"/>
                    <w:ind w:right="-15"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禁止在距离长江干流岸线</w:t>
                  </w:r>
                  <w:r>
                    <w:rPr>
                      <w:rFonts w:hint="default" w:ascii="Times New Roman" w:hAnsi="Times New Roman" w:eastAsia="Times New Roman" w:cs="Times New Roman"/>
                      <w:b w:val="0"/>
                      <w:bCs/>
                      <w:color w:val="auto"/>
                      <w:sz w:val="18"/>
                      <w:szCs w:val="18"/>
                    </w:rPr>
                    <w:t>3</w:t>
                  </w:r>
                  <w:r>
                    <w:rPr>
                      <w:rFonts w:hint="default" w:ascii="Times New Roman" w:hAnsi="Times New Roman" w:eastAsia="Times New Roman" w:cs="Times New Roman"/>
                      <w:b w:val="0"/>
                      <w:bCs/>
                      <w:color w:val="auto"/>
                      <w:spacing w:val="-1"/>
                      <w:sz w:val="18"/>
                      <w:szCs w:val="18"/>
                    </w:rPr>
                    <w:t xml:space="preserve"> </w:t>
                  </w:r>
                  <w:r>
                    <w:rPr>
                      <w:rFonts w:hint="default" w:ascii="Times New Roman" w:hAnsi="Times New Roman" w:cs="Times New Roman"/>
                      <w:b w:val="0"/>
                      <w:bCs/>
                      <w:color w:val="auto"/>
                      <w:spacing w:val="-9"/>
                      <w:sz w:val="18"/>
                      <w:szCs w:val="18"/>
                    </w:rPr>
                    <w:t>公里范围内新建、改</w:t>
                  </w:r>
                  <w:r>
                    <w:rPr>
                      <w:rFonts w:hint="default" w:ascii="Times New Roman" w:hAnsi="Times New Roman" w:cs="Times New Roman"/>
                      <w:b w:val="0"/>
                      <w:bCs/>
                      <w:color w:val="auto"/>
                      <w:sz w:val="18"/>
                      <w:szCs w:val="18"/>
                    </w:rPr>
                    <w:t>建、扩建尾矿库。</w:t>
                  </w:r>
                </w:p>
              </w:tc>
              <w:tc>
                <w:tcPr>
                  <w:tcW w:w="3053" w:type="dxa"/>
                  <w:tcBorders>
                    <w:tl2br w:val="nil"/>
                    <w:tr2bl w:val="nil"/>
                  </w:tcBorders>
                  <w:vAlign w:val="center"/>
                </w:tcPr>
                <w:p w14:paraId="1A88FBB3">
                  <w:pPr>
                    <w:pStyle w:val="46"/>
                    <w:spacing w:before="113"/>
                    <w:ind w:left="19" w:leftChars="0" w:right="0"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本项目不属于尾矿库项目。</w:t>
                  </w:r>
                </w:p>
              </w:tc>
              <w:tc>
                <w:tcPr>
                  <w:tcW w:w="1058" w:type="dxa"/>
                  <w:tcBorders>
                    <w:tl2br w:val="nil"/>
                    <w:tr2bl w:val="nil"/>
                  </w:tcBorders>
                  <w:vAlign w:val="center"/>
                </w:tcPr>
                <w:p w14:paraId="7C95302F">
                  <w:pPr>
                    <w:pStyle w:val="46"/>
                    <w:spacing w:before="113"/>
                    <w:ind w:left="134" w:leftChars="0" w:right="0"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相符</w:t>
                  </w:r>
                </w:p>
              </w:tc>
            </w:tr>
            <w:tr w14:paraId="4A96FA4B">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91" w:type="dxa"/>
                  <w:tcBorders>
                    <w:tl2br w:val="nil"/>
                    <w:tr2bl w:val="nil"/>
                  </w:tcBorders>
                  <w:vAlign w:val="center"/>
                </w:tcPr>
                <w:p w14:paraId="5B9535CF">
                  <w:pPr>
                    <w:pStyle w:val="46"/>
                    <w:tabs>
                      <w:tab w:val="left" w:pos="823"/>
                    </w:tabs>
                    <w:spacing w:line="248" w:lineRule="exact"/>
                    <w:jc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cs="Times New Roman"/>
                      <w:b w:val="0"/>
                      <w:bCs/>
                      <w:color w:val="auto"/>
                      <w:sz w:val="18"/>
                      <w:szCs w:val="18"/>
                      <w:vertAlign w:val="baseline"/>
                      <w:lang w:val="en-US" w:eastAsia="zh-CN"/>
                    </w:rPr>
                    <w:t>9</w:t>
                  </w:r>
                </w:p>
              </w:tc>
              <w:tc>
                <w:tcPr>
                  <w:tcW w:w="3518" w:type="dxa"/>
                  <w:tcBorders>
                    <w:tl2br w:val="nil"/>
                    <w:tr2bl w:val="nil"/>
                  </w:tcBorders>
                  <w:vAlign w:val="center"/>
                </w:tcPr>
                <w:p w14:paraId="1C9BDAC7">
                  <w:pPr>
                    <w:pStyle w:val="46"/>
                    <w:spacing w:line="227" w:lineRule="exact"/>
                    <w:ind w:right="8"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禁止在沿江地区新建、扩建未纳入国家和省布局规划的燃煤发电项目。</w:t>
                  </w:r>
                </w:p>
              </w:tc>
              <w:tc>
                <w:tcPr>
                  <w:tcW w:w="3053" w:type="dxa"/>
                  <w:tcBorders>
                    <w:tl2br w:val="nil"/>
                    <w:tr2bl w:val="nil"/>
                  </w:tcBorders>
                  <w:vAlign w:val="center"/>
                </w:tcPr>
                <w:p w14:paraId="3B11A376">
                  <w:pPr>
                    <w:pStyle w:val="46"/>
                    <w:spacing w:before="111"/>
                    <w:ind w:left="17" w:leftChars="0" w:right="0"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本项目不属于燃煤发电项目。</w:t>
                  </w:r>
                </w:p>
              </w:tc>
              <w:tc>
                <w:tcPr>
                  <w:tcW w:w="1058" w:type="dxa"/>
                  <w:tcBorders>
                    <w:tl2br w:val="nil"/>
                    <w:tr2bl w:val="nil"/>
                  </w:tcBorders>
                  <w:vAlign w:val="center"/>
                </w:tcPr>
                <w:p w14:paraId="384BF98E">
                  <w:pPr>
                    <w:pStyle w:val="46"/>
                    <w:spacing w:before="111"/>
                    <w:ind w:left="134" w:leftChars="0" w:right="0"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相符</w:t>
                  </w:r>
                </w:p>
              </w:tc>
            </w:tr>
            <w:tr w14:paraId="55278395">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91" w:type="dxa"/>
                  <w:tcBorders>
                    <w:tl2br w:val="nil"/>
                    <w:tr2bl w:val="nil"/>
                  </w:tcBorders>
                  <w:vAlign w:val="center"/>
                </w:tcPr>
                <w:p w14:paraId="3A2601E9">
                  <w:pPr>
                    <w:pStyle w:val="46"/>
                    <w:tabs>
                      <w:tab w:val="left" w:pos="823"/>
                    </w:tabs>
                    <w:spacing w:line="248" w:lineRule="exact"/>
                    <w:jc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cs="Times New Roman"/>
                      <w:b w:val="0"/>
                      <w:bCs/>
                      <w:color w:val="auto"/>
                      <w:sz w:val="18"/>
                      <w:szCs w:val="18"/>
                      <w:vertAlign w:val="baseline"/>
                      <w:lang w:val="en-US" w:eastAsia="zh-CN"/>
                    </w:rPr>
                    <w:t>10</w:t>
                  </w:r>
                </w:p>
              </w:tc>
              <w:tc>
                <w:tcPr>
                  <w:tcW w:w="3518" w:type="dxa"/>
                  <w:tcBorders>
                    <w:tl2br w:val="nil"/>
                    <w:tr2bl w:val="nil"/>
                  </w:tcBorders>
                  <w:vAlign w:val="center"/>
                </w:tcPr>
                <w:p w14:paraId="6AD8F0A8">
                  <w:pPr>
                    <w:pStyle w:val="46"/>
                    <w:spacing w:line="242" w:lineRule="auto"/>
                    <w:ind w:right="27"/>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禁止在合规园区外新建、扩建钢铁、石化、化工、焦化、建材、有色等高污染项目。合规园区名录按照《江苏省长江经济带发展负面清单实施细则（试行）合规园区名录》执行。高污染项目应严格按照《环境保护综合名录》等有关要求执行。</w:t>
                  </w:r>
                </w:p>
              </w:tc>
              <w:tc>
                <w:tcPr>
                  <w:tcW w:w="3053" w:type="dxa"/>
                  <w:tcBorders>
                    <w:tl2br w:val="nil"/>
                    <w:tr2bl w:val="nil"/>
                  </w:tcBorders>
                  <w:vAlign w:val="center"/>
                </w:tcPr>
                <w:p w14:paraId="5B46B1E2">
                  <w:pPr>
                    <w:pStyle w:val="46"/>
                    <w:spacing w:line="242" w:lineRule="auto"/>
                    <w:ind w:right="0"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本项目不属于《环境保护综合名录》中所列高污染项目。</w:t>
                  </w:r>
                </w:p>
              </w:tc>
              <w:tc>
                <w:tcPr>
                  <w:tcW w:w="1058" w:type="dxa"/>
                  <w:tcBorders>
                    <w:tl2br w:val="nil"/>
                    <w:tr2bl w:val="nil"/>
                  </w:tcBorders>
                  <w:vAlign w:val="center"/>
                </w:tcPr>
                <w:p w14:paraId="381F3188">
                  <w:pPr>
                    <w:pStyle w:val="46"/>
                    <w:spacing w:before="1"/>
                    <w:ind w:right="0"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相符</w:t>
                  </w:r>
                </w:p>
              </w:tc>
            </w:tr>
            <w:tr w14:paraId="389EC741">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91" w:type="dxa"/>
                  <w:tcBorders>
                    <w:tl2br w:val="nil"/>
                    <w:tr2bl w:val="nil"/>
                  </w:tcBorders>
                  <w:vAlign w:val="center"/>
                </w:tcPr>
                <w:p w14:paraId="68F096E2">
                  <w:pPr>
                    <w:pStyle w:val="46"/>
                    <w:tabs>
                      <w:tab w:val="left" w:pos="823"/>
                    </w:tabs>
                    <w:spacing w:line="248" w:lineRule="exact"/>
                    <w:jc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cs="Times New Roman"/>
                      <w:b w:val="0"/>
                      <w:bCs/>
                      <w:color w:val="auto"/>
                      <w:sz w:val="18"/>
                      <w:szCs w:val="18"/>
                      <w:vertAlign w:val="baseline"/>
                      <w:lang w:val="en-US" w:eastAsia="zh-CN"/>
                    </w:rPr>
                    <w:t>11</w:t>
                  </w:r>
                </w:p>
              </w:tc>
              <w:tc>
                <w:tcPr>
                  <w:tcW w:w="3518" w:type="dxa"/>
                  <w:tcBorders>
                    <w:tl2br w:val="nil"/>
                    <w:tr2bl w:val="nil"/>
                  </w:tcBorders>
                  <w:vAlign w:val="center"/>
                </w:tcPr>
                <w:p w14:paraId="2ECF1E0A">
                  <w:pPr>
                    <w:pStyle w:val="46"/>
                    <w:spacing w:line="228" w:lineRule="exact"/>
                    <w:ind w:right="8"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禁止在取消化工定位的园区（集中区）内新建化工项目。</w:t>
                  </w:r>
                </w:p>
              </w:tc>
              <w:tc>
                <w:tcPr>
                  <w:tcW w:w="3053" w:type="dxa"/>
                  <w:tcBorders>
                    <w:tl2br w:val="nil"/>
                    <w:tr2bl w:val="nil"/>
                  </w:tcBorders>
                  <w:vAlign w:val="center"/>
                </w:tcPr>
                <w:p w14:paraId="505617DD">
                  <w:pPr>
                    <w:pStyle w:val="46"/>
                    <w:spacing w:before="113"/>
                    <w:ind w:right="0"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本项目不属于化工项目。</w:t>
                  </w:r>
                </w:p>
              </w:tc>
              <w:tc>
                <w:tcPr>
                  <w:tcW w:w="1058" w:type="dxa"/>
                  <w:tcBorders>
                    <w:tl2br w:val="nil"/>
                    <w:tr2bl w:val="nil"/>
                  </w:tcBorders>
                  <w:vAlign w:val="center"/>
                </w:tcPr>
                <w:p w14:paraId="21473B7A">
                  <w:pPr>
                    <w:pStyle w:val="46"/>
                    <w:spacing w:before="113"/>
                    <w:ind w:right="0"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相符</w:t>
                  </w:r>
                </w:p>
              </w:tc>
            </w:tr>
            <w:tr w14:paraId="53931730">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91" w:type="dxa"/>
                  <w:tcBorders>
                    <w:tl2br w:val="nil"/>
                    <w:tr2bl w:val="nil"/>
                  </w:tcBorders>
                  <w:vAlign w:val="center"/>
                </w:tcPr>
                <w:p w14:paraId="33C85059">
                  <w:pPr>
                    <w:pStyle w:val="46"/>
                    <w:tabs>
                      <w:tab w:val="left" w:pos="823"/>
                    </w:tabs>
                    <w:spacing w:line="248" w:lineRule="exact"/>
                    <w:jc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cs="Times New Roman"/>
                      <w:b w:val="0"/>
                      <w:bCs/>
                      <w:color w:val="auto"/>
                      <w:sz w:val="18"/>
                      <w:szCs w:val="18"/>
                      <w:vertAlign w:val="baseline"/>
                      <w:lang w:val="en-US" w:eastAsia="zh-CN"/>
                    </w:rPr>
                    <w:t>12</w:t>
                  </w:r>
                </w:p>
              </w:tc>
              <w:tc>
                <w:tcPr>
                  <w:tcW w:w="3518" w:type="dxa"/>
                  <w:tcBorders>
                    <w:tl2br w:val="nil"/>
                    <w:tr2bl w:val="nil"/>
                  </w:tcBorders>
                  <w:vAlign w:val="center"/>
                </w:tcPr>
                <w:p w14:paraId="4586DF10">
                  <w:pPr>
                    <w:pStyle w:val="46"/>
                    <w:spacing w:line="228" w:lineRule="exact"/>
                    <w:ind w:right="8"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禁止在化工集中区内新建、改建、扩建生产和使用《危险化学品目录》中具有爆炸特性化学品的项目。</w:t>
                  </w:r>
                </w:p>
              </w:tc>
              <w:tc>
                <w:tcPr>
                  <w:tcW w:w="3053" w:type="dxa"/>
                  <w:tcBorders>
                    <w:tl2br w:val="nil"/>
                    <w:tr2bl w:val="nil"/>
                  </w:tcBorders>
                  <w:vAlign w:val="center"/>
                </w:tcPr>
                <w:p w14:paraId="7536D3F2">
                  <w:pPr>
                    <w:pStyle w:val="46"/>
                    <w:spacing w:line="227" w:lineRule="exact"/>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本项目不生产和使用《危险化学品目录》中具有爆炸特性的化学品。</w:t>
                  </w:r>
                </w:p>
              </w:tc>
              <w:tc>
                <w:tcPr>
                  <w:tcW w:w="1058" w:type="dxa"/>
                  <w:tcBorders>
                    <w:tl2br w:val="nil"/>
                    <w:tr2bl w:val="nil"/>
                  </w:tcBorders>
                  <w:vAlign w:val="center"/>
                </w:tcPr>
                <w:p w14:paraId="33079692">
                  <w:pPr>
                    <w:pStyle w:val="46"/>
                    <w:ind w:right="0"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相符</w:t>
                  </w:r>
                </w:p>
              </w:tc>
            </w:tr>
            <w:tr w14:paraId="6C5B14E2">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91" w:type="dxa"/>
                  <w:tcBorders>
                    <w:tl2br w:val="nil"/>
                    <w:tr2bl w:val="nil"/>
                  </w:tcBorders>
                  <w:vAlign w:val="center"/>
                </w:tcPr>
                <w:p w14:paraId="2CF656F3">
                  <w:pPr>
                    <w:pStyle w:val="46"/>
                    <w:tabs>
                      <w:tab w:val="left" w:pos="823"/>
                    </w:tabs>
                    <w:spacing w:line="248" w:lineRule="exact"/>
                    <w:jc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cs="Times New Roman"/>
                      <w:b w:val="0"/>
                      <w:bCs/>
                      <w:color w:val="auto"/>
                      <w:sz w:val="18"/>
                      <w:szCs w:val="18"/>
                      <w:vertAlign w:val="baseline"/>
                      <w:lang w:val="en-US" w:eastAsia="zh-CN"/>
                    </w:rPr>
                    <w:t>13</w:t>
                  </w:r>
                </w:p>
              </w:tc>
              <w:tc>
                <w:tcPr>
                  <w:tcW w:w="3518" w:type="dxa"/>
                  <w:tcBorders>
                    <w:tl2br w:val="nil"/>
                    <w:tr2bl w:val="nil"/>
                  </w:tcBorders>
                  <w:vAlign w:val="center"/>
                </w:tcPr>
                <w:p w14:paraId="2C07C27A">
                  <w:pPr>
                    <w:pStyle w:val="46"/>
                    <w:spacing w:line="228" w:lineRule="exact"/>
                    <w:ind w:right="8"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禁止在化工企业周边建设不符合安全距离规定的劳动密集型的非化工项目和其他人员密集的公共设施项目。</w:t>
                  </w:r>
                </w:p>
              </w:tc>
              <w:tc>
                <w:tcPr>
                  <w:tcW w:w="3053" w:type="dxa"/>
                  <w:tcBorders>
                    <w:tl2br w:val="nil"/>
                    <w:tr2bl w:val="nil"/>
                  </w:tcBorders>
                  <w:vAlign w:val="center"/>
                </w:tcPr>
                <w:p w14:paraId="1F9AB01B">
                  <w:pPr>
                    <w:pStyle w:val="46"/>
                    <w:ind w:right="0"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本项目周边无化工企业。</w:t>
                  </w:r>
                </w:p>
              </w:tc>
              <w:tc>
                <w:tcPr>
                  <w:tcW w:w="1058" w:type="dxa"/>
                  <w:tcBorders>
                    <w:tl2br w:val="nil"/>
                    <w:tr2bl w:val="nil"/>
                  </w:tcBorders>
                  <w:vAlign w:val="center"/>
                </w:tcPr>
                <w:p w14:paraId="45EF1E73">
                  <w:pPr>
                    <w:pStyle w:val="46"/>
                    <w:ind w:right="0"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相符</w:t>
                  </w:r>
                </w:p>
              </w:tc>
            </w:tr>
            <w:tr w14:paraId="7388EB29">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91" w:type="dxa"/>
                  <w:tcBorders>
                    <w:tl2br w:val="nil"/>
                    <w:tr2bl w:val="nil"/>
                  </w:tcBorders>
                  <w:vAlign w:val="center"/>
                </w:tcPr>
                <w:p w14:paraId="2DA78D82">
                  <w:pPr>
                    <w:pStyle w:val="46"/>
                    <w:tabs>
                      <w:tab w:val="left" w:pos="823"/>
                    </w:tabs>
                    <w:spacing w:line="248" w:lineRule="exact"/>
                    <w:jc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cs="Times New Roman"/>
                      <w:b w:val="0"/>
                      <w:bCs/>
                      <w:color w:val="auto"/>
                      <w:sz w:val="18"/>
                      <w:szCs w:val="18"/>
                      <w:vertAlign w:val="baseline"/>
                      <w:lang w:val="en-US" w:eastAsia="zh-CN"/>
                    </w:rPr>
                    <w:t>14</w:t>
                  </w:r>
                </w:p>
              </w:tc>
              <w:tc>
                <w:tcPr>
                  <w:tcW w:w="3518" w:type="dxa"/>
                  <w:tcBorders>
                    <w:tl2br w:val="nil"/>
                    <w:tr2bl w:val="nil"/>
                  </w:tcBorders>
                  <w:vAlign w:val="center"/>
                </w:tcPr>
                <w:p w14:paraId="476736FA">
                  <w:pPr>
                    <w:ind w:right="0" w:rightChars="0"/>
                    <w:jc w:val="center"/>
                    <w:rPr>
                      <w:rFonts w:hint="default" w:ascii="Times New Roman" w:hAnsi="Times New Roman" w:eastAsia="宋体" w:cs="Times New Roman"/>
                      <w:b w:val="0"/>
                      <w:bCs/>
                      <w:color w:val="auto"/>
                      <w:sz w:val="18"/>
                      <w:szCs w:val="18"/>
                      <w:lang w:val="en-US" w:eastAsia="zh-CN" w:bidi="zh-CN"/>
                    </w:rPr>
                  </w:pPr>
                  <w:r>
                    <w:rPr>
                      <w:rFonts w:hint="default" w:ascii="Times New Roman" w:hAnsi="Times New Roman" w:eastAsia="宋体" w:cs="Times New Roman"/>
                      <w:b w:val="0"/>
                      <w:bCs/>
                      <w:color w:val="auto"/>
                      <w:sz w:val="18"/>
                      <w:szCs w:val="18"/>
                      <w:lang w:val="zh-CN" w:eastAsia="zh-CN" w:bidi="zh-CN"/>
                    </w:rPr>
                    <w:t>禁止在太湖流域一、二、三级保护区内开展《江</w:t>
                  </w:r>
                  <w:r>
                    <w:rPr>
                      <w:rFonts w:hint="default" w:ascii="Times New Roman" w:hAnsi="Times New Roman" w:cs="Times New Roman"/>
                      <w:b w:val="0"/>
                      <w:bCs/>
                      <w:color w:val="auto"/>
                      <w:sz w:val="18"/>
                      <w:szCs w:val="18"/>
                      <w:lang w:val="en-US" w:eastAsia="zh-CN" w:bidi="zh-CN"/>
                    </w:rPr>
                    <w:t>苏</w:t>
                  </w:r>
                  <w:r>
                    <w:rPr>
                      <w:rFonts w:hint="default" w:ascii="Times New Roman" w:hAnsi="Times New Roman" w:eastAsia="宋体" w:cs="Times New Roman"/>
                      <w:b w:val="0"/>
                      <w:bCs/>
                      <w:color w:val="auto"/>
                      <w:sz w:val="18"/>
                      <w:szCs w:val="18"/>
                      <w:lang w:val="zh-CN" w:eastAsia="zh-CN" w:bidi="zh-CN"/>
                    </w:rPr>
                    <w:t>省太湖水污染防治条例》禁止的投资</w:t>
                  </w:r>
                  <w:r>
                    <w:rPr>
                      <w:rFonts w:hint="default" w:ascii="Times New Roman" w:hAnsi="Times New Roman" w:cs="Times New Roman"/>
                      <w:b w:val="0"/>
                      <w:bCs/>
                      <w:color w:val="auto"/>
                      <w:sz w:val="18"/>
                      <w:szCs w:val="18"/>
                      <w:lang w:val="en-US" w:eastAsia="zh-CN" w:bidi="zh-CN"/>
                    </w:rPr>
                    <w:t>建设活动。</w:t>
                  </w:r>
                </w:p>
              </w:tc>
              <w:tc>
                <w:tcPr>
                  <w:tcW w:w="3053" w:type="dxa"/>
                  <w:tcBorders>
                    <w:tl2br w:val="nil"/>
                    <w:tr2bl w:val="nil"/>
                  </w:tcBorders>
                  <w:vAlign w:val="center"/>
                </w:tcPr>
                <w:p w14:paraId="19151F61">
                  <w:pPr>
                    <w:pStyle w:val="46"/>
                    <w:ind w:left="17" w:leftChars="0" w:right="0" w:rightChars="0"/>
                    <w:jc w:val="center"/>
                    <w:rPr>
                      <w:rFonts w:hint="default" w:ascii="Times New Roman" w:hAnsi="Times New Roman" w:eastAsia="宋体" w:cs="Times New Roman"/>
                      <w:b w:val="0"/>
                      <w:bCs/>
                      <w:color w:val="auto"/>
                      <w:sz w:val="18"/>
                      <w:szCs w:val="18"/>
                      <w:lang w:val="en-US" w:eastAsia="zh-CN" w:bidi="zh-CN"/>
                    </w:rPr>
                  </w:pPr>
                  <w:r>
                    <w:rPr>
                      <w:rFonts w:hint="default" w:ascii="Times New Roman" w:hAnsi="Times New Roman" w:cs="Times New Roman"/>
                      <w:b w:val="0"/>
                      <w:bCs/>
                      <w:color w:val="auto"/>
                      <w:sz w:val="18"/>
                      <w:szCs w:val="18"/>
                      <w:lang w:val="en-US" w:eastAsia="zh-CN"/>
                    </w:rPr>
                    <w:t>本项目位于</w:t>
                  </w:r>
                  <w:r>
                    <w:rPr>
                      <w:rFonts w:hint="eastAsia" w:ascii="Times New Roman" w:hAnsi="Times New Roman" w:cs="Times New Roman"/>
                      <w:b w:val="0"/>
                      <w:bCs/>
                      <w:color w:val="auto"/>
                      <w:sz w:val="18"/>
                      <w:szCs w:val="18"/>
                      <w:lang w:val="en-US" w:eastAsia="zh-CN"/>
                    </w:rPr>
                    <w:t>南通市海门经济技术开发区滨江街道福州路179号</w:t>
                  </w:r>
                  <w:r>
                    <w:rPr>
                      <w:rFonts w:hint="default" w:ascii="Times New Roman" w:hAnsi="Times New Roman" w:cs="Times New Roman"/>
                      <w:b w:val="0"/>
                      <w:bCs/>
                      <w:color w:val="auto"/>
                      <w:sz w:val="18"/>
                      <w:szCs w:val="18"/>
                      <w:lang w:eastAsia="zh-CN"/>
                    </w:rPr>
                    <w:t>，</w:t>
                  </w:r>
                  <w:r>
                    <w:rPr>
                      <w:rFonts w:hint="eastAsia" w:ascii="Times New Roman" w:hAnsi="Times New Roman" w:cs="Times New Roman"/>
                      <w:b w:val="0"/>
                      <w:bCs/>
                      <w:color w:val="auto"/>
                      <w:sz w:val="18"/>
                      <w:szCs w:val="18"/>
                      <w:lang w:val="en-US" w:eastAsia="zh-CN"/>
                    </w:rPr>
                    <w:t>属于长江流域，</w:t>
                  </w:r>
                  <w:r>
                    <w:rPr>
                      <w:rFonts w:hint="default" w:ascii="Times New Roman" w:hAnsi="Times New Roman" w:cs="Times New Roman"/>
                      <w:b w:val="0"/>
                      <w:bCs/>
                      <w:color w:val="auto"/>
                      <w:sz w:val="18"/>
                      <w:szCs w:val="18"/>
                      <w:lang w:val="en-US" w:eastAsia="zh-CN"/>
                    </w:rPr>
                    <w:t>不属于太湖流域。</w:t>
                  </w:r>
                </w:p>
              </w:tc>
              <w:tc>
                <w:tcPr>
                  <w:tcW w:w="1058" w:type="dxa"/>
                  <w:tcBorders>
                    <w:tl2br w:val="nil"/>
                    <w:tr2bl w:val="nil"/>
                  </w:tcBorders>
                  <w:vAlign w:val="center"/>
                </w:tcPr>
                <w:p w14:paraId="251020C0">
                  <w:pPr>
                    <w:pStyle w:val="46"/>
                    <w:ind w:right="0"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rPr>
                    <w:t>相符</w:t>
                  </w:r>
                </w:p>
              </w:tc>
            </w:tr>
            <w:tr w14:paraId="7001A49F">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91" w:type="dxa"/>
                  <w:tcBorders>
                    <w:tl2br w:val="nil"/>
                    <w:tr2bl w:val="nil"/>
                  </w:tcBorders>
                  <w:vAlign w:val="center"/>
                </w:tcPr>
                <w:p w14:paraId="497A5C18">
                  <w:pPr>
                    <w:pStyle w:val="46"/>
                    <w:tabs>
                      <w:tab w:val="left" w:pos="823"/>
                    </w:tabs>
                    <w:spacing w:line="248" w:lineRule="exact"/>
                    <w:jc w:val="center"/>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cs="Times New Roman"/>
                      <w:b w:val="0"/>
                      <w:bCs/>
                      <w:color w:val="auto"/>
                      <w:sz w:val="18"/>
                      <w:szCs w:val="18"/>
                      <w:vertAlign w:val="baseline"/>
                      <w:lang w:val="en-US" w:eastAsia="zh-CN"/>
                    </w:rPr>
                    <w:t>15</w:t>
                  </w:r>
                </w:p>
              </w:tc>
              <w:tc>
                <w:tcPr>
                  <w:tcW w:w="3518" w:type="dxa"/>
                  <w:tcBorders>
                    <w:tl2br w:val="nil"/>
                    <w:tr2bl w:val="nil"/>
                  </w:tcBorders>
                  <w:vAlign w:val="center"/>
                </w:tcPr>
                <w:p w14:paraId="3F552F96">
                  <w:pPr>
                    <w:ind w:right="0"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eastAsia="宋体" w:cs="Times New Roman"/>
                      <w:b w:val="0"/>
                      <w:bCs/>
                      <w:color w:val="auto"/>
                      <w:sz w:val="18"/>
                      <w:szCs w:val="18"/>
                      <w:lang w:val="zh-CN" w:eastAsia="zh-CN" w:bidi="zh-CN"/>
                    </w:rPr>
                    <w:t>禁止新建、扩建尿素、磷铵、电石、烧碱、聚 石、烧碱、聚氯乙烯、纯碱新增产能项目</w:t>
                  </w:r>
                  <w:r>
                    <w:rPr>
                      <w:rFonts w:hint="default" w:ascii="Times New Roman" w:hAnsi="Times New Roman" w:cs="Times New Roman"/>
                      <w:b w:val="0"/>
                      <w:bCs/>
                      <w:color w:val="auto"/>
                      <w:sz w:val="18"/>
                      <w:szCs w:val="18"/>
                      <w:lang w:val="zh-CN" w:eastAsia="zh-CN" w:bidi="zh-CN"/>
                    </w:rPr>
                    <w:t>。</w:t>
                  </w:r>
                </w:p>
              </w:tc>
              <w:tc>
                <w:tcPr>
                  <w:tcW w:w="3053" w:type="dxa"/>
                  <w:tcBorders>
                    <w:tl2br w:val="nil"/>
                    <w:tr2bl w:val="nil"/>
                  </w:tcBorders>
                  <w:vAlign w:val="center"/>
                </w:tcPr>
                <w:p w14:paraId="1146D269">
                  <w:pPr>
                    <w:pStyle w:val="46"/>
                    <w:ind w:left="17" w:leftChars="0" w:right="0" w:rightChars="0"/>
                    <w:jc w:val="center"/>
                    <w:rPr>
                      <w:rFonts w:hint="default" w:ascii="Times New Roman" w:hAnsi="Times New Roman" w:eastAsia="宋体" w:cs="Times New Roman"/>
                      <w:b w:val="0"/>
                      <w:bCs/>
                      <w:color w:val="auto"/>
                      <w:sz w:val="18"/>
                      <w:szCs w:val="18"/>
                      <w:lang w:val="en-US" w:eastAsia="zh-CN" w:bidi="zh-CN"/>
                    </w:rPr>
                  </w:pPr>
                  <w:r>
                    <w:rPr>
                      <w:rFonts w:hint="default" w:ascii="Times New Roman" w:hAnsi="Times New Roman" w:cs="Times New Roman"/>
                      <w:b w:val="0"/>
                      <w:bCs/>
                      <w:color w:val="auto"/>
                      <w:sz w:val="18"/>
                      <w:szCs w:val="18"/>
                      <w:lang w:val="en-US" w:eastAsia="zh-CN"/>
                    </w:rPr>
                    <w:t>本项目不属于</w:t>
                  </w:r>
                  <w:r>
                    <w:rPr>
                      <w:rFonts w:hint="default" w:ascii="Times New Roman" w:hAnsi="Times New Roman" w:eastAsia="宋体" w:cs="Times New Roman"/>
                      <w:b w:val="0"/>
                      <w:bCs/>
                      <w:color w:val="auto"/>
                      <w:sz w:val="18"/>
                      <w:szCs w:val="18"/>
                      <w:lang w:val="zh-CN" w:eastAsia="zh-CN" w:bidi="zh-CN"/>
                    </w:rPr>
                    <w:t>尿素、磷铵、电石、烧碱、聚 石、烧碱、聚氯乙烯、纯碱项目</w:t>
                  </w:r>
                  <w:r>
                    <w:rPr>
                      <w:rFonts w:hint="default" w:ascii="Times New Roman" w:hAnsi="Times New Roman" w:cs="Times New Roman"/>
                      <w:b w:val="0"/>
                      <w:bCs/>
                      <w:color w:val="auto"/>
                      <w:sz w:val="18"/>
                      <w:szCs w:val="18"/>
                      <w:lang w:val="zh-CN" w:eastAsia="zh-CN" w:bidi="zh-CN"/>
                    </w:rPr>
                    <w:t>。</w:t>
                  </w:r>
                </w:p>
              </w:tc>
              <w:tc>
                <w:tcPr>
                  <w:tcW w:w="1058" w:type="dxa"/>
                  <w:tcBorders>
                    <w:tl2br w:val="nil"/>
                    <w:tr2bl w:val="nil"/>
                  </w:tcBorders>
                  <w:vAlign w:val="center"/>
                </w:tcPr>
                <w:p w14:paraId="1F41EC66">
                  <w:pPr>
                    <w:pStyle w:val="46"/>
                    <w:ind w:right="0" w:rightChars="0"/>
                    <w:jc w:val="center"/>
                    <w:rPr>
                      <w:rFonts w:hint="default" w:ascii="Times New Roman" w:hAnsi="Times New Roman" w:eastAsia="宋体" w:cs="Times New Roman"/>
                      <w:b w:val="0"/>
                      <w:bCs/>
                      <w:color w:val="auto"/>
                      <w:sz w:val="18"/>
                      <w:szCs w:val="18"/>
                      <w:lang w:val="en-US" w:eastAsia="zh-CN" w:bidi="zh-CN"/>
                    </w:rPr>
                  </w:pPr>
                  <w:r>
                    <w:rPr>
                      <w:rFonts w:hint="default" w:ascii="Times New Roman" w:hAnsi="Times New Roman" w:cs="Times New Roman"/>
                      <w:b w:val="0"/>
                      <w:bCs/>
                      <w:color w:val="auto"/>
                      <w:sz w:val="18"/>
                      <w:szCs w:val="18"/>
                      <w:lang w:val="en-US" w:eastAsia="zh-CN"/>
                    </w:rPr>
                    <w:t>相符</w:t>
                  </w:r>
                </w:p>
              </w:tc>
            </w:tr>
            <w:tr w14:paraId="255914FC">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1" w:type="dxa"/>
                  <w:tcBorders>
                    <w:tl2br w:val="nil"/>
                    <w:tr2bl w:val="nil"/>
                  </w:tcBorders>
                  <w:vAlign w:val="center"/>
                </w:tcPr>
                <w:p w14:paraId="5144C079">
                  <w:pPr>
                    <w:pStyle w:val="46"/>
                    <w:tabs>
                      <w:tab w:val="left" w:pos="823"/>
                    </w:tabs>
                    <w:spacing w:line="248" w:lineRule="exact"/>
                    <w:jc w:val="center"/>
                    <w:rPr>
                      <w:rFonts w:hint="default" w:ascii="Times New Roman" w:hAnsi="Times New Roman" w:cs="Times New Roman"/>
                      <w:b w:val="0"/>
                      <w:bCs/>
                      <w:color w:val="auto"/>
                      <w:sz w:val="18"/>
                      <w:szCs w:val="18"/>
                      <w:vertAlign w:val="baseline"/>
                      <w:lang w:val="en-US" w:eastAsia="zh-CN"/>
                    </w:rPr>
                  </w:pPr>
                  <w:r>
                    <w:rPr>
                      <w:rFonts w:hint="default" w:ascii="Times New Roman" w:hAnsi="Times New Roman" w:cs="Times New Roman"/>
                      <w:b w:val="0"/>
                      <w:bCs/>
                      <w:color w:val="auto"/>
                      <w:sz w:val="18"/>
                      <w:szCs w:val="18"/>
                      <w:vertAlign w:val="baseline"/>
                      <w:lang w:val="en-US" w:eastAsia="zh-CN"/>
                    </w:rPr>
                    <w:t>16</w:t>
                  </w:r>
                </w:p>
              </w:tc>
              <w:tc>
                <w:tcPr>
                  <w:tcW w:w="3518" w:type="dxa"/>
                  <w:tcBorders>
                    <w:tl2br w:val="nil"/>
                    <w:tr2bl w:val="nil"/>
                  </w:tcBorders>
                  <w:vAlign w:val="center"/>
                </w:tcPr>
                <w:p w14:paraId="1D2EE8C6">
                  <w:pPr>
                    <w:ind w:right="0" w:rightChars="0"/>
                    <w:jc w:val="center"/>
                    <w:rPr>
                      <w:rFonts w:hint="default" w:ascii="Times New Roman" w:hAnsi="Times New Roman" w:eastAsia="宋体" w:cs="Times New Roman"/>
                      <w:b w:val="0"/>
                      <w:bCs/>
                      <w:color w:val="auto"/>
                      <w:sz w:val="18"/>
                      <w:szCs w:val="18"/>
                      <w:lang w:val="en-US" w:eastAsia="zh-CN" w:bidi="zh-CN"/>
                    </w:rPr>
                  </w:pPr>
                  <w:r>
                    <w:rPr>
                      <w:rFonts w:hint="default" w:ascii="Times New Roman" w:hAnsi="Times New Roman" w:eastAsia="宋体" w:cs="Times New Roman"/>
                      <w:b w:val="0"/>
                      <w:bCs/>
                      <w:color w:val="auto"/>
                      <w:sz w:val="18"/>
                      <w:szCs w:val="18"/>
                      <w:lang w:val="zh-CN" w:eastAsia="zh-CN" w:bidi="zh-CN"/>
                    </w:rPr>
                    <w:t xml:space="preserve">禁止新建、改建、扩建高毒、高残留以及对环 </w:t>
                  </w:r>
                  <w:r>
                    <w:rPr>
                      <w:rFonts w:hint="default" w:ascii="Times New Roman" w:hAnsi="Times New Roman" w:cs="Times New Roman"/>
                      <w:b w:val="0"/>
                      <w:bCs/>
                      <w:color w:val="auto"/>
                      <w:sz w:val="18"/>
                      <w:szCs w:val="18"/>
                      <w:lang w:val="en-US" w:eastAsia="zh-CN" w:bidi="zh-CN"/>
                    </w:rPr>
                    <w:t>境影响大的</w:t>
                  </w:r>
                  <w:r>
                    <w:rPr>
                      <w:rFonts w:hint="default" w:ascii="Times New Roman" w:hAnsi="Times New Roman" w:eastAsia="宋体" w:cs="Times New Roman"/>
                      <w:b w:val="0"/>
                      <w:bCs/>
                      <w:color w:val="auto"/>
                      <w:sz w:val="18"/>
                      <w:szCs w:val="18"/>
                      <w:lang w:val="zh-CN" w:eastAsia="zh-CN" w:bidi="zh-CN"/>
                    </w:rPr>
                    <w:t>农药原药项目</w:t>
                  </w:r>
                  <w:r>
                    <w:rPr>
                      <w:rFonts w:hint="default" w:ascii="Times New Roman" w:hAnsi="Times New Roman" w:cs="Times New Roman"/>
                      <w:b w:val="0"/>
                      <w:bCs/>
                      <w:color w:val="auto"/>
                      <w:sz w:val="18"/>
                      <w:szCs w:val="18"/>
                      <w:lang w:val="zh-CN" w:eastAsia="zh-CN" w:bidi="zh-CN"/>
                    </w:rPr>
                    <w:t>，禁止新建、扩建农药、医药和染料中间</w:t>
                  </w:r>
                  <w:r>
                    <w:rPr>
                      <w:rFonts w:hint="default" w:ascii="Times New Roman" w:hAnsi="Times New Roman" w:cs="Times New Roman"/>
                      <w:b w:val="0"/>
                      <w:bCs/>
                      <w:color w:val="auto"/>
                      <w:sz w:val="18"/>
                      <w:szCs w:val="18"/>
                      <w:lang w:val="en-US" w:eastAsia="zh-CN" w:bidi="zh-CN"/>
                    </w:rPr>
                    <w:t>体化工项目。</w:t>
                  </w:r>
                </w:p>
              </w:tc>
              <w:tc>
                <w:tcPr>
                  <w:tcW w:w="3053" w:type="dxa"/>
                  <w:tcBorders>
                    <w:tl2br w:val="nil"/>
                    <w:tr2bl w:val="nil"/>
                  </w:tcBorders>
                  <w:vAlign w:val="center"/>
                </w:tcPr>
                <w:p w14:paraId="71044AA0">
                  <w:pPr>
                    <w:pStyle w:val="46"/>
                    <w:ind w:left="17" w:leftChars="0" w:right="0" w:rightChars="0"/>
                    <w:jc w:val="center"/>
                    <w:rPr>
                      <w:rFonts w:hint="default" w:ascii="Times New Roman" w:hAnsi="Times New Roman" w:eastAsia="宋体" w:cs="Times New Roman"/>
                      <w:b w:val="0"/>
                      <w:bCs/>
                      <w:color w:val="auto"/>
                      <w:sz w:val="18"/>
                      <w:szCs w:val="18"/>
                      <w:lang w:val="en-US" w:eastAsia="zh-CN" w:bidi="zh-CN"/>
                    </w:rPr>
                  </w:pPr>
                  <w:r>
                    <w:rPr>
                      <w:rFonts w:hint="default" w:ascii="Times New Roman" w:hAnsi="Times New Roman" w:cs="Times New Roman"/>
                      <w:b w:val="0"/>
                      <w:bCs/>
                      <w:color w:val="auto"/>
                      <w:sz w:val="18"/>
                      <w:szCs w:val="18"/>
                      <w:lang w:val="en-US" w:eastAsia="zh-CN"/>
                    </w:rPr>
                    <w:t>本项目不属于</w:t>
                  </w:r>
                  <w:r>
                    <w:rPr>
                      <w:rFonts w:hint="default" w:ascii="Times New Roman" w:hAnsi="Times New Roman" w:eastAsia="宋体" w:cs="Times New Roman"/>
                      <w:b w:val="0"/>
                      <w:bCs/>
                      <w:color w:val="auto"/>
                      <w:sz w:val="18"/>
                      <w:szCs w:val="18"/>
                      <w:lang w:val="zh-CN" w:eastAsia="zh-CN" w:bidi="zh-CN"/>
                    </w:rPr>
                    <w:t>农药原药项目</w:t>
                  </w:r>
                  <w:r>
                    <w:rPr>
                      <w:rFonts w:hint="default" w:ascii="Times New Roman" w:hAnsi="Times New Roman" w:cs="Times New Roman"/>
                      <w:b w:val="0"/>
                      <w:bCs/>
                      <w:color w:val="auto"/>
                      <w:sz w:val="18"/>
                      <w:szCs w:val="18"/>
                      <w:lang w:val="zh-CN" w:eastAsia="zh-CN" w:bidi="zh-CN"/>
                    </w:rPr>
                    <w:t>，</w:t>
                  </w:r>
                  <w:r>
                    <w:rPr>
                      <w:rFonts w:hint="default" w:ascii="Times New Roman" w:hAnsi="Times New Roman" w:cs="Times New Roman"/>
                      <w:b w:val="0"/>
                      <w:bCs/>
                      <w:color w:val="auto"/>
                      <w:sz w:val="18"/>
                      <w:szCs w:val="18"/>
                      <w:lang w:val="en-US" w:eastAsia="zh-CN" w:bidi="zh-CN"/>
                    </w:rPr>
                    <w:t>不属于</w:t>
                  </w:r>
                  <w:r>
                    <w:rPr>
                      <w:rFonts w:hint="default" w:ascii="Times New Roman" w:hAnsi="Times New Roman" w:cs="Times New Roman"/>
                      <w:b w:val="0"/>
                      <w:bCs/>
                      <w:color w:val="auto"/>
                      <w:sz w:val="18"/>
                      <w:szCs w:val="18"/>
                      <w:lang w:val="zh-CN" w:eastAsia="zh-CN" w:bidi="zh-CN"/>
                    </w:rPr>
                    <w:t>农药、医药和染料中间</w:t>
                  </w:r>
                  <w:r>
                    <w:rPr>
                      <w:rFonts w:hint="default" w:ascii="Times New Roman" w:hAnsi="Times New Roman" w:cs="Times New Roman"/>
                      <w:b w:val="0"/>
                      <w:bCs/>
                      <w:color w:val="auto"/>
                      <w:sz w:val="18"/>
                      <w:szCs w:val="18"/>
                      <w:lang w:val="en-US" w:eastAsia="zh-CN" w:bidi="zh-CN"/>
                    </w:rPr>
                    <w:t>体化工项目。</w:t>
                  </w:r>
                </w:p>
              </w:tc>
              <w:tc>
                <w:tcPr>
                  <w:tcW w:w="1058" w:type="dxa"/>
                  <w:tcBorders>
                    <w:tl2br w:val="nil"/>
                    <w:tr2bl w:val="nil"/>
                  </w:tcBorders>
                  <w:vAlign w:val="center"/>
                </w:tcPr>
                <w:p w14:paraId="5DE77158">
                  <w:pPr>
                    <w:pStyle w:val="46"/>
                    <w:ind w:right="0"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lang w:val="en-US" w:eastAsia="zh-CN"/>
                    </w:rPr>
                    <w:t>相符</w:t>
                  </w:r>
                </w:p>
              </w:tc>
            </w:tr>
            <w:tr w14:paraId="0B4A44C3">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91" w:type="dxa"/>
                  <w:tcBorders>
                    <w:tl2br w:val="nil"/>
                    <w:tr2bl w:val="nil"/>
                  </w:tcBorders>
                  <w:vAlign w:val="center"/>
                </w:tcPr>
                <w:p w14:paraId="0FFA8997">
                  <w:pPr>
                    <w:pStyle w:val="46"/>
                    <w:tabs>
                      <w:tab w:val="left" w:pos="823"/>
                    </w:tabs>
                    <w:spacing w:line="248" w:lineRule="exact"/>
                    <w:jc w:val="center"/>
                    <w:rPr>
                      <w:rFonts w:hint="default" w:ascii="Times New Roman" w:hAnsi="Times New Roman" w:cs="Times New Roman"/>
                      <w:b w:val="0"/>
                      <w:bCs/>
                      <w:color w:val="auto"/>
                      <w:sz w:val="18"/>
                      <w:szCs w:val="18"/>
                      <w:vertAlign w:val="baseline"/>
                      <w:lang w:val="en-US" w:eastAsia="zh-CN"/>
                    </w:rPr>
                  </w:pPr>
                  <w:r>
                    <w:rPr>
                      <w:rFonts w:hint="default" w:ascii="Times New Roman" w:hAnsi="Times New Roman" w:cs="Times New Roman"/>
                      <w:b w:val="0"/>
                      <w:bCs/>
                      <w:color w:val="auto"/>
                      <w:sz w:val="18"/>
                      <w:szCs w:val="18"/>
                      <w:vertAlign w:val="baseline"/>
                      <w:lang w:val="en-US" w:eastAsia="zh-CN"/>
                    </w:rPr>
                    <w:t>17</w:t>
                  </w:r>
                </w:p>
              </w:tc>
              <w:tc>
                <w:tcPr>
                  <w:tcW w:w="3518" w:type="dxa"/>
                  <w:tcBorders>
                    <w:tl2br w:val="nil"/>
                    <w:tr2bl w:val="nil"/>
                  </w:tcBorders>
                  <w:vAlign w:val="center"/>
                </w:tcPr>
                <w:p w14:paraId="23002140">
                  <w:pPr>
                    <w:ind w:right="0" w:rightChars="0"/>
                    <w:jc w:val="center"/>
                    <w:rPr>
                      <w:rFonts w:hint="default" w:ascii="Times New Roman" w:hAnsi="Times New Roman" w:eastAsia="宋体" w:cs="Times New Roman"/>
                      <w:b w:val="0"/>
                      <w:bCs/>
                      <w:color w:val="auto"/>
                      <w:sz w:val="18"/>
                      <w:szCs w:val="18"/>
                      <w:lang w:val="en-US" w:eastAsia="zh-CN" w:bidi="zh-CN"/>
                    </w:rPr>
                  </w:pPr>
                  <w:r>
                    <w:rPr>
                      <w:rFonts w:hint="default" w:ascii="Times New Roman" w:hAnsi="Times New Roman" w:eastAsia="宋体" w:cs="Times New Roman"/>
                      <w:b w:val="0"/>
                      <w:bCs/>
                      <w:color w:val="auto"/>
                      <w:sz w:val="18"/>
                      <w:szCs w:val="18"/>
                      <w:lang w:val="zh-CN" w:eastAsia="zh-CN" w:bidi="zh-CN"/>
                    </w:rPr>
                    <w:t>禁止新建不符合行业准入条件的合成氨、对二 苯二硫化碳、氟化氢、轮胎等</w:t>
                  </w:r>
                  <w:r>
                    <w:rPr>
                      <w:rFonts w:hint="default" w:ascii="Times New Roman" w:hAnsi="Times New Roman" w:cs="Times New Roman"/>
                      <w:b w:val="0"/>
                      <w:bCs/>
                      <w:color w:val="auto"/>
                      <w:sz w:val="18"/>
                      <w:szCs w:val="18"/>
                      <w:lang w:val="en-US" w:eastAsia="zh-CN" w:bidi="zh-CN"/>
                    </w:rPr>
                    <w:t>项目。</w:t>
                  </w:r>
                </w:p>
              </w:tc>
              <w:tc>
                <w:tcPr>
                  <w:tcW w:w="3053" w:type="dxa"/>
                  <w:tcBorders>
                    <w:tl2br w:val="nil"/>
                    <w:tr2bl w:val="nil"/>
                  </w:tcBorders>
                  <w:vAlign w:val="center"/>
                </w:tcPr>
                <w:p w14:paraId="0931AFBC">
                  <w:pPr>
                    <w:pStyle w:val="46"/>
                    <w:ind w:left="17" w:leftChars="0" w:right="0" w:rightChars="0"/>
                    <w:jc w:val="center"/>
                    <w:rPr>
                      <w:rFonts w:hint="default" w:ascii="Times New Roman" w:hAnsi="Times New Roman" w:eastAsia="宋体" w:cs="Times New Roman"/>
                      <w:b w:val="0"/>
                      <w:bCs/>
                      <w:color w:val="auto"/>
                      <w:sz w:val="18"/>
                      <w:szCs w:val="18"/>
                      <w:lang w:val="en-US" w:eastAsia="zh-CN" w:bidi="zh-CN"/>
                    </w:rPr>
                  </w:pPr>
                  <w:r>
                    <w:rPr>
                      <w:rFonts w:hint="default" w:ascii="Times New Roman" w:hAnsi="Times New Roman" w:cs="Times New Roman"/>
                      <w:b w:val="0"/>
                      <w:bCs/>
                      <w:color w:val="auto"/>
                      <w:sz w:val="18"/>
                      <w:szCs w:val="18"/>
                      <w:lang w:val="en-US" w:eastAsia="zh-CN"/>
                    </w:rPr>
                    <w:t>本项目不属于</w:t>
                  </w:r>
                  <w:r>
                    <w:rPr>
                      <w:rFonts w:hint="default" w:ascii="Times New Roman" w:hAnsi="Times New Roman" w:eastAsia="宋体" w:cs="Times New Roman"/>
                      <w:b w:val="0"/>
                      <w:bCs/>
                      <w:color w:val="auto"/>
                      <w:sz w:val="18"/>
                      <w:szCs w:val="18"/>
                      <w:lang w:val="zh-CN" w:eastAsia="zh-CN" w:bidi="zh-CN"/>
                    </w:rPr>
                    <w:t>合成氨、对二苯二硫化碳、氟化氢、轮胎</w:t>
                  </w:r>
                  <w:r>
                    <w:rPr>
                      <w:rFonts w:hint="default" w:ascii="Times New Roman" w:hAnsi="Times New Roman" w:cs="Times New Roman"/>
                      <w:b w:val="0"/>
                      <w:bCs/>
                      <w:color w:val="auto"/>
                      <w:sz w:val="18"/>
                      <w:szCs w:val="18"/>
                      <w:lang w:val="en-US" w:eastAsia="zh-CN" w:bidi="zh-CN"/>
                    </w:rPr>
                    <w:t>项目。</w:t>
                  </w:r>
                </w:p>
              </w:tc>
              <w:tc>
                <w:tcPr>
                  <w:tcW w:w="1058" w:type="dxa"/>
                  <w:tcBorders>
                    <w:tl2br w:val="nil"/>
                    <w:tr2bl w:val="nil"/>
                  </w:tcBorders>
                  <w:vAlign w:val="center"/>
                </w:tcPr>
                <w:p w14:paraId="58C71FE8">
                  <w:pPr>
                    <w:pStyle w:val="46"/>
                    <w:ind w:right="0" w:rightChars="0"/>
                    <w:jc w:val="center"/>
                    <w:rPr>
                      <w:rFonts w:hint="default" w:ascii="Times New Roman" w:hAnsi="Times New Roman" w:eastAsia="宋体" w:cs="Times New Roman"/>
                      <w:b w:val="0"/>
                      <w:bCs/>
                      <w:color w:val="auto"/>
                      <w:sz w:val="18"/>
                      <w:szCs w:val="18"/>
                      <w:lang w:val="en-US" w:eastAsia="zh-CN" w:bidi="zh-CN"/>
                    </w:rPr>
                  </w:pPr>
                  <w:r>
                    <w:rPr>
                      <w:rFonts w:hint="default" w:ascii="Times New Roman" w:hAnsi="Times New Roman" w:cs="Times New Roman"/>
                      <w:b w:val="0"/>
                      <w:bCs/>
                      <w:color w:val="auto"/>
                      <w:sz w:val="18"/>
                      <w:szCs w:val="18"/>
                      <w:lang w:val="en-US" w:eastAsia="zh-CN"/>
                    </w:rPr>
                    <w:t>相符</w:t>
                  </w:r>
                </w:p>
              </w:tc>
            </w:tr>
            <w:tr w14:paraId="6D643C09">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91" w:type="dxa"/>
                  <w:tcBorders>
                    <w:tl2br w:val="nil"/>
                    <w:tr2bl w:val="nil"/>
                  </w:tcBorders>
                  <w:vAlign w:val="center"/>
                </w:tcPr>
                <w:p w14:paraId="2C78ACA1">
                  <w:pPr>
                    <w:pStyle w:val="46"/>
                    <w:tabs>
                      <w:tab w:val="left" w:pos="823"/>
                    </w:tabs>
                    <w:spacing w:line="248" w:lineRule="exact"/>
                    <w:jc w:val="center"/>
                    <w:rPr>
                      <w:rFonts w:hint="default" w:ascii="Times New Roman" w:hAnsi="Times New Roman" w:cs="Times New Roman"/>
                      <w:b w:val="0"/>
                      <w:bCs/>
                      <w:color w:val="auto"/>
                      <w:sz w:val="18"/>
                      <w:szCs w:val="18"/>
                      <w:vertAlign w:val="baseline"/>
                      <w:lang w:val="en-US" w:eastAsia="zh-CN"/>
                    </w:rPr>
                  </w:pPr>
                  <w:r>
                    <w:rPr>
                      <w:rFonts w:hint="default" w:ascii="Times New Roman" w:hAnsi="Times New Roman" w:cs="Times New Roman"/>
                      <w:b w:val="0"/>
                      <w:bCs/>
                      <w:color w:val="auto"/>
                      <w:sz w:val="18"/>
                      <w:szCs w:val="18"/>
                      <w:vertAlign w:val="baseline"/>
                      <w:lang w:val="en-US" w:eastAsia="zh-CN"/>
                    </w:rPr>
                    <w:t>18</w:t>
                  </w:r>
                </w:p>
              </w:tc>
              <w:tc>
                <w:tcPr>
                  <w:tcW w:w="3518" w:type="dxa"/>
                  <w:tcBorders>
                    <w:tl2br w:val="nil"/>
                    <w:tr2bl w:val="nil"/>
                  </w:tcBorders>
                  <w:vAlign w:val="center"/>
                </w:tcPr>
                <w:p w14:paraId="4F238317">
                  <w:pPr>
                    <w:ind w:right="0" w:rightChars="0"/>
                    <w:jc w:val="center"/>
                    <w:rPr>
                      <w:rFonts w:hint="default" w:ascii="Times New Roman" w:hAnsi="Times New Roman" w:eastAsia="宋体" w:cs="Times New Roman"/>
                      <w:b w:val="0"/>
                      <w:bCs/>
                      <w:color w:val="auto"/>
                      <w:sz w:val="18"/>
                      <w:szCs w:val="18"/>
                      <w:lang w:val="en-US" w:eastAsia="zh-CN" w:bidi="zh-CN"/>
                    </w:rPr>
                  </w:pPr>
                  <w:r>
                    <w:rPr>
                      <w:rFonts w:hint="default" w:ascii="Times New Roman" w:hAnsi="Times New Roman" w:eastAsia="宋体" w:cs="Times New Roman"/>
                      <w:b w:val="0"/>
                      <w:bCs/>
                      <w:color w:val="auto"/>
                      <w:sz w:val="18"/>
                      <w:szCs w:val="18"/>
                      <w:lang w:val="zh-CN" w:eastAsia="zh-CN" w:bidi="zh-CN"/>
                    </w:rPr>
                    <w:t>禁止新建、扩建不符合国家石化、现代煤化工等产业布局规划的项目，禁止新建独立焦化项</w:t>
                  </w:r>
                  <w:r>
                    <w:rPr>
                      <w:rFonts w:hint="default" w:ascii="Times New Roman" w:hAnsi="Times New Roman" w:cs="Times New Roman"/>
                      <w:b w:val="0"/>
                      <w:bCs/>
                      <w:color w:val="auto"/>
                      <w:sz w:val="18"/>
                      <w:szCs w:val="18"/>
                      <w:lang w:val="en-US" w:eastAsia="zh-CN" w:bidi="zh-CN"/>
                    </w:rPr>
                    <w:t>目。</w:t>
                  </w:r>
                </w:p>
              </w:tc>
              <w:tc>
                <w:tcPr>
                  <w:tcW w:w="3053" w:type="dxa"/>
                  <w:tcBorders>
                    <w:tl2br w:val="nil"/>
                    <w:tr2bl w:val="nil"/>
                  </w:tcBorders>
                  <w:vAlign w:val="center"/>
                </w:tcPr>
                <w:p w14:paraId="32BE97E6">
                  <w:pPr>
                    <w:ind w:left="0" w:leftChars="0" w:right="0" w:rightChars="0"/>
                    <w:jc w:val="center"/>
                    <w:rPr>
                      <w:rFonts w:hint="default" w:ascii="Times New Roman" w:hAnsi="Times New Roman" w:eastAsia="宋体" w:cs="Times New Roman"/>
                      <w:b w:val="0"/>
                      <w:bCs/>
                      <w:color w:val="auto"/>
                      <w:sz w:val="18"/>
                      <w:szCs w:val="18"/>
                      <w:lang w:val="en-US" w:eastAsia="zh-CN" w:bidi="zh-CN"/>
                    </w:rPr>
                  </w:pPr>
                  <w:r>
                    <w:rPr>
                      <w:rFonts w:hint="default" w:ascii="Times New Roman" w:hAnsi="Times New Roman" w:cs="Times New Roman"/>
                      <w:b w:val="0"/>
                      <w:bCs/>
                      <w:color w:val="auto"/>
                      <w:sz w:val="18"/>
                      <w:szCs w:val="18"/>
                      <w:lang w:val="en-US" w:eastAsia="zh-CN" w:bidi="zh-CN"/>
                    </w:rPr>
                    <w:t>本项目不属于</w:t>
                  </w:r>
                  <w:r>
                    <w:rPr>
                      <w:rFonts w:hint="default" w:ascii="Times New Roman" w:hAnsi="Times New Roman" w:eastAsia="宋体" w:cs="Times New Roman"/>
                      <w:b w:val="0"/>
                      <w:bCs/>
                      <w:color w:val="auto"/>
                      <w:sz w:val="18"/>
                      <w:szCs w:val="18"/>
                      <w:lang w:val="zh-CN" w:eastAsia="zh-CN" w:bidi="zh-CN"/>
                    </w:rPr>
                    <w:t>国家石化、现代煤化工等产业</w:t>
                  </w:r>
                  <w:r>
                    <w:rPr>
                      <w:rFonts w:hint="default" w:ascii="Times New Roman" w:hAnsi="Times New Roman" w:cs="Times New Roman"/>
                      <w:b w:val="0"/>
                      <w:bCs/>
                      <w:color w:val="auto"/>
                      <w:sz w:val="18"/>
                      <w:szCs w:val="18"/>
                      <w:lang w:val="zh-CN" w:eastAsia="zh-CN" w:bidi="zh-CN"/>
                    </w:rPr>
                    <w:t>，</w:t>
                  </w:r>
                  <w:r>
                    <w:rPr>
                      <w:rFonts w:hint="default" w:ascii="Times New Roman" w:hAnsi="Times New Roman" w:cs="Times New Roman"/>
                      <w:b w:val="0"/>
                      <w:bCs/>
                      <w:color w:val="auto"/>
                      <w:sz w:val="18"/>
                      <w:szCs w:val="18"/>
                      <w:lang w:val="en-US" w:eastAsia="zh-CN" w:bidi="zh-CN"/>
                    </w:rPr>
                    <w:t>不属于</w:t>
                  </w:r>
                  <w:r>
                    <w:rPr>
                      <w:rFonts w:hint="default" w:ascii="Times New Roman" w:hAnsi="Times New Roman" w:eastAsia="宋体" w:cs="Times New Roman"/>
                      <w:b w:val="0"/>
                      <w:bCs/>
                      <w:color w:val="auto"/>
                      <w:sz w:val="18"/>
                      <w:szCs w:val="18"/>
                      <w:lang w:val="zh-CN" w:eastAsia="zh-CN" w:bidi="zh-CN"/>
                    </w:rPr>
                    <w:t>独立焦化项</w:t>
                  </w:r>
                  <w:r>
                    <w:rPr>
                      <w:rFonts w:hint="default" w:ascii="Times New Roman" w:hAnsi="Times New Roman" w:cs="Times New Roman"/>
                      <w:b w:val="0"/>
                      <w:bCs/>
                      <w:color w:val="auto"/>
                      <w:sz w:val="18"/>
                      <w:szCs w:val="18"/>
                      <w:lang w:val="en-US" w:eastAsia="zh-CN" w:bidi="zh-CN"/>
                    </w:rPr>
                    <w:t>目。</w:t>
                  </w:r>
                </w:p>
              </w:tc>
              <w:tc>
                <w:tcPr>
                  <w:tcW w:w="1058" w:type="dxa"/>
                  <w:tcBorders>
                    <w:tl2br w:val="nil"/>
                    <w:tr2bl w:val="nil"/>
                  </w:tcBorders>
                  <w:vAlign w:val="center"/>
                </w:tcPr>
                <w:p w14:paraId="135172D0">
                  <w:pPr>
                    <w:pStyle w:val="46"/>
                    <w:ind w:right="0"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lang w:val="en-US" w:eastAsia="zh-CN"/>
                    </w:rPr>
                    <w:t>相符</w:t>
                  </w:r>
                </w:p>
              </w:tc>
            </w:tr>
            <w:tr w14:paraId="3CDDA38E">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91" w:type="dxa"/>
                  <w:vAlign w:val="center"/>
                </w:tcPr>
                <w:p w14:paraId="6F04F255">
                  <w:pPr>
                    <w:pStyle w:val="46"/>
                    <w:tabs>
                      <w:tab w:val="left" w:pos="823"/>
                    </w:tabs>
                    <w:spacing w:line="248" w:lineRule="exact"/>
                    <w:jc w:val="center"/>
                    <w:rPr>
                      <w:rFonts w:hint="default" w:ascii="Times New Roman" w:hAnsi="Times New Roman" w:cs="Times New Roman"/>
                      <w:b w:val="0"/>
                      <w:bCs/>
                      <w:color w:val="auto"/>
                      <w:sz w:val="18"/>
                      <w:szCs w:val="18"/>
                      <w:vertAlign w:val="baseline"/>
                      <w:lang w:val="en-US" w:eastAsia="zh-CN"/>
                    </w:rPr>
                  </w:pPr>
                  <w:r>
                    <w:rPr>
                      <w:rFonts w:hint="default" w:ascii="Times New Roman" w:hAnsi="Times New Roman" w:cs="Times New Roman"/>
                      <w:b w:val="0"/>
                      <w:bCs/>
                      <w:color w:val="auto"/>
                      <w:sz w:val="18"/>
                      <w:szCs w:val="18"/>
                      <w:vertAlign w:val="baseline"/>
                      <w:lang w:val="en-US" w:eastAsia="zh-CN"/>
                    </w:rPr>
                    <w:t>19</w:t>
                  </w:r>
                </w:p>
              </w:tc>
              <w:tc>
                <w:tcPr>
                  <w:tcW w:w="3518" w:type="dxa"/>
                  <w:vAlign w:val="center"/>
                </w:tcPr>
                <w:p w14:paraId="55D450A3">
                  <w:pPr>
                    <w:ind w:right="0"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eastAsia="宋体" w:cs="Times New Roman"/>
                      <w:b w:val="0"/>
                      <w:bCs/>
                      <w:color w:val="auto"/>
                      <w:sz w:val="18"/>
                      <w:szCs w:val="18"/>
                      <w:lang w:val="zh-CN" w:eastAsia="zh-CN" w:bidi="zh-CN"/>
                    </w:rPr>
                    <w:t>禁止新建、扩建不符合国家产能置换要求的严重过剩产能行业的项目。</w:t>
                  </w:r>
                </w:p>
              </w:tc>
              <w:tc>
                <w:tcPr>
                  <w:tcW w:w="3053" w:type="dxa"/>
                  <w:vAlign w:val="center"/>
                </w:tcPr>
                <w:p w14:paraId="0C15101E">
                  <w:pPr>
                    <w:ind w:left="0" w:leftChars="0" w:right="0" w:rightChars="0"/>
                    <w:jc w:val="center"/>
                    <w:rPr>
                      <w:rFonts w:hint="default" w:ascii="Times New Roman" w:hAnsi="Times New Roman" w:eastAsia="宋体" w:cs="Times New Roman"/>
                      <w:b w:val="0"/>
                      <w:bCs/>
                      <w:color w:val="auto"/>
                      <w:sz w:val="18"/>
                      <w:szCs w:val="18"/>
                      <w:lang w:val="en-US" w:eastAsia="zh-CN" w:bidi="zh-CN"/>
                    </w:rPr>
                  </w:pPr>
                  <w:r>
                    <w:rPr>
                      <w:rFonts w:hint="default" w:ascii="Times New Roman" w:hAnsi="Times New Roman" w:cs="Times New Roman"/>
                      <w:b w:val="0"/>
                      <w:bCs/>
                      <w:color w:val="auto"/>
                      <w:sz w:val="18"/>
                      <w:szCs w:val="18"/>
                      <w:lang w:val="en-US" w:eastAsia="zh-CN" w:bidi="zh-CN"/>
                    </w:rPr>
                    <w:t>本项目不属于</w:t>
                  </w:r>
                  <w:r>
                    <w:rPr>
                      <w:rFonts w:hint="default" w:ascii="Times New Roman" w:hAnsi="Times New Roman" w:eastAsia="宋体" w:cs="Times New Roman"/>
                      <w:b w:val="0"/>
                      <w:bCs/>
                      <w:color w:val="auto"/>
                      <w:sz w:val="18"/>
                      <w:szCs w:val="18"/>
                      <w:lang w:val="zh-CN" w:eastAsia="zh-CN" w:bidi="zh-CN"/>
                    </w:rPr>
                    <w:t>国家产能置换要求的严重过剩产能行业的项目</w:t>
                  </w:r>
                  <w:r>
                    <w:rPr>
                      <w:rFonts w:hint="default" w:ascii="Times New Roman" w:hAnsi="Times New Roman" w:cs="Times New Roman"/>
                      <w:b w:val="0"/>
                      <w:bCs/>
                      <w:color w:val="auto"/>
                      <w:sz w:val="18"/>
                      <w:szCs w:val="18"/>
                      <w:lang w:val="zh-CN" w:eastAsia="zh-CN" w:bidi="zh-CN"/>
                    </w:rPr>
                    <w:t>。</w:t>
                  </w:r>
                </w:p>
              </w:tc>
              <w:tc>
                <w:tcPr>
                  <w:tcW w:w="1058" w:type="dxa"/>
                  <w:vAlign w:val="center"/>
                </w:tcPr>
                <w:p w14:paraId="0004BFC5">
                  <w:pPr>
                    <w:pStyle w:val="46"/>
                    <w:ind w:right="0"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lang w:val="en-US" w:eastAsia="zh-CN"/>
                    </w:rPr>
                    <w:t>相符</w:t>
                  </w:r>
                </w:p>
              </w:tc>
            </w:tr>
            <w:tr w14:paraId="097AD6AC">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591" w:type="dxa"/>
                  <w:tcBorders>
                    <w:bottom w:val="single" w:color="auto" w:sz="12" w:space="0"/>
                  </w:tcBorders>
                  <w:vAlign w:val="center"/>
                </w:tcPr>
                <w:p w14:paraId="4C58AB80">
                  <w:pPr>
                    <w:pStyle w:val="46"/>
                    <w:tabs>
                      <w:tab w:val="left" w:pos="823"/>
                    </w:tabs>
                    <w:spacing w:line="248" w:lineRule="exact"/>
                    <w:jc w:val="center"/>
                    <w:rPr>
                      <w:rFonts w:hint="default" w:ascii="Times New Roman" w:hAnsi="Times New Roman" w:cs="Times New Roman"/>
                      <w:b w:val="0"/>
                      <w:bCs/>
                      <w:color w:val="auto"/>
                      <w:sz w:val="18"/>
                      <w:szCs w:val="18"/>
                      <w:vertAlign w:val="baseline"/>
                      <w:lang w:val="en-US" w:eastAsia="zh-CN"/>
                    </w:rPr>
                  </w:pPr>
                  <w:r>
                    <w:rPr>
                      <w:rFonts w:hint="default" w:ascii="Times New Roman" w:hAnsi="Times New Roman" w:cs="Times New Roman"/>
                      <w:b w:val="0"/>
                      <w:bCs/>
                      <w:color w:val="auto"/>
                      <w:sz w:val="18"/>
                      <w:szCs w:val="18"/>
                      <w:vertAlign w:val="baseline"/>
                      <w:lang w:val="en-US" w:eastAsia="zh-CN"/>
                    </w:rPr>
                    <w:t>20</w:t>
                  </w:r>
                </w:p>
              </w:tc>
              <w:tc>
                <w:tcPr>
                  <w:tcW w:w="3518" w:type="dxa"/>
                  <w:tcBorders>
                    <w:bottom w:val="single" w:color="auto" w:sz="12" w:space="0"/>
                  </w:tcBorders>
                  <w:vAlign w:val="center"/>
                </w:tcPr>
                <w:p w14:paraId="5E04EEAA">
                  <w:pPr>
                    <w:ind w:right="0"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eastAsia="宋体" w:cs="Times New Roman"/>
                      <w:b w:val="0"/>
                      <w:bCs/>
                      <w:color w:val="auto"/>
                      <w:sz w:val="18"/>
                      <w:szCs w:val="18"/>
                      <w:lang w:val="zh-CN" w:eastAsia="zh-CN" w:bidi="zh-CN"/>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3053" w:type="dxa"/>
                  <w:tcBorders>
                    <w:bottom w:val="single" w:color="auto" w:sz="12" w:space="0"/>
                  </w:tcBorders>
                  <w:vAlign w:val="center"/>
                </w:tcPr>
                <w:p w14:paraId="6F82C8D8">
                  <w:pPr>
                    <w:ind w:left="0" w:leftChars="0" w:right="0" w:rightChars="0"/>
                    <w:jc w:val="center"/>
                    <w:rPr>
                      <w:rFonts w:hint="default" w:ascii="Times New Roman" w:hAnsi="Times New Roman" w:eastAsia="宋体" w:cs="Times New Roman"/>
                      <w:b w:val="0"/>
                      <w:bCs/>
                      <w:color w:val="auto"/>
                      <w:sz w:val="18"/>
                      <w:szCs w:val="18"/>
                      <w:lang w:val="en-US" w:eastAsia="zh-CN" w:bidi="zh-CN"/>
                    </w:rPr>
                  </w:pPr>
                  <w:r>
                    <w:rPr>
                      <w:rFonts w:hint="default" w:ascii="Times New Roman" w:hAnsi="Times New Roman" w:cs="Times New Roman"/>
                      <w:b w:val="0"/>
                      <w:bCs/>
                      <w:color w:val="auto"/>
                      <w:sz w:val="18"/>
                      <w:szCs w:val="18"/>
                      <w:lang w:val="en-US" w:eastAsia="zh-CN" w:bidi="zh-CN"/>
                    </w:rPr>
                    <w:t>本项目不属于</w:t>
                  </w:r>
                  <w:r>
                    <w:rPr>
                      <w:rFonts w:hint="default" w:ascii="Times New Roman" w:hAnsi="Times New Roman" w:eastAsia="宋体" w:cs="Times New Roman"/>
                      <w:b w:val="0"/>
                      <w:bCs/>
                      <w:color w:val="auto"/>
                      <w:sz w:val="18"/>
                      <w:szCs w:val="18"/>
                      <w:lang w:val="zh-CN" w:eastAsia="zh-CN" w:bidi="zh-CN"/>
                    </w:rPr>
                    <w:t>《产业结构调整指导目录》《江苏省产业结构调整限制、淘汰和禁止目录》明确的限制类、淘汰类、禁止类项目</w:t>
                  </w:r>
                  <w:r>
                    <w:rPr>
                      <w:rFonts w:hint="default" w:ascii="Times New Roman" w:hAnsi="Times New Roman" w:cs="Times New Roman"/>
                      <w:b w:val="0"/>
                      <w:bCs/>
                      <w:color w:val="auto"/>
                      <w:sz w:val="18"/>
                      <w:szCs w:val="18"/>
                      <w:lang w:val="zh-CN" w:eastAsia="zh-CN" w:bidi="zh-CN"/>
                    </w:rPr>
                    <w:t>。</w:t>
                  </w:r>
                </w:p>
              </w:tc>
              <w:tc>
                <w:tcPr>
                  <w:tcW w:w="1058" w:type="dxa"/>
                  <w:tcBorders>
                    <w:bottom w:val="single" w:color="auto" w:sz="12" w:space="0"/>
                  </w:tcBorders>
                  <w:vAlign w:val="center"/>
                </w:tcPr>
                <w:p w14:paraId="4BE55CBA">
                  <w:pPr>
                    <w:pStyle w:val="46"/>
                    <w:ind w:right="0" w:rightChars="0"/>
                    <w:jc w:val="center"/>
                    <w:rPr>
                      <w:rFonts w:hint="default" w:ascii="Times New Roman" w:hAnsi="Times New Roman" w:eastAsia="宋体" w:cs="Times New Roman"/>
                      <w:b w:val="0"/>
                      <w:bCs/>
                      <w:color w:val="auto"/>
                      <w:sz w:val="18"/>
                      <w:szCs w:val="18"/>
                      <w:lang w:val="zh-CN" w:eastAsia="zh-CN" w:bidi="zh-CN"/>
                    </w:rPr>
                  </w:pPr>
                  <w:r>
                    <w:rPr>
                      <w:rFonts w:hint="default" w:ascii="Times New Roman" w:hAnsi="Times New Roman" w:cs="Times New Roman"/>
                      <w:b w:val="0"/>
                      <w:bCs/>
                      <w:color w:val="auto"/>
                      <w:sz w:val="18"/>
                      <w:szCs w:val="18"/>
                      <w:lang w:val="en-US" w:eastAsia="zh-CN"/>
                    </w:rPr>
                    <w:t>相符</w:t>
                  </w:r>
                </w:p>
              </w:tc>
            </w:tr>
          </w:tbl>
          <w:p w14:paraId="29F0A7CC">
            <w:pPr>
              <w:pStyle w:val="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（5）与“三线一单”生态环境分区管控实施方案的相符性分析</w:t>
            </w:r>
          </w:p>
          <w:p w14:paraId="6FAF6C05">
            <w:pPr>
              <w:bidi w:val="0"/>
              <w:spacing w:line="360" w:lineRule="auto"/>
              <w:ind w:firstLine="420" w:firstLineChars="200"/>
              <w:rPr>
                <w:rFonts w:hint="default"/>
                <w:color w:val="auto"/>
                <w:lang w:val="en-US" w:eastAsia="zh-CN"/>
              </w:rPr>
            </w:pPr>
            <w:r>
              <w:rPr>
                <w:rFonts w:hint="default"/>
                <w:color w:val="auto"/>
                <w:lang w:val="en-US" w:eastAsia="zh-CN"/>
              </w:rPr>
              <w:t>对照《南通市海门区“三线一单”生态环境分区管控实施方案》（海政办发[2021]85号），本项目位于</w:t>
            </w:r>
            <w:r>
              <w:rPr>
                <w:rFonts w:hint="eastAsia"/>
                <w:color w:val="auto"/>
                <w:u w:val="none"/>
                <w:lang w:val="en-US" w:eastAsia="zh-CN"/>
              </w:rPr>
              <w:t>南通市海门经济技术开发区滨江街道福州路179号</w:t>
            </w:r>
            <w:r>
              <w:rPr>
                <w:rFonts w:hint="default"/>
                <w:color w:val="auto"/>
                <w:u w:val="none"/>
                <w:lang w:val="en-US" w:eastAsia="zh-CN"/>
              </w:rPr>
              <w:t>，属于海门经济开发区，为重点管控单元</w:t>
            </w:r>
            <w:r>
              <w:rPr>
                <w:rFonts w:hint="default"/>
                <w:color w:val="auto"/>
                <w:lang w:val="en-US" w:eastAsia="zh-CN"/>
              </w:rPr>
              <w:t>。重点管控单元主要推进产业布局优化、转型升级，不断提高资源利用效率，加强污染物排放控制和环境风险防控，解决突出生态环境问题。项目各工艺废气经有效收集处理后达标排放，对周围环境空气质量影响不大，不会降低当地环境质量功能，符合《南通市海门区“三线一单”生态环境分区管控实施方案》的要求。</w:t>
            </w:r>
          </w:p>
          <w:p w14:paraId="3DADFE39">
            <w:pPr>
              <w:keepNext w:val="0"/>
              <w:keepLines w:val="0"/>
              <w:widowControl/>
              <w:suppressLineNumbers w:val="0"/>
              <w:spacing w:line="360" w:lineRule="auto"/>
              <w:ind w:firstLine="420" w:firstLineChars="200"/>
              <w:jc w:val="left"/>
              <w:rPr>
                <w:rFonts w:hint="default" w:ascii="Times New Roman" w:hAnsi="Times New Roman" w:eastAsia="宋体" w:cs="Times New Roman"/>
                <w:color w:val="auto"/>
                <w:kern w:val="0"/>
                <w:sz w:val="21"/>
                <w:szCs w:val="21"/>
                <w:lang w:val="en-US" w:eastAsia="zh-CN" w:bidi="ar"/>
              </w:rPr>
            </w:pPr>
            <w:r>
              <w:rPr>
                <w:rFonts w:hint="eastAsia" w:ascii="微软雅黑" w:hAnsi="微软雅黑" w:eastAsia="微软雅黑" w:cs="微软雅黑"/>
                <w:color w:val="auto"/>
                <w:kern w:val="0"/>
                <w:sz w:val="21"/>
                <w:szCs w:val="21"/>
                <w:lang w:val="en-US" w:eastAsia="zh-CN" w:bidi="ar"/>
              </w:rPr>
              <w:t>①</w:t>
            </w:r>
            <w:r>
              <w:rPr>
                <w:rFonts w:hint="default" w:ascii="Times New Roman" w:hAnsi="Times New Roman" w:eastAsia="宋体" w:cs="Times New Roman"/>
                <w:color w:val="auto"/>
                <w:kern w:val="0"/>
                <w:sz w:val="21"/>
                <w:szCs w:val="21"/>
                <w:lang w:val="en-US" w:eastAsia="zh-CN" w:bidi="ar"/>
              </w:rPr>
              <w:t xml:space="preserve">与《南通市海门区“三线一单”生态环境分区管控实施方案》（海政办发[2021]85号）相符性分析 </w:t>
            </w:r>
          </w:p>
          <w:p w14:paraId="6ADE9640">
            <w:pPr>
              <w:keepNext w:val="0"/>
              <w:keepLines w:val="0"/>
              <w:widowControl/>
              <w:suppressLineNumbers w:val="0"/>
              <w:spacing w:line="360" w:lineRule="auto"/>
              <w:ind w:firstLine="42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1"/>
                <w:szCs w:val="21"/>
                <w:lang w:val="en-US" w:eastAsia="zh-CN" w:bidi="ar"/>
              </w:rPr>
              <w:t>对照《南通市海门区“三线一单”生态环境分区管控实施方案》（海政办发[2021]85号），海门区全区共划定环境管控单元54个，分为优先保护单元、重点管控单元和一般管控单元三类，实施分类管控。本项目位于南通市海门经济技术开发区滨江街道福州路179号</w:t>
            </w:r>
            <w:r>
              <w:rPr>
                <w:rFonts w:hint="eastAsia" w:cs="Times New Roman"/>
                <w:color w:val="auto"/>
                <w:kern w:val="0"/>
                <w:sz w:val="21"/>
                <w:szCs w:val="21"/>
                <w:lang w:val="en-US" w:eastAsia="zh-CN" w:bidi="ar"/>
              </w:rPr>
              <w:t>，属于</w:t>
            </w:r>
            <w:r>
              <w:rPr>
                <w:rFonts w:hint="default" w:ascii="Times New Roman" w:hAnsi="Times New Roman" w:eastAsia="宋体" w:cs="Times New Roman"/>
                <w:color w:val="auto"/>
                <w:kern w:val="0"/>
                <w:sz w:val="21"/>
                <w:szCs w:val="21"/>
                <w:u w:val="none"/>
                <w:lang w:val="en-US" w:eastAsia="zh-CN" w:bidi="ar"/>
              </w:rPr>
              <w:t>海门经济技术开发区，为重点管控单元</w:t>
            </w:r>
            <w:r>
              <w:rPr>
                <w:rFonts w:hint="default" w:ascii="Times New Roman" w:hAnsi="Times New Roman" w:eastAsia="宋体" w:cs="Times New Roman"/>
                <w:color w:val="auto"/>
                <w:kern w:val="0"/>
                <w:sz w:val="21"/>
                <w:szCs w:val="21"/>
                <w:lang w:val="en-US" w:eastAsia="zh-CN" w:bidi="ar"/>
              </w:rPr>
              <w:t>。对照海门区重点管控单元管控要求，具体分析如下表。</w:t>
            </w:r>
            <w:r>
              <w:rPr>
                <w:rFonts w:hint="default" w:ascii="Times New Roman" w:hAnsi="Times New Roman" w:eastAsia="宋体" w:cs="Times New Roman"/>
                <w:color w:val="auto"/>
                <w:kern w:val="0"/>
                <w:sz w:val="24"/>
                <w:szCs w:val="24"/>
                <w:lang w:val="en-US" w:eastAsia="zh-CN" w:bidi="ar"/>
              </w:rPr>
              <w:t xml:space="preserve"> </w:t>
            </w:r>
          </w:p>
          <w:p w14:paraId="4B42C7B6">
            <w:pPr>
              <w:pStyle w:val="46"/>
              <w:spacing w:line="240" w:lineRule="auto"/>
              <w:ind w:left="9" w:right="-29" w:firstLine="420"/>
              <w:jc w:val="center"/>
              <w:rPr>
                <w:rFonts w:hint="default" w:ascii="Times New Roman" w:hAnsi="Times New Roman" w:cs="Times New Roman"/>
                <w:color w:val="auto"/>
                <w:lang w:val="en-US" w:eastAsia="zh-CN"/>
              </w:rPr>
            </w:pPr>
            <w:r>
              <w:rPr>
                <w:rFonts w:hint="default" w:ascii="Times New Roman" w:hAnsi="Times New Roman" w:eastAsia="宋体" w:cs="Times New Roman"/>
                <w:b/>
                <w:bCs/>
                <w:color w:val="auto"/>
                <w:kern w:val="0"/>
                <w:sz w:val="21"/>
                <w:szCs w:val="21"/>
                <w:lang w:val="en-US" w:eastAsia="zh-CN" w:bidi="ar"/>
              </w:rPr>
              <w:t>表1-</w:t>
            </w:r>
            <w:r>
              <w:rPr>
                <w:rFonts w:hint="eastAsia" w:ascii="Times New Roman" w:hAnsi="Times New Roman" w:cs="Times New Roman"/>
                <w:b/>
                <w:bCs/>
                <w:color w:val="auto"/>
                <w:kern w:val="0"/>
                <w:sz w:val="21"/>
                <w:szCs w:val="21"/>
                <w:lang w:val="en-US" w:eastAsia="zh-CN" w:bidi="ar"/>
              </w:rPr>
              <w:t>4</w:t>
            </w:r>
            <w:r>
              <w:rPr>
                <w:rFonts w:hint="default" w:ascii="Times New Roman" w:hAnsi="Times New Roman" w:cs="Times New Roman"/>
                <w:b/>
                <w:bCs/>
                <w:color w:val="auto"/>
                <w:kern w:val="0"/>
                <w:sz w:val="21"/>
                <w:szCs w:val="21"/>
                <w:lang w:val="en-US" w:eastAsia="zh-CN" w:bidi="ar"/>
              </w:rPr>
              <w:t xml:space="preserve"> </w:t>
            </w:r>
            <w:r>
              <w:rPr>
                <w:rFonts w:hint="default" w:ascii="Times New Roman" w:hAnsi="Times New Roman" w:eastAsia="宋体" w:cs="Times New Roman"/>
                <w:b/>
                <w:bCs/>
                <w:color w:val="auto"/>
                <w:kern w:val="0"/>
                <w:sz w:val="21"/>
                <w:szCs w:val="21"/>
                <w:lang w:val="en-US" w:eastAsia="zh-CN" w:bidi="ar"/>
              </w:rPr>
              <w:t>与南通市</w:t>
            </w:r>
            <w:r>
              <w:rPr>
                <w:rFonts w:hint="default" w:ascii="Times New Roman" w:hAnsi="Times New Roman" w:cs="Times New Roman"/>
                <w:b/>
                <w:bCs/>
                <w:color w:val="auto"/>
                <w:kern w:val="0"/>
                <w:sz w:val="21"/>
                <w:szCs w:val="21"/>
                <w:lang w:val="en-US" w:eastAsia="zh-CN" w:bidi="ar"/>
              </w:rPr>
              <w:t>海门区</w:t>
            </w:r>
            <w:r>
              <w:rPr>
                <w:rFonts w:hint="default" w:ascii="Times New Roman" w:hAnsi="Times New Roman" w:eastAsia="宋体" w:cs="Times New Roman"/>
                <w:b/>
                <w:bCs/>
                <w:color w:val="auto"/>
                <w:kern w:val="0"/>
                <w:sz w:val="21"/>
                <w:szCs w:val="21"/>
                <w:lang w:val="en-US" w:eastAsia="zh-CN" w:bidi="ar"/>
              </w:rPr>
              <w:t>“三线一单”生态环境分区管控实施方案相符性</w:t>
            </w:r>
          </w:p>
          <w:tbl>
            <w:tblPr>
              <w:tblStyle w:val="21"/>
              <w:tblW w:w="82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4"/>
              <w:gridCol w:w="5114"/>
              <w:gridCol w:w="1647"/>
              <w:gridCol w:w="902"/>
            </w:tblGrid>
            <w:tr w14:paraId="7557A1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574" w:type="dxa"/>
                  <w:tcBorders>
                    <w:tl2br w:val="nil"/>
                    <w:tr2bl w:val="nil"/>
                  </w:tcBorders>
                  <w:vAlign w:val="center"/>
                </w:tcPr>
                <w:p w14:paraId="1B794229">
                  <w:pPr>
                    <w:pStyle w:val="46"/>
                    <w:spacing w:line="240" w:lineRule="auto"/>
                    <w:ind w:right="-29"/>
                    <w:jc w:val="center"/>
                    <w:rPr>
                      <w:rFonts w:hint="default" w:ascii="Times New Roman" w:hAnsi="Times New Roman" w:eastAsia="宋体" w:cs="Times New Roman"/>
                      <w:b/>
                      <w:bCs/>
                      <w:color w:val="auto"/>
                      <w:spacing w:val="-7"/>
                      <w:sz w:val="15"/>
                      <w:szCs w:val="15"/>
                      <w:vertAlign w:val="baseline"/>
                      <w:lang w:val="en-US" w:eastAsia="zh-CN"/>
                    </w:rPr>
                  </w:pPr>
                  <w:r>
                    <w:rPr>
                      <w:rFonts w:hint="default" w:ascii="Times New Roman" w:hAnsi="Times New Roman" w:eastAsia="宋体" w:cs="Times New Roman"/>
                      <w:b/>
                      <w:bCs/>
                      <w:color w:val="auto"/>
                      <w:spacing w:val="-7"/>
                      <w:sz w:val="18"/>
                      <w:szCs w:val="18"/>
                      <w:vertAlign w:val="baseline"/>
                      <w:lang w:val="en-US" w:eastAsia="zh-CN"/>
                    </w:rPr>
                    <w:t>管控类别</w:t>
                  </w:r>
                </w:p>
              </w:tc>
              <w:tc>
                <w:tcPr>
                  <w:tcW w:w="5114" w:type="dxa"/>
                  <w:tcBorders>
                    <w:tl2br w:val="nil"/>
                    <w:tr2bl w:val="nil"/>
                  </w:tcBorders>
                  <w:vAlign w:val="center"/>
                </w:tcPr>
                <w:p w14:paraId="0E72C029">
                  <w:pPr>
                    <w:pStyle w:val="46"/>
                    <w:spacing w:line="240" w:lineRule="auto"/>
                    <w:ind w:right="-29"/>
                    <w:jc w:val="center"/>
                    <w:rPr>
                      <w:rFonts w:hint="default" w:ascii="Times New Roman" w:hAnsi="Times New Roman" w:eastAsia="宋体" w:cs="Times New Roman"/>
                      <w:b/>
                      <w:bCs/>
                      <w:color w:val="auto"/>
                      <w:spacing w:val="-7"/>
                      <w:sz w:val="18"/>
                      <w:szCs w:val="18"/>
                      <w:vertAlign w:val="baseline"/>
                      <w:lang w:val="en-US" w:eastAsia="zh-CN"/>
                    </w:rPr>
                  </w:pPr>
                  <w:r>
                    <w:rPr>
                      <w:rFonts w:hint="default" w:ascii="Times New Roman" w:hAnsi="Times New Roman" w:cs="Times New Roman"/>
                      <w:b/>
                      <w:bCs/>
                      <w:color w:val="auto"/>
                      <w:spacing w:val="-7"/>
                      <w:sz w:val="18"/>
                      <w:szCs w:val="18"/>
                      <w:vertAlign w:val="baseline"/>
                      <w:lang w:val="en-US" w:eastAsia="zh-CN"/>
                    </w:rPr>
                    <w:t>重点</w:t>
                  </w:r>
                  <w:r>
                    <w:rPr>
                      <w:rFonts w:hint="default" w:ascii="Times New Roman" w:hAnsi="Times New Roman" w:eastAsia="宋体" w:cs="Times New Roman"/>
                      <w:b/>
                      <w:bCs/>
                      <w:color w:val="auto"/>
                      <w:spacing w:val="-7"/>
                      <w:sz w:val="18"/>
                      <w:szCs w:val="18"/>
                      <w:vertAlign w:val="baseline"/>
                      <w:lang w:val="en-US" w:eastAsia="zh-CN"/>
                    </w:rPr>
                    <w:t>管控要求</w:t>
                  </w:r>
                </w:p>
              </w:tc>
              <w:tc>
                <w:tcPr>
                  <w:tcW w:w="1647" w:type="dxa"/>
                  <w:tcBorders>
                    <w:tl2br w:val="nil"/>
                    <w:tr2bl w:val="nil"/>
                  </w:tcBorders>
                  <w:vAlign w:val="center"/>
                </w:tcPr>
                <w:p w14:paraId="2B4C4773">
                  <w:pPr>
                    <w:pStyle w:val="46"/>
                    <w:spacing w:line="240" w:lineRule="auto"/>
                    <w:ind w:right="-29"/>
                    <w:jc w:val="center"/>
                    <w:rPr>
                      <w:rFonts w:hint="default" w:ascii="Times New Roman" w:hAnsi="Times New Roman" w:eastAsia="宋体" w:cs="Times New Roman"/>
                      <w:b/>
                      <w:bCs/>
                      <w:color w:val="auto"/>
                      <w:spacing w:val="-7"/>
                      <w:sz w:val="18"/>
                      <w:szCs w:val="18"/>
                      <w:vertAlign w:val="baseline"/>
                      <w:lang w:val="en-US" w:eastAsia="zh-CN"/>
                    </w:rPr>
                  </w:pPr>
                  <w:r>
                    <w:rPr>
                      <w:rFonts w:hint="default" w:ascii="Times New Roman" w:hAnsi="Times New Roman" w:eastAsia="宋体" w:cs="Times New Roman"/>
                      <w:b/>
                      <w:bCs/>
                      <w:color w:val="auto"/>
                      <w:spacing w:val="-7"/>
                      <w:sz w:val="18"/>
                      <w:szCs w:val="18"/>
                      <w:vertAlign w:val="baseline"/>
                      <w:lang w:val="en-US" w:eastAsia="zh-CN"/>
                    </w:rPr>
                    <w:t>相符性分析</w:t>
                  </w:r>
                </w:p>
              </w:tc>
              <w:tc>
                <w:tcPr>
                  <w:tcW w:w="902" w:type="dxa"/>
                  <w:tcBorders>
                    <w:tl2br w:val="nil"/>
                    <w:tr2bl w:val="nil"/>
                  </w:tcBorders>
                  <w:vAlign w:val="center"/>
                </w:tcPr>
                <w:p w14:paraId="1FB4D2EF">
                  <w:pPr>
                    <w:pStyle w:val="46"/>
                    <w:spacing w:line="240" w:lineRule="auto"/>
                    <w:ind w:right="-29"/>
                    <w:jc w:val="center"/>
                    <w:rPr>
                      <w:rFonts w:hint="default" w:ascii="Times New Roman" w:hAnsi="Times New Roman" w:eastAsia="宋体" w:cs="Times New Roman"/>
                      <w:b/>
                      <w:bCs/>
                      <w:color w:val="auto"/>
                      <w:spacing w:val="-7"/>
                      <w:sz w:val="18"/>
                      <w:szCs w:val="18"/>
                      <w:vertAlign w:val="baseline"/>
                      <w:lang w:val="en-US" w:eastAsia="zh-CN"/>
                    </w:rPr>
                  </w:pPr>
                  <w:r>
                    <w:rPr>
                      <w:rFonts w:hint="eastAsia" w:ascii="Times New Roman" w:hAnsi="Times New Roman" w:eastAsia="宋体" w:cs="Times New Roman"/>
                      <w:b/>
                      <w:bCs/>
                      <w:color w:val="auto"/>
                      <w:spacing w:val="-7"/>
                      <w:sz w:val="18"/>
                      <w:szCs w:val="18"/>
                      <w:vertAlign w:val="baseline"/>
                      <w:lang w:val="en-US" w:eastAsia="zh-CN"/>
                    </w:rPr>
                    <w:t>相符性</w:t>
                  </w:r>
                </w:p>
              </w:tc>
            </w:tr>
            <w:tr w14:paraId="6B392D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17" w:hRule="atLeast"/>
                <w:jc w:val="center"/>
              </w:trPr>
              <w:tc>
                <w:tcPr>
                  <w:tcW w:w="574" w:type="dxa"/>
                  <w:tcBorders>
                    <w:tl2br w:val="nil"/>
                    <w:tr2bl w:val="nil"/>
                  </w:tcBorders>
                  <w:vAlign w:val="center"/>
                </w:tcPr>
                <w:p w14:paraId="597F9BDA">
                  <w:pPr>
                    <w:pStyle w:val="46"/>
                    <w:spacing w:line="240" w:lineRule="auto"/>
                    <w:ind w:left="0" w:leftChars="0" w:right="-29" w:rightChars="0"/>
                    <w:jc w:val="center"/>
                    <w:rPr>
                      <w:rFonts w:hint="default" w:ascii="Times New Roman" w:hAnsi="Times New Roman" w:eastAsia="宋体" w:cs="Times New Roman"/>
                      <w:color w:val="auto"/>
                      <w:spacing w:val="-7"/>
                      <w:sz w:val="18"/>
                      <w:szCs w:val="18"/>
                      <w:vertAlign w:val="baseline"/>
                      <w:lang w:val="en-US" w:eastAsia="zh-CN" w:bidi="zh-CN"/>
                    </w:rPr>
                  </w:pPr>
                  <w:r>
                    <w:rPr>
                      <w:rFonts w:hint="default" w:ascii="Times New Roman" w:hAnsi="Times New Roman" w:eastAsia="宋体" w:cs="Times New Roman"/>
                      <w:color w:val="auto"/>
                      <w:sz w:val="18"/>
                      <w:szCs w:val="18"/>
                    </w:rPr>
                    <w:t>空间布局约束</w:t>
                  </w:r>
                </w:p>
              </w:tc>
              <w:tc>
                <w:tcPr>
                  <w:tcW w:w="5114" w:type="dxa"/>
                  <w:tcBorders>
                    <w:tl2br w:val="nil"/>
                    <w:tr2bl w:val="nil"/>
                  </w:tcBorders>
                  <w:vAlign w:val="top"/>
                </w:tcPr>
                <w:p w14:paraId="09A11C11">
                  <w:pPr>
                    <w:keepNext w:val="0"/>
                    <w:keepLines w:val="0"/>
                    <w:widowControl/>
                    <w:suppressLineNumbers w:val="0"/>
                    <w:spacing w:line="240" w:lineRule="auto"/>
                    <w:jc w:val="left"/>
                    <w:rPr>
                      <w:rFonts w:hint="default" w:ascii="Times New Roman" w:hAnsi="Times New Roman" w:eastAsia="宋体" w:cs="Times New Roman"/>
                      <w:color w:val="auto"/>
                    </w:rPr>
                  </w:pPr>
                  <w:r>
                    <w:rPr>
                      <w:rFonts w:hint="default" w:ascii="Times New Roman" w:hAnsi="Times New Roman" w:eastAsia="宋体" w:cs="Times New Roman"/>
                      <w:color w:val="auto"/>
                      <w:kern w:val="0"/>
                      <w:sz w:val="18"/>
                      <w:szCs w:val="18"/>
                      <w:lang w:val="en-US" w:eastAsia="zh-CN" w:bidi="ar"/>
                    </w:rPr>
                    <w:t xml:space="preserve">1.严格执行《江苏省“三线一单”生态环境分区管控方案》、《南通市“三线一单”生态环境分区管控实施方案》等文件中总体准入管控的相关要求。 </w:t>
                  </w:r>
                </w:p>
                <w:p w14:paraId="29BA427C">
                  <w:pPr>
                    <w:keepNext w:val="0"/>
                    <w:keepLines w:val="0"/>
                    <w:widowControl/>
                    <w:suppressLineNumbers w:val="0"/>
                    <w:spacing w:line="240" w:lineRule="auto"/>
                    <w:jc w:val="left"/>
                    <w:rPr>
                      <w:rFonts w:hint="default" w:ascii="Times New Roman" w:hAnsi="Times New Roman" w:eastAsia="宋体" w:cs="Times New Roman"/>
                      <w:color w:val="auto"/>
                    </w:rPr>
                  </w:pPr>
                  <w:r>
                    <w:rPr>
                      <w:rFonts w:hint="default" w:ascii="Times New Roman" w:hAnsi="Times New Roman" w:eastAsia="宋体" w:cs="Times New Roman"/>
                      <w:color w:val="auto"/>
                      <w:kern w:val="0"/>
                      <w:sz w:val="18"/>
                      <w:szCs w:val="18"/>
                      <w:lang w:val="en-US" w:eastAsia="zh-CN" w:bidi="ar"/>
                    </w:rPr>
                    <w:t xml:space="preserve">2.按照《省政府关于印发江苏省生态空间管控区域规划的通知》、《省政府办公厅关于印发江苏省生态空间管控区域调整管理办法的通知》、《省政府办公厅关于印发江苏省生态空间管控区域监督管理办法的通知》，生态空间管控区域一经划定，任何单位和个人不得擅自占用。落实生态红线管控刚性要求。严格落实国家生态保护红线、省级生态空间管控区域要求，加强生态空间保护区域执法监管，确保生态功能不降低、面积不减少、性质不改变。 </w:t>
                  </w:r>
                </w:p>
                <w:p w14:paraId="498FCD66">
                  <w:pPr>
                    <w:keepNext w:val="0"/>
                    <w:keepLines w:val="0"/>
                    <w:widowControl/>
                    <w:suppressLineNumbers w:val="0"/>
                    <w:spacing w:line="240" w:lineRule="auto"/>
                    <w:jc w:val="left"/>
                    <w:rPr>
                      <w:rFonts w:hint="default" w:ascii="Times New Roman" w:hAnsi="Times New Roman" w:eastAsia="宋体" w:cs="Times New Roman"/>
                      <w:color w:val="auto"/>
                    </w:rPr>
                  </w:pPr>
                  <w:r>
                    <w:rPr>
                      <w:rFonts w:hint="default" w:ascii="Times New Roman" w:hAnsi="Times New Roman" w:eastAsia="宋体" w:cs="Times New Roman"/>
                      <w:color w:val="auto"/>
                      <w:kern w:val="0"/>
                      <w:sz w:val="18"/>
                      <w:szCs w:val="18"/>
                      <w:lang w:val="en-US" w:eastAsia="zh-CN" w:bidi="ar"/>
                    </w:rPr>
                    <w:t xml:space="preserve">3.根据《南通市海门区国民经济和社会发展第十四个五年规划和二〇三五年远景目标纲要》，海门区重点围绕高端家纺、现代建筑、先进装备制造三大现有千亿级产业提升和新材料、生物医药、新一代信息技术三大新兴千亿级产业培育，强化产业链、创新链、价值链三链一体协同发展，形成“一城两港六组团”空间格局。 </w:t>
                  </w:r>
                </w:p>
                <w:p w14:paraId="6BE4A863">
                  <w:pPr>
                    <w:keepNext w:val="0"/>
                    <w:keepLines w:val="0"/>
                    <w:widowControl/>
                    <w:suppressLineNumbers w:val="0"/>
                    <w:spacing w:line="240" w:lineRule="auto"/>
                    <w:jc w:val="left"/>
                    <w:rPr>
                      <w:rFonts w:hint="default" w:ascii="Times New Roman" w:hAnsi="Times New Roman" w:eastAsia="宋体" w:cs="Times New Roman"/>
                      <w:color w:val="auto"/>
                    </w:rPr>
                  </w:pPr>
                  <w:r>
                    <w:rPr>
                      <w:rFonts w:hint="default" w:ascii="Times New Roman" w:hAnsi="Times New Roman" w:eastAsia="宋体" w:cs="Times New Roman"/>
                      <w:color w:val="auto"/>
                      <w:kern w:val="0"/>
                      <w:sz w:val="18"/>
                      <w:szCs w:val="18"/>
                      <w:lang w:val="en-US" w:eastAsia="zh-CN" w:bidi="ar"/>
                    </w:rPr>
                    <w:t xml:space="preserve">4.严格执行《〈长江经济带负面清单指南〉江苏省实施细则（试行）》和《南通市长江经济带生态环境保护实施规划》等，青龙化工区、灵甸化工区已取消化工定位，加快推进沿江 1km 范围内化工企业关停、转型海门区长江干流和主要支流岸线 1 公里范围内的区域不得新建、扩建化工企业和项目。 </w:t>
                  </w:r>
                </w:p>
                <w:p w14:paraId="04DB426C">
                  <w:pPr>
                    <w:keepNext w:val="0"/>
                    <w:keepLines w:val="0"/>
                    <w:widowControl/>
                    <w:suppressLineNumbers w:val="0"/>
                    <w:spacing w:line="240" w:lineRule="auto"/>
                    <w:jc w:val="left"/>
                    <w:rPr>
                      <w:rFonts w:hint="default" w:ascii="Times New Roman" w:hAnsi="Times New Roman" w:eastAsia="宋体" w:cs="Times New Roman"/>
                      <w:color w:val="auto"/>
                      <w:spacing w:val="-7"/>
                      <w:sz w:val="21"/>
                      <w:szCs w:val="22"/>
                      <w:vertAlign w:val="baseline"/>
                      <w:lang w:val="en-US" w:eastAsia="zh-CN" w:bidi="zh-CN"/>
                    </w:rPr>
                  </w:pPr>
                  <w:r>
                    <w:rPr>
                      <w:rFonts w:hint="default" w:ascii="Times New Roman" w:hAnsi="Times New Roman" w:eastAsia="宋体" w:cs="Times New Roman"/>
                      <w:color w:val="auto"/>
                      <w:kern w:val="0"/>
                      <w:sz w:val="18"/>
                      <w:szCs w:val="18"/>
                      <w:lang w:val="en-US" w:eastAsia="zh-CN" w:bidi="ar"/>
                    </w:rPr>
                    <w:t>5.落实《南通市关于加大污染减排力度推进重点行业绿色发展的指导意见》《海门区重点行业转型升级和绿色发展工作方案》，严格涉重项目环境准入，落实纺织印染、装备制造、电子信息、船舶海工、非金属矿物制品、生物医药等行业准入要求。</w:t>
                  </w:r>
                </w:p>
              </w:tc>
              <w:tc>
                <w:tcPr>
                  <w:tcW w:w="1647" w:type="dxa"/>
                  <w:tcBorders>
                    <w:tl2br w:val="nil"/>
                    <w:tr2bl w:val="nil"/>
                  </w:tcBorders>
                  <w:vAlign w:val="center"/>
                </w:tcPr>
                <w:p w14:paraId="7AF0017C">
                  <w:pPr>
                    <w:keepNext w:val="0"/>
                    <w:keepLines w:val="0"/>
                    <w:widowControl/>
                    <w:suppressLineNumbers w:val="0"/>
                    <w:spacing w:line="240" w:lineRule="auto"/>
                    <w:ind w:left="0" w:leftChars="0" w:right="0" w:rightChars="0"/>
                    <w:jc w:val="center"/>
                    <w:rPr>
                      <w:rFonts w:hint="default" w:ascii="Times New Roman" w:hAnsi="Times New Roman" w:eastAsia="宋体" w:cs="Times New Roman"/>
                      <w:color w:val="auto"/>
                      <w:spacing w:val="-7"/>
                      <w:sz w:val="21"/>
                      <w:szCs w:val="22"/>
                      <w:vertAlign w:val="baseline"/>
                      <w:lang w:val="en-US" w:eastAsia="zh-CN" w:bidi="zh-CN"/>
                    </w:rPr>
                  </w:pPr>
                  <w:r>
                    <w:rPr>
                      <w:rFonts w:hint="default" w:ascii="Times New Roman" w:hAnsi="Times New Roman" w:eastAsia="宋体" w:cs="Times New Roman"/>
                      <w:color w:val="auto"/>
                      <w:kern w:val="0"/>
                      <w:sz w:val="18"/>
                      <w:szCs w:val="18"/>
                      <w:lang w:val="en-US" w:eastAsia="zh-CN" w:bidi="ar"/>
                    </w:rPr>
                    <w:t>本项目不占用生态空间管控区域，本项目不属于化工企业，不属于涉重项目。</w:t>
                  </w:r>
                </w:p>
              </w:tc>
              <w:tc>
                <w:tcPr>
                  <w:tcW w:w="902" w:type="dxa"/>
                  <w:tcBorders>
                    <w:tl2br w:val="nil"/>
                    <w:tr2bl w:val="nil"/>
                  </w:tcBorders>
                  <w:vAlign w:val="center"/>
                </w:tcPr>
                <w:p w14:paraId="5480BA4B">
                  <w:pPr>
                    <w:keepNext w:val="0"/>
                    <w:keepLines w:val="0"/>
                    <w:widowControl/>
                    <w:suppressLineNumbers w:val="0"/>
                    <w:spacing w:line="240" w:lineRule="auto"/>
                    <w:ind w:left="0" w:leftChars="0" w:right="0" w:rightChars="0"/>
                    <w:jc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相符</w:t>
                  </w:r>
                </w:p>
              </w:tc>
            </w:tr>
            <w:tr w14:paraId="08B7A2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2" w:hRule="atLeast"/>
                <w:jc w:val="center"/>
              </w:trPr>
              <w:tc>
                <w:tcPr>
                  <w:tcW w:w="574" w:type="dxa"/>
                  <w:tcBorders>
                    <w:tl2br w:val="nil"/>
                    <w:tr2bl w:val="nil"/>
                  </w:tcBorders>
                  <w:vAlign w:val="center"/>
                </w:tcPr>
                <w:p w14:paraId="5128FDDF">
                  <w:pPr>
                    <w:pStyle w:val="46"/>
                    <w:spacing w:line="240" w:lineRule="auto"/>
                    <w:ind w:right="-29"/>
                    <w:jc w:val="center"/>
                    <w:rPr>
                      <w:rFonts w:hint="default" w:ascii="Times New Roman" w:hAnsi="Times New Roman" w:eastAsia="宋体" w:cs="Times New Roman"/>
                      <w:color w:val="auto"/>
                      <w:sz w:val="18"/>
                      <w:szCs w:val="18"/>
                      <w:lang w:val="en-US" w:eastAsia="zh-CN"/>
                    </w:rPr>
                  </w:pPr>
                </w:p>
                <w:p w14:paraId="6FB846A8">
                  <w:pPr>
                    <w:pStyle w:val="46"/>
                    <w:spacing w:line="240" w:lineRule="auto"/>
                    <w:ind w:left="0" w:leftChars="0" w:right="-29" w:rightChars="0"/>
                    <w:jc w:val="center"/>
                    <w:rPr>
                      <w:rFonts w:hint="default" w:ascii="Times New Roman" w:hAnsi="Times New Roman" w:eastAsia="宋体" w:cs="Times New Roman"/>
                      <w:color w:val="auto"/>
                      <w:spacing w:val="-7"/>
                      <w:sz w:val="18"/>
                      <w:szCs w:val="18"/>
                      <w:vertAlign w:val="baseline"/>
                      <w:lang w:val="en-US" w:eastAsia="zh-CN" w:bidi="zh-CN"/>
                    </w:rPr>
                  </w:pPr>
                  <w:r>
                    <w:rPr>
                      <w:rFonts w:hint="default" w:ascii="Times New Roman" w:hAnsi="Times New Roman" w:eastAsia="宋体" w:cs="Times New Roman"/>
                      <w:color w:val="auto"/>
                      <w:sz w:val="18"/>
                      <w:szCs w:val="18"/>
                      <w:lang w:val="en-US" w:eastAsia="zh-CN"/>
                    </w:rPr>
                    <w:t>污染物排放管控</w:t>
                  </w:r>
                </w:p>
              </w:tc>
              <w:tc>
                <w:tcPr>
                  <w:tcW w:w="5114" w:type="dxa"/>
                  <w:tcBorders>
                    <w:tl2br w:val="nil"/>
                    <w:tr2bl w:val="nil"/>
                  </w:tcBorders>
                  <w:vAlign w:val="top"/>
                </w:tcPr>
                <w:p w14:paraId="50DCC710">
                  <w:pPr>
                    <w:pStyle w:val="46"/>
                    <w:spacing w:line="240" w:lineRule="auto"/>
                    <w:ind w:right="-29"/>
                    <w:rPr>
                      <w:rFonts w:hint="default" w:ascii="Times New Roman" w:hAnsi="Times New Roman" w:eastAsia="宋体" w:cs="Times New Roman"/>
                      <w:color w:val="auto"/>
                      <w:spacing w:val="-5"/>
                      <w:sz w:val="18"/>
                      <w:lang w:val="en-US" w:eastAsia="zh-CN"/>
                    </w:rPr>
                  </w:pPr>
                  <w:r>
                    <w:rPr>
                      <w:rFonts w:hint="default" w:ascii="Times New Roman" w:hAnsi="Times New Roman" w:eastAsia="宋体" w:cs="Times New Roman"/>
                      <w:color w:val="auto"/>
                      <w:spacing w:val="-5"/>
                      <w:sz w:val="18"/>
                      <w:lang w:val="en-US" w:eastAsia="zh-CN"/>
                    </w:rPr>
                    <w:t>1.加速碳排放达峰和空气质量达标“双达”进程，落实达峰和减排措施，实行碳排放总量和强度双重目标控制机制。单位 GDP 二氧化碳排放下降率完成市级下达任务。</w:t>
                  </w:r>
                </w:p>
                <w:p w14:paraId="566B602F">
                  <w:pPr>
                    <w:pStyle w:val="46"/>
                    <w:spacing w:line="240" w:lineRule="auto"/>
                    <w:ind w:right="-29"/>
                    <w:rPr>
                      <w:rFonts w:hint="default" w:ascii="Times New Roman" w:hAnsi="Times New Roman" w:eastAsia="宋体" w:cs="Times New Roman"/>
                      <w:color w:val="auto"/>
                    </w:rPr>
                  </w:pPr>
                  <w:r>
                    <w:rPr>
                      <w:rFonts w:hint="default" w:ascii="Times New Roman" w:hAnsi="Times New Roman" w:eastAsia="宋体" w:cs="Times New Roman"/>
                      <w:color w:val="auto"/>
                      <w:spacing w:val="-5"/>
                      <w:sz w:val="18"/>
                      <w:lang w:val="en-US" w:eastAsia="zh-CN"/>
                    </w:rPr>
                    <w:t>2.落实《关于印发江苏省工业园区（集中区）污染物排放限值限量管理工作方案（试行）</w:t>
                  </w:r>
                  <w:r>
                    <w:rPr>
                      <w:rFonts w:hint="default" w:ascii="Times New Roman" w:hAnsi="Times New Roman" w:eastAsia="宋体" w:cs="Times New Roman"/>
                      <w:color w:val="auto"/>
                      <w:kern w:val="0"/>
                      <w:sz w:val="18"/>
                      <w:szCs w:val="18"/>
                      <w:lang w:val="en-US" w:eastAsia="zh-CN" w:bidi="ar"/>
                    </w:rPr>
                    <w:t xml:space="preserve">的通知》，实施工业园区生态环境限值限量管理，严控高能耗高排放、严禁高污染不安全项目落地，完善工业园区主要污染物排放总量控制措施，实现主要污染物排放浓度和总量“双控”。 </w:t>
                  </w:r>
                </w:p>
                <w:p w14:paraId="015D38A5">
                  <w:pPr>
                    <w:keepNext w:val="0"/>
                    <w:keepLines w:val="0"/>
                    <w:widowControl/>
                    <w:suppressLineNumbers w:val="0"/>
                    <w:spacing w:line="240" w:lineRule="auto"/>
                    <w:jc w:val="left"/>
                    <w:rPr>
                      <w:rFonts w:hint="default" w:ascii="Times New Roman" w:hAnsi="Times New Roman" w:eastAsia="宋体" w:cs="Times New Roman"/>
                      <w:color w:val="auto"/>
                    </w:rPr>
                  </w:pPr>
                  <w:r>
                    <w:rPr>
                      <w:rFonts w:hint="default" w:ascii="Times New Roman" w:hAnsi="Times New Roman" w:eastAsia="宋体" w:cs="Times New Roman"/>
                      <w:color w:val="auto"/>
                      <w:kern w:val="0"/>
                      <w:sz w:val="18"/>
                      <w:szCs w:val="18"/>
                      <w:lang w:val="en-US" w:eastAsia="zh-CN" w:bidi="ar"/>
                    </w:rPr>
                    <w:t xml:space="preserve">3.严格执行《关于加强高耗能、高排放建设项目生态环境源头防控的指导意见》，严把建设项目环境准入关，落实区域削减要求。 </w:t>
                  </w:r>
                </w:p>
                <w:p w14:paraId="4B8D3333">
                  <w:pPr>
                    <w:keepNext w:val="0"/>
                    <w:keepLines w:val="0"/>
                    <w:widowControl/>
                    <w:suppressLineNumbers w:val="0"/>
                    <w:spacing w:line="240" w:lineRule="auto"/>
                    <w:jc w:val="left"/>
                    <w:rPr>
                      <w:rFonts w:hint="default" w:ascii="Times New Roman" w:hAnsi="Times New Roman" w:eastAsia="宋体" w:cs="Times New Roman"/>
                      <w:color w:val="auto"/>
                      <w:spacing w:val="-5"/>
                      <w:sz w:val="18"/>
                      <w:szCs w:val="22"/>
                      <w:lang w:val="en-US" w:eastAsia="zh-CN" w:bidi="zh-CN"/>
                    </w:rPr>
                  </w:pPr>
                  <w:r>
                    <w:rPr>
                      <w:rFonts w:hint="default" w:ascii="Times New Roman" w:hAnsi="Times New Roman" w:eastAsia="宋体" w:cs="Times New Roman"/>
                      <w:color w:val="auto"/>
                      <w:kern w:val="0"/>
                      <w:sz w:val="18"/>
                      <w:szCs w:val="18"/>
                      <w:lang w:val="en-US" w:eastAsia="zh-CN" w:bidi="ar"/>
                    </w:rPr>
                    <w:t>4.2025 年污染物排放总量以“十四五”规划约束性目标为准。</w:t>
                  </w:r>
                </w:p>
              </w:tc>
              <w:tc>
                <w:tcPr>
                  <w:tcW w:w="1647" w:type="dxa"/>
                  <w:tcBorders>
                    <w:tl2br w:val="nil"/>
                    <w:tr2bl w:val="nil"/>
                  </w:tcBorders>
                  <w:vAlign w:val="center"/>
                </w:tcPr>
                <w:p w14:paraId="17CFF76D">
                  <w:pPr>
                    <w:pStyle w:val="46"/>
                    <w:spacing w:line="240" w:lineRule="auto"/>
                    <w:ind w:left="13" w:right="93"/>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pacing w:val="-5"/>
                      <w:sz w:val="18"/>
                      <w:highlight w:val="none"/>
                      <w:lang w:val="en-US" w:eastAsia="zh-CN"/>
                    </w:rPr>
                    <w:t>本项目建成后将实施污染物总量控制，新</w:t>
                  </w:r>
                  <w:r>
                    <w:rPr>
                      <w:rFonts w:hint="default" w:ascii="Times New Roman" w:hAnsi="Times New Roman" w:eastAsia="宋体" w:cs="Times New Roman"/>
                      <w:color w:val="auto"/>
                      <w:kern w:val="0"/>
                      <w:sz w:val="18"/>
                      <w:szCs w:val="18"/>
                      <w:highlight w:val="none"/>
                      <w:lang w:val="en-US" w:eastAsia="zh-CN" w:bidi="ar"/>
                    </w:rPr>
                    <w:t>增大气污染物总量能在区域内平衡。</w:t>
                  </w:r>
                </w:p>
                <w:p w14:paraId="405A73D3">
                  <w:pPr>
                    <w:pStyle w:val="46"/>
                    <w:spacing w:line="240" w:lineRule="auto"/>
                    <w:ind w:left="13" w:leftChars="0" w:right="93" w:rightChars="0"/>
                    <w:jc w:val="center"/>
                    <w:rPr>
                      <w:rFonts w:hint="default" w:ascii="Times New Roman" w:hAnsi="Times New Roman" w:eastAsia="宋体" w:cs="Times New Roman"/>
                      <w:color w:val="auto"/>
                      <w:spacing w:val="-5"/>
                      <w:sz w:val="18"/>
                      <w:szCs w:val="22"/>
                      <w:lang w:val="en-US" w:eastAsia="zh-CN" w:bidi="zh-CN"/>
                    </w:rPr>
                  </w:pPr>
                </w:p>
              </w:tc>
              <w:tc>
                <w:tcPr>
                  <w:tcW w:w="902" w:type="dxa"/>
                  <w:tcBorders>
                    <w:tl2br w:val="nil"/>
                    <w:tr2bl w:val="nil"/>
                  </w:tcBorders>
                  <w:vAlign w:val="center"/>
                </w:tcPr>
                <w:p w14:paraId="4CFE5023">
                  <w:pPr>
                    <w:pStyle w:val="46"/>
                    <w:spacing w:line="240" w:lineRule="auto"/>
                    <w:ind w:left="13" w:leftChars="0" w:right="93" w:rightChars="0"/>
                    <w:jc w:val="center"/>
                    <w:rPr>
                      <w:rFonts w:hint="default" w:ascii="Times New Roman" w:hAnsi="Times New Roman" w:eastAsia="宋体" w:cs="Times New Roman"/>
                      <w:color w:val="auto"/>
                      <w:spacing w:val="-5"/>
                      <w:sz w:val="18"/>
                      <w:szCs w:val="22"/>
                      <w:lang w:val="en-US" w:eastAsia="zh-CN" w:bidi="zh-CN"/>
                    </w:rPr>
                  </w:pPr>
                  <w:r>
                    <w:rPr>
                      <w:rFonts w:hint="eastAsia" w:ascii="Times New Roman" w:hAnsi="Times New Roman" w:eastAsia="宋体" w:cs="Times New Roman"/>
                      <w:color w:val="auto"/>
                      <w:spacing w:val="-5"/>
                      <w:sz w:val="18"/>
                      <w:szCs w:val="22"/>
                      <w:lang w:val="en-US" w:eastAsia="zh-CN" w:bidi="zh-CN"/>
                    </w:rPr>
                    <w:t>相符</w:t>
                  </w:r>
                </w:p>
              </w:tc>
            </w:tr>
            <w:tr w14:paraId="147B8B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74" w:type="dxa"/>
                  <w:tcBorders>
                    <w:tl2br w:val="nil"/>
                    <w:tr2bl w:val="nil"/>
                  </w:tcBorders>
                  <w:vAlign w:val="center"/>
                </w:tcPr>
                <w:p w14:paraId="385A2620">
                  <w:pPr>
                    <w:pStyle w:val="46"/>
                    <w:spacing w:line="240" w:lineRule="auto"/>
                    <w:ind w:right="-29"/>
                    <w:jc w:val="center"/>
                    <w:rPr>
                      <w:rFonts w:hint="default" w:ascii="Times New Roman" w:hAnsi="Times New Roman" w:eastAsia="宋体" w:cs="Times New Roman"/>
                      <w:color w:val="auto"/>
                      <w:sz w:val="18"/>
                      <w:szCs w:val="18"/>
                      <w:lang w:val="en-US" w:eastAsia="zh-CN"/>
                    </w:rPr>
                  </w:pPr>
                </w:p>
                <w:p w14:paraId="46C8C398">
                  <w:pPr>
                    <w:pStyle w:val="46"/>
                    <w:spacing w:line="240" w:lineRule="auto"/>
                    <w:ind w:left="0" w:leftChars="0" w:right="-29" w:rightChars="0"/>
                    <w:jc w:val="center"/>
                    <w:rPr>
                      <w:rFonts w:hint="default" w:ascii="Times New Roman" w:hAnsi="Times New Roman" w:eastAsia="宋体" w:cs="Times New Roman"/>
                      <w:color w:val="auto"/>
                      <w:spacing w:val="-7"/>
                      <w:sz w:val="18"/>
                      <w:szCs w:val="18"/>
                      <w:vertAlign w:val="baseline"/>
                      <w:lang w:val="en-US" w:eastAsia="zh-CN" w:bidi="zh-CN"/>
                    </w:rPr>
                  </w:pPr>
                  <w:r>
                    <w:rPr>
                      <w:rFonts w:hint="default" w:ascii="Times New Roman" w:hAnsi="Times New Roman" w:eastAsia="宋体" w:cs="Times New Roman"/>
                      <w:color w:val="auto"/>
                      <w:sz w:val="18"/>
                      <w:szCs w:val="18"/>
                      <w:lang w:val="en-US" w:eastAsia="zh-CN"/>
                    </w:rPr>
                    <w:t>环境风险防控</w:t>
                  </w:r>
                </w:p>
              </w:tc>
              <w:tc>
                <w:tcPr>
                  <w:tcW w:w="5114" w:type="dxa"/>
                  <w:tcBorders>
                    <w:tl2br w:val="nil"/>
                    <w:tr2bl w:val="nil"/>
                  </w:tcBorders>
                  <w:vAlign w:val="top"/>
                </w:tcPr>
                <w:p w14:paraId="6625FCFF">
                  <w:pPr>
                    <w:pStyle w:val="46"/>
                    <w:spacing w:line="240" w:lineRule="auto"/>
                    <w:ind w:left="12" w:right="-15"/>
                    <w:rPr>
                      <w:rFonts w:hint="default" w:ascii="Times New Roman" w:hAnsi="Times New Roman" w:eastAsia="宋体" w:cs="Times New Roman"/>
                      <w:color w:val="auto"/>
                      <w:spacing w:val="-5"/>
                      <w:sz w:val="18"/>
                      <w:lang w:val="en-US" w:eastAsia="zh-CN"/>
                    </w:rPr>
                  </w:pPr>
                </w:p>
                <w:p w14:paraId="7A3ECF9D">
                  <w:pPr>
                    <w:keepNext w:val="0"/>
                    <w:keepLines w:val="0"/>
                    <w:widowControl/>
                    <w:suppressLineNumbers w:val="0"/>
                    <w:spacing w:line="240" w:lineRule="auto"/>
                    <w:jc w:val="left"/>
                    <w:rPr>
                      <w:rFonts w:hint="default" w:ascii="Times New Roman" w:hAnsi="Times New Roman" w:eastAsia="宋体" w:cs="Times New Roman"/>
                      <w:color w:val="auto"/>
                    </w:rPr>
                  </w:pPr>
                  <w:r>
                    <w:rPr>
                      <w:rFonts w:hint="default" w:ascii="Times New Roman" w:hAnsi="Times New Roman" w:eastAsia="宋体" w:cs="Times New Roman"/>
                      <w:color w:val="auto"/>
                      <w:kern w:val="0"/>
                      <w:sz w:val="18"/>
                      <w:szCs w:val="18"/>
                      <w:lang w:val="en-US" w:eastAsia="zh-CN" w:bidi="ar"/>
                    </w:rPr>
                    <w:t xml:space="preserve">1.落实《南通市海门区突发事件总体应急预案》《海门区突发环境事件应急预案（2020 年修订版）》《海门区集中式饮用水源突发污染事件应急预案（2020 年修订版）》等文件要求，建立健全环境风险防范体系，强化环境事故应急管理，防范化解重大风险。 </w:t>
                  </w:r>
                </w:p>
                <w:p w14:paraId="4D138BF5">
                  <w:pPr>
                    <w:keepNext w:val="0"/>
                    <w:keepLines w:val="0"/>
                    <w:widowControl/>
                    <w:suppressLineNumbers w:val="0"/>
                    <w:spacing w:line="240" w:lineRule="auto"/>
                    <w:jc w:val="left"/>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 xml:space="preserve">2.根据《海门市污染地块环境管理联动实施方案》，落实地块属地政府管理责任，实行联动监管。加强污染地块环境风险防控，有效保障建设用地土壤环境安全。 </w:t>
                  </w:r>
                </w:p>
                <w:p w14:paraId="008D325C">
                  <w:pPr>
                    <w:keepNext w:val="0"/>
                    <w:keepLines w:val="0"/>
                    <w:widowControl/>
                    <w:suppressLineNumbers w:val="0"/>
                    <w:spacing w:line="240" w:lineRule="auto"/>
                    <w:jc w:val="left"/>
                    <w:rPr>
                      <w:rFonts w:hint="default" w:ascii="Times New Roman" w:hAnsi="Times New Roman" w:eastAsia="宋体" w:cs="Times New Roman"/>
                      <w:color w:val="auto"/>
                      <w:sz w:val="22"/>
                      <w:szCs w:val="22"/>
                      <w:lang w:val="en-US" w:eastAsia="zh-CN" w:bidi="zh-CN"/>
                    </w:rPr>
                  </w:pPr>
                  <w:r>
                    <w:rPr>
                      <w:rFonts w:hint="default" w:ascii="Times New Roman" w:hAnsi="Times New Roman" w:eastAsia="宋体" w:cs="Times New Roman"/>
                      <w:color w:val="auto"/>
                      <w:kern w:val="0"/>
                      <w:sz w:val="18"/>
                      <w:szCs w:val="18"/>
                      <w:lang w:val="en-US" w:eastAsia="zh-CN" w:bidi="ar"/>
                    </w:rPr>
                    <w:t>3.根据《海门市重污染天气应急预案（2020年修订版）》，加强空气质量监测和大气污染源监控，建立重污染天气风险防范体系，积极预警、及时控制、消除隐患，提高应急处置能力，尽可能减轻重污染天气造成的影响和损失，最大程度地保障大气环境安全。</w:t>
                  </w:r>
                </w:p>
              </w:tc>
              <w:tc>
                <w:tcPr>
                  <w:tcW w:w="1647" w:type="dxa"/>
                  <w:tcBorders>
                    <w:tl2br w:val="nil"/>
                    <w:tr2bl w:val="nil"/>
                  </w:tcBorders>
                  <w:vAlign w:val="center"/>
                </w:tcPr>
                <w:p w14:paraId="4E8A34B0">
                  <w:pPr>
                    <w:keepNext w:val="0"/>
                    <w:keepLines w:val="0"/>
                    <w:widowControl/>
                    <w:suppressLineNumbers w:val="0"/>
                    <w:spacing w:line="240" w:lineRule="auto"/>
                    <w:jc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本项目建成后企业内储备有足够的环境应急物资，实现环境风险联防联控，故满足环境风险管控的相关要求。</w:t>
                  </w:r>
                </w:p>
                <w:p w14:paraId="2274A9F3">
                  <w:pPr>
                    <w:pStyle w:val="46"/>
                    <w:spacing w:line="240" w:lineRule="auto"/>
                    <w:ind w:left="0" w:leftChars="0" w:right="-29" w:rightChars="0"/>
                    <w:jc w:val="center"/>
                    <w:rPr>
                      <w:rFonts w:hint="default" w:ascii="Times New Roman" w:hAnsi="Times New Roman" w:eastAsia="宋体" w:cs="Times New Roman"/>
                      <w:color w:val="auto"/>
                      <w:spacing w:val="-5"/>
                      <w:sz w:val="18"/>
                      <w:szCs w:val="22"/>
                      <w:lang w:val="en-US" w:eastAsia="zh-CN" w:bidi="zh-CN"/>
                    </w:rPr>
                  </w:pPr>
                </w:p>
              </w:tc>
              <w:tc>
                <w:tcPr>
                  <w:tcW w:w="902" w:type="dxa"/>
                  <w:tcBorders>
                    <w:tl2br w:val="nil"/>
                    <w:tr2bl w:val="nil"/>
                  </w:tcBorders>
                  <w:vAlign w:val="center"/>
                </w:tcPr>
                <w:p w14:paraId="286AA7DF">
                  <w:pPr>
                    <w:pStyle w:val="46"/>
                    <w:spacing w:line="240" w:lineRule="auto"/>
                    <w:ind w:left="0" w:leftChars="0" w:right="-29" w:rightChars="0"/>
                    <w:jc w:val="center"/>
                    <w:rPr>
                      <w:rFonts w:hint="default" w:ascii="Times New Roman" w:hAnsi="Times New Roman" w:eastAsia="宋体" w:cs="Times New Roman"/>
                      <w:color w:val="auto"/>
                      <w:spacing w:val="-5"/>
                      <w:sz w:val="18"/>
                      <w:szCs w:val="22"/>
                      <w:lang w:val="en-US" w:eastAsia="zh-CN" w:bidi="zh-CN"/>
                    </w:rPr>
                  </w:pPr>
                  <w:r>
                    <w:rPr>
                      <w:rFonts w:hint="eastAsia" w:ascii="Times New Roman" w:hAnsi="Times New Roman" w:eastAsia="宋体" w:cs="Times New Roman"/>
                      <w:color w:val="auto"/>
                      <w:spacing w:val="-5"/>
                      <w:sz w:val="18"/>
                      <w:szCs w:val="22"/>
                      <w:lang w:val="en-US" w:eastAsia="zh-CN" w:bidi="zh-CN"/>
                    </w:rPr>
                    <w:t>相符</w:t>
                  </w:r>
                </w:p>
              </w:tc>
            </w:tr>
            <w:tr w14:paraId="130FD8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7" w:hRule="atLeast"/>
                <w:jc w:val="center"/>
              </w:trPr>
              <w:tc>
                <w:tcPr>
                  <w:tcW w:w="574" w:type="dxa"/>
                  <w:tcBorders>
                    <w:tl2br w:val="nil"/>
                    <w:tr2bl w:val="nil"/>
                  </w:tcBorders>
                  <w:vAlign w:val="center"/>
                </w:tcPr>
                <w:p w14:paraId="14110172">
                  <w:pPr>
                    <w:keepNext w:val="0"/>
                    <w:keepLines w:val="0"/>
                    <w:widowControl/>
                    <w:suppressLineNumbers w:val="0"/>
                    <w:spacing w:line="240" w:lineRule="auto"/>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val="en-US" w:eastAsia="zh-CN" w:bidi="ar"/>
                    </w:rPr>
                    <w:t>资源开发效率要求</w:t>
                  </w:r>
                </w:p>
                <w:p w14:paraId="41CF3129">
                  <w:pPr>
                    <w:pStyle w:val="46"/>
                    <w:spacing w:line="240" w:lineRule="auto"/>
                    <w:ind w:left="0" w:leftChars="0" w:right="-29" w:rightChars="0"/>
                    <w:jc w:val="center"/>
                    <w:rPr>
                      <w:rFonts w:hint="default" w:ascii="Times New Roman" w:hAnsi="Times New Roman" w:eastAsia="宋体" w:cs="Times New Roman"/>
                      <w:color w:val="auto"/>
                      <w:sz w:val="18"/>
                      <w:szCs w:val="18"/>
                      <w:lang w:val="en-US" w:eastAsia="zh-CN" w:bidi="zh-CN"/>
                    </w:rPr>
                  </w:pPr>
                </w:p>
              </w:tc>
              <w:tc>
                <w:tcPr>
                  <w:tcW w:w="5114" w:type="dxa"/>
                  <w:tcBorders>
                    <w:tl2br w:val="nil"/>
                    <w:tr2bl w:val="nil"/>
                  </w:tcBorders>
                  <w:vAlign w:val="top"/>
                </w:tcPr>
                <w:p w14:paraId="1A1A5909">
                  <w:pPr>
                    <w:keepNext w:val="0"/>
                    <w:keepLines w:val="0"/>
                    <w:widowControl/>
                    <w:suppressLineNumbers w:val="0"/>
                    <w:spacing w:line="240" w:lineRule="auto"/>
                    <w:jc w:val="left"/>
                    <w:rPr>
                      <w:rFonts w:hint="default" w:ascii="Times New Roman" w:hAnsi="Times New Roman" w:eastAsia="宋体" w:cs="Times New Roman"/>
                      <w:color w:val="auto"/>
                    </w:rPr>
                  </w:pPr>
                  <w:r>
                    <w:rPr>
                      <w:rFonts w:hint="default" w:ascii="Times New Roman" w:hAnsi="Times New Roman" w:eastAsia="宋体" w:cs="Times New Roman"/>
                      <w:color w:val="auto"/>
                      <w:kern w:val="0"/>
                      <w:sz w:val="18"/>
                      <w:szCs w:val="18"/>
                      <w:lang w:val="en-US" w:eastAsia="zh-CN" w:bidi="ar"/>
                    </w:rPr>
                    <w:t xml:space="preserve">1.到 2025 年，海门区用水总量控制在 3.1 亿立方米以内，单位地区生产总值用水量控制在16 立方米内；燃煤总量控制在 30 万吨以内，其中非电行业燃煤量为 0（不计中天钢铁项目）。单位地区生产总值能耗控制在 0.2tce/万元以下。 </w:t>
                  </w:r>
                </w:p>
                <w:p w14:paraId="2E74CE72">
                  <w:pPr>
                    <w:keepNext w:val="0"/>
                    <w:keepLines w:val="0"/>
                    <w:widowControl/>
                    <w:suppressLineNumbers w:val="0"/>
                    <w:spacing w:line="240" w:lineRule="auto"/>
                    <w:jc w:val="left"/>
                    <w:rPr>
                      <w:rFonts w:hint="default" w:ascii="Times New Roman" w:hAnsi="Times New Roman" w:eastAsia="宋体" w:cs="Times New Roman"/>
                      <w:color w:val="auto"/>
                    </w:rPr>
                  </w:pPr>
                  <w:r>
                    <w:rPr>
                      <w:rFonts w:hint="default" w:ascii="Times New Roman" w:hAnsi="Times New Roman" w:eastAsia="宋体" w:cs="Times New Roman"/>
                      <w:color w:val="auto"/>
                      <w:kern w:val="0"/>
                      <w:sz w:val="18"/>
                      <w:szCs w:val="18"/>
                      <w:lang w:val="en-US" w:eastAsia="zh-CN" w:bidi="ar"/>
                    </w:rPr>
                    <w:t xml:space="preserve">2.落实《关于强化节能审查工作和监督管理坚决遏制“两高”项目盲目发展的通知》，“两高”项目要坚决落实能效水平和能耗减量替代要求，能效水平须达到国内领先、国际先进，能效水平不满足要求和未落实能耗减量替代的，一律不得出具节能审查意见。 </w:t>
                  </w:r>
                </w:p>
                <w:p w14:paraId="071E11AC">
                  <w:pPr>
                    <w:keepNext w:val="0"/>
                    <w:keepLines w:val="0"/>
                    <w:widowControl/>
                    <w:suppressLineNumbers w:val="0"/>
                    <w:spacing w:line="240" w:lineRule="auto"/>
                    <w:jc w:val="left"/>
                    <w:rPr>
                      <w:rFonts w:hint="default" w:ascii="Times New Roman" w:hAnsi="Times New Roman" w:eastAsia="宋体" w:cs="Times New Roman"/>
                      <w:color w:val="auto"/>
                    </w:rPr>
                  </w:pPr>
                  <w:r>
                    <w:rPr>
                      <w:rFonts w:hint="default" w:ascii="Times New Roman" w:hAnsi="Times New Roman" w:eastAsia="宋体" w:cs="Times New Roman"/>
                      <w:color w:val="auto"/>
                      <w:kern w:val="0"/>
                      <w:sz w:val="18"/>
                      <w:szCs w:val="18"/>
                      <w:lang w:val="en-US" w:eastAsia="zh-CN" w:bidi="ar"/>
                    </w:rPr>
                    <w:t xml:space="preserve">3.根据《海门市政府关于划定高污染燃料禁燃区的通告》，海门经济技术开发区、三厂工业园区、海门工业园区、海永镇范围内除现有热电企业、集中供热企业及规划建设的火电、热电联产项目外，全部为Ⅲ类燃料禁燃区；其他行政区域内为Ⅱ类燃料禁燃区，分区域执行相关文件管理要求。 </w:t>
                  </w:r>
                </w:p>
                <w:p w14:paraId="6E522769">
                  <w:pPr>
                    <w:keepNext w:val="0"/>
                    <w:keepLines w:val="0"/>
                    <w:widowControl/>
                    <w:suppressLineNumbers w:val="0"/>
                    <w:spacing w:line="240" w:lineRule="auto"/>
                    <w:jc w:val="left"/>
                    <w:rPr>
                      <w:rFonts w:hint="default" w:ascii="Times New Roman" w:hAnsi="Times New Roman" w:eastAsia="宋体" w:cs="Times New Roman"/>
                      <w:color w:val="auto"/>
                    </w:rPr>
                  </w:pPr>
                  <w:r>
                    <w:rPr>
                      <w:rFonts w:hint="default" w:ascii="Times New Roman" w:hAnsi="Times New Roman" w:eastAsia="宋体" w:cs="Times New Roman"/>
                      <w:color w:val="auto"/>
                      <w:kern w:val="0"/>
                      <w:sz w:val="18"/>
                      <w:szCs w:val="18"/>
                      <w:lang w:val="en-US" w:eastAsia="zh-CN" w:bidi="ar"/>
                    </w:rPr>
                    <w:t xml:space="preserve">4.实施最严格海洋资源管理和海洋环境保护，进一步从严管控围填海，严格保护自然岸线，整治修复受损岸线，严格水域岸线用途管制，严禁违法侵占河道、围垦河道、非法采砂，注重沿海滩涂资源保护，加强渔业资源养护，建立渔业资源保护区域，控制海洋捕捞强度。加强海洋自然保护地建设，严格落实用海项目生态补偿制度。 </w:t>
                  </w:r>
                </w:p>
                <w:p w14:paraId="566203D8">
                  <w:pPr>
                    <w:keepNext w:val="0"/>
                    <w:keepLines w:val="0"/>
                    <w:widowControl/>
                    <w:suppressLineNumbers w:val="0"/>
                    <w:spacing w:line="240" w:lineRule="auto"/>
                    <w:jc w:val="left"/>
                    <w:rPr>
                      <w:rFonts w:hint="default" w:ascii="Times New Roman" w:hAnsi="Times New Roman" w:eastAsia="宋体" w:cs="Times New Roman"/>
                      <w:color w:val="auto"/>
                      <w:sz w:val="18"/>
                      <w:szCs w:val="22"/>
                      <w:lang w:val="en-US" w:eastAsia="zh-CN" w:bidi="zh-CN"/>
                    </w:rPr>
                  </w:pPr>
                  <w:r>
                    <w:rPr>
                      <w:rFonts w:hint="default" w:ascii="Times New Roman" w:hAnsi="Times New Roman" w:eastAsia="宋体" w:cs="Times New Roman"/>
                      <w:color w:val="auto"/>
                      <w:kern w:val="0"/>
                      <w:sz w:val="18"/>
                      <w:szCs w:val="18"/>
                      <w:lang w:val="en-US" w:eastAsia="zh-CN" w:bidi="ar"/>
                    </w:rPr>
                    <w:t>5.根据国家《长江岸线保护和开发利用总体规划》，制定岸线保护和开发利用实施方案，严格分区管理和用途管制。加强长江岸线保护，海门城区段及以东以生活、生态岸线为主，限制工业发展。到 2025 年，确保全区长江干线及洲岛岸线开发利用率保持在 50%以下。</w:t>
                  </w:r>
                </w:p>
              </w:tc>
              <w:tc>
                <w:tcPr>
                  <w:tcW w:w="1647" w:type="dxa"/>
                  <w:tcBorders>
                    <w:tl2br w:val="nil"/>
                    <w:tr2bl w:val="nil"/>
                  </w:tcBorders>
                  <w:vAlign w:val="center"/>
                </w:tcPr>
                <w:p w14:paraId="1A703993">
                  <w:pPr>
                    <w:pStyle w:val="46"/>
                    <w:spacing w:line="240" w:lineRule="auto"/>
                    <w:ind w:left="12" w:leftChars="0" w:right="-15" w:rightChars="0"/>
                    <w:jc w:val="center"/>
                    <w:rPr>
                      <w:rFonts w:hint="default" w:ascii="Times New Roman" w:hAnsi="Times New Roman" w:eastAsia="宋体" w:cs="Times New Roman"/>
                      <w:color w:val="auto"/>
                      <w:sz w:val="18"/>
                      <w:szCs w:val="22"/>
                      <w:lang w:val="en-US" w:eastAsia="zh-CN" w:bidi="zh-CN"/>
                    </w:rPr>
                  </w:pPr>
                  <w:r>
                    <w:rPr>
                      <w:rFonts w:hint="default" w:ascii="Times New Roman" w:hAnsi="Times New Roman" w:eastAsia="宋体" w:cs="Times New Roman"/>
                      <w:color w:val="auto"/>
                      <w:sz w:val="18"/>
                      <w:u w:val="none"/>
                      <w:lang w:val="en-US" w:eastAsia="zh-CN"/>
                    </w:rPr>
                    <w:t>本项目生产过程中使用电能</w:t>
                  </w:r>
                  <w:r>
                    <w:rPr>
                      <w:rFonts w:hint="eastAsia" w:ascii="Times New Roman" w:hAnsi="Times New Roman" w:eastAsia="宋体" w:cs="Times New Roman"/>
                      <w:color w:val="auto"/>
                      <w:sz w:val="18"/>
                      <w:u w:val="none"/>
                      <w:lang w:val="en-US" w:eastAsia="zh-CN"/>
                    </w:rPr>
                    <w:t>，均属于清洁能源</w:t>
                  </w:r>
                  <w:r>
                    <w:rPr>
                      <w:rFonts w:hint="default" w:ascii="Times New Roman" w:hAnsi="Times New Roman" w:eastAsia="宋体" w:cs="Times New Roman"/>
                      <w:color w:val="auto"/>
                      <w:sz w:val="18"/>
                      <w:u w:val="none"/>
                      <w:lang w:val="en-US" w:eastAsia="zh-CN"/>
                    </w:rPr>
                    <w:t>，不使用高污染原料，故符合禁燃区的相关要求</w:t>
                  </w:r>
                  <w:r>
                    <w:rPr>
                      <w:rFonts w:hint="default" w:ascii="Times New Roman" w:hAnsi="Times New Roman" w:eastAsia="宋体" w:cs="Times New Roman"/>
                      <w:color w:val="auto"/>
                      <w:sz w:val="18"/>
                      <w:lang w:val="en-US" w:eastAsia="zh-CN"/>
                    </w:rPr>
                    <w:t>。</w:t>
                  </w:r>
                </w:p>
              </w:tc>
              <w:tc>
                <w:tcPr>
                  <w:tcW w:w="902" w:type="dxa"/>
                  <w:tcBorders>
                    <w:tl2br w:val="nil"/>
                    <w:tr2bl w:val="nil"/>
                  </w:tcBorders>
                  <w:vAlign w:val="center"/>
                </w:tcPr>
                <w:p w14:paraId="2AF63FF2">
                  <w:pPr>
                    <w:pStyle w:val="46"/>
                    <w:spacing w:line="240" w:lineRule="auto"/>
                    <w:ind w:left="12" w:leftChars="0" w:right="-15" w:rightChars="0"/>
                    <w:jc w:val="center"/>
                    <w:rPr>
                      <w:rFonts w:hint="default" w:ascii="Times New Roman" w:hAnsi="Times New Roman" w:eastAsia="宋体" w:cs="Times New Roman"/>
                      <w:color w:val="auto"/>
                      <w:sz w:val="18"/>
                      <w:lang w:val="en-US" w:eastAsia="zh-CN"/>
                    </w:rPr>
                  </w:pPr>
                  <w:r>
                    <w:rPr>
                      <w:rFonts w:hint="eastAsia" w:ascii="Times New Roman" w:hAnsi="Times New Roman" w:eastAsia="宋体" w:cs="Times New Roman"/>
                      <w:color w:val="auto"/>
                      <w:sz w:val="18"/>
                      <w:lang w:val="en-US" w:eastAsia="zh-CN"/>
                    </w:rPr>
                    <w:t>相符</w:t>
                  </w:r>
                </w:p>
              </w:tc>
            </w:tr>
          </w:tbl>
          <w:p w14:paraId="1902663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综上所述，本项目与《南通市海门区“三线一单”生态环境分区管控实施方案》（海政办发[2021]85 号）中要求相符。</w:t>
            </w:r>
          </w:p>
          <w:p w14:paraId="117BA8BC">
            <w:pPr>
              <w:pStyle w:val="46"/>
              <w:spacing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 xml:space="preserve">  </w:t>
            </w:r>
            <w:r>
              <w:rPr>
                <w:rFonts w:hint="eastAsia" w:ascii="微软雅黑" w:hAnsi="微软雅黑" w:eastAsia="微软雅黑" w:cs="微软雅黑"/>
                <w:color w:val="auto"/>
                <w:lang w:val="en-US" w:eastAsia="zh-CN"/>
              </w:rPr>
              <w:t>②</w:t>
            </w:r>
            <w:r>
              <w:rPr>
                <w:rFonts w:hint="default" w:ascii="Times New Roman" w:hAnsi="Times New Roman" w:eastAsia="宋体" w:cs="Times New Roman"/>
                <w:color w:val="auto"/>
                <w:lang w:val="en-US" w:eastAsia="zh-CN"/>
              </w:rPr>
              <w:t>与江苏省2023年度生态环境分区管控动态更新成果公告(江苏省生态环境厅，2024年6月13日)的相符性</w:t>
            </w:r>
          </w:p>
          <w:p w14:paraId="15F8365E">
            <w:pPr>
              <w:pStyle w:val="46"/>
              <w:spacing w:line="360" w:lineRule="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   本项目位于</w:t>
            </w:r>
            <w:r>
              <w:rPr>
                <w:rFonts w:hint="eastAsia" w:ascii="Times New Roman" w:hAnsi="Times New Roman" w:eastAsia="宋体" w:cs="Times New Roman"/>
                <w:color w:val="auto"/>
                <w:u w:val="none"/>
                <w:lang w:val="en-US" w:eastAsia="zh-CN"/>
              </w:rPr>
              <w:t>南通市海门经济技术开发区滨江街道福州路179号</w:t>
            </w:r>
            <w:r>
              <w:rPr>
                <w:rFonts w:hint="eastAsia" w:ascii="Times New Roman" w:hAnsi="Times New Roman" w:eastAsia="宋体" w:cs="Times New Roman"/>
                <w:color w:val="auto"/>
                <w:lang w:val="en-US" w:eastAsia="zh-CN"/>
              </w:rPr>
              <w:t>，对照江苏省生态环境管控单元图，本项目位于重点管控单元内，本项目与江苏省2023年度生态环境分区管控动态更新成果公告相符性分析如下：</w:t>
            </w:r>
          </w:p>
          <w:p w14:paraId="48CA4296">
            <w:pPr>
              <w:pStyle w:val="46"/>
              <w:spacing w:line="240" w:lineRule="auto"/>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表1-</w:t>
            </w:r>
            <w:r>
              <w:rPr>
                <w:rFonts w:hint="eastAsia" w:ascii="Times New Roman" w:hAnsi="Times New Roman" w:cs="Times New Roman"/>
                <w:b/>
                <w:bCs/>
                <w:color w:val="auto"/>
                <w:lang w:val="en-US" w:eastAsia="zh-CN"/>
              </w:rPr>
              <w:t>5</w:t>
            </w:r>
            <w:r>
              <w:rPr>
                <w:rFonts w:hint="eastAsia" w:ascii="Times New Roman" w:hAnsi="Times New Roman" w:eastAsia="宋体" w:cs="Times New Roman"/>
                <w:b/>
                <w:bCs/>
                <w:color w:val="auto"/>
                <w:lang w:val="en-US" w:eastAsia="zh-CN"/>
              </w:rPr>
              <w:t xml:space="preserve"> </w:t>
            </w:r>
            <w:r>
              <w:rPr>
                <w:rFonts w:hint="default" w:ascii="Times New Roman" w:hAnsi="Times New Roman" w:eastAsia="宋体" w:cs="Times New Roman"/>
                <w:b/>
                <w:bCs/>
                <w:color w:val="auto"/>
                <w:lang w:val="en-US" w:eastAsia="zh-CN"/>
              </w:rPr>
              <w:t>与江苏省2023年度生态环境分区管控动态更新成果公告相符性分析</w:t>
            </w:r>
          </w:p>
          <w:tbl>
            <w:tblPr>
              <w:tblStyle w:val="21"/>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346"/>
              <w:gridCol w:w="2555"/>
              <w:gridCol w:w="2725"/>
              <w:gridCol w:w="700"/>
            </w:tblGrid>
            <w:tr w14:paraId="7C07A5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4" w:type="dxa"/>
                  <w:gridSpan w:val="5"/>
                  <w:tcBorders>
                    <w:top w:val="single" w:color="000000" w:sz="12" w:space="0"/>
                    <w:tl2br w:val="nil"/>
                    <w:tr2bl w:val="nil"/>
                  </w:tcBorders>
                  <w:noWrap w:val="0"/>
                  <w:vAlign w:val="center"/>
                </w:tcPr>
                <w:p w14:paraId="7402E1D3">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b w:val="0"/>
                      <w:color w:val="auto"/>
                      <w:sz w:val="18"/>
                      <w:szCs w:val="18"/>
                      <w:highlight w:val="none"/>
                      <w:vertAlign w:val="baseline"/>
                      <w:lang w:val="en-US" w:eastAsia="zh-CN"/>
                    </w:rPr>
                  </w:pPr>
                  <w:r>
                    <w:rPr>
                      <w:rFonts w:hint="default" w:ascii="Times New Roman" w:hAnsi="Times New Roman" w:eastAsia="宋体" w:cs="Times New Roman"/>
                      <w:b w:val="0"/>
                      <w:color w:val="auto"/>
                      <w:sz w:val="18"/>
                      <w:szCs w:val="18"/>
                      <w:highlight w:val="none"/>
                      <w:vertAlign w:val="baseline"/>
                      <w:lang w:val="en-US" w:eastAsia="zh-CN"/>
                    </w:rPr>
                    <w:t>基础信息</w:t>
                  </w:r>
                </w:p>
              </w:tc>
            </w:tr>
            <w:tr w14:paraId="42F4BF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15" w:type="dxa"/>
                  <w:gridSpan w:val="2"/>
                  <w:tcBorders>
                    <w:tl2br w:val="nil"/>
                    <w:tr2bl w:val="nil"/>
                  </w:tcBorders>
                  <w:noWrap w:val="0"/>
                  <w:vAlign w:val="center"/>
                </w:tcPr>
                <w:p w14:paraId="39E2F21A">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b w:val="0"/>
                      <w:color w:val="auto"/>
                      <w:sz w:val="18"/>
                      <w:szCs w:val="18"/>
                      <w:highlight w:val="none"/>
                      <w:vertAlign w:val="baseline"/>
                      <w:lang w:val="en-US" w:eastAsia="zh-CN"/>
                    </w:rPr>
                  </w:pPr>
                  <w:r>
                    <w:rPr>
                      <w:rFonts w:hint="default" w:ascii="Times New Roman" w:hAnsi="Times New Roman" w:eastAsia="宋体" w:cs="Times New Roman"/>
                      <w:b w:val="0"/>
                      <w:color w:val="auto"/>
                      <w:sz w:val="18"/>
                      <w:szCs w:val="18"/>
                      <w:highlight w:val="none"/>
                      <w:vertAlign w:val="baseline"/>
                      <w:lang w:val="en-US" w:eastAsia="zh-CN"/>
                    </w:rPr>
                    <w:t>环境管控单元编码</w:t>
                  </w:r>
                </w:p>
              </w:tc>
              <w:tc>
                <w:tcPr>
                  <w:tcW w:w="5999" w:type="dxa"/>
                  <w:gridSpan w:val="3"/>
                  <w:tcBorders>
                    <w:tl2br w:val="nil"/>
                    <w:tr2bl w:val="nil"/>
                  </w:tcBorders>
                  <w:noWrap w:val="0"/>
                  <w:vAlign w:val="center"/>
                </w:tcPr>
                <w:p w14:paraId="22BDB42D">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b w:val="0"/>
                      <w:color w:val="auto"/>
                      <w:sz w:val="18"/>
                      <w:szCs w:val="18"/>
                      <w:highlight w:val="none"/>
                      <w:vertAlign w:val="baseline"/>
                      <w:lang w:val="en-US" w:eastAsia="zh-CN"/>
                    </w:rPr>
                  </w:pPr>
                  <w:r>
                    <w:rPr>
                      <w:rFonts w:hint="default" w:ascii="Times New Roman" w:hAnsi="Times New Roman" w:eastAsia="宋体" w:cs="Times New Roman"/>
                      <w:b w:val="0"/>
                      <w:color w:val="auto"/>
                      <w:sz w:val="18"/>
                      <w:szCs w:val="18"/>
                      <w:highlight w:val="none"/>
                      <w:vertAlign w:val="baseline"/>
                      <w:lang w:val="en-US" w:eastAsia="zh-CN"/>
                    </w:rPr>
                    <w:t>ZH32068420178</w:t>
                  </w:r>
                </w:p>
              </w:tc>
            </w:tr>
            <w:tr w14:paraId="47C024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15" w:type="dxa"/>
                  <w:gridSpan w:val="2"/>
                  <w:tcBorders>
                    <w:tl2br w:val="nil"/>
                    <w:tr2bl w:val="nil"/>
                  </w:tcBorders>
                  <w:noWrap w:val="0"/>
                  <w:vAlign w:val="center"/>
                </w:tcPr>
                <w:p w14:paraId="10BDD920">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b w:val="0"/>
                      <w:color w:val="auto"/>
                      <w:sz w:val="18"/>
                      <w:szCs w:val="18"/>
                      <w:highlight w:val="none"/>
                      <w:vertAlign w:val="baseline"/>
                      <w:lang w:val="en-US" w:eastAsia="zh-CN"/>
                    </w:rPr>
                  </w:pPr>
                  <w:r>
                    <w:rPr>
                      <w:rFonts w:hint="default" w:ascii="Times New Roman" w:hAnsi="Times New Roman" w:eastAsia="宋体" w:cs="Times New Roman"/>
                      <w:b w:val="0"/>
                      <w:color w:val="auto"/>
                      <w:sz w:val="18"/>
                      <w:szCs w:val="18"/>
                      <w:highlight w:val="none"/>
                      <w:vertAlign w:val="baseline"/>
                      <w:lang w:val="en-US" w:eastAsia="zh-CN"/>
                    </w:rPr>
                    <w:t>管控单元名称</w:t>
                  </w:r>
                </w:p>
              </w:tc>
              <w:tc>
                <w:tcPr>
                  <w:tcW w:w="5999" w:type="dxa"/>
                  <w:gridSpan w:val="3"/>
                  <w:tcBorders>
                    <w:tl2br w:val="nil"/>
                    <w:tr2bl w:val="nil"/>
                  </w:tcBorders>
                  <w:noWrap w:val="0"/>
                  <w:vAlign w:val="center"/>
                </w:tcPr>
                <w:p w14:paraId="3C882A02">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b w:val="0"/>
                      <w:color w:val="auto"/>
                      <w:sz w:val="18"/>
                      <w:szCs w:val="18"/>
                      <w:highlight w:val="none"/>
                      <w:vertAlign w:val="baseline"/>
                      <w:lang w:val="en-US" w:eastAsia="zh-CN"/>
                    </w:rPr>
                  </w:pPr>
                  <w:r>
                    <w:rPr>
                      <w:rFonts w:hint="default" w:ascii="Times New Roman" w:hAnsi="Times New Roman" w:eastAsia="宋体" w:cs="Times New Roman"/>
                      <w:b w:val="0"/>
                      <w:color w:val="auto"/>
                      <w:sz w:val="18"/>
                      <w:szCs w:val="18"/>
                      <w:highlight w:val="none"/>
                      <w:vertAlign w:val="baseline"/>
                      <w:lang w:val="en-US" w:eastAsia="zh-CN"/>
                    </w:rPr>
                    <w:t>海门经济技术开发区</w:t>
                  </w:r>
                </w:p>
              </w:tc>
            </w:tr>
            <w:tr w14:paraId="7976E0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15" w:type="dxa"/>
                  <w:gridSpan w:val="2"/>
                  <w:tcBorders>
                    <w:tl2br w:val="nil"/>
                    <w:tr2bl w:val="nil"/>
                  </w:tcBorders>
                  <w:noWrap w:val="0"/>
                  <w:vAlign w:val="center"/>
                </w:tcPr>
                <w:p w14:paraId="507FB0CA">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b w:val="0"/>
                      <w:color w:val="auto"/>
                      <w:sz w:val="18"/>
                      <w:szCs w:val="18"/>
                      <w:highlight w:val="none"/>
                      <w:vertAlign w:val="baseline"/>
                      <w:lang w:val="en-US" w:eastAsia="zh-CN"/>
                    </w:rPr>
                  </w:pPr>
                  <w:r>
                    <w:rPr>
                      <w:rFonts w:hint="default" w:ascii="Times New Roman" w:hAnsi="Times New Roman" w:eastAsia="宋体" w:cs="Times New Roman"/>
                      <w:b w:val="0"/>
                      <w:color w:val="auto"/>
                      <w:sz w:val="18"/>
                      <w:szCs w:val="18"/>
                      <w:highlight w:val="none"/>
                      <w:vertAlign w:val="baseline"/>
                      <w:lang w:val="en-US" w:eastAsia="zh-CN"/>
                    </w:rPr>
                    <w:t>管控单元分类</w:t>
                  </w:r>
                </w:p>
              </w:tc>
              <w:tc>
                <w:tcPr>
                  <w:tcW w:w="5999" w:type="dxa"/>
                  <w:gridSpan w:val="3"/>
                  <w:tcBorders>
                    <w:tl2br w:val="nil"/>
                    <w:tr2bl w:val="nil"/>
                  </w:tcBorders>
                  <w:noWrap w:val="0"/>
                  <w:vAlign w:val="center"/>
                </w:tcPr>
                <w:p w14:paraId="1FE34156">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b w:val="0"/>
                      <w:color w:val="auto"/>
                      <w:sz w:val="18"/>
                      <w:szCs w:val="18"/>
                      <w:highlight w:val="none"/>
                      <w:vertAlign w:val="baseline"/>
                      <w:lang w:val="en-US" w:eastAsia="zh-CN"/>
                    </w:rPr>
                  </w:pPr>
                  <w:r>
                    <w:rPr>
                      <w:rFonts w:hint="default" w:ascii="Times New Roman" w:hAnsi="Times New Roman" w:eastAsia="宋体" w:cs="Times New Roman"/>
                      <w:b w:val="0"/>
                      <w:color w:val="auto"/>
                      <w:sz w:val="18"/>
                      <w:szCs w:val="18"/>
                      <w:highlight w:val="none"/>
                      <w:vertAlign w:val="baseline"/>
                      <w:lang w:val="en-US" w:eastAsia="zh-CN"/>
                    </w:rPr>
                    <w:t>重点管控单元</w:t>
                  </w:r>
                </w:p>
              </w:tc>
            </w:tr>
            <w:tr w14:paraId="2D3645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15" w:type="dxa"/>
                  <w:gridSpan w:val="2"/>
                  <w:tcBorders>
                    <w:tl2br w:val="nil"/>
                    <w:tr2bl w:val="nil"/>
                  </w:tcBorders>
                  <w:noWrap w:val="0"/>
                  <w:vAlign w:val="center"/>
                </w:tcPr>
                <w:p w14:paraId="5C01EFDD">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b w:val="0"/>
                      <w:color w:val="auto"/>
                      <w:sz w:val="18"/>
                      <w:szCs w:val="18"/>
                      <w:highlight w:val="none"/>
                      <w:vertAlign w:val="baseline"/>
                      <w:lang w:val="en-US" w:eastAsia="zh-CN"/>
                    </w:rPr>
                  </w:pPr>
                  <w:r>
                    <w:rPr>
                      <w:rFonts w:hint="default" w:ascii="Times New Roman" w:hAnsi="Times New Roman" w:eastAsia="宋体" w:cs="Times New Roman"/>
                      <w:b w:val="0"/>
                      <w:color w:val="auto"/>
                      <w:sz w:val="18"/>
                      <w:szCs w:val="18"/>
                      <w:highlight w:val="none"/>
                      <w:vertAlign w:val="baseline"/>
                      <w:lang w:val="en-US" w:eastAsia="zh-CN"/>
                    </w:rPr>
                    <w:t>面积（平方公里）</w:t>
                  </w:r>
                </w:p>
              </w:tc>
              <w:tc>
                <w:tcPr>
                  <w:tcW w:w="5999" w:type="dxa"/>
                  <w:gridSpan w:val="3"/>
                  <w:tcBorders>
                    <w:tl2br w:val="nil"/>
                    <w:tr2bl w:val="nil"/>
                  </w:tcBorders>
                  <w:noWrap w:val="0"/>
                  <w:vAlign w:val="center"/>
                </w:tcPr>
                <w:p w14:paraId="7051CF0A">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b w:val="0"/>
                      <w:color w:val="auto"/>
                      <w:sz w:val="18"/>
                      <w:szCs w:val="18"/>
                      <w:highlight w:val="none"/>
                      <w:vertAlign w:val="baseline"/>
                      <w:lang w:val="en-US" w:eastAsia="zh-CN"/>
                    </w:rPr>
                  </w:pPr>
                  <w:r>
                    <w:rPr>
                      <w:rFonts w:hint="eastAsia" w:cs="Times New Roman"/>
                      <w:b w:val="0"/>
                      <w:color w:val="auto"/>
                      <w:sz w:val="18"/>
                      <w:szCs w:val="18"/>
                      <w:highlight w:val="none"/>
                      <w:vertAlign w:val="baseline"/>
                      <w:lang w:val="en-US" w:eastAsia="zh-CN"/>
                    </w:rPr>
                    <w:t>106.04</w:t>
                  </w:r>
                </w:p>
              </w:tc>
            </w:tr>
            <w:tr w14:paraId="7E2357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14" w:type="dxa"/>
                  <w:gridSpan w:val="5"/>
                  <w:tcBorders>
                    <w:tl2br w:val="nil"/>
                    <w:tr2bl w:val="nil"/>
                  </w:tcBorders>
                  <w:noWrap w:val="0"/>
                  <w:vAlign w:val="center"/>
                </w:tcPr>
                <w:p w14:paraId="7DEE3DE4">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b w:val="0"/>
                      <w:color w:val="auto"/>
                      <w:sz w:val="18"/>
                      <w:szCs w:val="18"/>
                      <w:highlight w:val="none"/>
                      <w:vertAlign w:val="baseline"/>
                      <w:lang w:val="en-US" w:eastAsia="zh-CN"/>
                    </w:rPr>
                  </w:pPr>
                  <w:r>
                    <w:rPr>
                      <w:rFonts w:hint="default" w:ascii="Times New Roman" w:hAnsi="Times New Roman" w:eastAsia="宋体" w:cs="Times New Roman"/>
                      <w:b w:val="0"/>
                      <w:color w:val="auto"/>
                      <w:sz w:val="18"/>
                      <w:szCs w:val="18"/>
                      <w:highlight w:val="none"/>
                      <w:vertAlign w:val="baseline"/>
                      <w:lang w:val="en-US" w:eastAsia="zh-CN"/>
                    </w:rPr>
                    <w:t>生态环境准入清单</w:t>
                  </w:r>
                </w:p>
              </w:tc>
            </w:tr>
            <w:tr w14:paraId="09E46A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5" w:type="dxa"/>
                  <w:tcBorders>
                    <w:tl2br w:val="nil"/>
                    <w:tr2bl w:val="nil"/>
                  </w:tcBorders>
                  <w:noWrap w:val="0"/>
                  <w:vAlign w:val="center"/>
                </w:tcPr>
                <w:p w14:paraId="1F032F2B">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b w:val="0"/>
                      <w:color w:val="auto"/>
                      <w:sz w:val="18"/>
                      <w:szCs w:val="18"/>
                      <w:highlight w:val="none"/>
                      <w:vertAlign w:val="baseline"/>
                      <w:lang w:val="en-US" w:eastAsia="zh-CN"/>
                    </w:rPr>
                  </w:pPr>
                  <w:r>
                    <w:rPr>
                      <w:rFonts w:hint="default" w:ascii="Times New Roman" w:hAnsi="Times New Roman" w:eastAsia="宋体" w:cs="Times New Roman"/>
                      <w:b w:val="0"/>
                      <w:color w:val="auto"/>
                      <w:sz w:val="18"/>
                      <w:szCs w:val="18"/>
                      <w:highlight w:val="none"/>
                      <w:vertAlign w:val="baseline"/>
                      <w:lang w:val="en-US" w:eastAsia="zh-CN"/>
                    </w:rPr>
                    <w:t>管控类别</w:t>
                  </w:r>
                </w:p>
              </w:tc>
              <w:tc>
                <w:tcPr>
                  <w:tcW w:w="3913" w:type="dxa"/>
                  <w:gridSpan w:val="2"/>
                  <w:tcBorders>
                    <w:tl2br w:val="nil"/>
                    <w:tr2bl w:val="nil"/>
                  </w:tcBorders>
                  <w:noWrap w:val="0"/>
                  <w:vAlign w:val="center"/>
                </w:tcPr>
                <w:p w14:paraId="098E3FAD">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b w:val="0"/>
                      <w:color w:val="auto"/>
                      <w:sz w:val="18"/>
                      <w:szCs w:val="18"/>
                      <w:highlight w:val="none"/>
                      <w:vertAlign w:val="baseline"/>
                      <w:lang w:val="en-US" w:eastAsia="zh-CN"/>
                    </w:rPr>
                  </w:pPr>
                  <w:r>
                    <w:rPr>
                      <w:rFonts w:hint="default" w:ascii="Times New Roman" w:hAnsi="Times New Roman" w:eastAsia="宋体" w:cs="Times New Roman"/>
                      <w:b w:val="0"/>
                      <w:color w:val="auto"/>
                      <w:sz w:val="18"/>
                      <w:szCs w:val="18"/>
                      <w:highlight w:val="none"/>
                      <w:vertAlign w:val="baseline"/>
                      <w:lang w:val="en-US" w:eastAsia="zh-CN"/>
                    </w:rPr>
                    <w:t>管控要求</w:t>
                  </w:r>
                </w:p>
              </w:tc>
              <w:tc>
                <w:tcPr>
                  <w:tcW w:w="2734" w:type="dxa"/>
                  <w:tcBorders>
                    <w:tl2br w:val="nil"/>
                    <w:tr2bl w:val="nil"/>
                  </w:tcBorders>
                  <w:noWrap w:val="0"/>
                  <w:vAlign w:val="center"/>
                </w:tcPr>
                <w:p w14:paraId="501909D3">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b w:val="0"/>
                      <w:color w:val="auto"/>
                      <w:sz w:val="18"/>
                      <w:szCs w:val="18"/>
                      <w:highlight w:val="none"/>
                      <w:vertAlign w:val="baseline"/>
                      <w:lang w:val="en-US" w:eastAsia="zh-CN"/>
                    </w:rPr>
                  </w:pPr>
                  <w:r>
                    <w:rPr>
                      <w:rFonts w:hint="default" w:ascii="Times New Roman" w:hAnsi="Times New Roman" w:eastAsia="宋体" w:cs="Times New Roman"/>
                      <w:b w:val="0"/>
                      <w:color w:val="auto"/>
                      <w:sz w:val="18"/>
                      <w:szCs w:val="18"/>
                      <w:highlight w:val="none"/>
                      <w:vertAlign w:val="baseline"/>
                      <w:lang w:val="en-US" w:eastAsia="zh-CN"/>
                    </w:rPr>
                    <w:t>相符性分析</w:t>
                  </w:r>
                </w:p>
              </w:tc>
              <w:tc>
                <w:tcPr>
                  <w:tcW w:w="702" w:type="dxa"/>
                  <w:tcBorders>
                    <w:tl2br w:val="nil"/>
                    <w:tr2bl w:val="nil"/>
                  </w:tcBorders>
                  <w:noWrap w:val="0"/>
                  <w:vAlign w:val="center"/>
                </w:tcPr>
                <w:p w14:paraId="401F61BC">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b w:val="0"/>
                      <w:color w:val="auto"/>
                      <w:sz w:val="18"/>
                      <w:szCs w:val="18"/>
                      <w:highlight w:val="none"/>
                      <w:vertAlign w:val="baseline"/>
                      <w:lang w:val="en-US" w:eastAsia="zh-CN"/>
                    </w:rPr>
                  </w:pPr>
                  <w:r>
                    <w:rPr>
                      <w:rFonts w:hint="default" w:ascii="Times New Roman" w:hAnsi="Times New Roman" w:eastAsia="宋体" w:cs="Times New Roman"/>
                      <w:b w:val="0"/>
                      <w:color w:val="auto"/>
                      <w:sz w:val="18"/>
                      <w:szCs w:val="18"/>
                      <w:highlight w:val="none"/>
                      <w:vertAlign w:val="baseline"/>
                      <w:lang w:val="en-US" w:eastAsia="zh-CN"/>
                    </w:rPr>
                    <w:t>是否相符</w:t>
                  </w:r>
                </w:p>
              </w:tc>
            </w:tr>
            <w:tr w14:paraId="696C40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5" w:type="dxa"/>
                  <w:tcBorders>
                    <w:tl2br w:val="nil"/>
                    <w:tr2bl w:val="nil"/>
                  </w:tcBorders>
                  <w:noWrap w:val="0"/>
                  <w:vAlign w:val="center"/>
                </w:tcPr>
                <w:p w14:paraId="0599FDA3">
                  <w:pPr>
                    <w:jc w:val="center"/>
                    <w:rPr>
                      <w:rFonts w:hint="default" w:ascii="Times New Roman" w:hAnsi="Times New Roman" w:eastAsia="宋体" w:cs="Times New Roman"/>
                      <w:b w:val="0"/>
                      <w:color w:val="auto"/>
                      <w:sz w:val="18"/>
                      <w:szCs w:val="18"/>
                      <w:highlight w:val="none"/>
                      <w:vertAlign w:val="baseline"/>
                      <w:lang w:val="en-US" w:eastAsia="zh-CN"/>
                    </w:rPr>
                  </w:pPr>
                  <w:r>
                    <w:rPr>
                      <w:rFonts w:hint="default" w:ascii="Times New Roman" w:hAnsi="Times New Roman" w:eastAsia="宋体" w:cs="Times New Roman"/>
                      <w:bCs/>
                      <w:color w:val="auto"/>
                      <w:sz w:val="18"/>
                      <w:szCs w:val="18"/>
                      <w:u w:val="none"/>
                    </w:rPr>
                    <w:t>空间布局约束</w:t>
                  </w:r>
                </w:p>
              </w:tc>
              <w:tc>
                <w:tcPr>
                  <w:tcW w:w="3913" w:type="dxa"/>
                  <w:gridSpan w:val="2"/>
                  <w:tcBorders>
                    <w:tl2br w:val="nil"/>
                    <w:tr2bl w:val="nil"/>
                  </w:tcBorders>
                  <w:noWrap w:val="0"/>
                  <w:vAlign w:val="center"/>
                </w:tcPr>
                <w:p w14:paraId="62F76CBA">
                  <w:pPr>
                    <w:numPr>
                      <w:ilvl w:val="0"/>
                      <w:numId w:val="2"/>
                    </w:numPr>
                    <w:jc w:val="center"/>
                    <w:rPr>
                      <w:rFonts w:hint="default" w:ascii="Times New Roman" w:hAnsi="Times New Roman" w:eastAsia="宋体" w:cs="Times New Roman"/>
                      <w:bCs/>
                      <w:color w:val="auto"/>
                      <w:sz w:val="18"/>
                      <w:szCs w:val="18"/>
                      <w:u w:val="none"/>
                    </w:rPr>
                  </w:pPr>
                  <w:r>
                    <w:rPr>
                      <w:rFonts w:hint="default" w:ascii="Times New Roman" w:hAnsi="Times New Roman" w:eastAsia="宋体" w:cs="Times New Roman"/>
                      <w:bCs/>
                      <w:color w:val="auto"/>
                      <w:sz w:val="18"/>
                      <w:szCs w:val="18"/>
                      <w:u w:val="none"/>
                    </w:rPr>
                    <w:t>执行规划和规划环评及其审查意见相关要求。</w:t>
                  </w:r>
                </w:p>
                <w:p w14:paraId="7F26DB6A">
                  <w:pPr>
                    <w:numPr>
                      <w:ilvl w:val="0"/>
                      <w:numId w:val="2"/>
                    </w:numPr>
                    <w:ind w:left="0" w:leftChars="0" w:firstLine="0" w:firstLineChars="0"/>
                    <w:jc w:val="both"/>
                    <w:rPr>
                      <w:rFonts w:hint="default" w:ascii="Times New Roman" w:hAnsi="Times New Roman" w:eastAsia="宋体" w:cs="Times New Roman"/>
                      <w:bCs/>
                      <w:color w:val="auto"/>
                      <w:sz w:val="18"/>
                      <w:szCs w:val="18"/>
                      <w:u w:val="none"/>
                    </w:rPr>
                  </w:pPr>
                  <w:r>
                    <w:rPr>
                      <w:rFonts w:hint="default" w:ascii="Times New Roman" w:hAnsi="Times New Roman" w:eastAsia="宋体" w:cs="Times New Roman"/>
                      <w:bCs/>
                      <w:color w:val="auto"/>
                      <w:sz w:val="18"/>
                      <w:szCs w:val="18"/>
                      <w:u w:val="none"/>
                    </w:rPr>
                    <w:t>优先引入：先进装备制造、汽车零部件、生物医药、新能源等。</w:t>
                  </w:r>
                </w:p>
                <w:p w14:paraId="2BD3D857">
                  <w:pPr>
                    <w:numPr>
                      <w:ilvl w:val="0"/>
                      <w:numId w:val="2"/>
                    </w:numPr>
                    <w:ind w:left="0" w:leftChars="0" w:firstLine="0" w:firstLineChars="0"/>
                    <w:jc w:val="both"/>
                    <w:rPr>
                      <w:rFonts w:hint="default" w:ascii="Times New Roman" w:hAnsi="Times New Roman" w:eastAsia="宋体" w:cs="Times New Roman"/>
                      <w:bCs/>
                      <w:color w:val="auto"/>
                      <w:sz w:val="18"/>
                      <w:szCs w:val="18"/>
                      <w:u w:val="none"/>
                    </w:rPr>
                  </w:pPr>
                  <w:r>
                    <w:rPr>
                      <w:rFonts w:hint="default" w:ascii="Times New Roman" w:hAnsi="Times New Roman" w:eastAsia="宋体" w:cs="Times New Roman"/>
                      <w:bCs/>
                      <w:color w:val="auto"/>
                      <w:sz w:val="18"/>
                      <w:szCs w:val="18"/>
                      <w:u w:val="none"/>
                    </w:rPr>
                    <w:t>禁止引入：低效、高耗、环境污染、不利于产业集聚与产业优化的项目。</w:t>
                  </w:r>
                </w:p>
                <w:p w14:paraId="2399280F">
                  <w:pPr>
                    <w:numPr>
                      <w:ilvl w:val="0"/>
                      <w:numId w:val="0"/>
                    </w:numPr>
                    <w:ind w:left="0" w:leftChars="0" w:firstLine="0" w:firstLineChars="0"/>
                    <w:jc w:val="both"/>
                    <w:rPr>
                      <w:rFonts w:hint="default" w:ascii="Times New Roman" w:hAnsi="Times New Roman" w:eastAsia="宋体" w:cs="Times New Roman"/>
                      <w:b w:val="0"/>
                      <w:color w:val="auto"/>
                      <w:sz w:val="18"/>
                      <w:szCs w:val="18"/>
                      <w:highlight w:val="yellow"/>
                      <w:vertAlign w:val="baseline"/>
                      <w:lang w:val="en-US" w:eastAsia="zh-CN"/>
                    </w:rPr>
                  </w:pPr>
                  <w:r>
                    <w:rPr>
                      <w:rFonts w:hint="default" w:ascii="Times New Roman" w:hAnsi="Times New Roman" w:eastAsia="宋体" w:cs="Times New Roman"/>
                      <w:bCs/>
                      <w:color w:val="auto"/>
                      <w:sz w:val="18"/>
                      <w:szCs w:val="18"/>
                      <w:u w:val="none"/>
                    </w:rPr>
                    <w:t>（4）进一步优化各分区的功能定位和产业结构，加快推进开发区内产业集聚和转型升级。统筹开发区内现有金属加工及制品、电子机械等产业的布局，进一步优化中心商务城用地布局，优化、整合滨江工业城各工业园区产业发展方向与结构，减缓对区域人居环境、水环境的影响。</w:t>
                  </w:r>
                </w:p>
              </w:tc>
              <w:tc>
                <w:tcPr>
                  <w:tcW w:w="2734" w:type="dxa"/>
                  <w:tcBorders>
                    <w:tl2br w:val="nil"/>
                    <w:tr2bl w:val="nil"/>
                  </w:tcBorders>
                  <w:noWrap w:val="0"/>
                  <w:vAlign w:val="center"/>
                </w:tcPr>
                <w:p w14:paraId="1A6269BE">
                  <w:pPr>
                    <w:jc w:val="center"/>
                    <w:rPr>
                      <w:rFonts w:hint="default" w:ascii="Times New Roman" w:hAnsi="Times New Roman" w:eastAsia="宋体" w:cs="Times New Roman"/>
                      <w:b w:val="0"/>
                      <w:color w:val="auto"/>
                      <w:sz w:val="18"/>
                      <w:szCs w:val="18"/>
                      <w:highlight w:val="yellow"/>
                      <w:vertAlign w:val="baseline"/>
                      <w:lang w:val="en-US" w:eastAsia="zh-CN"/>
                    </w:rPr>
                  </w:pPr>
                  <w:r>
                    <w:rPr>
                      <w:rFonts w:hint="default" w:ascii="Times New Roman" w:hAnsi="Times New Roman" w:eastAsia="宋体" w:cs="Times New Roman"/>
                      <w:bCs/>
                      <w:color w:val="auto"/>
                      <w:sz w:val="18"/>
                      <w:szCs w:val="18"/>
                      <w:u w:val="none"/>
                    </w:rPr>
                    <w:t>本项目建设符合园区规划环评及其审查意见的相关要求，项目所属国民经济行业类别 为</w:t>
                  </w:r>
                  <w:r>
                    <w:rPr>
                      <w:rFonts w:hint="eastAsia" w:cs="Times New Roman"/>
                      <w:color w:val="auto"/>
                      <w:sz w:val="18"/>
                      <w:szCs w:val="18"/>
                      <w:u w:val="none"/>
                      <w:lang w:val="en-US" w:eastAsia="zh-CN"/>
                    </w:rPr>
                    <w:t>C3670汽车零部件及配件制造</w:t>
                  </w:r>
                  <w:r>
                    <w:rPr>
                      <w:rFonts w:hint="default" w:ascii="Times New Roman" w:hAnsi="Times New Roman" w:eastAsia="宋体" w:cs="Times New Roman"/>
                      <w:bCs/>
                      <w:color w:val="auto"/>
                      <w:sz w:val="18"/>
                      <w:szCs w:val="18"/>
                      <w:u w:val="none"/>
                    </w:rPr>
                    <w:t>，不属于海门经济技术开发区禁止引入、限制引入项目类别，项目建设符合海门经济技术开发区开发建设规划。</w:t>
                  </w:r>
                </w:p>
              </w:tc>
              <w:tc>
                <w:tcPr>
                  <w:tcW w:w="702" w:type="dxa"/>
                  <w:tcBorders>
                    <w:tl2br w:val="nil"/>
                    <w:tr2bl w:val="nil"/>
                  </w:tcBorders>
                  <w:noWrap w:val="0"/>
                  <w:vAlign w:val="center"/>
                </w:tcPr>
                <w:p w14:paraId="61B73333">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b w:val="0"/>
                      <w:color w:val="auto"/>
                      <w:sz w:val="18"/>
                      <w:szCs w:val="18"/>
                      <w:highlight w:val="none"/>
                      <w:vertAlign w:val="baseline"/>
                      <w:lang w:val="en-US" w:eastAsia="zh-CN"/>
                    </w:rPr>
                  </w:pPr>
                  <w:r>
                    <w:rPr>
                      <w:rFonts w:hint="default" w:ascii="Times New Roman" w:hAnsi="Times New Roman" w:eastAsia="宋体" w:cs="Times New Roman"/>
                      <w:b w:val="0"/>
                      <w:color w:val="auto"/>
                      <w:sz w:val="18"/>
                      <w:szCs w:val="18"/>
                      <w:highlight w:val="none"/>
                      <w:vertAlign w:val="baseline"/>
                      <w:lang w:val="en-US" w:eastAsia="zh-CN"/>
                    </w:rPr>
                    <w:t>是</w:t>
                  </w:r>
                </w:p>
              </w:tc>
            </w:tr>
            <w:tr w14:paraId="574574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5" w:type="dxa"/>
                  <w:tcBorders>
                    <w:tl2br w:val="nil"/>
                    <w:tr2bl w:val="nil"/>
                  </w:tcBorders>
                  <w:noWrap w:val="0"/>
                  <w:vAlign w:val="center"/>
                </w:tcPr>
                <w:p w14:paraId="0B002317">
                  <w:pPr>
                    <w:jc w:val="center"/>
                    <w:rPr>
                      <w:rFonts w:hint="default" w:ascii="Times New Roman" w:hAnsi="Times New Roman" w:eastAsia="宋体" w:cs="Times New Roman"/>
                      <w:b w:val="0"/>
                      <w:color w:val="auto"/>
                      <w:sz w:val="18"/>
                      <w:szCs w:val="18"/>
                      <w:highlight w:val="none"/>
                      <w:vertAlign w:val="baseline"/>
                      <w:lang w:val="en-US" w:eastAsia="zh-CN"/>
                    </w:rPr>
                  </w:pPr>
                  <w:r>
                    <w:rPr>
                      <w:rFonts w:hint="default" w:ascii="Times New Roman" w:hAnsi="Times New Roman" w:eastAsia="宋体" w:cs="Times New Roman"/>
                      <w:bCs/>
                      <w:color w:val="auto"/>
                      <w:sz w:val="18"/>
                      <w:szCs w:val="18"/>
                      <w:u w:val="none"/>
                    </w:rPr>
                    <w:t>污染物排放管控</w:t>
                  </w:r>
                </w:p>
              </w:tc>
              <w:tc>
                <w:tcPr>
                  <w:tcW w:w="3913" w:type="dxa"/>
                  <w:gridSpan w:val="2"/>
                  <w:tcBorders>
                    <w:tl2br w:val="nil"/>
                    <w:tr2bl w:val="nil"/>
                  </w:tcBorders>
                  <w:noWrap w:val="0"/>
                  <w:vAlign w:val="center"/>
                </w:tcPr>
                <w:p w14:paraId="54DA4F86">
                  <w:pPr>
                    <w:numPr>
                      <w:ilvl w:val="0"/>
                      <w:numId w:val="3"/>
                    </w:numPr>
                    <w:jc w:val="left"/>
                    <w:rPr>
                      <w:rFonts w:hint="default" w:ascii="Times New Roman" w:hAnsi="Times New Roman" w:eastAsia="宋体" w:cs="Times New Roman"/>
                      <w:bCs/>
                      <w:color w:val="auto"/>
                      <w:sz w:val="18"/>
                      <w:szCs w:val="18"/>
                      <w:u w:val="none"/>
                    </w:rPr>
                  </w:pPr>
                  <w:r>
                    <w:rPr>
                      <w:rFonts w:hint="default" w:ascii="Times New Roman" w:hAnsi="Times New Roman" w:eastAsia="宋体" w:cs="Times New Roman"/>
                      <w:bCs/>
                      <w:color w:val="auto"/>
                      <w:sz w:val="18"/>
                      <w:szCs w:val="18"/>
                      <w:u w:val="none"/>
                    </w:rPr>
                    <w:t>严格实施污染物总量控制制度，根据区域环境质量改善目标，采取有效措施减少主要污染物排放总量，确保区域环境质量持续改善。</w:t>
                  </w:r>
                </w:p>
                <w:p w14:paraId="3628E4EB">
                  <w:pPr>
                    <w:numPr>
                      <w:ilvl w:val="0"/>
                      <w:numId w:val="3"/>
                    </w:numPr>
                    <w:ind w:left="0" w:leftChars="0" w:firstLine="0" w:firstLineChars="0"/>
                    <w:jc w:val="left"/>
                    <w:rPr>
                      <w:rFonts w:hint="default" w:ascii="Times New Roman" w:hAnsi="Times New Roman" w:eastAsia="宋体" w:cs="Times New Roman"/>
                      <w:bCs/>
                      <w:color w:val="auto"/>
                      <w:sz w:val="18"/>
                      <w:szCs w:val="18"/>
                      <w:u w:val="none"/>
                    </w:rPr>
                  </w:pPr>
                  <w:r>
                    <w:rPr>
                      <w:rFonts w:hint="default" w:ascii="Times New Roman" w:hAnsi="Times New Roman" w:eastAsia="宋体" w:cs="Times New Roman"/>
                      <w:bCs/>
                      <w:color w:val="auto"/>
                      <w:sz w:val="18"/>
                      <w:szCs w:val="18"/>
                      <w:u w:val="none"/>
                    </w:rPr>
                    <w:t>园区污染物排放总量按照规划和规划环评及其审查意见的要求进行管控。</w:t>
                  </w:r>
                </w:p>
                <w:p w14:paraId="1D0A87E1">
                  <w:pPr>
                    <w:numPr>
                      <w:ilvl w:val="0"/>
                      <w:numId w:val="0"/>
                    </w:numPr>
                    <w:ind w:left="0" w:leftChars="0" w:firstLine="0" w:firstLineChars="0"/>
                    <w:jc w:val="left"/>
                    <w:rPr>
                      <w:rFonts w:hint="default" w:ascii="Times New Roman" w:hAnsi="Times New Roman" w:eastAsia="宋体" w:cs="Times New Roman"/>
                      <w:b w:val="0"/>
                      <w:color w:val="auto"/>
                      <w:sz w:val="18"/>
                      <w:szCs w:val="18"/>
                      <w:highlight w:val="yellow"/>
                      <w:vertAlign w:val="baseline"/>
                      <w:lang w:val="en-US" w:eastAsia="zh-CN"/>
                    </w:rPr>
                  </w:pPr>
                  <w:r>
                    <w:rPr>
                      <w:rFonts w:hint="default" w:ascii="Times New Roman" w:hAnsi="Times New Roman" w:eastAsia="宋体" w:cs="Times New Roman"/>
                      <w:bCs/>
                      <w:color w:val="auto"/>
                      <w:sz w:val="18"/>
                      <w:szCs w:val="18"/>
                      <w:u w:val="none"/>
                    </w:rPr>
                    <w:t>(3)落实工业园区（集中区）污染物排放限值限量管理要求，实行园区主要污染物排放浓度、排放总量双控。</w:t>
                  </w:r>
                </w:p>
              </w:tc>
              <w:tc>
                <w:tcPr>
                  <w:tcW w:w="2734" w:type="dxa"/>
                  <w:tcBorders>
                    <w:tl2br w:val="nil"/>
                    <w:tr2bl w:val="nil"/>
                  </w:tcBorders>
                  <w:noWrap w:val="0"/>
                  <w:vAlign w:val="center"/>
                </w:tcPr>
                <w:p w14:paraId="2BDF3D2C">
                  <w:pPr>
                    <w:jc w:val="center"/>
                    <w:rPr>
                      <w:rFonts w:hint="default" w:ascii="Times New Roman" w:hAnsi="Times New Roman" w:eastAsia="宋体" w:cs="Times New Roman"/>
                      <w:b w:val="0"/>
                      <w:color w:val="auto"/>
                      <w:sz w:val="18"/>
                      <w:szCs w:val="18"/>
                      <w:highlight w:val="yellow"/>
                      <w:vertAlign w:val="baseline"/>
                      <w:lang w:val="en-US" w:eastAsia="zh-CN"/>
                    </w:rPr>
                  </w:pPr>
                  <w:r>
                    <w:rPr>
                      <w:rFonts w:hint="default" w:ascii="Times New Roman" w:hAnsi="Times New Roman" w:eastAsia="宋体" w:cs="Times New Roman"/>
                      <w:bCs/>
                      <w:color w:val="auto"/>
                      <w:sz w:val="18"/>
                      <w:szCs w:val="18"/>
                      <w:u w:val="none"/>
                    </w:rPr>
                    <w:t>本项目严格按照污染物总量控制的要求，项目建设不会突破区域生态环境承载力。</w:t>
                  </w:r>
                </w:p>
              </w:tc>
              <w:tc>
                <w:tcPr>
                  <w:tcW w:w="702" w:type="dxa"/>
                  <w:tcBorders>
                    <w:tl2br w:val="nil"/>
                    <w:tr2bl w:val="nil"/>
                  </w:tcBorders>
                  <w:noWrap w:val="0"/>
                  <w:vAlign w:val="center"/>
                </w:tcPr>
                <w:p w14:paraId="4EEAB73A">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b w:val="0"/>
                      <w:color w:val="auto"/>
                      <w:sz w:val="18"/>
                      <w:szCs w:val="18"/>
                      <w:highlight w:val="none"/>
                      <w:vertAlign w:val="baseline"/>
                      <w:lang w:val="en-US" w:eastAsia="zh-CN"/>
                    </w:rPr>
                  </w:pPr>
                  <w:r>
                    <w:rPr>
                      <w:rFonts w:hint="default" w:ascii="Times New Roman" w:hAnsi="Times New Roman" w:eastAsia="宋体" w:cs="Times New Roman"/>
                      <w:b w:val="0"/>
                      <w:color w:val="auto"/>
                      <w:sz w:val="18"/>
                      <w:szCs w:val="18"/>
                      <w:highlight w:val="none"/>
                      <w:vertAlign w:val="baseline"/>
                      <w:lang w:val="en-US" w:eastAsia="zh-CN"/>
                    </w:rPr>
                    <w:t>是</w:t>
                  </w:r>
                </w:p>
              </w:tc>
            </w:tr>
            <w:tr w14:paraId="0408AC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5" w:type="dxa"/>
                  <w:tcBorders>
                    <w:tl2br w:val="nil"/>
                    <w:tr2bl w:val="nil"/>
                  </w:tcBorders>
                  <w:noWrap w:val="0"/>
                  <w:vAlign w:val="center"/>
                </w:tcPr>
                <w:p w14:paraId="618DC59F">
                  <w:pPr>
                    <w:jc w:val="center"/>
                    <w:rPr>
                      <w:rFonts w:hint="default" w:ascii="Times New Roman" w:hAnsi="Times New Roman" w:eastAsia="宋体" w:cs="Times New Roman"/>
                      <w:b w:val="0"/>
                      <w:color w:val="auto"/>
                      <w:sz w:val="18"/>
                      <w:szCs w:val="18"/>
                      <w:highlight w:val="none"/>
                      <w:vertAlign w:val="baseline"/>
                      <w:lang w:val="en-US" w:eastAsia="zh-CN"/>
                    </w:rPr>
                  </w:pPr>
                  <w:r>
                    <w:rPr>
                      <w:rFonts w:hint="default" w:ascii="Times New Roman" w:hAnsi="Times New Roman" w:eastAsia="宋体" w:cs="Times New Roman"/>
                      <w:bCs/>
                      <w:color w:val="auto"/>
                      <w:sz w:val="18"/>
                      <w:szCs w:val="18"/>
                      <w:u w:val="none"/>
                    </w:rPr>
                    <w:t>环境风险防控</w:t>
                  </w:r>
                </w:p>
              </w:tc>
              <w:tc>
                <w:tcPr>
                  <w:tcW w:w="3913" w:type="dxa"/>
                  <w:gridSpan w:val="2"/>
                  <w:tcBorders>
                    <w:tl2br w:val="nil"/>
                    <w:tr2bl w:val="nil"/>
                  </w:tcBorders>
                  <w:noWrap w:val="0"/>
                  <w:vAlign w:val="center"/>
                </w:tcPr>
                <w:p w14:paraId="46A6A110">
                  <w:pPr>
                    <w:numPr>
                      <w:ilvl w:val="0"/>
                      <w:numId w:val="4"/>
                    </w:numPr>
                    <w:jc w:val="left"/>
                    <w:rPr>
                      <w:rFonts w:hint="default" w:ascii="Times New Roman" w:hAnsi="Times New Roman" w:eastAsia="宋体" w:cs="Times New Roman"/>
                      <w:bCs/>
                      <w:color w:val="auto"/>
                      <w:sz w:val="18"/>
                      <w:szCs w:val="18"/>
                      <w:u w:val="none"/>
                    </w:rPr>
                  </w:pPr>
                  <w:r>
                    <w:rPr>
                      <w:rFonts w:hint="default" w:ascii="Times New Roman" w:hAnsi="Times New Roman" w:eastAsia="宋体" w:cs="Times New Roman"/>
                      <w:bCs/>
                      <w:color w:val="auto"/>
                      <w:sz w:val="18"/>
                      <w:szCs w:val="18"/>
                      <w:u w:val="none"/>
                    </w:rPr>
                    <w:t>建立健全园区环境风险防范体系和生态安全保障体系，建立应急响应联动机制，完善应急预案，提升开发区环境风险防控和应急响应能力，保障区域环境安全。</w:t>
                  </w:r>
                </w:p>
                <w:p w14:paraId="75E0ABD5">
                  <w:pPr>
                    <w:numPr>
                      <w:ilvl w:val="0"/>
                      <w:numId w:val="4"/>
                    </w:numPr>
                    <w:ind w:left="0" w:leftChars="0" w:firstLine="0" w:firstLineChars="0"/>
                    <w:jc w:val="both"/>
                    <w:rPr>
                      <w:rFonts w:hint="default" w:ascii="Times New Roman" w:hAnsi="Times New Roman" w:eastAsia="宋体" w:cs="Times New Roman"/>
                      <w:bCs/>
                      <w:color w:val="auto"/>
                      <w:sz w:val="18"/>
                      <w:szCs w:val="18"/>
                      <w:u w:val="none"/>
                    </w:rPr>
                  </w:pPr>
                  <w:r>
                    <w:rPr>
                      <w:rFonts w:hint="default" w:ascii="Times New Roman" w:hAnsi="Times New Roman" w:eastAsia="宋体" w:cs="Times New Roman"/>
                      <w:bCs/>
                      <w:color w:val="auto"/>
                      <w:sz w:val="18"/>
                      <w:szCs w:val="18"/>
                      <w:u w:val="none"/>
                    </w:rPr>
                    <w:t>建立完善包括环境空气、地表水、地下水、土壤等环境要素的监控体系，做好长期跟踪监测与管理。</w:t>
                  </w:r>
                </w:p>
                <w:p w14:paraId="552418E4">
                  <w:pPr>
                    <w:numPr>
                      <w:ilvl w:val="0"/>
                      <w:numId w:val="0"/>
                    </w:numPr>
                    <w:ind w:left="0" w:leftChars="0" w:firstLine="0" w:firstLineChars="0"/>
                    <w:jc w:val="both"/>
                    <w:rPr>
                      <w:rFonts w:hint="default" w:ascii="Times New Roman" w:hAnsi="Times New Roman" w:eastAsia="宋体" w:cs="Times New Roman"/>
                      <w:b w:val="0"/>
                      <w:color w:val="auto"/>
                      <w:sz w:val="18"/>
                      <w:szCs w:val="18"/>
                      <w:highlight w:val="yellow"/>
                      <w:vertAlign w:val="baseline"/>
                      <w:lang w:val="en-US" w:eastAsia="zh-CN"/>
                    </w:rPr>
                  </w:pPr>
                  <w:r>
                    <w:rPr>
                      <w:rFonts w:hint="default" w:ascii="Times New Roman" w:hAnsi="Times New Roman" w:eastAsia="宋体" w:cs="Times New Roman"/>
                      <w:bCs/>
                      <w:color w:val="auto"/>
                      <w:sz w:val="18"/>
                      <w:szCs w:val="18"/>
                      <w:u w:val="none"/>
                    </w:rPr>
                    <w:t>（3）按照相关管理要求申报、处置废弃危险化学品。强化对危险废物的收集、贮存和处置的监督管理，实现危险废物监管无盲区、无死角。</w:t>
                  </w:r>
                </w:p>
              </w:tc>
              <w:tc>
                <w:tcPr>
                  <w:tcW w:w="2734" w:type="dxa"/>
                  <w:tcBorders>
                    <w:tl2br w:val="nil"/>
                    <w:tr2bl w:val="nil"/>
                  </w:tcBorders>
                  <w:noWrap w:val="0"/>
                  <w:vAlign w:val="center"/>
                </w:tcPr>
                <w:p w14:paraId="46689F54">
                  <w:pPr>
                    <w:jc w:val="center"/>
                    <w:rPr>
                      <w:rFonts w:hint="default" w:ascii="Times New Roman" w:hAnsi="Times New Roman" w:eastAsia="宋体" w:cs="Times New Roman"/>
                      <w:bCs/>
                      <w:color w:val="auto"/>
                      <w:sz w:val="18"/>
                      <w:szCs w:val="18"/>
                      <w:u w:val="none"/>
                    </w:rPr>
                  </w:pPr>
                  <w:r>
                    <w:rPr>
                      <w:rFonts w:hint="default" w:ascii="Times New Roman" w:hAnsi="Times New Roman" w:eastAsia="宋体" w:cs="Times New Roman"/>
                      <w:bCs/>
                      <w:color w:val="auto"/>
                      <w:sz w:val="18"/>
                      <w:szCs w:val="18"/>
                      <w:u w:val="none"/>
                    </w:rPr>
                    <w:t>1、项目建成后，企业将建立健全厂区风险防范体系，配套建设相应消防设施，事故应急池等，配置一定数量的应急救援物资，组建厂区应急救援队伍，</w:t>
                  </w:r>
                  <w:r>
                    <w:rPr>
                      <w:rFonts w:hint="eastAsia" w:cs="Times New Roman"/>
                      <w:bCs/>
                      <w:color w:val="auto"/>
                      <w:sz w:val="18"/>
                      <w:szCs w:val="18"/>
                      <w:u w:val="none"/>
                      <w:lang w:eastAsia="zh-CN"/>
                    </w:rPr>
                    <w:t>修编</w:t>
                  </w:r>
                  <w:r>
                    <w:rPr>
                      <w:rFonts w:hint="default" w:ascii="Times New Roman" w:hAnsi="Times New Roman" w:eastAsia="宋体" w:cs="Times New Roman"/>
                      <w:bCs/>
                      <w:color w:val="auto"/>
                      <w:sz w:val="18"/>
                      <w:szCs w:val="18"/>
                      <w:u w:val="none"/>
                    </w:rPr>
                    <w:t>并备案突发环境事件应急预案，定期组织演练，定期进行突发环境事件隐患排查，项目环境风险可控。</w:t>
                  </w:r>
                </w:p>
                <w:p w14:paraId="785F1F76">
                  <w:pPr>
                    <w:jc w:val="center"/>
                    <w:rPr>
                      <w:rFonts w:hint="default" w:ascii="Times New Roman" w:hAnsi="Times New Roman" w:eastAsia="宋体" w:cs="Times New Roman"/>
                      <w:bCs/>
                      <w:color w:val="auto"/>
                      <w:sz w:val="18"/>
                      <w:szCs w:val="18"/>
                      <w:u w:val="none"/>
                    </w:rPr>
                  </w:pPr>
                  <w:r>
                    <w:rPr>
                      <w:rFonts w:hint="default" w:ascii="Times New Roman" w:hAnsi="Times New Roman" w:eastAsia="宋体" w:cs="Times New Roman"/>
                      <w:bCs/>
                      <w:color w:val="auto"/>
                      <w:sz w:val="18"/>
                      <w:szCs w:val="18"/>
                      <w:u w:val="none"/>
                    </w:rPr>
                    <w:t>2、项目建成后，企业将严格按照相关要求制定空气、地表水等自行监测方案，并定期委托第三方进行跟踪监测。</w:t>
                  </w:r>
                </w:p>
                <w:p w14:paraId="77C7C53F">
                  <w:pPr>
                    <w:jc w:val="center"/>
                    <w:rPr>
                      <w:rFonts w:hint="default" w:ascii="Times New Roman" w:hAnsi="Times New Roman" w:eastAsia="宋体" w:cs="Times New Roman"/>
                      <w:b w:val="0"/>
                      <w:color w:val="auto"/>
                      <w:sz w:val="18"/>
                      <w:szCs w:val="18"/>
                      <w:highlight w:val="yellow"/>
                      <w:vertAlign w:val="baseline"/>
                      <w:lang w:val="en-US" w:eastAsia="zh-CN"/>
                    </w:rPr>
                  </w:pPr>
                  <w:r>
                    <w:rPr>
                      <w:rFonts w:hint="default" w:ascii="Times New Roman" w:hAnsi="Times New Roman" w:eastAsia="宋体" w:cs="Times New Roman"/>
                      <w:bCs/>
                      <w:color w:val="auto"/>
                      <w:sz w:val="18"/>
                      <w:szCs w:val="18"/>
                      <w:u w:val="none"/>
                    </w:rPr>
                    <w:t>3、项目产生的危废将按照相关要求进行处置，严格按照相关规范建设危险固废仓库，并建立相应管理制度。</w:t>
                  </w:r>
                </w:p>
              </w:tc>
              <w:tc>
                <w:tcPr>
                  <w:tcW w:w="702" w:type="dxa"/>
                  <w:tcBorders>
                    <w:tl2br w:val="nil"/>
                    <w:tr2bl w:val="nil"/>
                  </w:tcBorders>
                  <w:noWrap w:val="0"/>
                  <w:vAlign w:val="center"/>
                </w:tcPr>
                <w:p w14:paraId="1C70945B">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b w:val="0"/>
                      <w:color w:val="auto"/>
                      <w:sz w:val="18"/>
                      <w:szCs w:val="18"/>
                      <w:highlight w:val="none"/>
                      <w:vertAlign w:val="baseline"/>
                      <w:lang w:val="en-US" w:eastAsia="zh-CN"/>
                    </w:rPr>
                  </w:pPr>
                  <w:r>
                    <w:rPr>
                      <w:rFonts w:hint="default" w:ascii="Times New Roman" w:hAnsi="Times New Roman" w:eastAsia="宋体" w:cs="Times New Roman"/>
                      <w:b w:val="0"/>
                      <w:color w:val="auto"/>
                      <w:sz w:val="18"/>
                      <w:szCs w:val="18"/>
                      <w:highlight w:val="none"/>
                      <w:vertAlign w:val="baseline"/>
                      <w:lang w:val="en-US" w:eastAsia="zh-CN"/>
                    </w:rPr>
                    <w:t>是</w:t>
                  </w:r>
                </w:p>
              </w:tc>
            </w:tr>
            <w:tr w14:paraId="1122FA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5" w:type="dxa"/>
                  <w:tcBorders>
                    <w:bottom w:val="single" w:color="000000" w:sz="12" w:space="0"/>
                    <w:tl2br w:val="nil"/>
                    <w:tr2bl w:val="nil"/>
                  </w:tcBorders>
                  <w:noWrap w:val="0"/>
                  <w:vAlign w:val="center"/>
                </w:tcPr>
                <w:p w14:paraId="4CBD056C">
                  <w:pPr>
                    <w:jc w:val="center"/>
                    <w:rPr>
                      <w:rFonts w:hint="default" w:ascii="Times New Roman" w:hAnsi="Times New Roman" w:eastAsia="宋体" w:cs="Times New Roman"/>
                      <w:b w:val="0"/>
                      <w:color w:val="auto"/>
                      <w:sz w:val="18"/>
                      <w:szCs w:val="18"/>
                      <w:highlight w:val="none"/>
                      <w:vertAlign w:val="baseline"/>
                      <w:lang w:val="en-US" w:eastAsia="zh-CN"/>
                    </w:rPr>
                  </w:pPr>
                  <w:r>
                    <w:rPr>
                      <w:rFonts w:hint="default" w:ascii="Times New Roman" w:hAnsi="Times New Roman" w:eastAsia="宋体" w:cs="Times New Roman"/>
                      <w:bCs/>
                      <w:color w:val="auto"/>
                      <w:sz w:val="18"/>
                      <w:szCs w:val="18"/>
                      <w:u w:val="none"/>
                    </w:rPr>
                    <w:t>资源开发效率要求</w:t>
                  </w:r>
                </w:p>
              </w:tc>
              <w:tc>
                <w:tcPr>
                  <w:tcW w:w="3913" w:type="dxa"/>
                  <w:gridSpan w:val="2"/>
                  <w:tcBorders>
                    <w:bottom w:val="single" w:color="000000" w:sz="12" w:space="0"/>
                    <w:tl2br w:val="nil"/>
                    <w:tr2bl w:val="nil"/>
                  </w:tcBorders>
                  <w:noWrap w:val="0"/>
                  <w:vAlign w:val="center"/>
                </w:tcPr>
                <w:p w14:paraId="31EEF107">
                  <w:pPr>
                    <w:jc w:val="center"/>
                    <w:rPr>
                      <w:rFonts w:hint="default" w:ascii="Times New Roman" w:hAnsi="Times New Roman" w:eastAsia="宋体" w:cs="Times New Roman"/>
                      <w:b w:val="0"/>
                      <w:color w:val="auto"/>
                      <w:sz w:val="18"/>
                      <w:szCs w:val="18"/>
                      <w:highlight w:val="yellow"/>
                      <w:vertAlign w:val="baseline"/>
                      <w:lang w:val="en-US" w:eastAsia="zh-CN"/>
                    </w:rPr>
                  </w:pPr>
                  <w:r>
                    <w:rPr>
                      <w:rFonts w:hint="default" w:ascii="Times New Roman" w:hAnsi="Times New Roman" w:eastAsia="宋体" w:cs="Times New Roman"/>
                      <w:bCs/>
                      <w:color w:val="auto"/>
                      <w:sz w:val="18"/>
                      <w:szCs w:val="18"/>
                      <w:u w:val="none"/>
                    </w:rPr>
                    <w:t>（1）结合区域环境质量改善目标要求，衔接区域水资源、能源利用总量管控目标，进一步优化开发区内能源结构，提升水资源、能源利用效率。引进项目的生产工艺、污染治理技术，以及单位产品能耗、物耗、污染物排放强度和资源利用效率等均需达到同行业先进水平。（2）按照国家和省能耗及水耗限额标准执行。（3）强化企业清洁生产改造，推进节水型企业、节水型园区建设，提高资源能源利用效率。</w:t>
                  </w:r>
                </w:p>
              </w:tc>
              <w:tc>
                <w:tcPr>
                  <w:tcW w:w="2734" w:type="dxa"/>
                  <w:tcBorders>
                    <w:bottom w:val="single" w:color="000000" w:sz="12" w:space="0"/>
                    <w:tl2br w:val="nil"/>
                    <w:tr2bl w:val="nil"/>
                  </w:tcBorders>
                  <w:noWrap w:val="0"/>
                  <w:vAlign w:val="center"/>
                </w:tcPr>
                <w:p w14:paraId="107854AE">
                  <w:pPr>
                    <w:jc w:val="center"/>
                    <w:rPr>
                      <w:rFonts w:hint="default" w:ascii="Times New Roman" w:hAnsi="Times New Roman" w:eastAsia="宋体" w:cs="Times New Roman"/>
                      <w:b w:val="0"/>
                      <w:color w:val="auto"/>
                      <w:sz w:val="18"/>
                      <w:szCs w:val="18"/>
                      <w:highlight w:val="yellow"/>
                      <w:vertAlign w:val="baseline"/>
                      <w:lang w:val="en-US" w:eastAsia="zh-CN"/>
                    </w:rPr>
                  </w:pPr>
                  <w:r>
                    <w:rPr>
                      <w:rFonts w:hint="default" w:ascii="Times New Roman" w:hAnsi="Times New Roman" w:eastAsia="宋体" w:cs="Times New Roman"/>
                      <w:bCs/>
                      <w:color w:val="auto"/>
                      <w:sz w:val="18"/>
                      <w:szCs w:val="18"/>
                      <w:u w:val="none"/>
                    </w:rPr>
                    <w:t>公司拥有成熟、先进的生产、管理技术，资源的利用、污染物的排放满足清洁生产的相关要求。</w:t>
                  </w:r>
                </w:p>
              </w:tc>
              <w:tc>
                <w:tcPr>
                  <w:tcW w:w="702" w:type="dxa"/>
                  <w:tcBorders>
                    <w:bottom w:val="single" w:color="000000" w:sz="12" w:space="0"/>
                    <w:tl2br w:val="nil"/>
                    <w:tr2bl w:val="nil"/>
                  </w:tcBorders>
                  <w:noWrap w:val="0"/>
                  <w:vAlign w:val="center"/>
                </w:tcPr>
                <w:p w14:paraId="50A2C2B6">
                  <w:pPr>
                    <w:keepNext w:val="0"/>
                    <w:keepLines w:val="0"/>
                    <w:pageBreakBefore w:val="0"/>
                    <w:widowControl w:val="0"/>
                    <w:wordWrap/>
                    <w:bidi w:val="0"/>
                    <w:adjustRightInd w:val="0"/>
                    <w:snapToGrid w:val="0"/>
                    <w:spacing w:line="240" w:lineRule="auto"/>
                    <w:jc w:val="center"/>
                    <w:rPr>
                      <w:rFonts w:hint="default" w:ascii="Times New Roman" w:hAnsi="Times New Roman" w:eastAsia="宋体" w:cs="Times New Roman"/>
                      <w:b w:val="0"/>
                      <w:color w:val="auto"/>
                      <w:sz w:val="18"/>
                      <w:szCs w:val="18"/>
                      <w:highlight w:val="none"/>
                      <w:vertAlign w:val="baseline"/>
                      <w:lang w:val="en-US" w:eastAsia="zh-CN"/>
                    </w:rPr>
                  </w:pPr>
                  <w:r>
                    <w:rPr>
                      <w:rFonts w:hint="default" w:ascii="Times New Roman" w:hAnsi="Times New Roman" w:eastAsia="宋体" w:cs="Times New Roman"/>
                      <w:b w:val="0"/>
                      <w:color w:val="auto"/>
                      <w:sz w:val="18"/>
                      <w:szCs w:val="18"/>
                      <w:highlight w:val="none"/>
                      <w:vertAlign w:val="baseline"/>
                      <w:lang w:val="en-US" w:eastAsia="zh-CN"/>
                    </w:rPr>
                    <w:t>是</w:t>
                  </w:r>
                </w:p>
              </w:tc>
            </w:tr>
          </w:tbl>
          <w:p w14:paraId="3A45909D">
            <w:pPr>
              <w:pStyle w:val="46"/>
              <w:spacing w:line="360" w:lineRule="auto"/>
              <w:rPr>
                <w:rFonts w:hint="default" w:ascii="Times New Roman" w:hAnsi="Times New Roman" w:eastAsia="宋体" w:cs="Times New Roman"/>
                <w:color w:val="auto"/>
                <w:sz w:val="21"/>
                <w:szCs w:val="21"/>
                <w:lang w:val="en-US" w:eastAsia="zh-CN" w:bidi="zh-CN"/>
              </w:rPr>
            </w:pPr>
            <w:r>
              <w:rPr>
                <w:rFonts w:hint="default" w:ascii="Times New Roman" w:hAnsi="Times New Roman" w:cs="Times New Roman"/>
                <w:color w:val="auto"/>
                <w:lang w:val="en-US" w:eastAsia="zh-CN"/>
              </w:rPr>
              <w:t xml:space="preserve"> </w:t>
            </w:r>
            <w:r>
              <w:rPr>
                <w:rStyle w:val="48"/>
                <w:rFonts w:hint="eastAsia" w:ascii="Times New Roman" w:hAnsi="Times New Roman" w:cs="Times New Roman"/>
                <w:color w:val="auto"/>
                <w:lang w:val="en-US" w:eastAsia="zh-CN"/>
              </w:rPr>
              <w:t>2</w:t>
            </w:r>
            <w:r>
              <w:rPr>
                <w:rStyle w:val="48"/>
                <w:rFonts w:hint="default" w:ascii="Times New Roman" w:hAnsi="Times New Roman" w:cs="Times New Roman"/>
                <w:color w:val="auto"/>
                <w:lang w:val="en-US" w:eastAsia="zh-CN"/>
              </w:rPr>
              <w:t>、</w:t>
            </w:r>
            <w:r>
              <w:rPr>
                <w:rStyle w:val="48"/>
                <w:rFonts w:hint="default" w:ascii="Times New Roman" w:hAnsi="Times New Roman" w:cs="Times New Roman"/>
                <w:color w:val="auto"/>
              </w:rPr>
              <w:t>与相关政策相符性分析</w:t>
            </w:r>
          </w:p>
          <w:p w14:paraId="6BCED71F">
            <w:pPr>
              <w:pStyle w:val="4"/>
              <w:bidi w:val="0"/>
              <w:rPr>
                <w:rFonts w:hint="default"/>
                <w:color w:val="auto"/>
              </w:rPr>
            </w:pPr>
            <w:r>
              <w:rPr>
                <w:rFonts w:hint="default"/>
                <w:color w:val="auto"/>
                <w:lang w:eastAsia="zh-CN"/>
              </w:rPr>
              <w:t>（</w:t>
            </w:r>
            <w:r>
              <w:rPr>
                <w:rFonts w:hint="default"/>
                <w:color w:val="auto"/>
                <w:lang w:val="en-US" w:eastAsia="zh-CN"/>
              </w:rPr>
              <w:t>1</w:t>
            </w:r>
            <w:r>
              <w:rPr>
                <w:rFonts w:hint="default"/>
                <w:color w:val="auto"/>
                <w:lang w:eastAsia="zh-CN"/>
              </w:rPr>
              <w:t>）</w:t>
            </w:r>
            <w:r>
              <w:rPr>
                <w:rFonts w:hint="default"/>
                <w:color w:val="auto"/>
              </w:rPr>
              <w:t>与《江苏省“两高”项目管理名录（202</w:t>
            </w:r>
            <w:r>
              <w:rPr>
                <w:rFonts w:hint="eastAsia"/>
                <w:color w:val="auto"/>
                <w:lang w:val="en-US" w:eastAsia="zh-CN"/>
              </w:rPr>
              <w:t>5</w:t>
            </w:r>
            <w:r>
              <w:rPr>
                <w:rFonts w:hint="default"/>
                <w:color w:val="auto"/>
              </w:rPr>
              <w:t>年版）》相符性分析</w:t>
            </w:r>
          </w:p>
          <w:p w14:paraId="15428329">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对照《江苏省“两高”项目管理名录（2025年版）》，本项目国民经济行业类别属于C3670汽车零部件及配件制造，不在《江苏省“两高”项目管理名录（2025年版）》名录范围内，因此不属于江苏省“两高”项目。</w:t>
            </w:r>
          </w:p>
          <w:p w14:paraId="6C1EA5A9">
            <w:pPr>
              <w:keepNext w:val="0"/>
              <w:keepLines w:val="0"/>
              <w:pageBreakBefore w:val="0"/>
              <w:widowControl w:val="0"/>
              <w:kinsoku/>
              <w:wordWrap/>
              <w:overflowPunct/>
              <w:topLinePunct w:val="0"/>
              <w:autoSpaceDE/>
              <w:autoSpaceDN/>
              <w:bidi w:val="0"/>
              <w:adjustRightInd/>
              <w:snapToGrid/>
              <w:spacing w:before="157" w:beforeLines="50" w:line="360" w:lineRule="auto"/>
              <w:jc w:val="left"/>
              <w:textAlignment w:val="auto"/>
              <w:rPr>
                <w:rFonts w:hint="eastAsia" w:ascii="Times New Roman" w:hAnsi="Times New Roman" w:cs="Times New Roman"/>
                <w:b/>
                <w:color w:val="auto"/>
                <w:sz w:val="21"/>
                <w:szCs w:val="21"/>
                <w:lang w:val="en-US" w:eastAsia="zh-CN"/>
              </w:rPr>
            </w:pPr>
            <w:r>
              <w:rPr>
                <w:rFonts w:hint="eastAsia"/>
                <w:b/>
                <w:bCs/>
                <w:color w:val="auto"/>
                <w:lang w:val="en-US" w:eastAsia="zh-CN"/>
              </w:rPr>
              <w:t>（2</w:t>
            </w:r>
            <w:r>
              <w:rPr>
                <w:rFonts w:hint="eastAsia" w:cs="Times New Roman"/>
                <w:b/>
                <w:bCs/>
                <w:color w:val="auto"/>
                <w:kern w:val="0"/>
                <w:sz w:val="21"/>
                <w:szCs w:val="21"/>
                <w:lang w:val="en-US" w:eastAsia="zh-CN" w:bidi="ar"/>
              </w:rPr>
              <w:t>）</w:t>
            </w:r>
            <w:r>
              <w:rPr>
                <w:rFonts w:hint="eastAsia" w:ascii="Times New Roman" w:hAnsi="Times New Roman" w:cs="Times New Roman"/>
                <w:b/>
                <w:bCs/>
                <w:color w:val="auto"/>
                <w:sz w:val="21"/>
                <w:szCs w:val="21"/>
                <w:lang w:val="en-US" w:eastAsia="zh-CN"/>
              </w:rPr>
              <w:t>与</w:t>
            </w:r>
            <w:r>
              <w:rPr>
                <w:rFonts w:hint="eastAsia" w:ascii="Times New Roman" w:hAnsi="Times New Roman" w:cs="Times New Roman"/>
                <w:b/>
                <w:color w:val="auto"/>
                <w:sz w:val="21"/>
                <w:szCs w:val="21"/>
                <w:lang w:val="en-US" w:eastAsia="zh-CN"/>
              </w:rPr>
              <w:t>《南通市国土空间总体规划》（2021-2023）“三区三线”相符性分析</w:t>
            </w:r>
          </w:p>
          <w:p w14:paraId="2AECBB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Cs w:val="21"/>
              </w:rPr>
            </w:pPr>
            <w:r>
              <w:rPr>
                <w:b/>
                <w:bCs/>
                <w:color w:val="auto"/>
                <w:szCs w:val="21"/>
              </w:rPr>
              <w:t>表1-</w:t>
            </w:r>
            <w:r>
              <w:rPr>
                <w:rFonts w:hint="eastAsia"/>
                <w:b/>
                <w:bCs/>
                <w:color w:val="auto"/>
                <w:szCs w:val="21"/>
                <w:lang w:val="en-US" w:eastAsia="zh-CN"/>
              </w:rPr>
              <w:t>6</w:t>
            </w:r>
            <w:r>
              <w:rPr>
                <w:b/>
                <w:bCs/>
                <w:color w:val="auto"/>
                <w:szCs w:val="21"/>
              </w:rPr>
              <w:t xml:space="preserve"> </w:t>
            </w:r>
            <w:r>
              <w:rPr>
                <w:rFonts w:hint="eastAsia"/>
                <w:b/>
                <w:bCs/>
                <w:color w:val="auto"/>
                <w:szCs w:val="21"/>
                <w:lang w:val="en-US" w:eastAsia="zh-CN"/>
              </w:rPr>
              <w:t>与</w:t>
            </w:r>
            <w:r>
              <w:rPr>
                <w:b/>
                <w:bCs/>
                <w:color w:val="auto"/>
                <w:szCs w:val="21"/>
              </w:rPr>
              <w:t xml:space="preserve"> “三区三线”相符性分析</w:t>
            </w:r>
          </w:p>
          <w:tbl>
            <w:tblPr>
              <w:tblStyle w:val="20"/>
              <w:tblW w:w="498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4"/>
              <w:gridCol w:w="5083"/>
              <w:gridCol w:w="2397"/>
            </w:tblGrid>
            <w:tr w14:paraId="1123F7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419" w:type="pct"/>
                  <w:tcBorders>
                    <w:tl2br w:val="nil"/>
                    <w:tr2bl w:val="nil"/>
                  </w:tcBorders>
                  <w:noWrap w:val="0"/>
                  <w:vAlign w:val="center"/>
                </w:tcPr>
                <w:p w14:paraId="0019F4ED">
                  <w:pPr>
                    <w:pStyle w:val="40"/>
                    <w:widowControl w:val="0"/>
                    <w:adjustRightInd w:val="0"/>
                    <w:snapToGrid w:val="0"/>
                    <w:rPr>
                      <w:rFonts w:ascii="Times New Roman"/>
                      <w:color w:val="auto"/>
                      <w:spacing w:val="-2"/>
                      <w:sz w:val="18"/>
                      <w:szCs w:val="18"/>
                    </w:rPr>
                  </w:pPr>
                  <w:r>
                    <w:rPr>
                      <w:rFonts w:ascii="Times New Roman"/>
                      <w:color w:val="auto"/>
                      <w:spacing w:val="-2"/>
                      <w:sz w:val="18"/>
                      <w:szCs w:val="18"/>
                    </w:rPr>
                    <w:t>序号</w:t>
                  </w:r>
                </w:p>
              </w:tc>
              <w:tc>
                <w:tcPr>
                  <w:tcW w:w="3113" w:type="pct"/>
                  <w:tcBorders>
                    <w:tl2br w:val="nil"/>
                    <w:tr2bl w:val="nil"/>
                  </w:tcBorders>
                  <w:noWrap w:val="0"/>
                  <w:vAlign w:val="center"/>
                </w:tcPr>
                <w:p w14:paraId="2FEF54A5">
                  <w:pPr>
                    <w:pStyle w:val="40"/>
                    <w:widowControl w:val="0"/>
                    <w:adjustRightInd w:val="0"/>
                    <w:snapToGrid w:val="0"/>
                    <w:rPr>
                      <w:rFonts w:ascii="Times New Roman"/>
                      <w:color w:val="auto"/>
                      <w:spacing w:val="-2"/>
                      <w:sz w:val="18"/>
                      <w:szCs w:val="18"/>
                    </w:rPr>
                  </w:pPr>
                  <w:r>
                    <w:rPr>
                      <w:rFonts w:ascii="Times New Roman"/>
                      <w:color w:val="auto"/>
                      <w:spacing w:val="-2"/>
                      <w:sz w:val="18"/>
                      <w:szCs w:val="18"/>
                    </w:rPr>
                    <w:t>文件要求</w:t>
                  </w:r>
                </w:p>
              </w:tc>
              <w:tc>
                <w:tcPr>
                  <w:tcW w:w="1468" w:type="pct"/>
                  <w:tcBorders>
                    <w:tl2br w:val="nil"/>
                    <w:tr2bl w:val="nil"/>
                  </w:tcBorders>
                  <w:noWrap w:val="0"/>
                  <w:vAlign w:val="center"/>
                </w:tcPr>
                <w:p w14:paraId="05F8350E">
                  <w:pPr>
                    <w:pStyle w:val="40"/>
                    <w:widowControl w:val="0"/>
                    <w:adjustRightInd w:val="0"/>
                    <w:snapToGrid w:val="0"/>
                    <w:rPr>
                      <w:rFonts w:ascii="Times New Roman"/>
                      <w:color w:val="auto"/>
                      <w:spacing w:val="-2"/>
                      <w:sz w:val="18"/>
                      <w:szCs w:val="18"/>
                    </w:rPr>
                  </w:pPr>
                  <w:r>
                    <w:rPr>
                      <w:rFonts w:ascii="Times New Roman"/>
                      <w:color w:val="auto"/>
                      <w:spacing w:val="-2"/>
                      <w:sz w:val="18"/>
                      <w:szCs w:val="18"/>
                    </w:rPr>
                    <w:t>相符性分析</w:t>
                  </w:r>
                </w:p>
              </w:tc>
            </w:tr>
            <w:tr w14:paraId="21F4BF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1" w:hRule="atLeast"/>
                <w:jc w:val="center"/>
              </w:trPr>
              <w:tc>
                <w:tcPr>
                  <w:tcW w:w="419" w:type="pct"/>
                  <w:tcBorders>
                    <w:tl2br w:val="nil"/>
                    <w:tr2bl w:val="nil"/>
                  </w:tcBorders>
                  <w:noWrap w:val="0"/>
                  <w:vAlign w:val="center"/>
                </w:tcPr>
                <w:p w14:paraId="291AFC94">
                  <w:pPr>
                    <w:pStyle w:val="40"/>
                    <w:widowControl w:val="0"/>
                    <w:adjustRightInd w:val="0"/>
                    <w:snapToGrid w:val="0"/>
                    <w:rPr>
                      <w:rFonts w:ascii="Times New Roman"/>
                      <w:color w:val="auto"/>
                      <w:spacing w:val="-2"/>
                      <w:sz w:val="18"/>
                      <w:szCs w:val="18"/>
                    </w:rPr>
                  </w:pPr>
                  <w:r>
                    <w:rPr>
                      <w:rFonts w:ascii="Times New Roman"/>
                      <w:color w:val="auto"/>
                      <w:spacing w:val="-2"/>
                      <w:sz w:val="18"/>
                      <w:szCs w:val="18"/>
                    </w:rPr>
                    <w:t>1</w:t>
                  </w:r>
                </w:p>
              </w:tc>
              <w:tc>
                <w:tcPr>
                  <w:tcW w:w="3113" w:type="pct"/>
                  <w:tcBorders>
                    <w:tl2br w:val="nil"/>
                    <w:tr2bl w:val="nil"/>
                  </w:tcBorders>
                  <w:noWrap w:val="0"/>
                  <w:vAlign w:val="center"/>
                </w:tcPr>
                <w:p w14:paraId="4B44F044">
                  <w:pPr>
                    <w:pStyle w:val="40"/>
                    <w:widowControl w:val="0"/>
                    <w:adjustRightInd w:val="0"/>
                    <w:snapToGrid w:val="0"/>
                    <w:jc w:val="left"/>
                    <w:rPr>
                      <w:rFonts w:ascii="Times New Roman"/>
                      <w:color w:val="auto"/>
                      <w:spacing w:val="-2"/>
                      <w:sz w:val="18"/>
                      <w:szCs w:val="18"/>
                    </w:rPr>
                  </w:pPr>
                  <w:r>
                    <w:rPr>
                      <w:rFonts w:ascii="Times New Roman"/>
                      <w:color w:val="auto"/>
                      <w:spacing w:val="-2"/>
                      <w:sz w:val="18"/>
                      <w:szCs w:val="18"/>
                    </w:rPr>
                    <w:t>第21条 耕地和永久基本农田</w:t>
                  </w:r>
                </w:p>
                <w:p w14:paraId="488F5B97">
                  <w:pPr>
                    <w:pStyle w:val="40"/>
                    <w:widowControl w:val="0"/>
                    <w:adjustRightInd w:val="0"/>
                    <w:snapToGrid w:val="0"/>
                    <w:ind w:firstLine="352" w:firstLineChars="200"/>
                    <w:jc w:val="left"/>
                    <w:rPr>
                      <w:rFonts w:ascii="Times New Roman"/>
                      <w:color w:val="auto"/>
                      <w:spacing w:val="-2"/>
                      <w:sz w:val="18"/>
                      <w:szCs w:val="18"/>
                    </w:rPr>
                  </w:pPr>
                  <w:r>
                    <w:rPr>
                      <w:rFonts w:ascii="Times New Roman"/>
                      <w:color w:val="auto"/>
                      <w:spacing w:val="-2"/>
                      <w:sz w:val="18"/>
                      <w:szCs w:val="18"/>
                    </w:rPr>
                    <w:t>严守耕地和永久基本农田保护红线，持续优化耕地布局，坚决遏制耕地“非农化”、严格管控“非粮化”，将可以长期稳定利用耕地优先划入永久基本农田实行特殊保护，全方位夯实粮食安全根基。至 2035年，上级规划下达南通市耕地保有量任务数3847.8000平方千米(577.1700万亩)，全市实际划定3847.8289平方千米（577.1743万亩);上级规划下达永久基本农田保护任务数3500.2467平方千米 (525.0370万亩)，全市实际划定永久基本农田面积3500.2534平方千米(525.0380万亩)。市级国土空间总体规划划定的耕地和永久基本农田保护红线，市（县）区级、镇（街道）级国土空间总体规划严格落实。</w:t>
                  </w:r>
                </w:p>
              </w:tc>
              <w:tc>
                <w:tcPr>
                  <w:tcW w:w="1468" w:type="pct"/>
                  <w:tcBorders>
                    <w:tl2br w:val="nil"/>
                    <w:tr2bl w:val="nil"/>
                  </w:tcBorders>
                  <w:noWrap w:val="0"/>
                  <w:vAlign w:val="center"/>
                </w:tcPr>
                <w:p w14:paraId="1A439544">
                  <w:pPr>
                    <w:pStyle w:val="40"/>
                    <w:widowControl w:val="0"/>
                    <w:adjustRightInd w:val="0"/>
                    <w:snapToGrid w:val="0"/>
                    <w:rPr>
                      <w:rFonts w:ascii="Times New Roman"/>
                      <w:color w:val="auto"/>
                      <w:spacing w:val="-2"/>
                      <w:sz w:val="18"/>
                      <w:szCs w:val="18"/>
                    </w:rPr>
                  </w:pPr>
                  <w:r>
                    <w:rPr>
                      <w:rFonts w:ascii="Times New Roman"/>
                      <w:color w:val="auto"/>
                      <w:spacing w:val="-2"/>
                      <w:sz w:val="18"/>
                      <w:szCs w:val="18"/>
                    </w:rPr>
                    <w:t>本项目用地性质属于工业用地，不占用耕地和永久基本农田。</w:t>
                  </w:r>
                </w:p>
              </w:tc>
            </w:tr>
            <w:tr w14:paraId="525649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419" w:type="pct"/>
                  <w:tcBorders>
                    <w:tl2br w:val="nil"/>
                    <w:tr2bl w:val="nil"/>
                  </w:tcBorders>
                  <w:noWrap w:val="0"/>
                  <w:vAlign w:val="center"/>
                </w:tcPr>
                <w:p w14:paraId="4B63F871">
                  <w:pPr>
                    <w:pStyle w:val="40"/>
                    <w:widowControl w:val="0"/>
                    <w:adjustRightInd w:val="0"/>
                    <w:snapToGrid w:val="0"/>
                    <w:rPr>
                      <w:rFonts w:ascii="Times New Roman"/>
                      <w:color w:val="auto"/>
                      <w:spacing w:val="-2"/>
                      <w:sz w:val="18"/>
                      <w:szCs w:val="18"/>
                    </w:rPr>
                  </w:pPr>
                  <w:r>
                    <w:rPr>
                      <w:rFonts w:ascii="Times New Roman"/>
                      <w:color w:val="auto"/>
                      <w:spacing w:val="-2"/>
                      <w:sz w:val="18"/>
                      <w:szCs w:val="18"/>
                    </w:rPr>
                    <w:t>2</w:t>
                  </w:r>
                </w:p>
              </w:tc>
              <w:tc>
                <w:tcPr>
                  <w:tcW w:w="3113" w:type="pct"/>
                  <w:tcBorders>
                    <w:tl2br w:val="nil"/>
                    <w:tr2bl w:val="nil"/>
                  </w:tcBorders>
                  <w:noWrap w:val="0"/>
                  <w:vAlign w:val="center"/>
                </w:tcPr>
                <w:p w14:paraId="2794E3F2">
                  <w:pPr>
                    <w:pStyle w:val="40"/>
                    <w:widowControl w:val="0"/>
                    <w:adjustRightInd w:val="0"/>
                    <w:snapToGrid w:val="0"/>
                    <w:jc w:val="left"/>
                    <w:rPr>
                      <w:rFonts w:ascii="Times New Roman"/>
                      <w:color w:val="auto"/>
                      <w:spacing w:val="-2"/>
                      <w:sz w:val="18"/>
                      <w:szCs w:val="18"/>
                    </w:rPr>
                  </w:pPr>
                  <w:r>
                    <w:rPr>
                      <w:rFonts w:ascii="Times New Roman"/>
                      <w:color w:val="auto"/>
                      <w:spacing w:val="-2"/>
                      <w:sz w:val="18"/>
                      <w:szCs w:val="18"/>
                    </w:rPr>
                    <w:t>第22条 生态保护红线</w:t>
                  </w:r>
                </w:p>
                <w:p w14:paraId="15502522">
                  <w:pPr>
                    <w:pStyle w:val="40"/>
                    <w:widowControl w:val="0"/>
                    <w:adjustRightInd w:val="0"/>
                    <w:snapToGrid w:val="0"/>
                    <w:ind w:firstLine="352" w:firstLineChars="200"/>
                    <w:jc w:val="left"/>
                    <w:rPr>
                      <w:rFonts w:ascii="Times New Roman"/>
                      <w:color w:val="auto"/>
                      <w:spacing w:val="-2"/>
                      <w:sz w:val="18"/>
                      <w:szCs w:val="18"/>
                    </w:rPr>
                  </w:pPr>
                  <w:r>
                    <w:rPr>
                      <w:rFonts w:ascii="Times New Roman"/>
                      <w:color w:val="auto"/>
                      <w:spacing w:val="-2"/>
                      <w:sz w:val="18"/>
                      <w:szCs w:val="18"/>
                    </w:rPr>
                    <w:t>保持生态保护红线方案基本稳定，划定生态保护红线面积2534.2677_平方千米。其中，陆域生态保护红线53.4917平方千米，海洋生态保护红线2480.7760平方千米。</w:t>
                  </w:r>
                </w:p>
              </w:tc>
              <w:tc>
                <w:tcPr>
                  <w:tcW w:w="1468" w:type="pct"/>
                  <w:tcBorders>
                    <w:tl2br w:val="nil"/>
                    <w:tr2bl w:val="nil"/>
                  </w:tcBorders>
                  <w:noWrap w:val="0"/>
                  <w:vAlign w:val="center"/>
                </w:tcPr>
                <w:p w14:paraId="77B2A467">
                  <w:pPr>
                    <w:pStyle w:val="40"/>
                    <w:widowControl w:val="0"/>
                    <w:adjustRightInd w:val="0"/>
                    <w:snapToGrid w:val="0"/>
                    <w:rPr>
                      <w:rFonts w:ascii="Times New Roman"/>
                      <w:color w:val="auto"/>
                      <w:spacing w:val="-2"/>
                      <w:sz w:val="18"/>
                      <w:szCs w:val="18"/>
                    </w:rPr>
                  </w:pPr>
                  <w:r>
                    <w:rPr>
                      <w:rFonts w:ascii="Times New Roman"/>
                      <w:color w:val="auto"/>
                      <w:spacing w:val="-2"/>
                      <w:sz w:val="18"/>
                      <w:szCs w:val="18"/>
                    </w:rPr>
                    <w:t>本项目用地为工业用地，不涉及</w:t>
                  </w:r>
                  <w:r>
                    <w:rPr>
                      <w:rFonts w:hint="eastAsia" w:ascii="Times New Roman"/>
                      <w:color w:val="auto"/>
                      <w:spacing w:val="-2"/>
                      <w:sz w:val="18"/>
                      <w:szCs w:val="18"/>
                      <w:lang w:eastAsia="zh-CN"/>
                    </w:rPr>
                    <w:t>生态保护红线</w:t>
                  </w:r>
                  <w:r>
                    <w:rPr>
                      <w:rFonts w:ascii="Times New Roman"/>
                      <w:color w:val="auto"/>
                      <w:spacing w:val="-2"/>
                      <w:sz w:val="18"/>
                      <w:szCs w:val="18"/>
                    </w:rPr>
                    <w:t>。</w:t>
                  </w:r>
                </w:p>
              </w:tc>
            </w:tr>
            <w:tr w14:paraId="0DCCA4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419" w:type="pct"/>
                  <w:tcBorders>
                    <w:tl2br w:val="nil"/>
                    <w:tr2bl w:val="nil"/>
                  </w:tcBorders>
                  <w:noWrap w:val="0"/>
                  <w:vAlign w:val="center"/>
                </w:tcPr>
                <w:p w14:paraId="63FA6C14">
                  <w:pPr>
                    <w:pStyle w:val="40"/>
                    <w:widowControl w:val="0"/>
                    <w:adjustRightInd w:val="0"/>
                    <w:snapToGrid w:val="0"/>
                    <w:rPr>
                      <w:rFonts w:ascii="Times New Roman"/>
                      <w:color w:val="auto"/>
                      <w:spacing w:val="-2"/>
                      <w:sz w:val="18"/>
                      <w:szCs w:val="18"/>
                    </w:rPr>
                  </w:pPr>
                  <w:r>
                    <w:rPr>
                      <w:rFonts w:ascii="Times New Roman"/>
                      <w:color w:val="auto"/>
                      <w:spacing w:val="-2"/>
                      <w:sz w:val="18"/>
                      <w:szCs w:val="18"/>
                    </w:rPr>
                    <w:t>3</w:t>
                  </w:r>
                </w:p>
              </w:tc>
              <w:tc>
                <w:tcPr>
                  <w:tcW w:w="3113" w:type="pct"/>
                  <w:tcBorders>
                    <w:tl2br w:val="nil"/>
                    <w:tr2bl w:val="nil"/>
                  </w:tcBorders>
                  <w:noWrap w:val="0"/>
                  <w:vAlign w:val="center"/>
                </w:tcPr>
                <w:p w14:paraId="43A72511">
                  <w:pPr>
                    <w:pStyle w:val="40"/>
                    <w:widowControl w:val="0"/>
                    <w:adjustRightInd w:val="0"/>
                    <w:snapToGrid w:val="0"/>
                    <w:jc w:val="left"/>
                    <w:rPr>
                      <w:rFonts w:ascii="Times New Roman"/>
                      <w:color w:val="auto"/>
                      <w:spacing w:val="-2"/>
                      <w:sz w:val="18"/>
                      <w:szCs w:val="18"/>
                    </w:rPr>
                  </w:pPr>
                  <w:r>
                    <w:rPr>
                      <w:rFonts w:ascii="Times New Roman"/>
                      <w:color w:val="auto"/>
                      <w:spacing w:val="-2"/>
                      <w:sz w:val="18"/>
                      <w:szCs w:val="18"/>
                    </w:rPr>
                    <w:t>第23条 城镇开发边界</w:t>
                  </w:r>
                </w:p>
                <w:p w14:paraId="5729EBCC">
                  <w:pPr>
                    <w:pStyle w:val="40"/>
                    <w:widowControl w:val="0"/>
                    <w:adjustRightInd w:val="0"/>
                    <w:snapToGrid w:val="0"/>
                    <w:ind w:firstLine="352" w:firstLineChars="200"/>
                    <w:jc w:val="left"/>
                    <w:rPr>
                      <w:rFonts w:ascii="Times New Roman"/>
                      <w:color w:val="auto"/>
                      <w:spacing w:val="-2"/>
                      <w:sz w:val="18"/>
                      <w:szCs w:val="18"/>
                    </w:rPr>
                  </w:pPr>
                  <w:r>
                    <w:rPr>
                      <w:rFonts w:ascii="Times New Roman"/>
                      <w:color w:val="auto"/>
                      <w:spacing w:val="-2"/>
                      <w:sz w:val="18"/>
                      <w:szCs w:val="18"/>
                    </w:rPr>
                    <w:t>充分尊重自然地理格局，避让资源环境底线要素，落实扩展系数控制要求。划定城镇开发边界面积1401.6443平方千米，城镇开发边界扩展系数为1.3573。</w:t>
                  </w:r>
                </w:p>
              </w:tc>
              <w:tc>
                <w:tcPr>
                  <w:tcW w:w="1468" w:type="pct"/>
                  <w:tcBorders>
                    <w:tl2br w:val="nil"/>
                    <w:tr2bl w:val="nil"/>
                  </w:tcBorders>
                  <w:noWrap w:val="0"/>
                  <w:vAlign w:val="center"/>
                </w:tcPr>
                <w:p w14:paraId="79EB6A91">
                  <w:pPr>
                    <w:pStyle w:val="40"/>
                    <w:widowControl w:val="0"/>
                    <w:adjustRightInd w:val="0"/>
                    <w:snapToGrid w:val="0"/>
                    <w:rPr>
                      <w:rFonts w:ascii="Times New Roman"/>
                      <w:color w:val="auto"/>
                      <w:spacing w:val="-2"/>
                      <w:sz w:val="18"/>
                      <w:szCs w:val="18"/>
                    </w:rPr>
                  </w:pPr>
                  <w:r>
                    <w:rPr>
                      <w:rFonts w:ascii="Times New Roman"/>
                      <w:color w:val="auto"/>
                      <w:spacing w:val="-2"/>
                      <w:sz w:val="18"/>
                      <w:szCs w:val="18"/>
                    </w:rPr>
                    <w:t>本项目位于</w:t>
                  </w:r>
                  <w:r>
                    <w:rPr>
                      <w:rFonts w:hint="eastAsia" w:ascii="Times New Roman"/>
                      <w:color w:val="auto"/>
                      <w:spacing w:val="-2"/>
                      <w:sz w:val="18"/>
                      <w:szCs w:val="18"/>
                      <w:u w:val="none"/>
                    </w:rPr>
                    <w:t>南通市海门经济技术开发区滨江街道福州路179号</w:t>
                  </w:r>
                  <w:r>
                    <w:rPr>
                      <w:rFonts w:ascii="Times New Roman"/>
                      <w:color w:val="auto"/>
                      <w:spacing w:val="-2"/>
                      <w:sz w:val="18"/>
                      <w:szCs w:val="18"/>
                      <w:u w:val="none"/>
                    </w:rPr>
                    <w:t>，</w:t>
                  </w:r>
                  <w:r>
                    <w:rPr>
                      <w:rFonts w:hint="eastAsia" w:ascii="Times New Roman"/>
                      <w:color w:val="auto"/>
                      <w:spacing w:val="-2"/>
                      <w:sz w:val="18"/>
                      <w:szCs w:val="18"/>
                      <w:u w:val="none"/>
                    </w:rPr>
                    <w:t>位于</w:t>
                  </w:r>
                  <w:r>
                    <w:rPr>
                      <w:rFonts w:hint="eastAsia" w:ascii="Times New Roman"/>
                      <w:color w:val="auto"/>
                      <w:spacing w:val="-2"/>
                      <w:sz w:val="18"/>
                      <w:szCs w:val="18"/>
                      <w:u w:val="none"/>
                      <w:lang w:val="en-US" w:eastAsia="zh-CN"/>
                    </w:rPr>
                    <w:t>海门经济技术开发区，位于城镇开发边界内</w:t>
                  </w:r>
                  <w:r>
                    <w:rPr>
                      <w:rFonts w:hint="eastAsia" w:ascii="Times New Roman"/>
                      <w:color w:val="auto"/>
                      <w:spacing w:val="-2"/>
                      <w:sz w:val="18"/>
                      <w:szCs w:val="18"/>
                    </w:rPr>
                    <w:t>。</w:t>
                  </w:r>
                </w:p>
              </w:tc>
            </w:tr>
          </w:tbl>
          <w:p w14:paraId="4F857E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rPr>
            </w:pPr>
            <w:r>
              <w:rPr>
                <w:color w:val="auto"/>
              </w:rPr>
              <w:t>综上所述，本项目选址可行，与《南通市国土空间总体规划》（2021-2023）“三区三线”中要求相符</w:t>
            </w:r>
            <w:r>
              <w:rPr>
                <w:rFonts w:hint="eastAsia"/>
                <w:color w:val="auto"/>
                <w:lang w:eastAsia="zh-CN"/>
              </w:rPr>
              <w:t>，相对位置图见</w:t>
            </w:r>
            <w:r>
              <w:rPr>
                <w:rFonts w:hint="eastAsia"/>
                <w:color w:val="auto"/>
                <w:u w:val="none"/>
                <w:lang w:eastAsia="zh-CN"/>
              </w:rPr>
              <w:t>附图</w:t>
            </w:r>
            <w:r>
              <w:rPr>
                <w:rFonts w:hint="eastAsia"/>
                <w:color w:val="auto"/>
                <w:u w:val="none"/>
                <w:lang w:val="en-US" w:eastAsia="zh-CN"/>
              </w:rPr>
              <w:t>7</w:t>
            </w:r>
            <w:r>
              <w:rPr>
                <w:color w:val="auto"/>
              </w:rPr>
              <w:t>。</w:t>
            </w:r>
          </w:p>
          <w:p w14:paraId="53E0BE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bCs/>
                <w:color w:val="auto"/>
                <w:kern w:val="0"/>
                <w:sz w:val="21"/>
                <w:szCs w:val="21"/>
                <w:lang w:val="en-US" w:eastAsia="zh-CN" w:bidi="ar"/>
              </w:rPr>
            </w:pPr>
            <w:r>
              <w:rPr>
                <w:rFonts w:hint="eastAsia" w:cs="Times New Roman"/>
                <w:b/>
                <w:bCs/>
                <w:color w:val="auto"/>
                <w:kern w:val="0"/>
                <w:sz w:val="21"/>
                <w:szCs w:val="21"/>
                <w:lang w:val="en-US" w:eastAsia="zh-CN" w:bidi="ar"/>
              </w:rPr>
              <w:t>（3）与</w:t>
            </w:r>
            <w:r>
              <w:rPr>
                <w:rFonts w:hint="eastAsia"/>
                <w:b/>
                <w:bCs/>
                <w:color w:val="auto"/>
                <w:lang w:val="en-US" w:eastAsia="zh-CN"/>
              </w:rPr>
              <w:t>关于印发《江苏省挥发性有机物清洁原料替代工作方案》的通知相符性分析</w:t>
            </w:r>
          </w:p>
          <w:p w14:paraId="59F78A1E">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lang w:val="en-US" w:eastAsia="zh-CN"/>
              </w:rPr>
            </w:pPr>
            <w:r>
              <w:rPr>
                <w:rFonts w:hint="eastAsia"/>
                <w:color w:val="auto"/>
                <w:lang w:val="en-US" w:eastAsia="zh-CN"/>
              </w:rPr>
              <w:t>对照关于印发《江苏省挥发性有机物清洁原料替代工作方案》的通知，“其他行业企业涉VOCs 相关工序，要使用符合《低挥发性有机化合物含量涂料产品技术要求》（GB/T 38597-2020）规定的粉末、水性、无溶剂、辐射固化涂料产品；符合《清洗剂挥发性有机化合物含量限值》（GB 38508-2020）规定的水基、半水基清洗剂产品；符合《胶粘剂挥发性有机化合物限量》（GB 33372-2020）规定的水基型、本体型胶粘剂产品。</w:t>
            </w:r>
          </w:p>
          <w:p w14:paraId="3EE34EB8">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pacing w:val="0"/>
                <w:w w:val="100"/>
                <w:position w:val="0"/>
                <w:sz w:val="21"/>
                <w:szCs w:val="21"/>
                <w:highlight w:val="none"/>
              </w:rPr>
            </w:pPr>
            <w:r>
              <w:rPr>
                <w:rFonts w:hint="eastAsia"/>
                <w:color w:val="auto"/>
                <w:lang w:val="en-US" w:eastAsia="zh-CN"/>
              </w:rPr>
              <w:t>若确实无法达到上述要求，应提供相应的论证说明。使用的涂料、清洗剂、胶粘剂、油墨中 VOCs 含量的限值应符合《船舶涂料中有害物质限量》（GB38469-2019）、《木器涂料中有害物质限量》（GB18581-2020）、《车辆涂料中有害物质限量》（GB24409-2020）、《工业防护涂料中有害物质限量》（GB30981-2020）、《清洗剂挥发性有机化合物含量限值》（GB 38508-2020）、《胶粘剂挥发性有机化合物限量》（GB33372-2020）、《油墨中可挥发性有机化合物（VOCs）含量的限值》（GB38507-2020）中的限值要求。”</w:t>
            </w:r>
          </w:p>
          <w:p w14:paraId="3FE9988B">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lang w:val="en-US" w:eastAsia="zh-CN"/>
              </w:rPr>
            </w:pPr>
            <w:r>
              <w:rPr>
                <w:rFonts w:hint="eastAsia"/>
                <w:color w:val="auto"/>
                <w:lang w:val="en-US" w:eastAsia="zh-CN"/>
              </w:rPr>
              <w:t>本项目车灯使用有机硅硬质涂层UVHC5000-50使用UV光固化，属于辐射固化涂料，</w:t>
            </w:r>
            <w:r>
              <w:rPr>
                <w:rFonts w:hint="eastAsia" w:ascii="Times New Roman" w:hAnsi="Times New Roman" w:eastAsia="宋体" w:cs="Times New Roman"/>
                <w:color w:val="auto"/>
                <w:spacing w:val="0"/>
                <w:w w:val="100"/>
                <w:position w:val="0"/>
                <w:sz w:val="21"/>
                <w:szCs w:val="21"/>
                <w:highlight w:val="none"/>
                <w:u w:val="none"/>
                <w:lang w:val="en-US" w:eastAsia="zh-CN"/>
              </w:rPr>
              <w:t>施工状态下VOCs含量为525g/L</w:t>
            </w:r>
            <w:r>
              <w:rPr>
                <w:rFonts w:hint="eastAsia" w:cs="Times New Roman"/>
                <w:color w:val="auto"/>
                <w:spacing w:val="0"/>
                <w:w w:val="100"/>
                <w:position w:val="0"/>
                <w:sz w:val="21"/>
                <w:szCs w:val="21"/>
                <w:highlight w:val="none"/>
                <w:u w:val="none"/>
                <w:lang w:val="en-US" w:eastAsia="zh-CN"/>
              </w:rPr>
              <w:t>，超过了</w:t>
            </w:r>
            <w:r>
              <w:rPr>
                <w:rFonts w:hint="eastAsia"/>
                <w:color w:val="auto"/>
                <w:lang w:val="en-US" w:eastAsia="zh-CN"/>
              </w:rPr>
              <w:t>《低挥发性有机化合物含量涂料产品技术要求》（GB/T 38597-2020）中辐射固化涂料的含量限值</w:t>
            </w:r>
            <w:r>
              <w:rPr>
                <w:rFonts w:hint="eastAsia"/>
                <w:color w:val="auto"/>
                <w:lang w:val="en-US" w:eastAsia="zh-CN"/>
              </w:rPr>
              <w:t>；防雾涂料能有效增加车灯防雾能力，为溶剂型涂料，</w:t>
            </w:r>
            <w:r>
              <w:rPr>
                <w:rFonts w:hint="eastAsia" w:ascii="Times New Roman" w:hAnsi="Times New Roman" w:eastAsia="宋体" w:cs="Times New Roman"/>
                <w:color w:val="auto"/>
                <w:spacing w:val="0"/>
                <w:w w:val="100"/>
                <w:position w:val="0"/>
                <w:sz w:val="21"/>
                <w:szCs w:val="21"/>
                <w:highlight w:val="none"/>
                <w:u w:val="none"/>
                <w:lang w:val="en-US" w:eastAsia="zh-CN"/>
              </w:rPr>
              <w:t>施工状态下VOCs含量为159g/L</w:t>
            </w:r>
            <w:r>
              <w:rPr>
                <w:rFonts w:hint="eastAsia" w:cs="Times New Roman"/>
                <w:color w:val="auto"/>
                <w:spacing w:val="0"/>
                <w:w w:val="100"/>
                <w:position w:val="0"/>
                <w:sz w:val="21"/>
                <w:szCs w:val="21"/>
                <w:highlight w:val="none"/>
                <w:u w:val="none"/>
                <w:lang w:val="en-US" w:eastAsia="zh-CN"/>
              </w:rPr>
              <w:t>；</w:t>
            </w:r>
            <w:r>
              <w:rPr>
                <w:rFonts w:hint="eastAsia" w:ascii="Times New Roman" w:hAnsi="Times New Roman" w:eastAsia="宋体" w:cs="Times New Roman"/>
                <w:color w:val="auto"/>
                <w:spacing w:val="0"/>
                <w:w w:val="100"/>
                <w:position w:val="0"/>
                <w:sz w:val="21"/>
                <w:szCs w:val="21"/>
                <w:highlight w:val="none"/>
                <w:u w:val="none"/>
                <w:lang w:val="en-US" w:eastAsia="zh-CN"/>
              </w:rPr>
              <w:t>本项目</w:t>
            </w:r>
            <w:r>
              <w:rPr>
                <w:rFonts w:hint="eastAsia" w:cs="Times New Roman"/>
                <w:color w:val="auto"/>
                <w:spacing w:val="0"/>
                <w:w w:val="100"/>
                <w:position w:val="0"/>
                <w:sz w:val="21"/>
                <w:szCs w:val="21"/>
                <w:highlight w:val="none"/>
                <w:u w:val="none"/>
                <w:lang w:val="en-US" w:eastAsia="zh-CN"/>
              </w:rPr>
              <w:t>使用的</w:t>
            </w:r>
            <w:r>
              <w:rPr>
                <w:rFonts w:hint="eastAsia" w:ascii="Times New Roman" w:hAnsi="Times New Roman" w:eastAsia="宋体" w:cs="Times New Roman"/>
                <w:color w:val="auto"/>
                <w:spacing w:val="0"/>
                <w:w w:val="100"/>
                <w:position w:val="0"/>
                <w:sz w:val="21"/>
                <w:szCs w:val="21"/>
                <w:highlight w:val="none"/>
                <w:u w:val="none"/>
                <w:lang w:val="en-US" w:eastAsia="zh-CN"/>
              </w:rPr>
              <w:t>清洗剂为有机溶剂清洗剂，VOCs含量为718g/L</w:t>
            </w:r>
            <w:r>
              <w:rPr>
                <w:rFonts w:hint="eastAsia"/>
                <w:color w:val="auto"/>
                <w:lang w:val="en-US" w:eastAsia="zh-CN"/>
              </w:rPr>
              <w:t>。有机硅硬质涂层UVHC5000-50属于车灯硬化漆，具有抗划伤的特殊功能，</w:t>
            </w:r>
            <w:r>
              <w:rPr>
                <w:rFonts w:hint="eastAsia"/>
                <w:color w:val="auto"/>
                <w:lang w:val="en-US" w:eastAsia="zh-CN"/>
              </w:rPr>
              <w:t>防雾涂料具有防雾的特殊功能，是生产车灯必不可少的原材料，目前市场上尚无满足车辆厂商质量要求的水性等低VOCs涂料产品，</w:t>
            </w:r>
            <w:r>
              <w:rPr>
                <w:rFonts w:hint="eastAsia"/>
                <w:color w:val="auto"/>
                <w:lang w:val="en-US" w:eastAsia="zh-CN"/>
              </w:rPr>
              <w:t>《涂料中有害物质限量第2部分：工业涂料》（GB30981.2-2025）3.8款也明确了车灯硬化漆、防雾涂料为特殊功能涂料，属于受技术的限制暂不能被环境友好型涂料替代的涂料；溶剂型防雾涂料涂装作业后，涂装喷头需要定期清洗，目前市场上尚无满足清洗要求的水基和半水基清洗剂流通，只能选择溶剂型清洗剂进行清洗，建设单位已按要求提供涂料及清洗剂的不可替代论证说明材料。</w:t>
            </w:r>
          </w:p>
          <w:p w14:paraId="0CFAA19E">
            <w:pPr>
              <w:keepNext w:val="0"/>
              <w:keepLines w:val="0"/>
              <w:suppressLineNumbers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color w:val="auto"/>
                <w:spacing w:val="0"/>
                <w:w w:val="100"/>
                <w:position w:val="0"/>
                <w:sz w:val="21"/>
                <w:szCs w:val="21"/>
                <w:highlight w:val="none"/>
                <w:u w:val="none"/>
                <w:lang w:val="en-US" w:eastAsia="zh-CN"/>
              </w:rPr>
            </w:pPr>
            <w:r>
              <w:rPr>
                <w:rFonts w:hint="eastAsia"/>
                <w:color w:val="auto"/>
                <w:lang w:val="en-US" w:eastAsia="zh-CN"/>
              </w:rPr>
              <w:t>根据涂料MSDS及VOCs检测报告，本项目涉及的车灯硬化漆、防雾涂料中不含苯、甲苯、二甲苯等有害物质，VOCs含量均满足《涂料中有害物质限量第2部分：工业涂料》（GB30981.2-2025）中电子电器涂料VOCs含量限值（600g/L）要求、</w:t>
            </w:r>
            <w:r>
              <w:rPr>
                <w:rFonts w:hint="eastAsia"/>
                <w:color w:val="auto"/>
                <w:lang w:val="en-US" w:eastAsia="zh-CN"/>
              </w:rPr>
              <w:t>《工业防护涂料中有害物质限量》（GB30981-2020）中</w:t>
            </w:r>
            <w:r>
              <w:rPr>
                <w:rFonts w:hint="eastAsia" w:cs="Times New Roman"/>
                <w:color w:val="auto"/>
                <w:spacing w:val="0"/>
                <w:w w:val="100"/>
                <w:position w:val="0"/>
                <w:sz w:val="21"/>
                <w:szCs w:val="21"/>
                <w:highlight w:val="none"/>
                <w:u w:val="none"/>
                <w:lang w:val="en-US" w:eastAsia="zh-CN"/>
              </w:rPr>
              <w:t>电子电器涂料</w:t>
            </w:r>
            <w:r>
              <w:rPr>
                <w:rFonts w:hint="eastAsia" w:ascii="Times New Roman" w:hAnsi="Times New Roman" w:eastAsia="宋体" w:cs="Times New Roman"/>
                <w:color w:val="auto"/>
                <w:spacing w:val="0"/>
                <w:w w:val="100"/>
                <w:position w:val="0"/>
                <w:sz w:val="21"/>
                <w:szCs w:val="21"/>
                <w:highlight w:val="none"/>
                <w:u w:val="none"/>
                <w:lang w:val="en-US" w:eastAsia="zh-CN"/>
              </w:rPr>
              <w:t>（清漆）中VOC含量要求（≤</w:t>
            </w:r>
            <w:r>
              <w:rPr>
                <w:rFonts w:hint="eastAsia" w:cs="Times New Roman"/>
                <w:color w:val="auto"/>
                <w:spacing w:val="0"/>
                <w:w w:val="100"/>
                <w:position w:val="0"/>
                <w:sz w:val="21"/>
                <w:szCs w:val="21"/>
                <w:highlight w:val="none"/>
                <w:u w:val="none"/>
                <w:lang w:val="en-US" w:eastAsia="zh-CN"/>
              </w:rPr>
              <w:t>65</w:t>
            </w:r>
            <w:r>
              <w:rPr>
                <w:rFonts w:hint="eastAsia" w:ascii="Times New Roman" w:hAnsi="Times New Roman" w:eastAsia="宋体" w:cs="Times New Roman"/>
                <w:color w:val="auto"/>
                <w:spacing w:val="0"/>
                <w:w w:val="100"/>
                <w:position w:val="0"/>
                <w:sz w:val="21"/>
                <w:szCs w:val="21"/>
                <w:highlight w:val="none"/>
                <w:u w:val="none"/>
                <w:lang w:val="en-US" w:eastAsia="zh-CN"/>
              </w:rPr>
              <w:t>0g/L）</w:t>
            </w:r>
            <w:r>
              <w:rPr>
                <w:rFonts w:hint="eastAsia"/>
                <w:color w:val="auto"/>
                <w:lang w:val="en-US" w:eastAsia="zh-CN"/>
              </w:rPr>
              <w:t>，有机硅硬质涂层UVHC5000-50符合《车辆涂料中有害物质限量》（GB24409-2020）中</w:t>
            </w:r>
            <w:r>
              <w:rPr>
                <w:rFonts w:hint="eastAsia" w:ascii="Times New Roman" w:hAnsi="Times New Roman" w:eastAsia="宋体" w:cs="Times New Roman"/>
                <w:color w:val="auto"/>
                <w:spacing w:val="0"/>
                <w:w w:val="100"/>
                <w:position w:val="0"/>
                <w:sz w:val="21"/>
                <w:szCs w:val="21"/>
                <w:highlight w:val="none"/>
                <w:u w:val="none"/>
                <w:lang w:val="en-US" w:eastAsia="zh-CN"/>
              </w:rPr>
              <w:t>非水性</w:t>
            </w:r>
            <w:r>
              <w:rPr>
                <w:rFonts w:hint="eastAsia" w:cs="Times New Roman"/>
                <w:color w:val="auto"/>
                <w:spacing w:val="0"/>
                <w:w w:val="100"/>
                <w:position w:val="0"/>
                <w:sz w:val="21"/>
                <w:szCs w:val="21"/>
                <w:highlight w:val="none"/>
                <w:u w:val="none"/>
                <w:lang w:val="en-US" w:eastAsia="zh-CN"/>
              </w:rPr>
              <w:t>-其他工业涂料-喷涂的</w:t>
            </w:r>
            <w:r>
              <w:rPr>
                <w:rFonts w:hint="eastAsia"/>
                <w:color w:val="auto"/>
                <w:lang w:val="en-US" w:eastAsia="zh-CN"/>
              </w:rPr>
              <w:t>辐射固化涂料中VOCs含量限值（550g/L）要求，防雾涂料符合溶剂型涂料VOCs含量限值（原厂涂料-清漆，420g/L）；</w:t>
            </w:r>
            <w:r>
              <w:rPr>
                <w:rFonts w:hint="eastAsia" w:ascii="Times New Roman" w:hAnsi="Times New Roman" w:eastAsia="宋体" w:cs="Times New Roman"/>
                <w:color w:val="auto"/>
                <w:spacing w:val="0"/>
                <w:w w:val="100"/>
                <w:position w:val="0"/>
                <w:sz w:val="21"/>
                <w:szCs w:val="21"/>
                <w:highlight w:val="none"/>
                <w:u w:val="none"/>
                <w:lang w:val="en-US" w:eastAsia="zh-CN"/>
              </w:rPr>
              <w:t>清洗剂中VOCs含量为718g/L，符合</w:t>
            </w:r>
            <w:r>
              <w:rPr>
                <w:rFonts w:hint="default" w:ascii="Times New Roman" w:hAnsi="Times New Roman" w:eastAsia="宋体" w:cs="Times New Roman"/>
                <w:color w:val="auto"/>
                <w:spacing w:val="0"/>
                <w:w w:val="100"/>
                <w:position w:val="0"/>
                <w:sz w:val="21"/>
                <w:szCs w:val="21"/>
                <w:highlight w:val="none"/>
                <w:u w:val="none"/>
                <w:lang w:val="en-US" w:eastAsia="zh-CN"/>
              </w:rPr>
              <w:t>《清洗剂挥发性有机化合物含量限值》（GB38508-2020）</w:t>
            </w:r>
            <w:r>
              <w:rPr>
                <w:rFonts w:hint="eastAsia" w:ascii="Times New Roman" w:hAnsi="Times New Roman" w:eastAsia="宋体" w:cs="Times New Roman"/>
                <w:color w:val="auto"/>
                <w:spacing w:val="0"/>
                <w:w w:val="100"/>
                <w:position w:val="0"/>
                <w:sz w:val="21"/>
                <w:szCs w:val="21"/>
                <w:highlight w:val="none"/>
                <w:u w:val="none"/>
                <w:lang w:val="en-US" w:eastAsia="zh-CN"/>
              </w:rPr>
              <w:t>表1中有机溶剂清洗剂VOC含量限值（≤900g/L）要求</w:t>
            </w:r>
            <w:r>
              <w:rPr>
                <w:rFonts w:hint="eastAsia" w:cs="Times New Roman"/>
                <w:color w:val="auto"/>
                <w:spacing w:val="0"/>
                <w:w w:val="100"/>
                <w:position w:val="0"/>
                <w:sz w:val="21"/>
                <w:szCs w:val="21"/>
                <w:highlight w:val="none"/>
                <w:u w:val="none"/>
                <w:lang w:val="en-US" w:eastAsia="zh-CN"/>
              </w:rPr>
              <w:t>。</w:t>
            </w:r>
          </w:p>
          <w:p w14:paraId="5B3499EA">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pacing w:val="0"/>
                <w:w w:val="100"/>
                <w:position w:val="0"/>
                <w:sz w:val="21"/>
                <w:szCs w:val="21"/>
                <w:highlight w:val="none"/>
                <w:u w:val="none"/>
                <w:lang w:val="en-US" w:eastAsia="zh-CN"/>
              </w:rPr>
            </w:pPr>
            <w:r>
              <w:rPr>
                <w:rFonts w:hint="eastAsia" w:cs="Times New Roman"/>
                <w:color w:val="auto"/>
                <w:spacing w:val="0"/>
                <w:w w:val="100"/>
                <w:position w:val="0"/>
                <w:sz w:val="21"/>
                <w:szCs w:val="21"/>
                <w:highlight w:val="none"/>
                <w:u w:val="none"/>
                <w:lang w:val="en-US" w:eastAsia="zh-CN"/>
              </w:rPr>
              <w:t>综上，本项目满足</w:t>
            </w:r>
            <w:r>
              <w:rPr>
                <w:rFonts w:hint="eastAsia"/>
                <w:color w:val="auto"/>
                <w:lang w:val="en-US" w:eastAsia="zh-CN"/>
              </w:rPr>
              <w:t>关于印发《江苏省挥发性有机物清洁原料替代工作方案》的通知要求。</w:t>
            </w:r>
          </w:p>
          <w:p w14:paraId="38015C91">
            <w:pPr>
              <w:numPr>
                <w:ilvl w:val="0"/>
                <w:numId w:val="0"/>
              </w:numPr>
              <w:adjustRightInd w:val="0"/>
              <w:snapToGrid w:val="0"/>
              <w:spacing w:line="360" w:lineRule="auto"/>
              <w:rPr>
                <w:rFonts w:hint="eastAsia" w:ascii="Times New Roman" w:hAnsi="Times New Roman" w:cs="Times New Roman"/>
                <w:b/>
                <w:bCs/>
                <w:color w:val="auto"/>
                <w:kern w:val="0"/>
                <w:sz w:val="21"/>
                <w:szCs w:val="21"/>
                <w:lang w:val="en-US" w:eastAsia="zh-CN" w:bidi="ar"/>
              </w:rPr>
            </w:pPr>
            <w:r>
              <w:rPr>
                <w:rFonts w:hint="eastAsia" w:ascii="Times New Roman" w:hAnsi="Times New Roman" w:cs="Times New Roman"/>
                <w:b/>
                <w:bCs/>
                <w:color w:val="auto"/>
                <w:kern w:val="0"/>
                <w:sz w:val="21"/>
                <w:szCs w:val="21"/>
                <w:lang w:val="en-US" w:eastAsia="zh-CN" w:bidi="ar"/>
              </w:rPr>
              <w:t>（</w:t>
            </w:r>
            <w:r>
              <w:rPr>
                <w:rFonts w:hint="eastAsia" w:cs="Times New Roman"/>
                <w:b/>
                <w:bCs/>
                <w:color w:val="auto"/>
                <w:kern w:val="0"/>
                <w:sz w:val="21"/>
                <w:szCs w:val="21"/>
                <w:lang w:val="en-US" w:eastAsia="zh-CN" w:bidi="ar"/>
              </w:rPr>
              <w:t>4</w:t>
            </w:r>
            <w:r>
              <w:rPr>
                <w:rFonts w:hint="eastAsia" w:ascii="Times New Roman" w:hAnsi="Times New Roman" w:cs="Times New Roman"/>
                <w:b/>
                <w:bCs/>
                <w:color w:val="auto"/>
                <w:kern w:val="0"/>
                <w:sz w:val="21"/>
                <w:szCs w:val="21"/>
                <w:lang w:val="en-US" w:eastAsia="zh-CN" w:bidi="ar"/>
              </w:rPr>
              <w:t>）与《关于加强重点行业涉新污染物建设项目环境影响评价工作的意见》（环环评〔2025〕28号）相符性分析</w:t>
            </w:r>
          </w:p>
          <w:p w14:paraId="6AAC4BED">
            <w:pPr>
              <w:pStyle w:val="72"/>
              <w:rPr>
                <w:rFonts w:hint="default" w:ascii="Times New Roman" w:hAnsi="Times New Roman" w:eastAsia="宋体" w:cs="Times New Roman"/>
                <w:color w:val="auto"/>
              </w:rPr>
            </w:pPr>
            <w:r>
              <w:rPr>
                <w:rFonts w:hint="default" w:ascii="Times New Roman" w:hAnsi="Times New Roman" w:eastAsia="宋体" w:cs="Times New Roman"/>
                <w:color w:val="auto"/>
              </w:rPr>
              <w:t>表1-1</w:t>
            </w:r>
            <w:r>
              <w:rPr>
                <w:rFonts w:hint="eastAsia" w:eastAsia="宋体" w:cs="Times New Roman"/>
                <w:color w:val="auto"/>
                <w:lang w:val="en-US" w:eastAsia="zh-CN"/>
              </w:rPr>
              <w:t>2</w:t>
            </w:r>
            <w:r>
              <w:rPr>
                <w:rFonts w:hint="default" w:ascii="Times New Roman" w:hAnsi="Times New Roman" w:eastAsia="宋体" w:cs="Times New Roman"/>
                <w:color w:val="auto"/>
              </w:rPr>
              <w:t xml:space="preserve"> 建设项目与环环评〔2025〕28号文相符性分析</w:t>
            </w:r>
          </w:p>
          <w:tbl>
            <w:tblPr>
              <w:tblStyle w:val="21"/>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26"/>
              <w:gridCol w:w="4368"/>
              <w:gridCol w:w="2837"/>
              <w:gridCol w:w="558"/>
            </w:tblGrid>
            <w:tr w14:paraId="5DF576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trPr>
              <w:tc>
                <w:tcPr>
                  <w:tcW w:w="426" w:type="dxa"/>
                  <w:tcBorders>
                    <w:tl2br w:val="nil"/>
                    <w:tr2bl w:val="nil"/>
                  </w:tcBorders>
                  <w:vAlign w:val="center"/>
                </w:tcPr>
                <w:p w14:paraId="175F3D53">
                  <w:pPr>
                    <w:adjustRightInd w:val="0"/>
                    <w:snapToGrid w:val="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序号</w:t>
                  </w:r>
                </w:p>
              </w:tc>
              <w:tc>
                <w:tcPr>
                  <w:tcW w:w="4368" w:type="dxa"/>
                  <w:tcBorders>
                    <w:tl2br w:val="nil"/>
                    <w:tr2bl w:val="nil"/>
                  </w:tcBorders>
                  <w:vAlign w:val="center"/>
                </w:tcPr>
                <w:p w14:paraId="311892AB">
                  <w:pPr>
                    <w:adjustRightInd w:val="0"/>
                    <w:snapToGrid w:val="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文件要求</w:t>
                  </w:r>
                </w:p>
              </w:tc>
              <w:tc>
                <w:tcPr>
                  <w:tcW w:w="2837" w:type="dxa"/>
                  <w:tcBorders>
                    <w:tl2br w:val="nil"/>
                    <w:tr2bl w:val="nil"/>
                  </w:tcBorders>
                  <w:vAlign w:val="center"/>
                </w:tcPr>
                <w:p w14:paraId="3BC62274">
                  <w:pPr>
                    <w:adjustRightInd w:val="0"/>
                    <w:snapToGrid w:val="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建设项目情况</w:t>
                  </w:r>
                </w:p>
              </w:tc>
              <w:tc>
                <w:tcPr>
                  <w:tcW w:w="558" w:type="dxa"/>
                  <w:tcBorders>
                    <w:tl2br w:val="nil"/>
                    <w:tr2bl w:val="nil"/>
                  </w:tcBorders>
                  <w:vAlign w:val="center"/>
                </w:tcPr>
                <w:p w14:paraId="42A0A019">
                  <w:pPr>
                    <w:adjustRightInd w:val="0"/>
                    <w:snapToGrid w:val="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相符性</w:t>
                  </w:r>
                </w:p>
              </w:tc>
            </w:tr>
            <w:tr w14:paraId="7E1163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trPr>
              <w:tc>
                <w:tcPr>
                  <w:tcW w:w="426" w:type="dxa"/>
                  <w:tcBorders>
                    <w:tl2br w:val="nil"/>
                    <w:tr2bl w:val="nil"/>
                  </w:tcBorders>
                  <w:vAlign w:val="center"/>
                </w:tcPr>
                <w:p w14:paraId="4CB53124">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4368" w:type="dxa"/>
                  <w:tcBorders>
                    <w:tl2br w:val="nil"/>
                    <w:tr2bl w:val="nil"/>
                  </w:tcBorders>
                  <w:vAlign w:val="center"/>
                </w:tcPr>
                <w:p w14:paraId="1B8FA847">
                  <w:pPr>
                    <w:adjustRightInd w:val="0"/>
                    <w:snapToGrid w:val="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一、突出管理重点</w:t>
                  </w:r>
                </w:p>
                <w:p w14:paraId="148BC3B2">
                  <w:pPr>
                    <w:adjustRightInd w:val="0"/>
                    <w:snapToGrid w:val="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重点关注重点管控新污染物清单、有毒有害污染物名录、优先控制化学品名录以及《关于持久性有机污染物的斯德哥尔摩公约》（简称《斯德哥尔摩公约》）附件中已发布环境质量标准、污染物排放标准、环境监测方法标准或其他具有污染治理技术的污染物。重点关注石化、涂料、纺织印染、橡胶、农药、医药等重点行业建设项目，在建设项目环评工作中做好上述新污染物识别，涉及上述新污染物的，执行本意见要求；不涉及新污染物的，无需开展相关工作。</w:t>
                  </w:r>
                </w:p>
              </w:tc>
              <w:tc>
                <w:tcPr>
                  <w:tcW w:w="2837" w:type="dxa"/>
                  <w:tcBorders>
                    <w:tl2br w:val="nil"/>
                    <w:tr2bl w:val="nil"/>
                  </w:tcBorders>
                  <w:vAlign w:val="center"/>
                </w:tcPr>
                <w:p w14:paraId="0AFB4AE6">
                  <w:pPr>
                    <w:adjustRightInd w:val="0"/>
                    <w:snapToGrid w:val="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（1）对照《重点管控新污染物清单》（2023年版），本项目不涉及清单所列重点管控新污染物。</w:t>
                  </w:r>
                </w:p>
                <w:p w14:paraId="336A284F">
                  <w:pPr>
                    <w:adjustRightInd w:val="0"/>
                    <w:snapToGrid w:val="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（2）对照《有毒有害大气污染物名录（2018年）》，本项目使用的原辅材料</w:t>
                  </w:r>
                  <w:r>
                    <w:rPr>
                      <w:rFonts w:hint="eastAsia" w:eastAsia="宋体" w:cs="Times New Roman"/>
                      <w:color w:val="auto"/>
                      <w:sz w:val="18"/>
                      <w:szCs w:val="18"/>
                      <w:lang w:eastAsia="zh-CN"/>
                    </w:rPr>
                    <w:t>、</w:t>
                  </w:r>
                  <w:r>
                    <w:rPr>
                      <w:rFonts w:hint="eastAsia" w:cs="Times New Roman"/>
                      <w:color w:val="auto"/>
                      <w:sz w:val="18"/>
                      <w:szCs w:val="18"/>
                      <w:lang w:val="en-US" w:eastAsia="zh-CN"/>
                    </w:rPr>
                    <w:t>产生的废气均不</w:t>
                  </w:r>
                  <w:r>
                    <w:rPr>
                      <w:rFonts w:hint="default" w:ascii="Times New Roman" w:hAnsi="Times New Roman" w:eastAsia="宋体" w:cs="Times New Roman"/>
                      <w:color w:val="auto"/>
                      <w:sz w:val="18"/>
                      <w:szCs w:val="18"/>
                    </w:rPr>
                    <w:t>属于有毒有害大气污染物。</w:t>
                  </w:r>
                </w:p>
                <w:p w14:paraId="174E34C0">
                  <w:pPr>
                    <w:adjustRightInd w:val="0"/>
                    <w:snapToGrid w:val="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（3）对照《有毒有害水污染物名录（第一批）》，本项目</w:t>
                  </w:r>
                  <w:r>
                    <w:rPr>
                      <w:rFonts w:hint="eastAsia" w:ascii="Times New Roman" w:hAnsi="Times New Roman" w:eastAsia="宋体" w:cs="Times New Roman"/>
                      <w:color w:val="auto"/>
                      <w:sz w:val="18"/>
                      <w:szCs w:val="18"/>
                      <w:lang w:val="en-US" w:eastAsia="zh-CN"/>
                    </w:rPr>
                    <w:t>清洗废水中不含</w:t>
                  </w:r>
                  <w:r>
                    <w:rPr>
                      <w:rFonts w:hint="default" w:ascii="Times New Roman" w:hAnsi="Times New Roman" w:eastAsia="宋体" w:cs="Times New Roman"/>
                      <w:color w:val="auto"/>
                      <w:sz w:val="18"/>
                      <w:szCs w:val="18"/>
                    </w:rPr>
                    <w:t>有毒有害水污染物。</w:t>
                  </w:r>
                </w:p>
                <w:p w14:paraId="7CAEEBCA">
                  <w:pPr>
                    <w:adjustRightInd w:val="0"/>
                    <w:snapToGrid w:val="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（4）对照《优先控制化学品名录（第一批）》、《优先控制化学品名录（第二批）》，本项目</w:t>
                  </w:r>
                  <w:r>
                    <w:rPr>
                      <w:rFonts w:hint="eastAsia" w:ascii="Times New Roman" w:hAnsi="Times New Roman" w:eastAsia="宋体" w:cs="Times New Roman"/>
                      <w:color w:val="auto"/>
                      <w:sz w:val="18"/>
                      <w:szCs w:val="18"/>
                      <w:lang w:val="en-US" w:eastAsia="zh-CN"/>
                    </w:rPr>
                    <w:t>不涉及</w:t>
                  </w:r>
                  <w:r>
                    <w:rPr>
                      <w:rFonts w:hint="default" w:ascii="Times New Roman" w:hAnsi="Times New Roman" w:eastAsia="宋体" w:cs="Times New Roman"/>
                      <w:color w:val="auto"/>
                      <w:sz w:val="18"/>
                      <w:szCs w:val="18"/>
                    </w:rPr>
                    <w:t>优先控制化学品名录（第一批）》、《优先控制化学品名录（第二批）》</w:t>
                  </w:r>
                  <w:r>
                    <w:rPr>
                      <w:rFonts w:hint="eastAsia" w:ascii="Times New Roman" w:hAnsi="Times New Roman" w:eastAsia="宋体" w:cs="Times New Roman"/>
                      <w:color w:val="auto"/>
                      <w:sz w:val="18"/>
                      <w:szCs w:val="18"/>
                      <w:lang w:val="en-US" w:eastAsia="zh-CN"/>
                    </w:rPr>
                    <w:t>中化学品</w:t>
                  </w:r>
                  <w:r>
                    <w:rPr>
                      <w:rFonts w:hint="default" w:ascii="Times New Roman" w:hAnsi="Times New Roman" w:eastAsia="宋体" w:cs="Times New Roman"/>
                      <w:color w:val="auto"/>
                      <w:sz w:val="18"/>
                      <w:szCs w:val="18"/>
                    </w:rPr>
                    <w:t>。</w:t>
                  </w:r>
                </w:p>
                <w:p w14:paraId="7FEACF92">
                  <w:pPr>
                    <w:adjustRightInd w:val="0"/>
                    <w:snapToGrid w:val="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（5）本项目不涉及《关于持久性有机污染物的斯德哥尔摩公约》中受控化学品。</w:t>
                  </w:r>
                </w:p>
                <w:p w14:paraId="3AB5595E">
                  <w:pPr>
                    <w:adjustRightInd w:val="0"/>
                    <w:snapToGrid w:val="0"/>
                    <w:jc w:val="both"/>
                    <w:rPr>
                      <w:rFonts w:hint="default" w:ascii="Times New Roman" w:hAnsi="Times New Roman" w:eastAsia="宋体" w:cs="Times New Roman"/>
                      <w:color w:val="auto"/>
                      <w:sz w:val="18"/>
                      <w:szCs w:val="18"/>
                    </w:rPr>
                  </w:pPr>
                  <w:r>
                    <w:rPr>
                      <w:rFonts w:hint="eastAsia" w:cs="Times New Roman"/>
                      <w:color w:val="auto"/>
                      <w:sz w:val="18"/>
                      <w:szCs w:val="18"/>
                      <w:lang w:eastAsia="zh-CN"/>
                    </w:rPr>
                    <w:t>（</w:t>
                  </w:r>
                  <w:r>
                    <w:rPr>
                      <w:rFonts w:hint="eastAsia" w:cs="Times New Roman"/>
                      <w:color w:val="auto"/>
                      <w:sz w:val="18"/>
                      <w:szCs w:val="18"/>
                      <w:lang w:val="en-US" w:eastAsia="zh-CN"/>
                    </w:rPr>
                    <w:t>6</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本项目不属于重点行业建设项目，本次环评工作中按要求做好上述新污染物识别，严格执行该意见要求。</w:t>
                  </w:r>
                </w:p>
              </w:tc>
              <w:tc>
                <w:tcPr>
                  <w:tcW w:w="558" w:type="dxa"/>
                  <w:tcBorders>
                    <w:tl2br w:val="nil"/>
                    <w:tr2bl w:val="nil"/>
                  </w:tcBorders>
                  <w:vAlign w:val="center"/>
                </w:tcPr>
                <w:p w14:paraId="2EADB9A7">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相符</w:t>
                  </w:r>
                </w:p>
              </w:tc>
            </w:tr>
            <w:tr w14:paraId="42026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trPr>
              <w:tc>
                <w:tcPr>
                  <w:tcW w:w="426" w:type="dxa"/>
                  <w:tcBorders>
                    <w:tl2br w:val="nil"/>
                    <w:tr2bl w:val="nil"/>
                  </w:tcBorders>
                  <w:vAlign w:val="center"/>
                </w:tcPr>
                <w:p w14:paraId="1AEE90E9">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4368" w:type="dxa"/>
                  <w:tcBorders>
                    <w:tl2br w:val="nil"/>
                    <w:tr2bl w:val="nil"/>
                  </w:tcBorders>
                  <w:vAlign w:val="center"/>
                </w:tcPr>
                <w:p w14:paraId="17984CFE">
                  <w:pPr>
                    <w:adjustRightInd w:val="0"/>
                    <w:snapToGrid w:val="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禁止审批不符合新污染物管控要求的建设项目各级环评审批部门在受理和审批建设项目环评文件时，应落实重点管控新污染物清单、产业结构调整指导目录、《斯德哥尔摩公约》、生态环境分区管控方案和项目所在园区规划环评等有关管控要求。对照不予审批环评的项目类别（见附表），严格审核建设项目原辅材料和产品，对于以禁止生产、加工使用的新污染物作为原辅料或产品的建设项目，依法不予审批。</w:t>
                  </w:r>
                </w:p>
              </w:tc>
              <w:tc>
                <w:tcPr>
                  <w:tcW w:w="2837" w:type="dxa"/>
                  <w:tcBorders>
                    <w:tl2br w:val="nil"/>
                    <w:tr2bl w:val="nil"/>
                  </w:tcBorders>
                  <w:vAlign w:val="center"/>
                </w:tcPr>
                <w:p w14:paraId="3AC9CD3E">
                  <w:pPr>
                    <w:adjustRightInd w:val="0"/>
                    <w:snapToGrid w:val="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（1）本项目严格落实重点管控新污染物清单要求。</w:t>
                  </w:r>
                </w:p>
                <w:p w14:paraId="06A467F3">
                  <w:pPr>
                    <w:adjustRightInd w:val="0"/>
                    <w:snapToGrid w:val="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（2）对照《产业结构调整指导目录（2024年本）》，本项目不属于限制类、淘汰类项目。</w:t>
                  </w:r>
                </w:p>
                <w:p w14:paraId="5211C9C2">
                  <w:pPr>
                    <w:adjustRightInd w:val="0"/>
                    <w:snapToGrid w:val="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（3）本项目不涉及《关于持久性有机污染物的斯德哥尔摩公约》中受控化学品。</w:t>
                  </w:r>
                </w:p>
                <w:p w14:paraId="2DC1FBE0">
                  <w:pPr>
                    <w:adjustRightInd w:val="0"/>
                    <w:snapToGrid w:val="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（4）本项目的建设符合《南通市生态环境分区管控方案动态更新成果（2023年）》的相关要求。</w:t>
                  </w:r>
                </w:p>
                <w:p w14:paraId="5B49BBF5">
                  <w:pPr>
                    <w:adjustRightInd w:val="0"/>
                    <w:snapToGrid w:val="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（5）本项目不涉及禁止生产、加工使用的新污染物作为原辅料或产品的情况。</w:t>
                  </w:r>
                </w:p>
              </w:tc>
              <w:tc>
                <w:tcPr>
                  <w:tcW w:w="558" w:type="dxa"/>
                  <w:tcBorders>
                    <w:tl2br w:val="nil"/>
                    <w:tr2bl w:val="nil"/>
                  </w:tcBorders>
                  <w:vAlign w:val="center"/>
                </w:tcPr>
                <w:p w14:paraId="03F93C2A">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相符</w:t>
                  </w:r>
                </w:p>
              </w:tc>
            </w:tr>
            <w:tr w14:paraId="2D6978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trPr>
              <w:tc>
                <w:tcPr>
                  <w:tcW w:w="426" w:type="dxa"/>
                  <w:tcBorders>
                    <w:tl2br w:val="nil"/>
                    <w:tr2bl w:val="nil"/>
                  </w:tcBorders>
                  <w:vAlign w:val="center"/>
                </w:tcPr>
                <w:p w14:paraId="6CBBB4AB">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4368" w:type="dxa"/>
                  <w:tcBorders>
                    <w:tl2br w:val="nil"/>
                    <w:tr2bl w:val="nil"/>
                  </w:tcBorders>
                  <w:vAlign w:val="center"/>
                </w:tcPr>
                <w:p w14:paraId="4ABE337A">
                  <w:pPr>
                    <w:adjustRightInd w:val="0"/>
                    <w:snapToGrid w:val="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三、加强重点行业涉新污染物建设项目环评</w:t>
                  </w:r>
                </w:p>
                <w:p w14:paraId="09CFE8A4">
                  <w:pPr>
                    <w:adjustRightInd w:val="0"/>
                    <w:snapToGrid w:val="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建设单位和环评技术单位在开展涉新污染物重点行业建设项目环评工作时，应高度重视新污染物防控，根据新污染物识别结果，结合现行环境影响评价技术导则和建设项目环境影响报告表编制技术指南相关要求，重点做好以下工作。</w:t>
                  </w:r>
                </w:p>
                <w:p w14:paraId="164C4CFE">
                  <w:pPr>
                    <w:adjustRightInd w:val="0"/>
                    <w:snapToGrid w:val="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一）优化原料、工艺和治理措施，从源头减少新污染物产生。建设项目应尽可能开发、使用低毒低害和无毒无害原料，减少产品中有毒有害物质含量；应采用清洁的生产工艺，提高资源利用率，从源头避免或削减新污染物产生。强化治理措施，已有污染防治技术的新污染物，应采取可行污染防治技术，加大治理力度，减轻新污染物排放对环境的影响。鼓励建设项目开展有毒有害化学物质绿色替代、新污染物减排以及污水污泥、废液废渣中新污染物治理等技术示范。</w:t>
                  </w:r>
                </w:p>
                <w:p w14:paraId="30CEAC11">
                  <w:pPr>
                    <w:adjustRightInd w:val="0"/>
                    <w:snapToGrid w:val="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核算新污染物产排污情况。环评文件应给出所有列入重点管控新污染物清单、有毒有害污染物名录和优先控制化学品名录的化学物质生产或使用的数量、品种、用途，涉及化学反应的，分析主副反应中新污染物的迁移转化情况；将涉及的新污染物纳入评价因子；核算各环节新污染物的产生和排放情况。改建、扩建项目还应梳理现有工程新污染物排放情况，鼓励采用靶向及非靶向检测技术对废水、废气及废渣中的新污染物进行筛查。</w:t>
                  </w:r>
                </w:p>
                <w:p w14:paraId="7DABB2BC">
                  <w:pPr>
                    <w:adjustRightInd w:val="0"/>
                    <w:snapToGrid w:val="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三）对已发布污染物排放标准的新污染物严格排放达标要求。新建项目产生并排放已有排放标准新污染物的，应采取措施确保排放达标。涉及新污染物排放的改建、扩建项目，应对现有项目废气、废水排放口新污染物排放情况进行监测，对排放不能达标的，应提出整改措施。对可能涉及新污染物的废母液、精馏残渣、抗生素菌渣、废反应基和废培养基、污泥等固体废物，应根据国家危险废物名录进行判定，未列入名录的固体废物应提出项目运行后按危险废物鉴别标准进行鉴别的要求，属于危险废物的按照危险废物污染环境防治相关要求进行管理。对涉及新污染物的生产、贮存、运输、处置等装置、设备设施及场所，应按相关国家标准提出防腐蚀、防渗漏、防扬散等土壤和地下水污染防治措施。</w:t>
                  </w:r>
                </w:p>
                <w:p w14:paraId="3CDFB396">
                  <w:pPr>
                    <w:adjustRightInd w:val="0"/>
                    <w:snapToGrid w:val="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r>
                    <w:rPr>
                      <w:rFonts w:hint="eastAsia" w:cs="Times New Roman"/>
                      <w:color w:val="auto"/>
                      <w:sz w:val="18"/>
                      <w:szCs w:val="18"/>
                      <w:lang w:val="en-US" w:eastAsia="zh-CN"/>
                    </w:rPr>
                    <w:t>四</w:t>
                  </w:r>
                  <w:r>
                    <w:rPr>
                      <w:rFonts w:hint="default" w:ascii="Times New Roman" w:hAnsi="Times New Roman" w:eastAsia="宋体" w:cs="Times New Roman"/>
                      <w:color w:val="auto"/>
                      <w:sz w:val="18"/>
                      <w:szCs w:val="18"/>
                    </w:rPr>
                    <w:t>）强化新污染物排放情况跟踪监测。应在涉及新污染物的建设项目环评文件中，明确提出将相应的新污染物纳入监测计划要求；对既未发布污染物排放标准，也无污染防治技术，但已有环境监测方法标准的新污染物，应加强日常监控和监测，掌握新污染物排放情况。将周边环境的相应新污染物监测纳入环境监测计划，做好跟踪监测。</w:t>
                  </w:r>
                </w:p>
                <w:p w14:paraId="32FE47A4">
                  <w:pPr>
                    <w:adjustRightInd w:val="0"/>
                    <w:snapToGrid w:val="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r>
                    <w:rPr>
                      <w:rFonts w:hint="eastAsia" w:cs="Times New Roman"/>
                      <w:color w:val="auto"/>
                      <w:sz w:val="18"/>
                      <w:szCs w:val="18"/>
                      <w:lang w:val="en-US" w:eastAsia="zh-CN"/>
                    </w:rPr>
                    <w:t>五</w:t>
                  </w:r>
                  <w:r>
                    <w:rPr>
                      <w:rFonts w:hint="default" w:ascii="Times New Roman" w:hAnsi="Times New Roman" w:eastAsia="宋体" w:cs="Times New Roman"/>
                      <w:color w:val="auto"/>
                      <w:sz w:val="18"/>
                      <w:szCs w:val="18"/>
                    </w:rPr>
                    <w:t>）提出新化学物质环境管理登记要求。对照《中国现有化学物质名录》，原辅材料或产品属于新化学物质的，或将实施新用途环境管理的现有化学物质，用于允许用途以外的其他工业用途的，应在环评文件中提出按相关规定办理新化学物质环境管理登记的要求。</w:t>
                  </w:r>
                </w:p>
              </w:tc>
              <w:tc>
                <w:tcPr>
                  <w:tcW w:w="2837" w:type="dxa"/>
                  <w:tcBorders>
                    <w:tl2br w:val="nil"/>
                    <w:tr2bl w:val="nil"/>
                  </w:tcBorders>
                  <w:vAlign w:val="center"/>
                </w:tcPr>
                <w:p w14:paraId="44CB36EB">
                  <w:pPr>
                    <w:adjustRightInd w:val="0"/>
                    <w:snapToGrid w:val="0"/>
                    <w:jc w:val="both"/>
                    <w:rPr>
                      <w:rFonts w:hint="eastAsia" w:cs="Times New Roman"/>
                      <w:color w:val="auto"/>
                      <w:sz w:val="18"/>
                      <w:szCs w:val="18"/>
                      <w:lang w:val="en-US" w:eastAsia="zh-CN"/>
                    </w:rPr>
                  </w:pPr>
                  <w:r>
                    <w:rPr>
                      <w:rFonts w:hint="eastAsia" w:cs="Times New Roman"/>
                      <w:color w:val="auto"/>
                      <w:sz w:val="18"/>
                      <w:szCs w:val="18"/>
                      <w:lang w:val="en-US" w:eastAsia="zh-CN"/>
                    </w:rPr>
                    <w:t>（1）</w:t>
                  </w:r>
                  <w:r>
                    <w:rPr>
                      <w:rFonts w:hint="eastAsia" w:ascii="Times New Roman" w:hAnsi="Times New Roman" w:eastAsia="宋体" w:cs="Times New Roman"/>
                      <w:color w:val="auto"/>
                      <w:sz w:val="18"/>
                      <w:szCs w:val="18"/>
                      <w:lang w:val="en-US" w:eastAsia="zh-CN"/>
                    </w:rPr>
                    <w:t>本项目</w:t>
                  </w:r>
                  <w:r>
                    <w:rPr>
                      <w:rFonts w:hint="eastAsia" w:cs="Times New Roman"/>
                      <w:color w:val="auto"/>
                      <w:sz w:val="18"/>
                      <w:szCs w:val="18"/>
                      <w:lang w:val="en-US" w:eastAsia="zh-CN"/>
                    </w:rPr>
                    <w:t>有机废气经集气罩收集后</w:t>
                  </w:r>
                  <w:r>
                    <w:rPr>
                      <w:rFonts w:hint="eastAsia" w:cs="Times New Roman"/>
                      <w:color w:val="auto"/>
                      <w:sz w:val="18"/>
                      <w:szCs w:val="18"/>
                      <w:lang w:eastAsia="zh-CN"/>
                    </w:rPr>
                    <w:t>，</w:t>
                  </w:r>
                  <w:r>
                    <w:rPr>
                      <w:rFonts w:hint="eastAsia" w:cs="Times New Roman"/>
                      <w:color w:val="auto"/>
                      <w:sz w:val="18"/>
                      <w:szCs w:val="18"/>
                      <w:lang w:val="en-US" w:eastAsia="zh-CN"/>
                    </w:rPr>
                    <w:t>进入二级活性炭处理后达标排放。</w:t>
                  </w:r>
                </w:p>
                <w:p w14:paraId="0A791AB9">
                  <w:pPr>
                    <w:adjustRightInd w:val="0"/>
                    <w:snapToGrid w:val="0"/>
                    <w:jc w:val="both"/>
                    <w:rPr>
                      <w:rFonts w:hint="eastAsia" w:cs="Times New Roman"/>
                      <w:color w:val="auto"/>
                      <w:sz w:val="18"/>
                      <w:szCs w:val="18"/>
                      <w:lang w:val="en-US" w:eastAsia="zh-CN"/>
                    </w:rPr>
                  </w:pPr>
                  <w:r>
                    <w:rPr>
                      <w:rFonts w:hint="eastAsia" w:cs="Times New Roman"/>
                      <w:color w:val="auto"/>
                      <w:sz w:val="18"/>
                      <w:szCs w:val="18"/>
                      <w:lang w:val="en-US" w:eastAsia="zh-CN"/>
                    </w:rPr>
                    <w:t>（2）本项目现有污染物为非甲烷总烃、</w:t>
                  </w:r>
                  <w:r>
                    <w:rPr>
                      <w:rFonts w:hint="eastAsia" w:cs="Times New Roman"/>
                      <w:color w:val="auto"/>
                      <w:sz w:val="18"/>
                      <w:szCs w:val="18"/>
                      <w:lang w:val="en-US" w:eastAsia="zh-CN"/>
                    </w:rPr>
                    <w:t>苯乙烯、丙烯腈、甲苯、乙苯、二氯甲烷、氯苯</w:t>
                  </w:r>
                  <w:r>
                    <w:rPr>
                      <w:rFonts w:hint="eastAsia" w:cs="Times New Roman"/>
                      <w:color w:val="auto"/>
                      <w:sz w:val="18"/>
                      <w:szCs w:val="18"/>
                      <w:lang w:val="en-US" w:eastAsia="zh-CN"/>
                    </w:rPr>
                    <w:t>，</w:t>
                  </w:r>
                  <w:r>
                    <w:rPr>
                      <w:rFonts w:hint="eastAsia" w:cs="Times New Roman"/>
                      <w:color w:val="auto"/>
                      <w:sz w:val="18"/>
                      <w:szCs w:val="18"/>
                      <w:lang w:val="en-US" w:eastAsia="zh-CN"/>
                    </w:rPr>
                    <w:t>其中甲苯、二氯甲烷属于新污染物，</w:t>
                  </w:r>
                  <w:r>
                    <w:rPr>
                      <w:rFonts w:hint="eastAsia" w:cs="Times New Roman"/>
                      <w:color w:val="auto"/>
                      <w:sz w:val="18"/>
                      <w:szCs w:val="18"/>
                      <w:lang w:val="en-US" w:eastAsia="zh-CN"/>
                    </w:rPr>
                    <w:t>拟将其</w:t>
                  </w:r>
                  <w:r>
                    <w:rPr>
                      <w:rFonts w:hint="eastAsia" w:cs="Times New Roman"/>
                      <w:color w:val="auto"/>
                      <w:sz w:val="18"/>
                      <w:szCs w:val="18"/>
                      <w:lang w:val="en-US" w:eastAsia="zh-CN"/>
                    </w:rPr>
                    <w:t>纳入排污许可管理并进行日常跟踪监测。</w:t>
                  </w:r>
                </w:p>
                <w:p w14:paraId="393A92BF">
                  <w:pPr>
                    <w:adjustRightInd w:val="0"/>
                    <w:snapToGrid w:val="0"/>
                    <w:jc w:val="both"/>
                    <w:rPr>
                      <w:rFonts w:hint="eastAsia" w:cs="Times New Roman"/>
                      <w:color w:val="auto"/>
                      <w:sz w:val="18"/>
                      <w:szCs w:val="18"/>
                      <w:lang w:val="en-US" w:eastAsia="zh-CN"/>
                    </w:rPr>
                  </w:pPr>
                  <w:r>
                    <w:rPr>
                      <w:rFonts w:hint="eastAsia" w:cs="Times New Roman"/>
                      <w:color w:val="auto"/>
                      <w:sz w:val="18"/>
                      <w:szCs w:val="18"/>
                      <w:lang w:val="en-US" w:eastAsia="zh-CN"/>
                    </w:rPr>
                    <w:t>（3）本项目危废仓库</w:t>
                  </w:r>
                  <w:r>
                    <w:rPr>
                      <w:rFonts w:hint="default" w:ascii="Times New Roman" w:hAnsi="Times New Roman" w:eastAsia="宋体" w:cs="Times New Roman"/>
                      <w:color w:val="auto"/>
                      <w:sz w:val="18"/>
                      <w:szCs w:val="18"/>
                    </w:rPr>
                    <w:t>按相关国家标准</w:t>
                  </w:r>
                  <w:r>
                    <w:rPr>
                      <w:rFonts w:hint="eastAsia" w:ascii="Times New Roman" w:hAnsi="Times New Roman" w:eastAsia="宋体" w:cs="Times New Roman"/>
                      <w:color w:val="auto"/>
                      <w:sz w:val="18"/>
                      <w:szCs w:val="18"/>
                      <w:lang w:val="en-US" w:eastAsia="zh-CN"/>
                    </w:rPr>
                    <w:t>设置</w:t>
                  </w:r>
                  <w:r>
                    <w:rPr>
                      <w:rFonts w:hint="default" w:ascii="Times New Roman" w:hAnsi="Times New Roman" w:eastAsia="宋体" w:cs="Times New Roman"/>
                      <w:color w:val="auto"/>
                      <w:sz w:val="18"/>
                      <w:szCs w:val="18"/>
                    </w:rPr>
                    <w:t>防腐蚀、防渗漏、防扬散等土壤和地下水污染防治措施</w:t>
                  </w:r>
                  <w:r>
                    <w:rPr>
                      <w:rFonts w:hint="eastAsia" w:cs="Times New Roman"/>
                      <w:color w:val="auto"/>
                      <w:sz w:val="18"/>
                      <w:szCs w:val="18"/>
                      <w:lang w:val="en-US" w:eastAsia="zh-CN"/>
                    </w:rPr>
                    <w:t>。</w:t>
                  </w:r>
                </w:p>
                <w:p w14:paraId="0C9B938A">
                  <w:pPr>
                    <w:adjustRightInd w:val="0"/>
                    <w:snapToGrid w:val="0"/>
                    <w:jc w:val="both"/>
                    <w:rPr>
                      <w:rFonts w:hint="default"/>
                      <w:color w:val="auto"/>
                      <w:sz w:val="18"/>
                      <w:szCs w:val="18"/>
                      <w:lang w:val="en-US" w:eastAsia="zh-CN"/>
                    </w:rPr>
                  </w:pPr>
                  <w:r>
                    <w:rPr>
                      <w:rFonts w:hint="eastAsia" w:cs="Times New Roman"/>
                      <w:color w:val="auto"/>
                      <w:sz w:val="18"/>
                      <w:szCs w:val="18"/>
                      <w:lang w:val="en-US" w:eastAsia="zh-CN"/>
                    </w:rPr>
                    <w:t>（4）</w:t>
                  </w:r>
                  <w:r>
                    <w:rPr>
                      <w:rFonts w:hint="eastAsia" w:ascii="Times New Roman" w:hAnsi="Times New Roman" w:eastAsia="宋体" w:cs="Times New Roman"/>
                      <w:b w:val="0"/>
                      <w:color w:val="auto"/>
                      <w:kern w:val="2"/>
                      <w:sz w:val="18"/>
                      <w:szCs w:val="18"/>
                      <w:lang w:val="en-US" w:eastAsia="zh-CN" w:bidi="ar-SA"/>
                    </w:rPr>
                    <w:t>本项目无新化学物质产生。</w:t>
                  </w:r>
                </w:p>
              </w:tc>
              <w:tc>
                <w:tcPr>
                  <w:tcW w:w="558" w:type="dxa"/>
                  <w:tcBorders>
                    <w:tl2br w:val="nil"/>
                    <w:tr2bl w:val="nil"/>
                  </w:tcBorders>
                  <w:vAlign w:val="center"/>
                </w:tcPr>
                <w:p w14:paraId="3AE7C9FB">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相符</w:t>
                  </w:r>
                </w:p>
              </w:tc>
            </w:tr>
            <w:tr w14:paraId="59F6A5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trPr>
              <w:tc>
                <w:tcPr>
                  <w:tcW w:w="426" w:type="dxa"/>
                  <w:tcBorders>
                    <w:tl2br w:val="nil"/>
                    <w:tr2bl w:val="nil"/>
                  </w:tcBorders>
                  <w:vAlign w:val="center"/>
                </w:tcPr>
                <w:p w14:paraId="16446CDA">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4368" w:type="dxa"/>
                  <w:tcBorders>
                    <w:tl2br w:val="nil"/>
                    <w:tr2bl w:val="nil"/>
                  </w:tcBorders>
                  <w:vAlign w:val="center"/>
                </w:tcPr>
                <w:p w14:paraId="677869C1">
                  <w:pPr>
                    <w:adjustRightInd w:val="0"/>
                    <w:snapToGrid w:val="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四、将新污染物管控要求依法纳入排污许可管理生态环境部门依法核发排污许可证时，石化、涂料、纺织印染、橡胶、农药、医药等行业应按照排污许可证申请与核发技术规范，载明排放标准中规定的新污染物排放限值和自行监测要求；按照环评文件及批复，载明新污染物控制措施要求。生态环境部门应当按排污许可证规定，对新污染物管控要求落实情况开展执法监管。</w:t>
                  </w:r>
                </w:p>
              </w:tc>
              <w:tc>
                <w:tcPr>
                  <w:tcW w:w="2837" w:type="dxa"/>
                  <w:tcBorders>
                    <w:tl2br w:val="nil"/>
                    <w:tr2bl w:val="nil"/>
                  </w:tcBorders>
                  <w:vAlign w:val="center"/>
                </w:tcPr>
                <w:p w14:paraId="6134AA91">
                  <w:pPr>
                    <w:adjustRightInd w:val="0"/>
                    <w:snapToGrid w:val="0"/>
                    <w:jc w:val="both"/>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本项目不涉及</w:t>
                  </w:r>
                  <w:r>
                    <w:rPr>
                      <w:rFonts w:hint="default" w:ascii="Times New Roman" w:hAnsi="Times New Roman" w:eastAsia="宋体" w:cs="Times New Roman"/>
                      <w:color w:val="auto"/>
                      <w:sz w:val="18"/>
                      <w:szCs w:val="18"/>
                    </w:rPr>
                    <w:t>新污染物</w:t>
                  </w:r>
                </w:p>
              </w:tc>
              <w:tc>
                <w:tcPr>
                  <w:tcW w:w="558" w:type="dxa"/>
                  <w:tcBorders>
                    <w:tl2br w:val="nil"/>
                    <w:tr2bl w:val="nil"/>
                  </w:tcBorders>
                  <w:vAlign w:val="center"/>
                </w:tcPr>
                <w:p w14:paraId="53065EFD">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相符</w:t>
                  </w:r>
                </w:p>
              </w:tc>
            </w:tr>
          </w:tbl>
          <w:p w14:paraId="2FC600A1">
            <w:pPr>
              <w:keepNext/>
              <w:keepLines/>
              <w:widowControl w:val="0"/>
              <w:spacing w:before="20" w:beforeLines="0" w:beforeAutospacing="0" w:after="20" w:afterLines="0" w:afterAutospacing="0" w:line="413" w:lineRule="auto"/>
              <w:jc w:val="both"/>
              <w:outlineLvl w:val="2"/>
              <w:rPr>
                <w:rFonts w:hint="default" w:ascii="Times New Roman" w:hAnsi="Times New Roman" w:eastAsia="宋体" w:cs="Times New Roman"/>
                <w:b/>
                <w:bCs w:val="0"/>
                <w:color w:val="auto"/>
                <w:kern w:val="2"/>
                <w:sz w:val="21"/>
                <w:szCs w:val="21"/>
                <w:highlight w:val="none"/>
                <w:lang w:val="en-US" w:eastAsia="zh-CN" w:bidi="ar-SA"/>
              </w:rPr>
            </w:pPr>
            <w:r>
              <w:rPr>
                <w:rFonts w:hint="eastAsia" w:cs="Times New Roman"/>
                <w:b/>
                <w:bCs w:val="0"/>
                <w:color w:val="auto"/>
                <w:kern w:val="2"/>
                <w:sz w:val="21"/>
                <w:szCs w:val="21"/>
                <w:highlight w:val="none"/>
                <w:lang w:val="en-US" w:eastAsia="zh-CN" w:bidi="ar-SA"/>
              </w:rPr>
              <w:t>（5）</w:t>
            </w:r>
            <w:r>
              <w:rPr>
                <w:rFonts w:hint="eastAsia" w:ascii="Times New Roman" w:hAnsi="Times New Roman" w:eastAsia="宋体" w:cs="Times New Roman"/>
                <w:b/>
                <w:bCs w:val="0"/>
                <w:color w:val="auto"/>
                <w:kern w:val="2"/>
                <w:sz w:val="21"/>
                <w:szCs w:val="21"/>
                <w:highlight w:val="none"/>
                <w:lang w:val="en-US" w:eastAsia="zh-CN" w:bidi="ar-SA"/>
              </w:rPr>
              <w:t>与《市政府关于印发南通市空气质量持续改善行动计划实施方案的通知</w:t>
            </w:r>
            <w:r>
              <w:rPr>
                <w:rFonts w:hint="default" w:ascii="Times New Roman" w:hAnsi="Times New Roman" w:eastAsia="宋体" w:cs="Times New Roman"/>
                <w:b/>
                <w:bCs w:val="0"/>
                <w:color w:val="auto"/>
                <w:kern w:val="2"/>
                <w:sz w:val="21"/>
                <w:szCs w:val="21"/>
                <w:highlight w:val="none"/>
                <w:lang w:val="en-US" w:eastAsia="zh-CN" w:bidi="ar-SA"/>
              </w:rPr>
              <w:t>》（通政发[2024] 24号）相符性分析</w:t>
            </w:r>
          </w:p>
          <w:p w14:paraId="06DF54C7">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表1-</w:t>
            </w:r>
            <w:r>
              <w:rPr>
                <w:rFonts w:hint="eastAsia" w:cs="Times New Roman"/>
                <w:b/>
                <w:bCs/>
                <w:color w:val="auto"/>
                <w:sz w:val="21"/>
                <w:szCs w:val="21"/>
                <w:highlight w:val="none"/>
                <w:lang w:val="en-US" w:eastAsia="zh-CN"/>
              </w:rPr>
              <w:t>13</w:t>
            </w:r>
            <w:r>
              <w:rPr>
                <w:rFonts w:hint="default" w:ascii="Times New Roman" w:hAnsi="Times New Roman" w:eastAsia="宋体" w:cs="Times New Roman"/>
                <w:b/>
                <w:bCs/>
                <w:color w:val="auto"/>
                <w:sz w:val="21"/>
                <w:szCs w:val="21"/>
                <w:highlight w:val="none"/>
              </w:rPr>
              <w:t>与</w:t>
            </w:r>
            <w:r>
              <w:rPr>
                <w:rFonts w:hint="default" w:ascii="Times New Roman" w:hAnsi="Times New Roman" w:eastAsia="宋体" w:cs="Times New Roman"/>
                <w:b/>
                <w:color w:val="auto"/>
                <w:sz w:val="21"/>
                <w:szCs w:val="21"/>
                <w:highlight w:val="none"/>
              </w:rPr>
              <w:t>《</w:t>
            </w:r>
            <w:r>
              <w:rPr>
                <w:rFonts w:hint="eastAsia" w:ascii="Times New Roman" w:hAnsi="Times New Roman" w:eastAsia="宋体" w:cs="Times New Roman"/>
                <w:b/>
                <w:bCs w:val="0"/>
                <w:color w:val="auto"/>
                <w:szCs w:val="21"/>
                <w:highlight w:val="none"/>
                <w:lang w:val="en-US" w:eastAsia="zh-CN"/>
              </w:rPr>
              <w:t>市政府关于印发南通市空气质量持续改善行动计划实施方案的通知</w:t>
            </w:r>
            <w:r>
              <w:rPr>
                <w:rFonts w:hint="default" w:ascii="Times New Roman" w:hAnsi="Times New Roman" w:eastAsia="宋体" w:cs="Times New Roman"/>
                <w:b/>
                <w:color w:val="auto"/>
                <w:sz w:val="21"/>
                <w:szCs w:val="21"/>
                <w:highlight w:val="none"/>
              </w:rPr>
              <w:t>》（通政发[2024] 24号）</w:t>
            </w:r>
            <w:r>
              <w:rPr>
                <w:rFonts w:hint="default" w:ascii="Times New Roman" w:hAnsi="Times New Roman" w:eastAsia="宋体" w:cs="Times New Roman"/>
                <w:b/>
                <w:bCs/>
                <w:color w:val="auto"/>
                <w:sz w:val="21"/>
                <w:szCs w:val="21"/>
                <w:highlight w:val="none"/>
              </w:rPr>
              <w:t>相符性分析表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5"/>
              <w:gridCol w:w="3953"/>
              <w:gridCol w:w="2908"/>
              <w:gridCol w:w="720"/>
            </w:tblGrid>
            <w:tr w14:paraId="7139AB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9" w:type="pct"/>
                  <w:tcBorders>
                    <w:tl2br w:val="nil"/>
                    <w:tr2bl w:val="nil"/>
                  </w:tcBorders>
                  <w:noWrap w:val="0"/>
                  <w:vAlign w:val="center"/>
                </w:tcPr>
                <w:p w14:paraId="61238CCE">
                  <w:pPr>
                    <w:widowControl w:val="0"/>
                    <w:spacing w:line="240" w:lineRule="auto"/>
                    <w:ind w:right="-44"/>
                    <w:jc w:val="center"/>
                    <w:rPr>
                      <w:rFonts w:hint="default" w:ascii="Times New Roman" w:hAnsi="Times New Roman" w:eastAsia="宋体" w:cs="Times New Roman"/>
                      <w:b/>
                      <w:color w:val="auto"/>
                      <w:spacing w:val="-8"/>
                      <w:kern w:val="2"/>
                      <w:sz w:val="18"/>
                      <w:szCs w:val="18"/>
                      <w:highlight w:val="none"/>
                      <w:lang w:val="en-US" w:eastAsia="zh-CN" w:bidi="zh-CN"/>
                    </w:rPr>
                  </w:pPr>
                  <w:r>
                    <w:rPr>
                      <w:rFonts w:hint="default" w:ascii="Times New Roman" w:hAnsi="Times New Roman" w:eastAsia="宋体" w:cs="Times New Roman"/>
                      <w:b/>
                      <w:color w:val="auto"/>
                      <w:spacing w:val="-8"/>
                      <w:kern w:val="2"/>
                      <w:sz w:val="18"/>
                      <w:szCs w:val="18"/>
                      <w:highlight w:val="none"/>
                      <w:lang w:val="en-US" w:eastAsia="zh-CN" w:bidi="zh-CN"/>
                    </w:rPr>
                    <w:t>序号</w:t>
                  </w:r>
                </w:p>
              </w:tc>
              <w:tc>
                <w:tcPr>
                  <w:tcW w:w="2414" w:type="pct"/>
                  <w:tcBorders>
                    <w:tl2br w:val="nil"/>
                    <w:tr2bl w:val="nil"/>
                  </w:tcBorders>
                  <w:noWrap w:val="0"/>
                  <w:vAlign w:val="center"/>
                </w:tcPr>
                <w:p w14:paraId="3138D14A">
                  <w:pPr>
                    <w:widowControl w:val="0"/>
                    <w:spacing w:line="240" w:lineRule="auto"/>
                    <w:ind w:right="-44"/>
                    <w:jc w:val="center"/>
                    <w:rPr>
                      <w:rFonts w:hint="default" w:ascii="Times New Roman" w:hAnsi="Times New Roman" w:eastAsia="宋体" w:cs="Times New Roman"/>
                      <w:b/>
                      <w:color w:val="auto"/>
                      <w:spacing w:val="-8"/>
                      <w:kern w:val="2"/>
                      <w:sz w:val="18"/>
                      <w:szCs w:val="18"/>
                      <w:highlight w:val="none"/>
                      <w:lang w:val="en-US" w:eastAsia="zh-CN" w:bidi="zh-CN"/>
                    </w:rPr>
                  </w:pPr>
                  <w:r>
                    <w:rPr>
                      <w:rFonts w:hint="default" w:ascii="Times New Roman" w:hAnsi="Times New Roman" w:eastAsia="宋体" w:cs="Times New Roman"/>
                      <w:b/>
                      <w:color w:val="auto"/>
                      <w:spacing w:val="-8"/>
                      <w:kern w:val="2"/>
                      <w:sz w:val="18"/>
                      <w:szCs w:val="18"/>
                      <w:highlight w:val="none"/>
                      <w:lang w:val="en-US" w:eastAsia="zh-CN" w:bidi="zh-CN"/>
                    </w:rPr>
                    <w:t>要求</w:t>
                  </w:r>
                </w:p>
              </w:tc>
              <w:tc>
                <w:tcPr>
                  <w:tcW w:w="1776" w:type="pct"/>
                  <w:tcBorders>
                    <w:tl2br w:val="nil"/>
                    <w:tr2bl w:val="nil"/>
                  </w:tcBorders>
                  <w:noWrap w:val="0"/>
                  <w:vAlign w:val="center"/>
                </w:tcPr>
                <w:p w14:paraId="673867C2">
                  <w:pPr>
                    <w:widowControl w:val="0"/>
                    <w:spacing w:line="240" w:lineRule="auto"/>
                    <w:ind w:right="-44"/>
                    <w:jc w:val="center"/>
                    <w:rPr>
                      <w:rFonts w:hint="default" w:ascii="Times New Roman" w:hAnsi="Times New Roman" w:eastAsia="宋体" w:cs="Times New Roman"/>
                      <w:b/>
                      <w:color w:val="auto"/>
                      <w:spacing w:val="-8"/>
                      <w:kern w:val="2"/>
                      <w:sz w:val="18"/>
                      <w:szCs w:val="18"/>
                      <w:highlight w:val="none"/>
                      <w:lang w:val="en-US" w:eastAsia="zh-CN" w:bidi="zh-CN"/>
                    </w:rPr>
                  </w:pPr>
                  <w:r>
                    <w:rPr>
                      <w:rFonts w:hint="default" w:ascii="Times New Roman" w:hAnsi="Times New Roman" w:eastAsia="宋体" w:cs="Times New Roman"/>
                      <w:b/>
                      <w:color w:val="auto"/>
                      <w:spacing w:val="-8"/>
                      <w:kern w:val="2"/>
                      <w:sz w:val="18"/>
                      <w:szCs w:val="18"/>
                      <w:highlight w:val="none"/>
                      <w:lang w:val="en-US" w:eastAsia="zh-CN" w:bidi="zh-CN"/>
                    </w:rPr>
                    <w:t>相符性分析</w:t>
                  </w:r>
                </w:p>
              </w:tc>
              <w:tc>
                <w:tcPr>
                  <w:tcW w:w="439" w:type="pct"/>
                  <w:tcBorders>
                    <w:tl2br w:val="nil"/>
                    <w:tr2bl w:val="nil"/>
                  </w:tcBorders>
                  <w:noWrap w:val="0"/>
                  <w:vAlign w:val="center"/>
                </w:tcPr>
                <w:p w14:paraId="56C736A5">
                  <w:pPr>
                    <w:widowControl w:val="0"/>
                    <w:spacing w:line="240" w:lineRule="auto"/>
                    <w:ind w:right="-44"/>
                    <w:jc w:val="center"/>
                    <w:rPr>
                      <w:rFonts w:hint="default" w:ascii="Times New Roman" w:hAnsi="Times New Roman" w:eastAsia="宋体" w:cs="Times New Roman"/>
                      <w:b/>
                      <w:color w:val="auto"/>
                      <w:spacing w:val="-8"/>
                      <w:kern w:val="2"/>
                      <w:sz w:val="18"/>
                      <w:szCs w:val="18"/>
                      <w:highlight w:val="none"/>
                      <w:lang w:val="en-US" w:eastAsia="zh-CN" w:bidi="zh-CN"/>
                    </w:rPr>
                  </w:pPr>
                  <w:r>
                    <w:rPr>
                      <w:rFonts w:hint="default" w:ascii="Times New Roman" w:hAnsi="Times New Roman" w:eastAsia="宋体" w:cs="Times New Roman"/>
                      <w:b/>
                      <w:color w:val="auto"/>
                      <w:spacing w:val="-8"/>
                      <w:kern w:val="2"/>
                      <w:sz w:val="18"/>
                      <w:szCs w:val="18"/>
                      <w:highlight w:val="none"/>
                      <w:lang w:val="en-US" w:eastAsia="zh-CN" w:bidi="zh-CN"/>
                    </w:rPr>
                    <w:t>相符性</w:t>
                  </w:r>
                </w:p>
              </w:tc>
            </w:tr>
            <w:tr w14:paraId="03C2C9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9" w:type="pct"/>
                  <w:tcBorders>
                    <w:tl2br w:val="nil"/>
                    <w:tr2bl w:val="nil"/>
                  </w:tcBorders>
                  <w:noWrap w:val="0"/>
                  <w:vAlign w:val="center"/>
                </w:tcPr>
                <w:p w14:paraId="2D47FF27">
                  <w:pPr>
                    <w:widowControl w:val="0"/>
                    <w:spacing w:line="240" w:lineRule="auto"/>
                    <w:ind w:right="-44"/>
                    <w:jc w:val="center"/>
                    <w:rPr>
                      <w:rFonts w:hint="default" w:ascii="Times New Roman" w:hAnsi="Times New Roman" w:eastAsia="宋体" w:cs="Times New Roman"/>
                      <w:bCs/>
                      <w:color w:val="auto"/>
                      <w:spacing w:val="-8"/>
                      <w:kern w:val="2"/>
                      <w:sz w:val="18"/>
                      <w:szCs w:val="18"/>
                      <w:highlight w:val="none"/>
                      <w:lang w:val="en-US" w:eastAsia="zh-CN" w:bidi="zh-CN"/>
                    </w:rPr>
                  </w:pPr>
                  <w:r>
                    <w:rPr>
                      <w:rFonts w:hint="default" w:ascii="Times New Roman" w:hAnsi="Times New Roman" w:eastAsia="宋体" w:cs="Times New Roman"/>
                      <w:bCs/>
                      <w:color w:val="auto"/>
                      <w:spacing w:val="-8"/>
                      <w:kern w:val="2"/>
                      <w:sz w:val="18"/>
                      <w:szCs w:val="18"/>
                      <w:highlight w:val="none"/>
                      <w:lang w:val="en-US" w:eastAsia="zh-CN" w:bidi="zh-CN"/>
                    </w:rPr>
                    <w:t>1</w:t>
                  </w:r>
                </w:p>
              </w:tc>
              <w:tc>
                <w:tcPr>
                  <w:tcW w:w="2414" w:type="pct"/>
                  <w:tcBorders>
                    <w:tl2br w:val="nil"/>
                    <w:tr2bl w:val="nil"/>
                  </w:tcBorders>
                  <w:noWrap w:val="0"/>
                  <w:vAlign w:val="center"/>
                </w:tcPr>
                <w:p w14:paraId="0AC68CD4">
                  <w:pPr>
                    <w:widowControl w:val="0"/>
                    <w:spacing w:line="240" w:lineRule="auto"/>
                    <w:ind w:right="-44"/>
                    <w:jc w:val="center"/>
                    <w:rPr>
                      <w:rFonts w:hint="default" w:ascii="Times New Roman" w:hAnsi="Times New Roman" w:eastAsia="宋体" w:cs="Times New Roman"/>
                      <w:bCs/>
                      <w:color w:val="auto"/>
                      <w:spacing w:val="-8"/>
                      <w:kern w:val="2"/>
                      <w:sz w:val="18"/>
                      <w:szCs w:val="18"/>
                      <w:highlight w:val="none"/>
                      <w:lang w:val="en-US" w:eastAsia="zh-CN" w:bidi="zh-CN"/>
                    </w:rPr>
                  </w:pPr>
                  <w:r>
                    <w:rPr>
                      <w:rFonts w:hint="default" w:ascii="Times New Roman" w:hAnsi="Times New Roman" w:eastAsia="宋体" w:cs="Times New Roman"/>
                      <w:bCs/>
                      <w:color w:val="auto"/>
                      <w:spacing w:val="-8"/>
                      <w:kern w:val="2"/>
                      <w:sz w:val="18"/>
                      <w:szCs w:val="18"/>
                      <w:highlight w:val="none"/>
                      <w:lang w:val="en-US" w:eastAsia="zh-CN" w:bidi="zh-CN"/>
                    </w:rPr>
                    <w:t>坚决遏制“两高一低”项目盲目上马。按照省统一部署，落实“两高”项目管理目录，对“两高一低”项目实行清单管理、分类处置、动态监控。严禁核准或备案焦化、电解铝、水泥（熟料）、平板玻璃（不含光伏平板玻璃）和炼化（纳入国家产业规划除外）等行业新增产能的项目，严格钢铁冶炼项目备案管理。</w:t>
                  </w:r>
                </w:p>
              </w:tc>
              <w:tc>
                <w:tcPr>
                  <w:tcW w:w="1776" w:type="pct"/>
                  <w:tcBorders>
                    <w:tl2br w:val="nil"/>
                    <w:tr2bl w:val="nil"/>
                  </w:tcBorders>
                  <w:noWrap w:val="0"/>
                  <w:vAlign w:val="center"/>
                </w:tcPr>
                <w:p w14:paraId="7E792D41">
                  <w:pPr>
                    <w:widowControl w:val="0"/>
                    <w:spacing w:line="240" w:lineRule="auto"/>
                    <w:ind w:right="-44"/>
                    <w:jc w:val="center"/>
                    <w:rPr>
                      <w:rFonts w:hint="default" w:ascii="Times New Roman" w:hAnsi="Times New Roman" w:eastAsia="宋体" w:cs="Times New Roman"/>
                      <w:bCs/>
                      <w:color w:val="auto"/>
                      <w:spacing w:val="-8"/>
                      <w:kern w:val="2"/>
                      <w:sz w:val="18"/>
                      <w:szCs w:val="18"/>
                      <w:highlight w:val="none"/>
                      <w:lang w:val="en-US" w:eastAsia="zh-CN" w:bidi="zh-CN"/>
                    </w:rPr>
                  </w:pPr>
                  <w:r>
                    <w:rPr>
                      <w:rFonts w:hint="default" w:ascii="Times New Roman" w:hAnsi="Times New Roman" w:eastAsia="宋体" w:cs="Times New Roman"/>
                      <w:bCs/>
                      <w:color w:val="auto"/>
                      <w:spacing w:val="-8"/>
                      <w:kern w:val="2"/>
                      <w:sz w:val="18"/>
                      <w:szCs w:val="18"/>
                      <w:highlight w:val="none"/>
                      <w:lang w:val="en-US" w:eastAsia="zh-CN" w:bidi="zh-CN"/>
                    </w:rPr>
                    <w:t>本项目不属于“两高一低”项目，不属于焦化、电解铝、水泥（熟料）、平板玻璃（不含光伏平板玻璃）和炼化（纳入国家产业规划除外）等行业新增产能的项目。</w:t>
                  </w:r>
                </w:p>
              </w:tc>
              <w:tc>
                <w:tcPr>
                  <w:tcW w:w="439" w:type="pct"/>
                  <w:tcBorders>
                    <w:tl2br w:val="nil"/>
                    <w:tr2bl w:val="nil"/>
                  </w:tcBorders>
                  <w:noWrap w:val="0"/>
                  <w:vAlign w:val="center"/>
                </w:tcPr>
                <w:p w14:paraId="04AA2663">
                  <w:pPr>
                    <w:widowControl w:val="0"/>
                    <w:spacing w:line="240" w:lineRule="auto"/>
                    <w:ind w:right="-44"/>
                    <w:jc w:val="center"/>
                    <w:rPr>
                      <w:rFonts w:hint="default" w:ascii="Times New Roman" w:hAnsi="Times New Roman" w:eastAsia="宋体" w:cs="Times New Roman"/>
                      <w:bCs/>
                      <w:color w:val="auto"/>
                      <w:spacing w:val="-8"/>
                      <w:kern w:val="2"/>
                      <w:sz w:val="18"/>
                      <w:szCs w:val="18"/>
                      <w:highlight w:val="none"/>
                      <w:lang w:val="en-US" w:eastAsia="zh-CN" w:bidi="zh-CN"/>
                    </w:rPr>
                  </w:pPr>
                  <w:r>
                    <w:rPr>
                      <w:rFonts w:hint="default" w:ascii="Times New Roman" w:hAnsi="Times New Roman" w:eastAsia="宋体" w:cs="Times New Roman"/>
                      <w:bCs/>
                      <w:color w:val="auto"/>
                      <w:spacing w:val="-8"/>
                      <w:kern w:val="2"/>
                      <w:sz w:val="18"/>
                      <w:szCs w:val="18"/>
                      <w:highlight w:val="none"/>
                      <w:lang w:val="en-US" w:eastAsia="zh-CN" w:bidi="zh-CN"/>
                    </w:rPr>
                    <w:t>相符</w:t>
                  </w:r>
                </w:p>
              </w:tc>
            </w:tr>
            <w:tr w14:paraId="341BE7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9" w:type="pct"/>
                  <w:tcBorders>
                    <w:tl2br w:val="nil"/>
                    <w:tr2bl w:val="nil"/>
                  </w:tcBorders>
                  <w:noWrap w:val="0"/>
                  <w:vAlign w:val="center"/>
                </w:tcPr>
                <w:p w14:paraId="67956858">
                  <w:pPr>
                    <w:widowControl w:val="0"/>
                    <w:spacing w:line="240" w:lineRule="auto"/>
                    <w:ind w:right="-44"/>
                    <w:jc w:val="center"/>
                    <w:rPr>
                      <w:rFonts w:hint="default" w:ascii="Times New Roman" w:hAnsi="Times New Roman" w:eastAsia="宋体" w:cs="Times New Roman"/>
                      <w:bCs/>
                      <w:color w:val="auto"/>
                      <w:spacing w:val="-8"/>
                      <w:kern w:val="2"/>
                      <w:sz w:val="18"/>
                      <w:szCs w:val="18"/>
                      <w:highlight w:val="none"/>
                      <w:lang w:val="en-US" w:eastAsia="zh-CN" w:bidi="zh-CN"/>
                    </w:rPr>
                  </w:pPr>
                  <w:r>
                    <w:rPr>
                      <w:rFonts w:hint="default" w:ascii="Times New Roman" w:hAnsi="Times New Roman" w:eastAsia="宋体" w:cs="Times New Roman"/>
                      <w:bCs/>
                      <w:color w:val="auto"/>
                      <w:spacing w:val="-8"/>
                      <w:kern w:val="2"/>
                      <w:sz w:val="18"/>
                      <w:szCs w:val="18"/>
                      <w:highlight w:val="none"/>
                      <w:lang w:val="en-US" w:eastAsia="zh-CN" w:bidi="zh-CN"/>
                    </w:rPr>
                    <w:t>2</w:t>
                  </w:r>
                </w:p>
              </w:tc>
              <w:tc>
                <w:tcPr>
                  <w:tcW w:w="2414" w:type="pct"/>
                  <w:tcBorders>
                    <w:tl2br w:val="nil"/>
                    <w:tr2bl w:val="nil"/>
                  </w:tcBorders>
                  <w:noWrap w:val="0"/>
                  <w:vAlign w:val="center"/>
                </w:tcPr>
                <w:p w14:paraId="1EFDAF45">
                  <w:pPr>
                    <w:widowControl w:val="0"/>
                    <w:spacing w:line="240" w:lineRule="auto"/>
                    <w:ind w:right="-44"/>
                    <w:jc w:val="center"/>
                    <w:rPr>
                      <w:rFonts w:hint="default" w:ascii="Times New Roman" w:hAnsi="Times New Roman" w:eastAsia="宋体" w:cs="Times New Roman"/>
                      <w:bCs/>
                      <w:color w:val="auto"/>
                      <w:spacing w:val="-8"/>
                      <w:kern w:val="2"/>
                      <w:sz w:val="18"/>
                      <w:szCs w:val="18"/>
                      <w:highlight w:val="none"/>
                      <w:lang w:val="en-US" w:eastAsia="zh-CN" w:bidi="zh-CN"/>
                    </w:rPr>
                  </w:pPr>
                  <w:r>
                    <w:rPr>
                      <w:rFonts w:hint="default" w:ascii="Times New Roman" w:hAnsi="Times New Roman" w:eastAsia="宋体" w:cs="Times New Roman"/>
                      <w:bCs/>
                      <w:color w:val="auto"/>
                      <w:spacing w:val="-8"/>
                      <w:kern w:val="2"/>
                      <w:sz w:val="18"/>
                      <w:szCs w:val="18"/>
                      <w:highlight w:val="none"/>
                      <w:lang w:val="en-US" w:eastAsia="zh-CN" w:bidi="zh-CN"/>
                    </w:rPr>
                    <w:t>加快退出重点行业落后产能。落实国家《产业结构调整指导目录（2024年本）》，依法依规关停退出淘汰类落后生产工艺装备，推进全市每小时2蒸吨及以下生物质锅炉尽快淘汰。</w:t>
                  </w:r>
                </w:p>
              </w:tc>
              <w:tc>
                <w:tcPr>
                  <w:tcW w:w="1776" w:type="pct"/>
                  <w:tcBorders>
                    <w:tl2br w:val="nil"/>
                    <w:tr2bl w:val="nil"/>
                  </w:tcBorders>
                  <w:noWrap w:val="0"/>
                  <w:vAlign w:val="center"/>
                </w:tcPr>
                <w:p w14:paraId="27B98465">
                  <w:pPr>
                    <w:widowControl w:val="0"/>
                    <w:spacing w:line="240" w:lineRule="auto"/>
                    <w:ind w:right="-44"/>
                    <w:jc w:val="center"/>
                    <w:rPr>
                      <w:rFonts w:hint="default" w:ascii="Times New Roman" w:hAnsi="Times New Roman" w:eastAsia="宋体" w:cs="Times New Roman"/>
                      <w:bCs/>
                      <w:color w:val="auto"/>
                      <w:spacing w:val="-8"/>
                      <w:kern w:val="2"/>
                      <w:sz w:val="18"/>
                      <w:szCs w:val="18"/>
                      <w:highlight w:val="none"/>
                      <w:lang w:val="en-US" w:eastAsia="zh-CN" w:bidi="zh-CN"/>
                    </w:rPr>
                  </w:pPr>
                  <w:r>
                    <w:rPr>
                      <w:rFonts w:hint="default" w:ascii="Times New Roman" w:hAnsi="Times New Roman" w:eastAsia="宋体" w:cs="Times New Roman"/>
                      <w:bCs/>
                      <w:color w:val="auto"/>
                      <w:spacing w:val="-8"/>
                      <w:kern w:val="2"/>
                      <w:sz w:val="18"/>
                      <w:szCs w:val="18"/>
                      <w:highlight w:val="none"/>
                      <w:lang w:val="en-US" w:eastAsia="zh-CN" w:bidi="zh-CN"/>
                    </w:rPr>
                    <w:t>本项目不属于落后淘汰行业。</w:t>
                  </w:r>
                </w:p>
              </w:tc>
              <w:tc>
                <w:tcPr>
                  <w:tcW w:w="439" w:type="pct"/>
                  <w:tcBorders>
                    <w:tl2br w:val="nil"/>
                    <w:tr2bl w:val="nil"/>
                  </w:tcBorders>
                  <w:noWrap w:val="0"/>
                  <w:vAlign w:val="center"/>
                </w:tcPr>
                <w:p w14:paraId="59AB5429">
                  <w:pPr>
                    <w:widowControl w:val="0"/>
                    <w:spacing w:line="240" w:lineRule="auto"/>
                    <w:ind w:right="-44"/>
                    <w:jc w:val="center"/>
                    <w:rPr>
                      <w:rFonts w:hint="default" w:ascii="Times New Roman" w:hAnsi="Times New Roman" w:eastAsia="宋体" w:cs="Times New Roman"/>
                      <w:bCs/>
                      <w:color w:val="auto"/>
                      <w:spacing w:val="-8"/>
                      <w:kern w:val="2"/>
                      <w:sz w:val="18"/>
                      <w:szCs w:val="18"/>
                      <w:highlight w:val="none"/>
                      <w:lang w:val="en-US" w:eastAsia="zh-CN" w:bidi="zh-CN"/>
                    </w:rPr>
                  </w:pPr>
                  <w:r>
                    <w:rPr>
                      <w:rFonts w:hint="default" w:ascii="Times New Roman" w:hAnsi="Times New Roman" w:eastAsia="宋体" w:cs="Times New Roman"/>
                      <w:bCs/>
                      <w:color w:val="auto"/>
                      <w:spacing w:val="-8"/>
                      <w:kern w:val="2"/>
                      <w:sz w:val="18"/>
                      <w:szCs w:val="18"/>
                      <w:highlight w:val="none"/>
                      <w:lang w:val="en-US" w:eastAsia="zh-CN" w:bidi="zh-CN"/>
                    </w:rPr>
                    <w:t>相符</w:t>
                  </w:r>
                </w:p>
              </w:tc>
            </w:tr>
            <w:tr w14:paraId="27CA56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9" w:type="pct"/>
                  <w:tcBorders>
                    <w:tl2br w:val="nil"/>
                    <w:tr2bl w:val="nil"/>
                  </w:tcBorders>
                  <w:noWrap w:val="0"/>
                  <w:vAlign w:val="center"/>
                </w:tcPr>
                <w:p w14:paraId="1D07EE76">
                  <w:pPr>
                    <w:widowControl w:val="0"/>
                    <w:spacing w:line="240" w:lineRule="auto"/>
                    <w:ind w:right="-44"/>
                    <w:jc w:val="center"/>
                    <w:rPr>
                      <w:rFonts w:hint="default" w:ascii="Times New Roman" w:hAnsi="Times New Roman" w:eastAsia="宋体" w:cs="Times New Roman"/>
                      <w:bCs/>
                      <w:color w:val="auto"/>
                      <w:spacing w:val="-8"/>
                      <w:kern w:val="2"/>
                      <w:sz w:val="18"/>
                      <w:szCs w:val="18"/>
                      <w:highlight w:val="none"/>
                      <w:lang w:val="en-US" w:eastAsia="zh-CN" w:bidi="zh-CN"/>
                    </w:rPr>
                  </w:pPr>
                  <w:r>
                    <w:rPr>
                      <w:rFonts w:hint="default" w:ascii="Times New Roman" w:hAnsi="Times New Roman" w:eastAsia="宋体" w:cs="Times New Roman"/>
                      <w:bCs/>
                      <w:color w:val="auto"/>
                      <w:spacing w:val="-8"/>
                      <w:kern w:val="2"/>
                      <w:sz w:val="18"/>
                      <w:szCs w:val="18"/>
                      <w:highlight w:val="none"/>
                      <w:lang w:val="en-US" w:eastAsia="zh-CN" w:bidi="zh-CN"/>
                    </w:rPr>
                    <w:t>3</w:t>
                  </w:r>
                </w:p>
              </w:tc>
              <w:tc>
                <w:tcPr>
                  <w:tcW w:w="2414" w:type="pct"/>
                  <w:tcBorders>
                    <w:tl2br w:val="nil"/>
                    <w:tr2bl w:val="nil"/>
                  </w:tcBorders>
                  <w:noWrap w:val="0"/>
                  <w:vAlign w:val="center"/>
                </w:tcPr>
                <w:p w14:paraId="653B9BF1">
                  <w:pPr>
                    <w:widowControl w:val="0"/>
                    <w:spacing w:line="240" w:lineRule="auto"/>
                    <w:ind w:right="-44"/>
                    <w:jc w:val="center"/>
                    <w:rPr>
                      <w:rFonts w:hint="default" w:ascii="Times New Roman" w:hAnsi="Times New Roman" w:eastAsia="宋体" w:cs="Times New Roman"/>
                      <w:bCs/>
                      <w:color w:val="auto"/>
                      <w:spacing w:val="-8"/>
                      <w:kern w:val="2"/>
                      <w:sz w:val="18"/>
                      <w:szCs w:val="18"/>
                      <w:highlight w:val="none"/>
                      <w:lang w:val="en-US" w:eastAsia="zh-CN" w:bidi="zh-CN"/>
                    </w:rPr>
                  </w:pPr>
                  <w:r>
                    <w:rPr>
                      <w:rFonts w:hint="default" w:ascii="Times New Roman" w:hAnsi="Times New Roman" w:eastAsia="宋体" w:cs="Times New Roman"/>
                      <w:bCs/>
                      <w:color w:val="auto"/>
                      <w:spacing w:val="-8"/>
                      <w:kern w:val="2"/>
                      <w:sz w:val="18"/>
                      <w:szCs w:val="18"/>
                      <w:highlight w:val="none"/>
                      <w:lang w:val="en-US" w:eastAsia="zh-CN" w:bidi="zh-CN"/>
                    </w:rPr>
                    <w:t>优化含VOCs原辅材料和产品结构。严格控制生产和使用高VOCs含量涂料、油墨、胶粘剂、清洗剂等项目。在家具、汽车零部件、工程机械、钢结构、船舶制造等工业涂装、包装印刷和电子等行业工艺环节中，大力推广使用低VOCs含量涂料。鼓励和推进全市汽车4S店、大型汽修厂实施全水性涂料替代。</w:t>
                  </w:r>
                </w:p>
              </w:tc>
              <w:tc>
                <w:tcPr>
                  <w:tcW w:w="1776" w:type="pct"/>
                  <w:tcBorders>
                    <w:tl2br w:val="nil"/>
                    <w:tr2bl w:val="nil"/>
                  </w:tcBorders>
                  <w:noWrap w:val="0"/>
                  <w:vAlign w:val="center"/>
                </w:tcPr>
                <w:p w14:paraId="3DE879D7">
                  <w:pPr>
                    <w:widowControl w:val="0"/>
                    <w:spacing w:line="240" w:lineRule="auto"/>
                    <w:ind w:right="-44"/>
                    <w:jc w:val="center"/>
                    <w:rPr>
                      <w:rFonts w:hint="default" w:ascii="Times New Roman" w:hAnsi="Times New Roman" w:eastAsia="宋体" w:cs="Times New Roman"/>
                      <w:bCs/>
                      <w:color w:val="auto"/>
                      <w:spacing w:val="-8"/>
                      <w:kern w:val="2"/>
                      <w:sz w:val="18"/>
                      <w:szCs w:val="18"/>
                      <w:highlight w:val="none"/>
                      <w:lang w:val="en-US" w:eastAsia="zh-CN" w:bidi="zh-CN"/>
                    </w:rPr>
                  </w:pPr>
                  <w:r>
                    <w:rPr>
                      <w:rFonts w:hint="eastAsia" w:ascii="Times New Roman" w:hAnsi="Times New Roman" w:eastAsia="宋体" w:cs="Times New Roman"/>
                      <w:bCs/>
                      <w:color w:val="auto"/>
                      <w:spacing w:val="-8"/>
                      <w:kern w:val="2"/>
                      <w:sz w:val="18"/>
                      <w:szCs w:val="18"/>
                      <w:highlight w:val="none"/>
                      <w:lang w:val="en-US" w:eastAsia="zh-CN" w:bidi="zh-CN"/>
                    </w:rPr>
                    <w:t>本项目产品为车灯，</w:t>
                  </w:r>
                  <w:r>
                    <w:rPr>
                      <w:rFonts w:hint="eastAsia" w:cs="Times New Roman"/>
                      <w:bCs/>
                      <w:color w:val="auto"/>
                      <w:spacing w:val="-8"/>
                      <w:kern w:val="2"/>
                      <w:sz w:val="18"/>
                      <w:szCs w:val="18"/>
                      <w:highlight w:val="none"/>
                      <w:lang w:val="en-US" w:eastAsia="zh-CN" w:bidi="zh-CN"/>
                    </w:rPr>
                    <w:t>属于汽车零部件，</w:t>
                  </w:r>
                  <w:r>
                    <w:rPr>
                      <w:rFonts w:hint="eastAsia" w:ascii="Times New Roman" w:hAnsi="Times New Roman" w:eastAsia="宋体" w:cs="Times New Roman"/>
                      <w:bCs/>
                      <w:color w:val="auto"/>
                      <w:spacing w:val="-8"/>
                      <w:kern w:val="2"/>
                      <w:sz w:val="18"/>
                      <w:szCs w:val="18"/>
                      <w:highlight w:val="none"/>
                      <w:lang w:val="en-US" w:eastAsia="zh-CN" w:bidi="zh-CN"/>
                    </w:rPr>
                    <w:t>因工艺需要，</w:t>
                  </w:r>
                  <w:r>
                    <w:rPr>
                      <w:rFonts w:hint="eastAsia" w:ascii="Times New Roman" w:hAnsi="Times New Roman" w:eastAsia="宋体" w:cs="Times New Roman"/>
                      <w:bCs/>
                      <w:color w:val="auto"/>
                      <w:spacing w:val="-8"/>
                      <w:kern w:val="2"/>
                      <w:sz w:val="18"/>
                      <w:szCs w:val="18"/>
                      <w:highlight w:val="none"/>
                      <w:lang w:val="en-US" w:eastAsia="zh-CN" w:bidi="zh-CN"/>
                    </w:rPr>
                    <w:t>无法使用水性涂料</w:t>
                  </w:r>
                  <w:r>
                    <w:rPr>
                      <w:rFonts w:hint="eastAsia" w:cs="Times New Roman"/>
                      <w:bCs/>
                      <w:color w:val="auto"/>
                      <w:spacing w:val="-8"/>
                      <w:kern w:val="2"/>
                      <w:sz w:val="18"/>
                      <w:szCs w:val="18"/>
                      <w:highlight w:val="none"/>
                      <w:lang w:val="en-US" w:eastAsia="zh-CN" w:bidi="zh-CN"/>
                    </w:rPr>
                    <w:t>与水性清洗剂</w:t>
                  </w:r>
                  <w:r>
                    <w:rPr>
                      <w:rFonts w:hint="eastAsia" w:ascii="Times New Roman" w:hAnsi="Times New Roman" w:eastAsia="宋体" w:cs="Times New Roman"/>
                      <w:bCs/>
                      <w:color w:val="auto"/>
                      <w:spacing w:val="-8"/>
                      <w:kern w:val="2"/>
                      <w:sz w:val="18"/>
                      <w:szCs w:val="18"/>
                      <w:highlight w:val="none"/>
                      <w:lang w:val="en-US" w:eastAsia="zh-CN" w:bidi="zh-CN"/>
                    </w:rPr>
                    <w:t>，涂料不可替代证明见附件7</w:t>
                  </w:r>
                  <w:r>
                    <w:rPr>
                      <w:rFonts w:hint="eastAsia" w:cs="Times New Roman"/>
                      <w:bCs/>
                      <w:color w:val="auto"/>
                      <w:spacing w:val="-8"/>
                      <w:kern w:val="2"/>
                      <w:sz w:val="18"/>
                      <w:szCs w:val="18"/>
                      <w:highlight w:val="none"/>
                      <w:lang w:val="en-US" w:eastAsia="zh-CN" w:bidi="zh-CN"/>
                    </w:rPr>
                    <w:t>，清洗剂不可替代证明见附件19</w:t>
                  </w:r>
                  <w:r>
                    <w:rPr>
                      <w:rFonts w:hint="default" w:ascii="Times New Roman" w:hAnsi="Times New Roman" w:eastAsia="宋体" w:cs="Times New Roman"/>
                      <w:bCs/>
                      <w:color w:val="auto"/>
                      <w:spacing w:val="-8"/>
                      <w:kern w:val="2"/>
                      <w:sz w:val="18"/>
                      <w:szCs w:val="18"/>
                      <w:highlight w:val="none"/>
                      <w:lang w:val="en-US" w:eastAsia="zh-CN" w:bidi="zh-CN"/>
                    </w:rPr>
                    <w:t>。</w:t>
                  </w:r>
                </w:p>
              </w:tc>
              <w:tc>
                <w:tcPr>
                  <w:tcW w:w="439" w:type="pct"/>
                  <w:tcBorders>
                    <w:tl2br w:val="nil"/>
                    <w:tr2bl w:val="nil"/>
                  </w:tcBorders>
                  <w:noWrap w:val="0"/>
                  <w:vAlign w:val="center"/>
                </w:tcPr>
                <w:p w14:paraId="39030A9A">
                  <w:pPr>
                    <w:widowControl w:val="0"/>
                    <w:spacing w:line="240" w:lineRule="auto"/>
                    <w:ind w:right="-44"/>
                    <w:jc w:val="center"/>
                    <w:rPr>
                      <w:rFonts w:hint="default" w:ascii="Times New Roman" w:hAnsi="Times New Roman" w:eastAsia="宋体" w:cs="Times New Roman"/>
                      <w:bCs/>
                      <w:color w:val="auto"/>
                      <w:spacing w:val="-8"/>
                      <w:kern w:val="2"/>
                      <w:sz w:val="18"/>
                      <w:szCs w:val="18"/>
                      <w:highlight w:val="none"/>
                      <w:lang w:val="en-US" w:eastAsia="zh-CN" w:bidi="zh-CN"/>
                    </w:rPr>
                  </w:pPr>
                  <w:r>
                    <w:rPr>
                      <w:rFonts w:hint="default" w:ascii="Times New Roman" w:hAnsi="Times New Roman" w:eastAsia="宋体" w:cs="Times New Roman"/>
                      <w:bCs/>
                      <w:color w:val="auto"/>
                      <w:spacing w:val="-8"/>
                      <w:kern w:val="2"/>
                      <w:sz w:val="18"/>
                      <w:szCs w:val="18"/>
                      <w:highlight w:val="none"/>
                      <w:lang w:val="en-US" w:eastAsia="zh-CN" w:bidi="zh-CN"/>
                    </w:rPr>
                    <w:t>相符</w:t>
                  </w:r>
                </w:p>
              </w:tc>
            </w:tr>
            <w:tr w14:paraId="30A4BC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9" w:type="pct"/>
                  <w:tcBorders>
                    <w:tl2br w:val="nil"/>
                    <w:tr2bl w:val="nil"/>
                  </w:tcBorders>
                  <w:noWrap w:val="0"/>
                  <w:vAlign w:val="center"/>
                </w:tcPr>
                <w:p w14:paraId="110E4F14">
                  <w:pPr>
                    <w:widowControl w:val="0"/>
                    <w:spacing w:line="240" w:lineRule="auto"/>
                    <w:ind w:right="-44"/>
                    <w:jc w:val="center"/>
                    <w:rPr>
                      <w:rFonts w:hint="default" w:ascii="Times New Roman" w:hAnsi="Times New Roman" w:eastAsia="宋体" w:cs="Times New Roman"/>
                      <w:bCs/>
                      <w:color w:val="auto"/>
                      <w:spacing w:val="-8"/>
                      <w:kern w:val="2"/>
                      <w:sz w:val="18"/>
                      <w:szCs w:val="18"/>
                      <w:highlight w:val="none"/>
                      <w:lang w:val="en-US" w:eastAsia="zh-CN" w:bidi="zh-CN"/>
                    </w:rPr>
                  </w:pPr>
                  <w:r>
                    <w:rPr>
                      <w:rFonts w:hint="default" w:ascii="Times New Roman" w:hAnsi="Times New Roman" w:eastAsia="宋体" w:cs="Times New Roman"/>
                      <w:bCs/>
                      <w:color w:val="auto"/>
                      <w:spacing w:val="-8"/>
                      <w:kern w:val="2"/>
                      <w:sz w:val="18"/>
                      <w:szCs w:val="18"/>
                      <w:highlight w:val="none"/>
                      <w:lang w:val="en-US" w:eastAsia="zh-CN" w:bidi="zh-CN"/>
                    </w:rPr>
                    <w:t>4</w:t>
                  </w:r>
                </w:p>
              </w:tc>
              <w:tc>
                <w:tcPr>
                  <w:tcW w:w="2414" w:type="pct"/>
                  <w:tcBorders>
                    <w:tl2br w:val="nil"/>
                    <w:tr2bl w:val="nil"/>
                  </w:tcBorders>
                  <w:noWrap w:val="0"/>
                  <w:vAlign w:val="center"/>
                </w:tcPr>
                <w:p w14:paraId="44694D24">
                  <w:pPr>
                    <w:widowControl w:val="0"/>
                    <w:spacing w:line="240" w:lineRule="auto"/>
                    <w:ind w:right="-44"/>
                    <w:jc w:val="center"/>
                    <w:rPr>
                      <w:rFonts w:hint="default" w:ascii="Times New Roman" w:hAnsi="Times New Roman" w:eastAsia="宋体" w:cs="Times New Roman"/>
                      <w:bCs/>
                      <w:color w:val="auto"/>
                      <w:spacing w:val="-8"/>
                      <w:kern w:val="2"/>
                      <w:sz w:val="18"/>
                      <w:szCs w:val="18"/>
                      <w:highlight w:val="none"/>
                      <w:lang w:val="en-US" w:eastAsia="zh-CN" w:bidi="zh-CN"/>
                    </w:rPr>
                  </w:pPr>
                  <w:r>
                    <w:rPr>
                      <w:rFonts w:hint="default" w:ascii="Times New Roman" w:hAnsi="Times New Roman" w:eastAsia="宋体" w:cs="Times New Roman"/>
                      <w:bCs/>
                      <w:color w:val="auto"/>
                      <w:spacing w:val="-8"/>
                      <w:kern w:val="2"/>
                      <w:sz w:val="18"/>
                      <w:szCs w:val="18"/>
                      <w:highlight w:val="none"/>
                      <w:lang w:val="en-US" w:eastAsia="zh-CN" w:bidi="zh-CN"/>
                    </w:rPr>
                    <w:t>严格合理控制煤炭消费总量。合理控制煤炭消费增长，鼓励发电向高效、清洁机组倾斜。到2025年，全市煤炭消费占比55%左右。原则上不再新增自备燃煤机组，支持自备燃煤机组实施清洁能源替代。</w:t>
                  </w:r>
                </w:p>
              </w:tc>
              <w:tc>
                <w:tcPr>
                  <w:tcW w:w="1776" w:type="pct"/>
                  <w:tcBorders>
                    <w:tl2br w:val="nil"/>
                    <w:tr2bl w:val="nil"/>
                  </w:tcBorders>
                  <w:noWrap w:val="0"/>
                  <w:vAlign w:val="center"/>
                </w:tcPr>
                <w:p w14:paraId="508B207D">
                  <w:pPr>
                    <w:widowControl w:val="0"/>
                    <w:spacing w:line="240" w:lineRule="auto"/>
                    <w:ind w:right="-44"/>
                    <w:jc w:val="center"/>
                    <w:rPr>
                      <w:rFonts w:hint="default" w:ascii="Times New Roman" w:hAnsi="Times New Roman" w:eastAsia="宋体" w:cs="Times New Roman"/>
                      <w:bCs/>
                      <w:color w:val="auto"/>
                      <w:spacing w:val="-8"/>
                      <w:kern w:val="2"/>
                      <w:sz w:val="18"/>
                      <w:szCs w:val="18"/>
                      <w:highlight w:val="none"/>
                      <w:lang w:val="en-US" w:eastAsia="zh-CN" w:bidi="zh-CN"/>
                    </w:rPr>
                  </w:pPr>
                  <w:r>
                    <w:rPr>
                      <w:rFonts w:hint="default" w:ascii="Times New Roman" w:hAnsi="Times New Roman" w:eastAsia="宋体" w:cs="Times New Roman"/>
                      <w:bCs/>
                      <w:color w:val="auto"/>
                      <w:spacing w:val="-8"/>
                      <w:kern w:val="2"/>
                      <w:sz w:val="18"/>
                      <w:szCs w:val="18"/>
                      <w:highlight w:val="none"/>
                      <w:lang w:val="en-US" w:eastAsia="zh-CN" w:bidi="zh-CN"/>
                    </w:rPr>
                    <w:t>本项目不使用煤炭。</w:t>
                  </w:r>
                </w:p>
              </w:tc>
              <w:tc>
                <w:tcPr>
                  <w:tcW w:w="439" w:type="pct"/>
                  <w:tcBorders>
                    <w:tl2br w:val="nil"/>
                    <w:tr2bl w:val="nil"/>
                  </w:tcBorders>
                  <w:noWrap w:val="0"/>
                  <w:vAlign w:val="center"/>
                </w:tcPr>
                <w:p w14:paraId="34C4BEA0">
                  <w:pPr>
                    <w:widowControl w:val="0"/>
                    <w:spacing w:line="240" w:lineRule="auto"/>
                    <w:ind w:right="-44"/>
                    <w:jc w:val="center"/>
                    <w:rPr>
                      <w:rFonts w:hint="default" w:ascii="Times New Roman" w:hAnsi="Times New Roman" w:eastAsia="宋体" w:cs="Times New Roman"/>
                      <w:bCs/>
                      <w:color w:val="auto"/>
                      <w:spacing w:val="-8"/>
                      <w:kern w:val="2"/>
                      <w:sz w:val="18"/>
                      <w:szCs w:val="18"/>
                      <w:highlight w:val="none"/>
                      <w:lang w:val="en-US" w:eastAsia="zh-CN" w:bidi="zh-CN"/>
                    </w:rPr>
                  </w:pPr>
                  <w:r>
                    <w:rPr>
                      <w:rFonts w:hint="default" w:ascii="Times New Roman" w:hAnsi="Times New Roman" w:eastAsia="宋体" w:cs="Times New Roman"/>
                      <w:bCs/>
                      <w:color w:val="auto"/>
                      <w:spacing w:val="-8"/>
                      <w:kern w:val="2"/>
                      <w:sz w:val="18"/>
                      <w:szCs w:val="18"/>
                      <w:highlight w:val="none"/>
                      <w:lang w:val="en-US" w:eastAsia="zh-CN" w:bidi="zh-CN"/>
                    </w:rPr>
                    <w:t>相符</w:t>
                  </w:r>
                </w:p>
              </w:tc>
            </w:tr>
            <w:tr w14:paraId="682620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69" w:type="pct"/>
                  <w:tcBorders>
                    <w:tl2br w:val="nil"/>
                    <w:tr2bl w:val="nil"/>
                  </w:tcBorders>
                  <w:noWrap w:val="0"/>
                  <w:vAlign w:val="center"/>
                </w:tcPr>
                <w:p w14:paraId="3E20AC09">
                  <w:pPr>
                    <w:widowControl w:val="0"/>
                    <w:spacing w:line="240" w:lineRule="auto"/>
                    <w:ind w:right="-44"/>
                    <w:jc w:val="center"/>
                    <w:rPr>
                      <w:rFonts w:hint="default" w:ascii="Times New Roman" w:hAnsi="Times New Roman" w:eastAsia="宋体" w:cs="Times New Roman"/>
                      <w:bCs/>
                      <w:color w:val="auto"/>
                      <w:spacing w:val="-8"/>
                      <w:kern w:val="2"/>
                      <w:sz w:val="18"/>
                      <w:szCs w:val="18"/>
                      <w:highlight w:val="none"/>
                      <w:lang w:val="en-US" w:eastAsia="zh-CN" w:bidi="zh-CN"/>
                    </w:rPr>
                  </w:pPr>
                  <w:r>
                    <w:rPr>
                      <w:rFonts w:hint="default" w:ascii="Times New Roman" w:hAnsi="Times New Roman" w:eastAsia="宋体" w:cs="Times New Roman"/>
                      <w:bCs/>
                      <w:color w:val="auto"/>
                      <w:spacing w:val="-8"/>
                      <w:kern w:val="2"/>
                      <w:sz w:val="18"/>
                      <w:szCs w:val="18"/>
                      <w:highlight w:val="none"/>
                      <w:lang w:val="en-US" w:eastAsia="zh-CN" w:bidi="zh-CN"/>
                    </w:rPr>
                    <w:t>5</w:t>
                  </w:r>
                </w:p>
              </w:tc>
              <w:tc>
                <w:tcPr>
                  <w:tcW w:w="2414" w:type="pct"/>
                  <w:tcBorders>
                    <w:tl2br w:val="nil"/>
                    <w:tr2bl w:val="nil"/>
                  </w:tcBorders>
                  <w:noWrap w:val="0"/>
                  <w:vAlign w:val="center"/>
                </w:tcPr>
                <w:p w14:paraId="622A8138">
                  <w:pPr>
                    <w:widowControl w:val="0"/>
                    <w:spacing w:line="240" w:lineRule="auto"/>
                    <w:ind w:right="-44"/>
                    <w:jc w:val="center"/>
                    <w:rPr>
                      <w:rFonts w:hint="default" w:ascii="Times New Roman" w:hAnsi="Times New Roman" w:eastAsia="宋体" w:cs="Times New Roman"/>
                      <w:bCs/>
                      <w:color w:val="auto"/>
                      <w:spacing w:val="-8"/>
                      <w:kern w:val="2"/>
                      <w:sz w:val="18"/>
                      <w:szCs w:val="18"/>
                      <w:highlight w:val="none"/>
                      <w:lang w:val="en-US" w:eastAsia="zh-CN" w:bidi="zh-CN"/>
                    </w:rPr>
                  </w:pPr>
                  <w:r>
                    <w:rPr>
                      <w:rFonts w:hint="default" w:ascii="Times New Roman" w:hAnsi="Times New Roman" w:eastAsia="宋体" w:cs="Times New Roman"/>
                      <w:bCs/>
                      <w:color w:val="auto"/>
                      <w:spacing w:val="-8"/>
                      <w:kern w:val="2"/>
                      <w:sz w:val="18"/>
                      <w:szCs w:val="18"/>
                      <w:highlight w:val="none"/>
                      <w:lang w:val="en-US" w:eastAsia="zh-CN" w:bidi="zh-CN"/>
                    </w:rPr>
                    <w:t>推进燃煤锅炉关停整合和工业炉窑清洁能源替代代。全面开展锅炉和工业炉窑简易低效污染治理设施排查，通过清洁能源替代、升级改造、整合退出等方式分类处置。到2025年，淘汰每小时35蒸吨及以下的燃煤锅炉，基本淘汰茶水炉、经营性炉灶、储粮烘干设备、农产品加工等燃煤设施。原则上不再新建除集中供暖外的燃煤锅炉，不再新增燃料类煤气发生炉。</w:t>
                  </w:r>
                </w:p>
              </w:tc>
              <w:tc>
                <w:tcPr>
                  <w:tcW w:w="1776" w:type="pct"/>
                  <w:tcBorders>
                    <w:tl2br w:val="nil"/>
                    <w:tr2bl w:val="nil"/>
                  </w:tcBorders>
                  <w:noWrap w:val="0"/>
                  <w:vAlign w:val="center"/>
                </w:tcPr>
                <w:p w14:paraId="2FAE4949">
                  <w:pPr>
                    <w:widowControl w:val="0"/>
                    <w:spacing w:line="240" w:lineRule="auto"/>
                    <w:ind w:right="-44"/>
                    <w:jc w:val="center"/>
                    <w:rPr>
                      <w:rFonts w:hint="default" w:ascii="Times New Roman" w:hAnsi="Times New Roman" w:eastAsia="宋体" w:cs="Times New Roman"/>
                      <w:bCs/>
                      <w:color w:val="auto"/>
                      <w:spacing w:val="-8"/>
                      <w:kern w:val="2"/>
                      <w:sz w:val="18"/>
                      <w:szCs w:val="18"/>
                      <w:highlight w:val="none"/>
                      <w:lang w:val="en-US" w:eastAsia="zh-CN" w:bidi="zh-CN"/>
                    </w:rPr>
                  </w:pPr>
                  <w:r>
                    <w:rPr>
                      <w:rFonts w:hint="default" w:ascii="Times New Roman" w:hAnsi="Times New Roman" w:eastAsia="宋体" w:cs="Times New Roman"/>
                      <w:bCs/>
                      <w:color w:val="auto"/>
                      <w:spacing w:val="-8"/>
                      <w:kern w:val="2"/>
                      <w:sz w:val="18"/>
                      <w:szCs w:val="18"/>
                      <w:highlight w:val="none"/>
                      <w:lang w:val="en-US" w:eastAsia="zh-CN" w:bidi="zh-CN"/>
                    </w:rPr>
                    <w:t>本项目不涉及燃煤锅炉和工业窑炉。</w:t>
                  </w:r>
                </w:p>
              </w:tc>
              <w:tc>
                <w:tcPr>
                  <w:tcW w:w="439" w:type="pct"/>
                  <w:tcBorders>
                    <w:tl2br w:val="nil"/>
                    <w:tr2bl w:val="nil"/>
                  </w:tcBorders>
                  <w:noWrap w:val="0"/>
                  <w:vAlign w:val="center"/>
                </w:tcPr>
                <w:p w14:paraId="53C17105">
                  <w:pPr>
                    <w:widowControl w:val="0"/>
                    <w:spacing w:line="240" w:lineRule="auto"/>
                    <w:ind w:right="-44"/>
                    <w:jc w:val="center"/>
                    <w:rPr>
                      <w:rFonts w:hint="default" w:ascii="Times New Roman" w:hAnsi="Times New Roman" w:eastAsia="宋体" w:cs="Times New Roman"/>
                      <w:bCs/>
                      <w:color w:val="auto"/>
                      <w:spacing w:val="-8"/>
                      <w:kern w:val="2"/>
                      <w:sz w:val="18"/>
                      <w:szCs w:val="18"/>
                      <w:highlight w:val="none"/>
                      <w:lang w:val="en-US" w:eastAsia="zh-CN" w:bidi="zh-CN"/>
                    </w:rPr>
                  </w:pPr>
                  <w:r>
                    <w:rPr>
                      <w:rFonts w:hint="default" w:ascii="Times New Roman" w:hAnsi="Times New Roman" w:eastAsia="宋体" w:cs="Times New Roman"/>
                      <w:bCs/>
                      <w:color w:val="auto"/>
                      <w:spacing w:val="-8"/>
                      <w:kern w:val="2"/>
                      <w:sz w:val="18"/>
                      <w:szCs w:val="18"/>
                      <w:highlight w:val="none"/>
                      <w:lang w:val="en-US" w:eastAsia="zh-CN" w:bidi="zh-CN"/>
                    </w:rPr>
                    <w:t>相符</w:t>
                  </w:r>
                </w:p>
              </w:tc>
            </w:tr>
          </w:tbl>
          <w:p w14:paraId="4156DB11">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pacing w:val="0"/>
                <w:w w:val="100"/>
                <w:position w:val="0"/>
                <w:sz w:val="21"/>
                <w:szCs w:val="21"/>
                <w:highlight w:val="none"/>
                <w:u w:val="none"/>
                <w:lang w:val="en-US" w:eastAsia="zh-CN"/>
              </w:rPr>
            </w:pPr>
            <w:r>
              <w:rPr>
                <w:rFonts w:hint="eastAsia" w:ascii="Times New Roman" w:hAnsi="Times New Roman" w:eastAsia="宋体" w:cs="Times New Roman"/>
                <w:color w:val="auto"/>
                <w:szCs w:val="24"/>
                <w:lang w:val="en-US" w:eastAsia="zh-CN"/>
              </w:rPr>
              <w:t>综上所述，本项目符合《市政府关于印发南通市空气质量持续改善行动计划实施方案的通知</w:t>
            </w:r>
            <w:r>
              <w:rPr>
                <w:rFonts w:hint="default" w:ascii="Times New Roman" w:hAnsi="Times New Roman" w:eastAsia="宋体" w:cs="Times New Roman"/>
                <w:color w:val="auto"/>
                <w:szCs w:val="24"/>
                <w:lang w:val="en-US" w:eastAsia="zh-CN"/>
              </w:rPr>
              <w:t>》（通政发[2024] 24号）</w:t>
            </w:r>
            <w:r>
              <w:rPr>
                <w:rFonts w:hint="eastAsia" w:ascii="Times New Roman" w:hAnsi="Times New Roman" w:eastAsia="宋体" w:cs="Times New Roman"/>
                <w:color w:val="auto"/>
                <w:szCs w:val="24"/>
                <w:lang w:val="en-US" w:eastAsia="zh-CN"/>
              </w:rPr>
              <w:t>要求。</w:t>
            </w:r>
          </w:p>
          <w:p w14:paraId="3E05C40F">
            <w:pPr>
              <w:numPr>
                <w:ilvl w:val="0"/>
                <w:numId w:val="0"/>
              </w:numPr>
              <w:adjustRightInd w:val="0"/>
              <w:snapToGrid w:val="0"/>
              <w:spacing w:line="360" w:lineRule="auto"/>
              <w:rPr>
                <w:rStyle w:val="74"/>
                <w:rFonts w:hint="eastAsia"/>
                <w:color w:val="auto"/>
                <w:lang w:val="en-US" w:eastAsia="zh-CN"/>
              </w:rPr>
            </w:pPr>
            <w:r>
              <w:rPr>
                <w:rStyle w:val="74"/>
                <w:rFonts w:hint="eastAsia"/>
                <w:color w:val="auto"/>
                <w:lang w:val="en-US" w:eastAsia="zh-CN"/>
              </w:rPr>
              <w:t>（6）与《外商投资准入特别管理措施（负面清单）（2021版）》、《鼓励外商投资产业目录（2022版）》相符性分析</w:t>
            </w:r>
          </w:p>
          <w:p w14:paraId="591A4C3C">
            <w:pPr>
              <w:numPr>
                <w:ilvl w:val="0"/>
                <w:numId w:val="0"/>
              </w:numPr>
              <w:adjustRightInd w:val="0"/>
              <w:snapToGrid w:val="0"/>
              <w:spacing w:line="360" w:lineRule="auto"/>
              <w:ind w:firstLine="420" w:firstLineChars="200"/>
              <w:rPr>
                <w:rFonts w:hint="eastAsia" w:cs="Times New Roman"/>
                <w:bCs/>
                <w:color w:val="auto"/>
                <w:szCs w:val="21"/>
                <w:lang w:val="en-US" w:eastAsia="zh-CN"/>
              </w:rPr>
            </w:pPr>
            <w:r>
              <w:rPr>
                <w:rFonts w:hint="eastAsia" w:cs="Times New Roman"/>
                <w:bCs/>
                <w:color w:val="auto"/>
                <w:szCs w:val="21"/>
                <w:lang w:val="en-US" w:eastAsia="zh-CN"/>
              </w:rPr>
              <w:t>本项目是汽车制造业，属于制造业，对照《外商投资准入特别管理措施（负面清单）（2021版）》分析可知，负面清单中特别管理措施包括：“三、制造业6、出版物印刷须由中方控股；7、禁止投资中药饮片的蒸、炒、炙、煅等炮制技术的应用及中成药保密处方产品的生产。”，本项目不属于以上2类，则不在负面清单内，符合准入要求。</w:t>
            </w:r>
          </w:p>
          <w:p w14:paraId="447B1A50">
            <w:pPr>
              <w:numPr>
                <w:ilvl w:val="0"/>
                <w:numId w:val="0"/>
              </w:numPr>
              <w:adjustRightInd w:val="0"/>
              <w:snapToGrid w:val="0"/>
              <w:spacing w:line="360" w:lineRule="auto"/>
              <w:ind w:firstLine="420" w:firstLineChars="200"/>
              <w:rPr>
                <w:rFonts w:hint="eastAsia" w:cs="Times New Roman"/>
                <w:bCs/>
                <w:color w:val="auto"/>
                <w:szCs w:val="21"/>
                <w:lang w:val="en-US" w:eastAsia="zh-CN"/>
              </w:rPr>
            </w:pPr>
            <w:r>
              <w:rPr>
                <w:rFonts w:hint="eastAsia" w:cs="Times New Roman"/>
                <w:bCs/>
                <w:color w:val="auto"/>
                <w:szCs w:val="21"/>
                <w:lang w:val="en-US" w:eastAsia="zh-CN"/>
              </w:rPr>
              <w:t>对照《鼓励外商投资产业目录（2022版）》分析可知，本项目汽车零部件制造不在鼓励外商投资产业目录中，不属于鼓励类。</w:t>
            </w:r>
          </w:p>
          <w:p w14:paraId="7B802E3E">
            <w:pPr>
              <w:numPr>
                <w:ilvl w:val="0"/>
                <w:numId w:val="0"/>
              </w:numPr>
              <w:adjustRightInd w:val="0"/>
              <w:snapToGrid w:val="0"/>
              <w:spacing w:line="360" w:lineRule="auto"/>
              <w:ind w:firstLine="420" w:firstLineChars="200"/>
              <w:rPr>
                <w:rFonts w:hint="eastAsia" w:cs="Times New Roman"/>
                <w:bCs/>
                <w:color w:val="auto"/>
                <w:szCs w:val="21"/>
                <w:lang w:val="en-US" w:eastAsia="zh-CN"/>
              </w:rPr>
            </w:pPr>
            <w:r>
              <w:rPr>
                <w:rFonts w:hint="eastAsia" w:cs="Times New Roman"/>
                <w:bCs/>
                <w:color w:val="auto"/>
                <w:szCs w:val="21"/>
                <w:lang w:val="en-US" w:eastAsia="zh-CN"/>
              </w:rPr>
              <w:t>综上所述，本项目不在《外商投资准入特别管理措施（负面清单）（2021版）》的负面清单里，也不在《鼓励外商投资产业目录（2022版）》的目录里，应属于允许类，符合要求。</w:t>
            </w:r>
          </w:p>
          <w:p w14:paraId="1A1C060A">
            <w:pPr>
              <w:keepNext w:val="0"/>
              <w:keepLines w:val="0"/>
              <w:pageBreakBefore w:val="0"/>
              <w:widowControl/>
              <w:kinsoku/>
              <w:wordWrap/>
              <w:overflowPunct/>
              <w:topLinePunct w:val="0"/>
              <w:autoSpaceDE/>
              <w:autoSpaceDN/>
              <w:bidi w:val="0"/>
              <w:adjustRightInd w:val="0"/>
              <w:snapToGrid w:val="0"/>
              <w:spacing w:line="360" w:lineRule="auto"/>
              <w:jc w:val="both"/>
              <w:textAlignment w:val="auto"/>
              <w:rPr>
                <w:rFonts w:hint="eastAsia" w:ascii="Times New Roman Regular" w:hAnsi="Times New Roman Regular" w:cs="Times New Roman Regular"/>
                <w:b/>
                <w:bCs w:val="0"/>
                <w:color w:val="auto"/>
                <w:lang w:val="en-US" w:eastAsia="zh-CN"/>
              </w:rPr>
            </w:pPr>
            <w:r>
              <w:rPr>
                <w:rFonts w:hint="eastAsia" w:ascii="Times New Roman Regular" w:hAnsi="Times New Roman Regular" w:cs="Times New Roman Regular"/>
                <w:b/>
                <w:bCs w:val="0"/>
                <w:color w:val="auto"/>
                <w:lang w:val="en-US" w:eastAsia="zh-CN"/>
              </w:rPr>
              <w:t>（7）与《关于做好建设项目挥发性有机物排放管理工作的意见（试行）》（通环办〔2025〕32号）相符性分析</w:t>
            </w:r>
          </w:p>
          <w:p w14:paraId="7BD4804E">
            <w:pPr>
              <w:jc w:val="center"/>
              <w:rPr>
                <w:rFonts w:hint="eastAsia"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表1-</w:t>
            </w:r>
            <w:r>
              <w:rPr>
                <w:rFonts w:hint="eastAsia" w:ascii="Times New Roman" w:hAnsi="Times New Roman" w:eastAsia="宋体" w:cs="Times New Roman"/>
                <w:b/>
                <w:color w:val="auto"/>
                <w:sz w:val="21"/>
                <w:szCs w:val="21"/>
                <w:lang w:val="en-US" w:eastAsia="zh-CN"/>
              </w:rPr>
              <w:t>13</w:t>
            </w:r>
            <w:r>
              <w:rPr>
                <w:rFonts w:hint="default" w:ascii="Times New Roman" w:hAnsi="Times New Roman" w:eastAsia="宋体" w:cs="Times New Roman"/>
                <w:b/>
                <w:color w:val="auto"/>
                <w:sz w:val="21"/>
                <w:szCs w:val="21"/>
              </w:rPr>
              <w:t xml:space="preserve"> </w:t>
            </w:r>
            <w:r>
              <w:rPr>
                <w:rFonts w:hint="eastAsia"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与</w:t>
            </w:r>
            <w:r>
              <w:rPr>
                <w:rFonts w:hint="eastAsia" w:ascii="Times New Roman Regular" w:hAnsi="Times New Roman Regular" w:cs="Times New Roman Regular"/>
                <w:b/>
                <w:bCs w:val="0"/>
                <w:color w:val="auto"/>
                <w:lang w:val="en-US" w:eastAsia="zh-CN"/>
              </w:rPr>
              <w:t>（通环办〔2025〕32号）</w:t>
            </w:r>
            <w:r>
              <w:rPr>
                <w:rFonts w:hint="default" w:ascii="Times New Roman" w:hAnsi="Times New Roman" w:eastAsia="宋体" w:cs="Times New Roman"/>
                <w:b/>
                <w:color w:val="auto"/>
                <w:sz w:val="21"/>
                <w:szCs w:val="21"/>
              </w:rPr>
              <w:t>相符性分析</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7"/>
              <w:gridCol w:w="4512"/>
              <w:gridCol w:w="2059"/>
              <w:gridCol w:w="898"/>
            </w:tblGrid>
            <w:tr w14:paraId="0B3989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38" w:type="pct"/>
                  <w:tcBorders>
                    <w:tl2br w:val="nil"/>
                    <w:tr2bl w:val="nil"/>
                  </w:tcBorders>
                  <w:noWrap w:val="0"/>
                  <w:vAlign w:val="center"/>
                </w:tcPr>
                <w:p w14:paraId="5EF0FEAE">
                  <w:pPr>
                    <w:widowControl/>
                    <w:jc w:val="center"/>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序号</w:t>
                  </w:r>
                </w:p>
              </w:tc>
              <w:tc>
                <w:tcPr>
                  <w:tcW w:w="2755" w:type="pct"/>
                  <w:tcBorders>
                    <w:tl2br w:val="nil"/>
                    <w:tr2bl w:val="nil"/>
                  </w:tcBorders>
                  <w:noWrap w:val="0"/>
                  <w:vAlign w:val="center"/>
                </w:tcPr>
                <w:p w14:paraId="133DC00B">
                  <w:pPr>
                    <w:widowControl/>
                    <w:ind w:left="-42" w:leftChars="-20" w:right="-42" w:rightChars="-20"/>
                    <w:jc w:val="center"/>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文件相关要求</w:t>
                  </w:r>
                </w:p>
              </w:tc>
              <w:tc>
                <w:tcPr>
                  <w:tcW w:w="1257" w:type="pct"/>
                  <w:tcBorders>
                    <w:tl2br w:val="nil"/>
                    <w:tr2bl w:val="nil"/>
                  </w:tcBorders>
                  <w:noWrap w:val="0"/>
                  <w:vAlign w:val="center"/>
                </w:tcPr>
                <w:p w14:paraId="554442F7">
                  <w:pPr>
                    <w:widowControl/>
                    <w:ind w:left="-42" w:leftChars="-20" w:right="-42" w:rightChars="-20"/>
                    <w:jc w:val="center"/>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本项目情况</w:t>
                  </w:r>
                </w:p>
              </w:tc>
              <w:tc>
                <w:tcPr>
                  <w:tcW w:w="548" w:type="pct"/>
                  <w:tcBorders>
                    <w:tl2br w:val="nil"/>
                    <w:tr2bl w:val="nil"/>
                  </w:tcBorders>
                  <w:noWrap w:val="0"/>
                  <w:vAlign w:val="center"/>
                </w:tcPr>
                <w:p w14:paraId="490F9597">
                  <w:pPr>
                    <w:widowControl/>
                    <w:jc w:val="center"/>
                    <w:rPr>
                      <w:rFonts w:hint="default" w:ascii="Times New Roman" w:hAnsi="Times New Roman" w:eastAsia="宋体" w:cs="Times New Roman"/>
                      <w:b/>
                      <w:bCs/>
                      <w:color w:val="auto"/>
                      <w:kern w:val="0"/>
                      <w:sz w:val="18"/>
                      <w:szCs w:val="18"/>
                      <w:highlight w:val="none"/>
                    </w:rPr>
                  </w:pPr>
                  <w:r>
                    <w:rPr>
                      <w:rFonts w:hint="default" w:ascii="Times New Roman" w:hAnsi="Times New Roman" w:eastAsia="宋体" w:cs="Times New Roman"/>
                      <w:b/>
                      <w:bCs/>
                      <w:color w:val="auto"/>
                      <w:kern w:val="0"/>
                      <w:sz w:val="18"/>
                      <w:szCs w:val="18"/>
                      <w:highlight w:val="none"/>
                    </w:rPr>
                    <w:t>相符性</w:t>
                  </w:r>
                </w:p>
              </w:tc>
            </w:tr>
            <w:tr w14:paraId="3812B0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8" w:type="pct"/>
                  <w:tcBorders>
                    <w:tl2br w:val="nil"/>
                    <w:tr2bl w:val="nil"/>
                  </w:tcBorders>
                  <w:noWrap w:val="0"/>
                  <w:vAlign w:val="center"/>
                </w:tcPr>
                <w:p w14:paraId="35A8AFCB">
                  <w:pPr>
                    <w:widowControl/>
                    <w:jc w:val="center"/>
                    <w:rPr>
                      <w:rFonts w:hint="default" w:cs="Times New Roman"/>
                      <w:b w:val="0"/>
                      <w:bCs w:val="0"/>
                      <w:color w:val="auto"/>
                      <w:kern w:val="0"/>
                      <w:sz w:val="18"/>
                      <w:szCs w:val="18"/>
                      <w:highlight w:val="none"/>
                      <w:lang w:val="en-US" w:eastAsia="zh-CN"/>
                    </w:rPr>
                  </w:pPr>
                  <w:r>
                    <w:rPr>
                      <w:rFonts w:hint="eastAsia" w:cs="Times New Roman"/>
                      <w:b w:val="0"/>
                      <w:bCs w:val="0"/>
                      <w:color w:val="auto"/>
                      <w:kern w:val="0"/>
                      <w:sz w:val="18"/>
                      <w:szCs w:val="18"/>
                      <w:highlight w:val="none"/>
                      <w:lang w:val="en-US" w:eastAsia="zh-CN"/>
                    </w:rPr>
                    <w:t>1</w:t>
                  </w:r>
                </w:p>
              </w:tc>
              <w:tc>
                <w:tcPr>
                  <w:tcW w:w="2755" w:type="pct"/>
                  <w:tcBorders>
                    <w:tl2br w:val="nil"/>
                    <w:tr2bl w:val="nil"/>
                  </w:tcBorders>
                  <w:noWrap w:val="0"/>
                  <w:vAlign w:val="center"/>
                </w:tcPr>
                <w:p w14:paraId="4112D4C4">
                  <w:pPr>
                    <w:numPr>
                      <w:ilvl w:val="0"/>
                      <w:numId w:val="0"/>
                    </w:numPr>
                    <w:spacing w:line="240" w:lineRule="auto"/>
                    <w:jc w:val="center"/>
                    <w:rPr>
                      <w:rFonts w:hint="eastAsia" w:ascii="Times New Roman" w:hAnsi="Times New Roman" w:eastAsia="宋体"/>
                      <w:color w:val="auto"/>
                      <w:kern w:val="2"/>
                      <w:sz w:val="18"/>
                      <w:szCs w:val="18"/>
                      <w:highlight w:val="none"/>
                      <w:lang w:val="en-US" w:eastAsia="zh-CN"/>
                    </w:rPr>
                  </w:pPr>
                  <w:r>
                    <w:rPr>
                      <w:rFonts w:hint="eastAsia" w:ascii="Times New Roman" w:hAnsi="Times New Roman"/>
                      <w:color w:val="auto"/>
                      <w:kern w:val="2"/>
                      <w:sz w:val="18"/>
                      <w:szCs w:val="18"/>
                      <w:highlight w:val="none"/>
                    </w:rPr>
                    <w:t xml:space="preserve">新建、改建、扩建项目必须使用低（无）VOCs含量原辅材料；涂料、油墨、胶粘剂、清洗剂等VOCs含量应满足国家和省相应限值标准，禁止审批生产和使用高VOCs含量的溶剂型产品 </w:t>
                  </w:r>
                  <w:r>
                    <w:rPr>
                      <w:rFonts w:hint="eastAsia" w:ascii="Times New Roman" w:hAnsi="Times New Roman"/>
                      <w:color w:val="auto"/>
                      <w:kern w:val="2"/>
                      <w:sz w:val="18"/>
                      <w:szCs w:val="18"/>
                      <w:highlight w:val="none"/>
                      <w:lang w:val="en-US" w:eastAsia="zh-CN"/>
                    </w:rPr>
                    <w:t>.</w:t>
                  </w:r>
                </w:p>
              </w:tc>
              <w:tc>
                <w:tcPr>
                  <w:tcW w:w="1257" w:type="pct"/>
                  <w:tcBorders>
                    <w:tl2br w:val="nil"/>
                    <w:tr2bl w:val="nil"/>
                  </w:tcBorders>
                  <w:noWrap w:val="0"/>
                  <w:vAlign w:val="center"/>
                </w:tcPr>
                <w:p w14:paraId="3DDD015F">
                  <w:pPr>
                    <w:tabs>
                      <w:tab w:val="left" w:pos="3208"/>
                      <w:tab w:val="center" w:pos="4212"/>
                    </w:tabs>
                    <w:ind w:firstLine="360" w:firstLineChars="200"/>
                    <w:jc w:val="left"/>
                    <w:rPr>
                      <w:rFonts w:ascii="Times New Roman" w:hAnsi="Times New Roman" w:eastAsia="宋体" w:cs="Times New Roman"/>
                      <w:color w:val="auto"/>
                      <w:sz w:val="28"/>
                      <w:szCs w:val="28"/>
                      <w:shd w:val="clear" w:color="auto" w:fill="FFFFFF"/>
                    </w:rPr>
                  </w:pPr>
                  <w:r>
                    <w:rPr>
                      <w:rFonts w:hint="eastAsia" w:ascii="Times New Roman" w:hAnsi="Times New Roman" w:eastAsia="宋体" w:cs="Times New Roman"/>
                      <w:color w:val="auto"/>
                      <w:kern w:val="2"/>
                      <w:sz w:val="18"/>
                      <w:szCs w:val="18"/>
                      <w:highlight w:val="none"/>
                      <w:lang w:val="en-US" w:eastAsia="zh-CN"/>
                    </w:rPr>
                    <w:t>本</w:t>
                  </w:r>
                  <w:r>
                    <w:rPr>
                      <w:rFonts w:hint="default" w:ascii="Times New Roman" w:hAnsi="Times New Roman" w:eastAsia="宋体" w:cs="Times New Roman"/>
                      <w:color w:val="auto"/>
                      <w:kern w:val="2"/>
                      <w:sz w:val="18"/>
                      <w:szCs w:val="18"/>
                      <w:highlight w:val="none"/>
                    </w:rPr>
                    <w:t>项目使用的</w:t>
                  </w:r>
                  <w:r>
                    <w:rPr>
                      <w:rFonts w:hint="eastAsia" w:ascii="Times New Roman" w:hAnsi="Times New Roman" w:eastAsia="宋体" w:cs="Times New Roman"/>
                      <w:color w:val="auto"/>
                      <w:kern w:val="2"/>
                      <w:sz w:val="18"/>
                      <w:szCs w:val="18"/>
                      <w:highlight w:val="none"/>
                      <w:lang w:val="en-US" w:eastAsia="zh-CN"/>
                    </w:rPr>
                    <w:t>有机硅硬质涂层UVHC5000-50可增加车灯表面抗划伤能力，属于车灯硬化漆，该涂料使用UV光固化，属于辐射固化涂料。防雾涂料能有效增加车灯防雾能力，为溶剂型涂料。根据《涂料中有害物质限量第2部分：工业涂料》（GB30981.2-2025）3.8款，明确了车灯硬化漆、防雾涂料为特殊功能涂料，属于受技术的限制暂不能被环境友好型涂料替代的涂料；且根据涂料MSDS及VOCs检测报告，本项目涉及的车灯硬化漆、防雾涂料中不含苯、甲苯、二甲苯等有害物质，且满足《涂料中有害物质限量第2部分：工业涂料》（GB30981.2-2025）要求；车灯硬化漆、防雾涂料均为车灯生产中不可缺少的原料，具有不可替代性。</w:t>
                  </w:r>
                </w:p>
                <w:p w14:paraId="16B39C38">
                  <w:pPr>
                    <w:numPr>
                      <w:ilvl w:val="0"/>
                      <w:numId w:val="0"/>
                    </w:numPr>
                    <w:spacing w:line="240" w:lineRule="auto"/>
                    <w:jc w:val="left"/>
                    <w:rPr>
                      <w:rFonts w:hint="default" w:ascii="Times New Roman" w:hAnsi="Times New Roman" w:eastAsia="宋体" w:cs="Times New Roman"/>
                      <w:color w:val="auto"/>
                      <w:kern w:val="2"/>
                      <w:sz w:val="18"/>
                      <w:szCs w:val="18"/>
                      <w:highlight w:val="none"/>
                      <w:lang w:val="en-US" w:eastAsia="zh-CN"/>
                    </w:rPr>
                  </w:pPr>
                  <w:r>
                    <w:rPr>
                      <w:rFonts w:hint="eastAsia" w:cs="Times New Roman"/>
                      <w:color w:val="auto"/>
                      <w:kern w:val="2"/>
                      <w:sz w:val="18"/>
                      <w:szCs w:val="18"/>
                      <w:highlight w:val="none"/>
                      <w:lang w:eastAsia="zh-CN"/>
                    </w:rPr>
                    <w:t>。</w:t>
                  </w:r>
                  <w:r>
                    <w:rPr>
                      <w:rFonts w:hint="eastAsia" w:ascii="Times New Roman" w:hAnsi="Times New Roman"/>
                      <w:color w:val="auto"/>
                      <w:kern w:val="2"/>
                      <w:sz w:val="18"/>
                      <w:szCs w:val="18"/>
                      <w:highlight w:val="none"/>
                      <w:lang w:val="en-US" w:eastAsia="zh-CN"/>
                    </w:rPr>
                    <w:t>清洗剂</w:t>
                  </w:r>
                  <w:r>
                    <w:rPr>
                      <w:rFonts w:hint="eastAsia" w:ascii="Times New Roman" w:hAnsi="Times New Roman" w:eastAsia="宋体" w:cs="Times New Roman"/>
                      <w:color w:val="auto"/>
                      <w:kern w:val="2"/>
                      <w:sz w:val="18"/>
                      <w:szCs w:val="18"/>
                      <w:highlight w:val="none"/>
                      <w:lang w:val="en-US" w:eastAsia="zh-CN"/>
                    </w:rPr>
                    <w:t>符合</w:t>
                  </w:r>
                  <w:r>
                    <w:rPr>
                      <w:rFonts w:hint="default" w:ascii="Times New Roman" w:hAnsi="Times New Roman" w:eastAsia="宋体" w:cs="Times New Roman"/>
                      <w:color w:val="auto"/>
                      <w:kern w:val="2"/>
                      <w:sz w:val="18"/>
                      <w:szCs w:val="18"/>
                      <w:highlight w:val="none"/>
                      <w:lang w:val="en-US" w:eastAsia="zh-CN"/>
                    </w:rPr>
                    <w:t>《清洗剂挥发性有机化合物含量限值》（GB38508-2020）</w:t>
                  </w:r>
                  <w:r>
                    <w:rPr>
                      <w:rFonts w:hint="eastAsia" w:ascii="Times New Roman" w:hAnsi="Times New Roman" w:eastAsia="宋体" w:cs="Times New Roman"/>
                      <w:color w:val="auto"/>
                      <w:kern w:val="2"/>
                      <w:sz w:val="18"/>
                      <w:szCs w:val="18"/>
                      <w:highlight w:val="none"/>
                      <w:lang w:val="en-US" w:eastAsia="zh-CN"/>
                    </w:rPr>
                    <w:t>表1中有机溶剂清洗剂VOC含量限值要求</w:t>
                  </w:r>
                  <w:r>
                    <w:rPr>
                      <w:rFonts w:hint="eastAsia" w:ascii="Times New Roman" w:hAnsi="Times New Roman" w:cs="Times New Roman"/>
                      <w:color w:val="auto"/>
                      <w:kern w:val="2"/>
                      <w:sz w:val="18"/>
                      <w:szCs w:val="18"/>
                      <w:highlight w:val="none"/>
                      <w:lang w:val="en-US" w:eastAsia="zh-CN"/>
                    </w:rPr>
                    <w:t>，不属于</w:t>
                  </w:r>
                  <w:r>
                    <w:rPr>
                      <w:rFonts w:hint="eastAsia" w:ascii="Times New Roman" w:hAnsi="Times New Roman"/>
                      <w:color w:val="auto"/>
                      <w:kern w:val="2"/>
                      <w:sz w:val="18"/>
                      <w:szCs w:val="18"/>
                      <w:highlight w:val="none"/>
                    </w:rPr>
                    <w:t>高 VOCs 含量</w:t>
                  </w:r>
                  <w:r>
                    <w:rPr>
                      <w:rFonts w:hint="eastAsia" w:ascii="Times New Roman" w:hAnsi="Times New Roman"/>
                      <w:color w:val="auto"/>
                      <w:kern w:val="2"/>
                      <w:sz w:val="18"/>
                      <w:szCs w:val="18"/>
                      <w:highlight w:val="none"/>
                      <w:lang w:eastAsia="zh-CN"/>
                    </w:rPr>
                    <w:t>的</w:t>
                  </w:r>
                  <w:r>
                    <w:rPr>
                      <w:rFonts w:hint="eastAsia" w:ascii="Times New Roman" w:hAnsi="Times New Roman"/>
                      <w:color w:val="auto"/>
                      <w:kern w:val="2"/>
                      <w:sz w:val="18"/>
                      <w:szCs w:val="18"/>
                      <w:highlight w:val="none"/>
                      <w:lang w:val="en-US" w:eastAsia="zh-CN"/>
                    </w:rPr>
                    <w:t>溶剂型产品</w:t>
                  </w:r>
                  <w:r>
                    <w:rPr>
                      <w:rFonts w:hint="eastAsia" w:ascii="Times New Roman" w:hAnsi="Times New Roman"/>
                      <w:color w:val="auto"/>
                      <w:kern w:val="2"/>
                      <w:sz w:val="18"/>
                      <w:szCs w:val="18"/>
                      <w:highlight w:val="none"/>
                      <w:lang w:eastAsia="zh-CN"/>
                    </w:rPr>
                    <w:t>。</w:t>
                  </w:r>
                </w:p>
              </w:tc>
              <w:tc>
                <w:tcPr>
                  <w:tcW w:w="548" w:type="pct"/>
                  <w:tcBorders>
                    <w:tl2br w:val="nil"/>
                    <w:tr2bl w:val="nil"/>
                  </w:tcBorders>
                  <w:noWrap w:val="0"/>
                  <w:vAlign w:val="center"/>
                </w:tcPr>
                <w:p w14:paraId="1A7DB253">
                  <w:pPr>
                    <w:widowControl/>
                    <w:jc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lang w:val="en-US" w:eastAsia="zh-CN"/>
                    </w:rPr>
                    <w:t>符合</w:t>
                  </w:r>
                </w:p>
              </w:tc>
            </w:tr>
            <w:tr w14:paraId="55653D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8" w:type="pct"/>
                  <w:tcBorders>
                    <w:tl2br w:val="nil"/>
                    <w:tr2bl w:val="nil"/>
                  </w:tcBorders>
                  <w:noWrap w:val="0"/>
                  <w:vAlign w:val="center"/>
                </w:tcPr>
                <w:p w14:paraId="27FD5461">
                  <w:pPr>
                    <w:widowControl/>
                    <w:jc w:val="center"/>
                    <w:rPr>
                      <w:rFonts w:hint="default" w:cs="Times New Roman"/>
                      <w:b w:val="0"/>
                      <w:bCs w:val="0"/>
                      <w:color w:val="auto"/>
                      <w:kern w:val="0"/>
                      <w:sz w:val="18"/>
                      <w:szCs w:val="18"/>
                      <w:highlight w:val="none"/>
                      <w:lang w:val="en-US" w:eastAsia="zh-CN"/>
                    </w:rPr>
                  </w:pPr>
                  <w:r>
                    <w:rPr>
                      <w:rFonts w:hint="eastAsia" w:cs="Times New Roman"/>
                      <w:b w:val="0"/>
                      <w:bCs w:val="0"/>
                      <w:color w:val="auto"/>
                      <w:kern w:val="0"/>
                      <w:sz w:val="18"/>
                      <w:szCs w:val="18"/>
                      <w:highlight w:val="none"/>
                      <w:lang w:val="en-US" w:eastAsia="zh-CN"/>
                    </w:rPr>
                    <w:t>2</w:t>
                  </w:r>
                </w:p>
              </w:tc>
              <w:tc>
                <w:tcPr>
                  <w:tcW w:w="2755" w:type="pct"/>
                  <w:tcBorders>
                    <w:tl2br w:val="nil"/>
                    <w:tr2bl w:val="nil"/>
                  </w:tcBorders>
                  <w:noWrap w:val="0"/>
                  <w:vAlign w:val="center"/>
                </w:tcPr>
                <w:p w14:paraId="2B31BA22">
                  <w:pPr>
                    <w:numPr>
                      <w:ilvl w:val="0"/>
                      <w:numId w:val="0"/>
                    </w:numPr>
                    <w:spacing w:line="240" w:lineRule="auto"/>
                    <w:jc w:val="center"/>
                    <w:rPr>
                      <w:rFonts w:hint="eastAsia" w:ascii="Times New Roman" w:hAnsi="Times New Roman" w:eastAsia="宋体" w:cs="Times New Roman"/>
                      <w:color w:val="auto"/>
                      <w:kern w:val="2"/>
                      <w:sz w:val="18"/>
                      <w:szCs w:val="18"/>
                      <w:highlight w:val="none"/>
                    </w:rPr>
                  </w:pPr>
                  <w:r>
                    <w:rPr>
                      <w:rFonts w:hint="eastAsia" w:ascii="Times New Roman" w:hAnsi="Times New Roman" w:eastAsia="宋体" w:cs="Times New Roman"/>
                      <w:color w:val="auto"/>
                      <w:kern w:val="2"/>
                      <w:sz w:val="18"/>
                      <w:szCs w:val="18"/>
                      <w:highlight w:val="none"/>
                    </w:rPr>
                    <w:t>含VOCs物料全部密闭储存、密闭输送，禁止敞口和露天堆放；产生VOCs的生产和服务活动应在密闭空间或设备中进行，确需开放的须采取有效减废措施；</w:t>
                  </w:r>
                </w:p>
                <w:p w14:paraId="7CBF9E4E">
                  <w:pPr>
                    <w:numPr>
                      <w:ilvl w:val="0"/>
                      <w:numId w:val="0"/>
                    </w:numPr>
                    <w:spacing w:line="240" w:lineRule="auto"/>
                    <w:jc w:val="center"/>
                    <w:rPr>
                      <w:rFonts w:hint="eastAsia" w:ascii="Times New Roman" w:hAnsi="Times New Roman"/>
                      <w:color w:val="auto"/>
                      <w:kern w:val="2"/>
                      <w:sz w:val="18"/>
                      <w:szCs w:val="18"/>
                      <w:highlight w:val="none"/>
                    </w:rPr>
                  </w:pPr>
                  <w:r>
                    <w:rPr>
                      <w:rFonts w:hint="eastAsia" w:ascii="Times New Roman" w:hAnsi="Times New Roman" w:eastAsia="宋体" w:cs="Times New Roman"/>
                      <w:color w:val="auto"/>
                      <w:kern w:val="2"/>
                      <w:sz w:val="18"/>
                      <w:szCs w:val="18"/>
                      <w:highlight w:val="none"/>
                    </w:rPr>
                    <w:t xml:space="preserve">废气收集遵循"应收尽收、分质收集"，局部集气罩控制风速≥0.3 m/s，总收集效率≥90% </w:t>
                  </w:r>
                </w:p>
              </w:tc>
              <w:tc>
                <w:tcPr>
                  <w:tcW w:w="1257" w:type="pct"/>
                  <w:tcBorders>
                    <w:tl2br w:val="nil"/>
                    <w:tr2bl w:val="nil"/>
                  </w:tcBorders>
                  <w:noWrap w:val="0"/>
                  <w:vAlign w:val="center"/>
                </w:tcPr>
                <w:p w14:paraId="4690F9A9">
                  <w:pPr>
                    <w:numPr>
                      <w:ilvl w:val="0"/>
                      <w:numId w:val="0"/>
                    </w:numPr>
                    <w:spacing w:line="240" w:lineRule="auto"/>
                    <w:jc w:val="left"/>
                    <w:rPr>
                      <w:rFonts w:hint="default" w:ascii="Times New Roman" w:hAnsi="Times New Roman" w:eastAsia="宋体" w:cs="Times New Roman"/>
                      <w:color w:val="auto"/>
                      <w:kern w:val="2"/>
                      <w:sz w:val="18"/>
                      <w:szCs w:val="18"/>
                      <w:highlight w:val="none"/>
                      <w:lang w:val="en-US" w:eastAsia="zh-CN"/>
                    </w:rPr>
                  </w:pPr>
                  <w:r>
                    <w:rPr>
                      <w:rFonts w:hint="eastAsia" w:ascii="Times New Roman" w:hAnsi="Times New Roman" w:eastAsia="宋体" w:cs="Times New Roman"/>
                      <w:color w:val="auto"/>
                      <w:kern w:val="2"/>
                      <w:sz w:val="18"/>
                      <w:szCs w:val="18"/>
                      <w:highlight w:val="none"/>
                      <w:lang w:val="en-US" w:eastAsia="zh-CN"/>
                    </w:rPr>
                    <w:t>本项目涂料和清洗剂均</w:t>
                  </w:r>
                  <w:r>
                    <w:rPr>
                      <w:rFonts w:hint="default" w:ascii="Times New Roman" w:hAnsi="Times New Roman" w:eastAsia="宋体" w:cs="Times New Roman"/>
                      <w:color w:val="auto"/>
                      <w:kern w:val="0"/>
                      <w:sz w:val="18"/>
                      <w:szCs w:val="18"/>
                      <w:highlight w:val="none"/>
                    </w:rPr>
                    <w:t>储存在密闭包装桶中，</w:t>
                  </w:r>
                  <w:r>
                    <w:rPr>
                      <w:rFonts w:hint="eastAsia" w:ascii="Times New Roman" w:hAnsi="Times New Roman" w:eastAsia="宋体" w:cs="Times New Roman"/>
                      <w:color w:val="auto"/>
                      <w:kern w:val="0"/>
                      <w:sz w:val="18"/>
                      <w:szCs w:val="18"/>
                      <w:highlight w:val="none"/>
                      <w:lang w:val="en-US" w:eastAsia="zh-CN"/>
                    </w:rPr>
                    <w:t>涂装</w:t>
                  </w:r>
                  <w:r>
                    <w:rPr>
                      <w:rFonts w:hint="default" w:ascii="Times New Roman" w:hAnsi="Times New Roman" w:eastAsia="宋体" w:cs="Times New Roman"/>
                      <w:color w:val="auto"/>
                      <w:kern w:val="0"/>
                      <w:sz w:val="18"/>
                      <w:szCs w:val="18"/>
                      <w:highlight w:val="none"/>
                    </w:rPr>
                    <w:t>工序在密闭的</w:t>
                  </w:r>
                  <w:r>
                    <w:rPr>
                      <w:rFonts w:hint="eastAsia" w:ascii="Times New Roman" w:hAnsi="Times New Roman" w:eastAsia="宋体" w:cs="Times New Roman"/>
                      <w:color w:val="auto"/>
                      <w:kern w:val="0"/>
                      <w:sz w:val="18"/>
                      <w:szCs w:val="18"/>
                      <w:highlight w:val="none"/>
                      <w:lang w:val="en-US" w:eastAsia="zh-CN"/>
                    </w:rPr>
                    <w:t>涂装车间内</w:t>
                  </w:r>
                  <w:r>
                    <w:rPr>
                      <w:rFonts w:hint="default" w:ascii="Times New Roman" w:hAnsi="Times New Roman" w:eastAsia="宋体" w:cs="Times New Roman"/>
                      <w:color w:val="auto"/>
                      <w:kern w:val="0"/>
                      <w:sz w:val="18"/>
                      <w:szCs w:val="18"/>
                      <w:highlight w:val="none"/>
                    </w:rPr>
                    <w:t>进行，</w:t>
                  </w:r>
                  <w:r>
                    <w:rPr>
                      <w:rFonts w:hint="eastAsia" w:ascii="Times New Roman" w:hAnsi="Times New Roman" w:eastAsia="宋体" w:cs="Times New Roman"/>
                      <w:color w:val="auto"/>
                      <w:kern w:val="0"/>
                      <w:sz w:val="18"/>
                      <w:szCs w:val="18"/>
                      <w:highlight w:val="none"/>
                      <w:lang w:val="en-US" w:eastAsia="zh-CN"/>
                    </w:rPr>
                    <w:t>涂装车间</w:t>
                  </w:r>
                  <w:r>
                    <w:rPr>
                      <w:rFonts w:hint="default" w:ascii="Times New Roman" w:hAnsi="Times New Roman" w:eastAsia="宋体" w:cs="Times New Roman"/>
                      <w:color w:val="auto"/>
                      <w:kern w:val="0"/>
                      <w:sz w:val="18"/>
                      <w:szCs w:val="18"/>
                      <w:highlight w:val="none"/>
                    </w:rPr>
                    <w:t>设置了负压废气收集系统</w:t>
                  </w:r>
                  <w:r>
                    <w:rPr>
                      <w:rFonts w:hint="eastAsia" w:ascii="Times New Roman" w:hAnsi="Times New Roman" w:eastAsia="宋体" w:cs="Times New Roman"/>
                      <w:color w:val="auto"/>
                      <w:kern w:val="0"/>
                      <w:sz w:val="18"/>
                      <w:szCs w:val="18"/>
                      <w:highlight w:val="none"/>
                      <w:lang w:val="en-US" w:eastAsia="zh-CN"/>
                    </w:rPr>
                    <w:t>。</w:t>
                  </w:r>
                </w:p>
              </w:tc>
              <w:tc>
                <w:tcPr>
                  <w:tcW w:w="548" w:type="pct"/>
                  <w:tcBorders>
                    <w:tl2br w:val="nil"/>
                    <w:tr2bl w:val="nil"/>
                  </w:tcBorders>
                  <w:noWrap w:val="0"/>
                  <w:vAlign w:val="center"/>
                </w:tcPr>
                <w:p w14:paraId="5EA2D5CF">
                  <w:pPr>
                    <w:widowControl/>
                    <w:jc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lang w:val="en-US" w:eastAsia="zh-CN"/>
                    </w:rPr>
                    <w:t>符合</w:t>
                  </w:r>
                </w:p>
              </w:tc>
            </w:tr>
            <w:tr w14:paraId="65A161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8" w:type="pct"/>
                  <w:tcBorders>
                    <w:tl2br w:val="nil"/>
                    <w:tr2bl w:val="nil"/>
                  </w:tcBorders>
                  <w:noWrap w:val="0"/>
                  <w:vAlign w:val="center"/>
                </w:tcPr>
                <w:p w14:paraId="2058FA0E">
                  <w:pPr>
                    <w:widowControl/>
                    <w:jc w:val="center"/>
                    <w:rPr>
                      <w:rFonts w:hint="default" w:cs="Times New Roman"/>
                      <w:b w:val="0"/>
                      <w:bCs w:val="0"/>
                      <w:color w:val="auto"/>
                      <w:kern w:val="0"/>
                      <w:sz w:val="18"/>
                      <w:szCs w:val="18"/>
                      <w:highlight w:val="none"/>
                      <w:lang w:val="en-US" w:eastAsia="zh-CN"/>
                    </w:rPr>
                  </w:pPr>
                  <w:r>
                    <w:rPr>
                      <w:rFonts w:hint="eastAsia" w:cs="Times New Roman"/>
                      <w:b w:val="0"/>
                      <w:bCs w:val="0"/>
                      <w:color w:val="auto"/>
                      <w:kern w:val="0"/>
                      <w:sz w:val="18"/>
                      <w:szCs w:val="18"/>
                      <w:highlight w:val="none"/>
                      <w:lang w:val="en-US" w:eastAsia="zh-CN"/>
                    </w:rPr>
                    <w:t>3</w:t>
                  </w:r>
                </w:p>
              </w:tc>
              <w:tc>
                <w:tcPr>
                  <w:tcW w:w="2755" w:type="pct"/>
                  <w:tcBorders>
                    <w:tl2br w:val="nil"/>
                    <w:tr2bl w:val="nil"/>
                  </w:tcBorders>
                  <w:noWrap w:val="0"/>
                  <w:vAlign w:val="center"/>
                </w:tcPr>
                <w:p w14:paraId="2DD69590">
                  <w:pPr>
                    <w:numPr>
                      <w:ilvl w:val="0"/>
                      <w:numId w:val="0"/>
                    </w:numPr>
                    <w:spacing w:line="240" w:lineRule="auto"/>
                    <w:jc w:val="center"/>
                    <w:rPr>
                      <w:rFonts w:hint="eastAsia" w:ascii="Times New Roman" w:hAnsi="Times New Roman" w:eastAsia="宋体"/>
                      <w:color w:val="auto"/>
                      <w:kern w:val="2"/>
                      <w:sz w:val="18"/>
                      <w:szCs w:val="18"/>
                      <w:highlight w:val="none"/>
                      <w:lang w:eastAsia="zh-CN"/>
                    </w:rPr>
                  </w:pPr>
                  <w:r>
                    <w:rPr>
                      <w:rFonts w:hint="eastAsia" w:ascii="Times New Roman" w:hAnsi="Times New Roman"/>
                      <w:color w:val="auto"/>
                      <w:kern w:val="2"/>
                      <w:sz w:val="18"/>
                      <w:szCs w:val="18"/>
                      <w:highlight w:val="none"/>
                    </w:rPr>
                    <w:t>单个排气筒VOCs（以非甲烷总烃计）初始排放速率≥1 kg/h的，处理效率原则上不低于90%；非水溶性VOCs废气禁止采用单一水（水溶液）喷淋；除恶臭治理外，不得新建低温等离子、光催化、光氧化、生物法等低效处理设施；活性炭吸附工艺须明确装填量、更换周期，建立台账，废活性炭按危险废物管理</w:t>
                  </w:r>
                  <w:r>
                    <w:rPr>
                      <w:rFonts w:hint="eastAsia" w:ascii="Times New Roman" w:hAnsi="Times New Roman"/>
                      <w:color w:val="auto"/>
                      <w:kern w:val="2"/>
                      <w:sz w:val="18"/>
                      <w:szCs w:val="18"/>
                      <w:highlight w:val="none"/>
                      <w:lang w:eastAsia="zh-CN"/>
                    </w:rPr>
                    <w:t>。</w:t>
                  </w:r>
                </w:p>
              </w:tc>
              <w:tc>
                <w:tcPr>
                  <w:tcW w:w="1257" w:type="pct"/>
                  <w:tcBorders>
                    <w:tl2br w:val="nil"/>
                    <w:tr2bl w:val="nil"/>
                  </w:tcBorders>
                  <w:noWrap w:val="0"/>
                  <w:vAlign w:val="center"/>
                </w:tcPr>
                <w:p w14:paraId="4EB9F0EC">
                  <w:pPr>
                    <w:numPr>
                      <w:ilvl w:val="0"/>
                      <w:numId w:val="0"/>
                    </w:numPr>
                    <w:spacing w:line="240" w:lineRule="auto"/>
                    <w:jc w:val="left"/>
                    <w:rPr>
                      <w:rFonts w:hint="eastAsia" w:ascii="Times New Roman" w:hAnsi="Times New Roman" w:eastAsia="宋体" w:cs="Times New Roman"/>
                      <w:color w:val="auto"/>
                      <w:kern w:val="2"/>
                      <w:sz w:val="18"/>
                      <w:szCs w:val="18"/>
                      <w:highlight w:val="none"/>
                      <w:lang w:val="en-US" w:eastAsia="zh-CN"/>
                    </w:rPr>
                  </w:pPr>
                  <w:r>
                    <w:rPr>
                      <w:rFonts w:hint="default" w:ascii="Times New Roman" w:hAnsi="Times New Roman" w:eastAsia="宋体" w:cs="Times New Roman"/>
                      <w:color w:val="auto"/>
                      <w:kern w:val="0"/>
                      <w:sz w:val="18"/>
                      <w:szCs w:val="18"/>
                      <w:highlight w:val="none"/>
                    </w:rPr>
                    <w:t>本项目</w:t>
                  </w:r>
                  <w:r>
                    <w:rPr>
                      <w:rFonts w:hint="eastAsia" w:ascii="Times New Roman" w:hAnsi="Times New Roman" w:eastAsia="宋体" w:cs="Times New Roman"/>
                      <w:color w:val="auto"/>
                      <w:kern w:val="0"/>
                      <w:sz w:val="18"/>
                      <w:szCs w:val="18"/>
                      <w:highlight w:val="none"/>
                      <w:lang w:val="en-US" w:eastAsia="zh-CN"/>
                    </w:rPr>
                    <w:t>涂装</w:t>
                  </w:r>
                  <w:r>
                    <w:rPr>
                      <w:rFonts w:hint="default" w:ascii="Times New Roman" w:hAnsi="Times New Roman" w:eastAsia="宋体" w:cs="Times New Roman"/>
                      <w:color w:val="auto"/>
                      <w:kern w:val="0"/>
                      <w:sz w:val="18"/>
                      <w:szCs w:val="18"/>
                      <w:highlight w:val="none"/>
                    </w:rPr>
                    <w:t>产生的有机废气采用</w:t>
                  </w:r>
                  <w:r>
                    <w:rPr>
                      <w:rFonts w:hint="eastAsia" w:ascii="宋体" w:hAnsi="宋体" w:eastAsia="宋体" w:cs="宋体"/>
                      <w:color w:val="auto"/>
                      <w:kern w:val="0"/>
                      <w:sz w:val="18"/>
                      <w:szCs w:val="18"/>
                      <w:highlight w:val="none"/>
                    </w:rPr>
                    <w:t>“</w:t>
                  </w:r>
                  <w:r>
                    <w:rPr>
                      <w:rFonts w:hint="eastAsia" w:ascii="宋体" w:hAnsi="宋体" w:eastAsia="宋体" w:cs="宋体"/>
                      <w:color w:val="auto"/>
                      <w:kern w:val="0"/>
                      <w:sz w:val="18"/>
                      <w:szCs w:val="18"/>
                      <w:highlight w:val="none"/>
                      <w:lang w:val="en-US" w:eastAsia="zh-CN"/>
                    </w:rPr>
                    <w:t>二级</w:t>
                  </w:r>
                  <w:r>
                    <w:rPr>
                      <w:rFonts w:hint="eastAsia" w:ascii="Times New Roman" w:hAnsi="Times New Roman" w:eastAsia="宋体" w:cs="Times New Roman"/>
                      <w:color w:val="auto"/>
                      <w:kern w:val="0"/>
                      <w:sz w:val="18"/>
                      <w:szCs w:val="18"/>
                      <w:highlight w:val="none"/>
                      <w:lang w:val="en-US" w:eastAsia="zh-CN"/>
                    </w:rPr>
                    <w:t>活性炭吸附装置</w:t>
                  </w:r>
                  <w:r>
                    <w:rPr>
                      <w:rFonts w:hint="eastAsia" w:ascii="宋体" w:hAnsi="宋体" w:eastAsia="宋体" w:cs="宋体"/>
                      <w:color w:val="auto"/>
                      <w:kern w:val="0"/>
                      <w:sz w:val="18"/>
                      <w:szCs w:val="18"/>
                      <w:highlight w:val="none"/>
                    </w:rPr>
                    <w:t>”处理方式，</w:t>
                  </w:r>
                  <w:r>
                    <w:rPr>
                      <w:rFonts w:hint="default" w:ascii="Times New Roman" w:hAnsi="Times New Roman" w:eastAsia="宋体" w:cs="Times New Roman"/>
                      <w:color w:val="auto"/>
                      <w:kern w:val="0"/>
                      <w:sz w:val="18"/>
                      <w:szCs w:val="18"/>
                      <w:highlight w:val="none"/>
                    </w:rPr>
                    <w:t>配备</w:t>
                  </w:r>
                  <w:r>
                    <w:rPr>
                      <w:rFonts w:hint="eastAsia" w:ascii="Times New Roman" w:hAnsi="Times New Roman" w:eastAsia="宋体" w:cs="Times New Roman"/>
                      <w:color w:val="auto"/>
                      <w:kern w:val="0"/>
                      <w:sz w:val="18"/>
                      <w:szCs w:val="18"/>
                      <w:highlight w:val="none"/>
                      <w:lang w:val="en-US" w:eastAsia="zh-CN"/>
                    </w:rPr>
                    <w:t>的</w:t>
                  </w:r>
                  <w:r>
                    <w:rPr>
                      <w:rFonts w:hint="eastAsia" w:ascii="Times New Roman" w:hAnsi="Times New Roman" w:eastAsia="宋体" w:cs="Times New Roman"/>
                      <w:color w:val="auto"/>
                      <w:kern w:val="0"/>
                      <w:sz w:val="18"/>
                      <w:szCs w:val="18"/>
                      <w:highlight w:val="none"/>
                      <w:lang w:eastAsia="zh-CN"/>
                    </w:rPr>
                    <w:t>“</w:t>
                  </w:r>
                  <w:r>
                    <w:rPr>
                      <w:rFonts w:hint="eastAsia" w:ascii="Times New Roman" w:hAnsi="Times New Roman" w:eastAsia="宋体" w:cs="Times New Roman"/>
                      <w:color w:val="auto"/>
                      <w:kern w:val="0"/>
                      <w:sz w:val="18"/>
                      <w:szCs w:val="18"/>
                      <w:highlight w:val="none"/>
                      <w:lang w:val="en-US" w:eastAsia="zh-CN"/>
                    </w:rPr>
                    <w:t>二级活性炭吸附装置</w:t>
                  </w:r>
                  <w:r>
                    <w:rPr>
                      <w:rFonts w:hint="eastAsia" w:ascii="Times New Roman" w:hAnsi="Times New Roman" w:eastAsia="宋体" w:cs="Times New Roman"/>
                      <w:color w:val="auto"/>
                      <w:kern w:val="0"/>
                      <w:sz w:val="18"/>
                      <w:szCs w:val="18"/>
                      <w:highlight w:val="none"/>
                    </w:rPr>
                    <w:t>”</w:t>
                  </w:r>
                  <w:r>
                    <w:rPr>
                      <w:rFonts w:hint="eastAsia" w:ascii="Times New Roman" w:hAnsi="Times New Roman" w:eastAsia="宋体" w:cs="Times New Roman"/>
                      <w:color w:val="auto"/>
                      <w:kern w:val="0"/>
                      <w:sz w:val="18"/>
                      <w:szCs w:val="18"/>
                      <w:highlight w:val="none"/>
                      <w:lang w:val="en-US" w:eastAsia="zh-CN"/>
                    </w:rPr>
                    <w:t>有机废气去除率可达90%，</w:t>
                  </w:r>
                  <w:r>
                    <w:rPr>
                      <w:rFonts w:hint="eastAsia" w:ascii="宋体" w:hAnsi="宋体" w:eastAsia="宋体" w:cs="宋体"/>
                      <w:color w:val="auto"/>
                      <w:kern w:val="0"/>
                      <w:sz w:val="18"/>
                      <w:szCs w:val="18"/>
                      <w:highlight w:val="none"/>
                    </w:rPr>
                    <w:t>废活性炭委托有资质单位处理</w:t>
                  </w:r>
                  <w:r>
                    <w:rPr>
                      <w:rFonts w:hint="eastAsia" w:ascii="宋体" w:hAnsi="宋体" w:eastAsia="宋体" w:cs="宋体"/>
                      <w:color w:val="auto"/>
                      <w:kern w:val="0"/>
                      <w:sz w:val="18"/>
                      <w:szCs w:val="18"/>
                      <w:highlight w:val="none"/>
                      <w:lang w:eastAsia="zh-CN"/>
                    </w:rPr>
                    <w:t>。</w:t>
                  </w:r>
                </w:p>
              </w:tc>
              <w:tc>
                <w:tcPr>
                  <w:tcW w:w="548" w:type="pct"/>
                  <w:tcBorders>
                    <w:tl2br w:val="nil"/>
                    <w:tr2bl w:val="nil"/>
                  </w:tcBorders>
                  <w:noWrap w:val="0"/>
                  <w:vAlign w:val="center"/>
                </w:tcPr>
                <w:p w14:paraId="6AC4E662">
                  <w:pPr>
                    <w:widowControl/>
                    <w:jc w:val="center"/>
                    <w:rPr>
                      <w:rFonts w:hint="default"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eastAsia="宋体" w:cs="Times New Roman"/>
                      <w:b w:val="0"/>
                      <w:bCs w:val="0"/>
                      <w:color w:val="auto"/>
                      <w:kern w:val="0"/>
                      <w:sz w:val="18"/>
                      <w:szCs w:val="18"/>
                      <w:highlight w:val="none"/>
                      <w:lang w:val="en-US" w:eastAsia="zh-CN"/>
                    </w:rPr>
                    <w:t>符合</w:t>
                  </w:r>
                </w:p>
              </w:tc>
            </w:tr>
          </w:tbl>
          <w:p w14:paraId="0B065EA2">
            <w:pPr>
              <w:adjustRightInd w:val="0"/>
              <w:snapToGrid w:val="0"/>
              <w:spacing w:line="360" w:lineRule="auto"/>
              <w:ind w:firstLine="420" w:firstLineChars="200"/>
              <w:rPr>
                <w:rFonts w:hint="default" w:ascii="Times New Roman" w:hAnsi="Times New Roman" w:eastAsia="宋体" w:cs="Times New Roman"/>
                <w:bCs/>
                <w:color w:val="auto"/>
                <w:szCs w:val="21"/>
                <w:lang w:eastAsia="zh-CN"/>
              </w:rPr>
            </w:pPr>
          </w:p>
        </w:tc>
      </w:tr>
    </w:tbl>
    <w:p w14:paraId="1FE1136D">
      <w:pPr>
        <w:spacing w:line="360" w:lineRule="auto"/>
        <w:outlineLvl w:val="0"/>
        <w:rPr>
          <w:rFonts w:eastAsia="黑体"/>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5D611939">
      <w:pPr>
        <w:pStyle w:val="2"/>
        <w:bidi w:val="0"/>
        <w:rPr>
          <w:color w:val="auto"/>
        </w:rPr>
      </w:pPr>
      <w:bookmarkStart w:id="4" w:name="_Toc21434"/>
      <w:r>
        <w:rPr>
          <w:rFonts w:hint="eastAsia"/>
          <w:color w:val="auto"/>
        </w:rPr>
        <w:t>二、建设项目工程分析</w:t>
      </w:r>
      <w:bookmarkEnd w:id="4"/>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7"/>
        <w:gridCol w:w="8377"/>
      </w:tblGrid>
      <w:tr w14:paraId="1FEED1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07" w:type="dxa"/>
            <w:noWrap w:val="0"/>
            <w:vAlign w:val="center"/>
          </w:tcPr>
          <w:p w14:paraId="6AC1AAA7">
            <w:pPr>
              <w:pStyle w:val="18"/>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建设内容</w:t>
            </w:r>
          </w:p>
        </w:tc>
        <w:tc>
          <w:tcPr>
            <w:tcW w:w="8377" w:type="dxa"/>
            <w:noWrap w:val="0"/>
            <w:vAlign w:val="top"/>
          </w:tcPr>
          <w:p w14:paraId="69940C24">
            <w:pPr>
              <w:pStyle w:val="3"/>
              <w:bidi w:val="0"/>
              <w:rPr>
                <w:rFonts w:hint="default" w:ascii="Times New Roman" w:hAnsi="Times New Roman" w:cs="Times New Roman"/>
                <w:color w:val="auto"/>
              </w:rPr>
            </w:pPr>
            <w:r>
              <w:rPr>
                <w:rFonts w:hint="default" w:ascii="Times New Roman" w:hAnsi="Times New Roman" w:cs="Times New Roman"/>
                <w:color w:val="auto"/>
                <w:lang w:eastAsia="zh-CN"/>
              </w:rPr>
              <w:t>（一）</w:t>
            </w:r>
            <w:r>
              <w:rPr>
                <w:rFonts w:hint="default" w:ascii="Times New Roman" w:hAnsi="Times New Roman" w:cs="Times New Roman"/>
                <w:color w:val="auto"/>
              </w:rPr>
              <w:t>项目由来</w:t>
            </w:r>
          </w:p>
          <w:p w14:paraId="53437EB3">
            <w:pPr>
              <w:keepNext w:val="0"/>
              <w:keepLines w:val="0"/>
              <w:pageBreakBefore w:val="0"/>
              <w:widowControl/>
              <w:suppressLineNumbers w:val="0"/>
              <w:kinsoku/>
              <w:wordWrap/>
              <w:overflowPunct/>
              <w:topLinePunct w:val="0"/>
              <w:autoSpaceDE/>
              <w:autoSpaceDN/>
              <w:bidi w:val="0"/>
              <w:adjustRightInd/>
              <w:spacing w:line="360" w:lineRule="auto"/>
              <w:ind w:right="0" w:firstLine="420" w:firstLineChars="200"/>
              <w:jc w:val="left"/>
              <w:textAlignment w:val="auto"/>
              <w:rPr>
                <w:rFonts w:hint="default" w:ascii="Times New Roman" w:hAnsi="Times New Roman" w:cs="Times New Roman"/>
                <w:color w:val="auto"/>
                <w:u w:val="none"/>
                <w:lang w:val="en-US" w:eastAsia="zh-CN"/>
              </w:rPr>
            </w:pPr>
            <w:r>
              <w:rPr>
                <w:rFonts w:hint="default" w:ascii="Times New Roman" w:hAnsi="Times New Roman" w:eastAsia="宋体" w:cs="Times New Roman"/>
                <w:color w:val="auto"/>
                <w:sz w:val="21"/>
                <w:szCs w:val="21"/>
                <w:lang w:val="en-US" w:eastAsia="zh-CN"/>
              </w:rPr>
              <w:t>南通冠东模塑股份有限公司原名南通市冠东车灯有限公司</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于2003年由</w:t>
            </w:r>
            <w:r>
              <w:rPr>
                <w:rFonts w:hint="eastAsia" w:cs="Times New Roman"/>
                <w:color w:val="auto"/>
                <w:sz w:val="21"/>
                <w:szCs w:val="21"/>
                <w:lang w:val="en-US" w:eastAsia="zh-CN"/>
              </w:rPr>
              <w:t>郑</w:t>
            </w:r>
            <w:r>
              <w:rPr>
                <w:rFonts w:hint="default" w:ascii="Times New Roman" w:hAnsi="Times New Roman" w:eastAsia="宋体" w:cs="Times New Roman"/>
                <w:color w:val="auto"/>
                <w:sz w:val="21"/>
                <w:szCs w:val="21"/>
                <w:lang w:val="en-US" w:eastAsia="zh-CN"/>
              </w:rPr>
              <w:t>新平投资兴办，主要以生产汽车零部件为主，产品主要用于上海通用、上海大众、长安福特、丰田等著名汽车品牌的轿车。</w:t>
            </w:r>
            <w:r>
              <w:rPr>
                <w:rFonts w:hint="default" w:ascii="Times New Roman" w:hAnsi="Times New Roman" w:eastAsia="宋体" w:cs="Times New Roman"/>
                <w:color w:val="auto"/>
                <w:sz w:val="21"/>
                <w:szCs w:val="21"/>
                <w:lang w:val="en-US" w:eastAsia="zh-CN"/>
              </w:rPr>
              <w:t>车灯喷涂线是汽车零部件制造，特别是车灯生产中的关键工艺环节。车灯作为汽车的关键外观件与安全件，其涂层质量直接影响产品的耐用性、美观度及整体性能，专业的喷涂线能够通过一系列精细工序确保涂层质量‌。</w:t>
            </w:r>
            <w:r>
              <w:rPr>
                <w:rFonts w:hint="eastAsia" w:cs="Times New Roman"/>
                <w:color w:val="auto"/>
                <w:sz w:val="21"/>
                <w:szCs w:val="21"/>
                <w:lang w:val="en-US" w:eastAsia="zh-CN"/>
              </w:rPr>
              <w:t>现有项目车灯喷涂为外协，但外协喷涂成本较高，且质量难以满足外售要求，</w:t>
            </w:r>
            <w:r>
              <w:rPr>
                <w:rFonts w:hint="default" w:ascii="Times New Roman" w:hAnsi="Times New Roman" w:eastAsia="宋体" w:cs="Times New Roman"/>
                <w:color w:val="auto"/>
                <w:sz w:val="21"/>
                <w:szCs w:val="21"/>
                <w:lang w:val="en-US" w:eastAsia="zh-CN"/>
              </w:rPr>
              <w:t>为增强防护性能，确保外观品质，提高产品竞争力</w:t>
            </w:r>
            <w:r>
              <w:rPr>
                <w:rFonts w:hint="eastAsia" w:cs="Times New Roman"/>
                <w:color w:val="auto"/>
                <w:sz w:val="21"/>
                <w:szCs w:val="21"/>
                <w:lang w:val="en-US" w:eastAsia="zh-CN"/>
              </w:rPr>
              <w:t>，降低成本，故将外协喷涂改为自主喷涂</w:t>
            </w:r>
            <w:r>
              <w:rPr>
                <w:rFonts w:hint="eastAsia" w:ascii="Times New Roman" w:hAnsi="Times New Roman" w:eastAsia="宋体" w:cs="Times New Roman"/>
                <w:color w:val="auto"/>
                <w:sz w:val="21"/>
                <w:szCs w:val="21"/>
                <w:lang w:val="en-US" w:eastAsia="zh-CN"/>
              </w:rPr>
              <w:t>，</w:t>
            </w:r>
            <w:r>
              <w:rPr>
                <w:rFonts w:hint="eastAsia" w:cs="Times New Roman"/>
                <w:color w:val="auto"/>
                <w:u w:val="none"/>
                <w:lang w:val="en-US" w:eastAsia="zh-CN"/>
              </w:rPr>
              <w:t>现拟投资1500万元，利用原有厂房，在原有生产线上增加HC涂装生产线和防雾涂装生产线，本项目不新增产能</w:t>
            </w:r>
            <w:r>
              <w:rPr>
                <w:rFonts w:hint="default" w:ascii="Times New Roman" w:hAnsi="Times New Roman" w:cs="Times New Roman"/>
                <w:color w:val="auto"/>
                <w:u w:val="none"/>
                <w:lang w:val="en-US" w:eastAsia="zh-CN"/>
              </w:rPr>
              <w:t>。</w:t>
            </w:r>
          </w:p>
          <w:p w14:paraId="385864D6">
            <w:pPr>
              <w:keepNext w:val="0"/>
              <w:keepLines w:val="0"/>
              <w:pageBreakBefore w:val="0"/>
              <w:widowControl/>
              <w:suppressLineNumbers w:val="0"/>
              <w:kinsoku/>
              <w:wordWrap/>
              <w:overflowPunct/>
              <w:topLinePunct w:val="0"/>
              <w:autoSpaceDE/>
              <w:autoSpaceDN/>
              <w:bidi w:val="0"/>
              <w:adjustRightInd/>
              <w:spacing w:line="360" w:lineRule="auto"/>
              <w:ind w:right="0" w:firstLine="420" w:firstLineChars="200"/>
              <w:jc w:val="left"/>
              <w:textAlignment w:val="auto"/>
              <w:rPr>
                <w:rFonts w:hint="eastAsia" w:cs="Times New Roman"/>
                <w:b w:val="0"/>
                <w:bCs w:val="0"/>
                <w:color w:val="auto"/>
                <w:sz w:val="21"/>
                <w:szCs w:val="21"/>
                <w:u w:val="single"/>
                <w:lang w:val="en-US" w:eastAsia="zh-CN"/>
              </w:rPr>
            </w:pPr>
            <w:r>
              <w:rPr>
                <w:rFonts w:hint="eastAsia" w:cs="Times New Roman"/>
                <w:b w:val="0"/>
                <w:bCs w:val="0"/>
                <w:color w:val="auto"/>
                <w:sz w:val="21"/>
                <w:szCs w:val="21"/>
                <w:u w:val="none"/>
                <w:lang w:val="en-US" w:eastAsia="zh-CN"/>
              </w:rPr>
              <w:t>建设单位于2016年4月22日取得海门市行政审批局《南通冠东模塑股份有限公司年产模具500付、塑料件3000万台/套项目环境影响评价报告表》的批复（海审批表复[2016]43号），并于2017年4月12日经海门市环境环保局通过验收（海环验函[2017]21号）；于2019年2月28日取得海门市行政审批局《南通冠东模塑股份有限公司年产40万套布胶装配生产项目环境影响报告表》的批复（海审批复表[2019]39号），2019年7月11日完成自主验收；于2020年7月9日取得海门市行政审批局《南通冠东模塑股份有限公司真空镀铝塑料件和油墨印刷塑料件生产线技改项目环境影响报告表》的批复（海审批表复[2020]88号），2020年10月3日完成自主验收；于2020年8月14日，取得南通市海门区行政审批局《南通冠东模塑股份有限公司年产 1800 吨熔喷布扩建项目环境影响评价报告表》的批复（海审批表复[2020]113号），该项目未进行建设；于2022年11月15日，取得排污许可证（</w:t>
            </w:r>
            <w:r>
              <w:rPr>
                <w:rFonts w:hint="eastAsia" w:cs="Times New Roman"/>
                <w:b w:val="0"/>
                <w:bCs w:val="0"/>
                <w:color w:val="auto"/>
                <w:sz w:val="21"/>
                <w:szCs w:val="21"/>
                <w:highlight w:val="none"/>
                <w:u w:val="none"/>
                <w:lang w:val="en-US" w:eastAsia="zh-CN"/>
              </w:rPr>
              <w:t>91320684754616469J001U</w:t>
            </w:r>
            <w:r>
              <w:rPr>
                <w:rFonts w:hint="eastAsia" w:cs="Times New Roman"/>
                <w:b w:val="0"/>
                <w:bCs w:val="0"/>
                <w:color w:val="auto"/>
                <w:sz w:val="21"/>
                <w:szCs w:val="21"/>
                <w:u w:val="none"/>
                <w:lang w:val="en-US" w:eastAsia="zh-CN"/>
              </w:rPr>
              <w:t>）。</w:t>
            </w:r>
          </w:p>
          <w:p w14:paraId="0E4B021B">
            <w:pPr>
              <w:bidi w:val="0"/>
              <w:spacing w:line="360" w:lineRule="auto"/>
              <w:ind w:firstLine="420" w:firstLineChars="200"/>
              <w:rPr>
                <w:rFonts w:hint="default"/>
                <w:color w:val="auto"/>
                <w:u w:val="none"/>
                <w:lang w:val="en-US" w:eastAsia="zh-CN"/>
              </w:rPr>
            </w:pPr>
            <w:r>
              <w:rPr>
                <w:rFonts w:hint="default"/>
                <w:color w:val="auto"/>
                <w:u w:val="none"/>
                <w:lang w:val="en-US" w:eastAsia="zh-CN"/>
              </w:rPr>
              <w:t>本项目</w:t>
            </w:r>
            <w:r>
              <w:rPr>
                <w:rFonts w:hint="eastAsia"/>
                <w:color w:val="auto"/>
                <w:u w:val="none"/>
                <w:lang w:val="en-US" w:eastAsia="zh-CN"/>
              </w:rPr>
              <w:t>不新增员工，</w:t>
            </w:r>
            <w:r>
              <w:rPr>
                <w:rFonts w:hint="eastAsia" w:cs="Times New Roman"/>
                <w:color w:val="auto"/>
                <w:spacing w:val="-4"/>
                <w:sz w:val="21"/>
                <w:u w:val="none"/>
                <w:lang w:val="en-US" w:eastAsia="zh-CN"/>
              </w:rPr>
              <w:t>工作制度按年工作264d，每天一班，每班8h，年工作2112h计</w:t>
            </w:r>
            <w:r>
              <w:rPr>
                <w:rFonts w:hint="default"/>
                <w:color w:val="auto"/>
                <w:u w:val="none"/>
                <w:lang w:val="en-US" w:eastAsia="zh-CN"/>
              </w:rPr>
              <w:t>。</w:t>
            </w:r>
          </w:p>
          <w:p w14:paraId="08C2F71F">
            <w:pPr>
              <w:bidi w:val="0"/>
              <w:spacing w:line="360" w:lineRule="auto"/>
              <w:ind w:firstLine="420" w:firstLineChars="200"/>
              <w:rPr>
                <w:rFonts w:hint="default"/>
                <w:color w:val="auto"/>
                <w:lang w:val="en-US" w:eastAsia="zh-CN"/>
              </w:rPr>
            </w:pPr>
            <w:r>
              <w:rPr>
                <w:rFonts w:hint="default"/>
                <w:color w:val="auto"/>
                <w:lang w:val="en-US" w:eastAsia="zh-CN"/>
              </w:rPr>
              <w:t>根据《建设项目环境影响评价分类管理名录》（2021版）的相关规定，该项目属于“</w:t>
            </w:r>
            <w:r>
              <w:rPr>
                <w:rFonts w:hint="default" w:ascii="Times New Roman" w:hAnsi="Times New Roman" w:eastAsia="宋体" w:cs="Times New Roman"/>
                <w:color w:val="auto"/>
                <w:szCs w:val="21"/>
                <w:lang w:val="en-US" w:eastAsia="zh-CN"/>
              </w:rPr>
              <w:t>三十三、汽车制造业 36-71、汽车零部件及配件制造 367 其他（年用非溶剂型低VOCs含量涂料10吨以下的除外）</w:t>
            </w:r>
            <w:r>
              <w:rPr>
                <w:rFonts w:hint="default"/>
                <w:color w:val="auto"/>
                <w:lang w:val="en-US" w:eastAsia="zh-CN"/>
              </w:rPr>
              <w:t>”，需编制环境影响报告表。受项目建设单位委托，我单位承担该项目环境影响评价工作，经过现场勘察及工程分析，依据《建设项目环境影响报告表编制技术指南（污染影响类）（试行）》的要求编制本项目的环境影响报告表。</w:t>
            </w:r>
          </w:p>
          <w:p w14:paraId="5B26C380">
            <w:pPr>
              <w:pStyle w:val="3"/>
              <w:bidi w:val="0"/>
              <w:spacing w:line="360" w:lineRule="auto"/>
              <w:rPr>
                <w:rFonts w:hint="default"/>
                <w:color w:val="auto"/>
                <w:lang w:val="en-US" w:eastAsia="zh-CN"/>
              </w:rPr>
            </w:pPr>
            <w:r>
              <w:rPr>
                <w:rFonts w:hint="default"/>
                <w:color w:val="auto"/>
                <w:lang w:val="en-US" w:eastAsia="zh-CN"/>
              </w:rPr>
              <w:t xml:space="preserve">（二）项目组成 </w:t>
            </w:r>
          </w:p>
          <w:p w14:paraId="5BDE051B">
            <w:pPr>
              <w:pStyle w:val="3"/>
              <w:tabs>
                <w:tab w:val="left" w:pos="4078"/>
              </w:tabs>
              <w:spacing w:before="82" w:line="360" w:lineRule="auto"/>
              <w:ind w:left="0" w:leftChars="0" w:firstLine="420" w:firstLineChars="200"/>
              <w:jc w:val="both"/>
              <w:rPr>
                <w:rFonts w:hint="default" w:ascii="Times New Roman" w:hAnsi="Times New Roman" w:cs="Times New Roman"/>
                <w:b w:val="0"/>
                <w:bCs w:val="0"/>
                <w:color w:val="auto"/>
                <w:lang w:eastAsia="zh-CN"/>
              </w:rPr>
            </w:pPr>
          </w:p>
          <w:p w14:paraId="50B28CB7">
            <w:pPr>
              <w:rPr>
                <w:rFonts w:hint="default"/>
                <w:color w:val="auto"/>
                <w:lang w:eastAsia="zh-CN"/>
              </w:rPr>
            </w:pPr>
          </w:p>
          <w:p w14:paraId="7FEDECD5">
            <w:pPr>
              <w:pStyle w:val="46"/>
              <w:spacing w:before="5" w:line="360" w:lineRule="auto"/>
              <w:ind w:right="-15" w:firstLine="420" w:firstLineChars="200"/>
              <w:jc w:val="both"/>
              <w:rPr>
                <w:rFonts w:ascii="宋体" w:hAnsi="宋体" w:cs="宋体"/>
                <w:bCs/>
                <w:color w:val="auto"/>
                <w:szCs w:val="21"/>
              </w:rPr>
            </w:pPr>
          </w:p>
        </w:tc>
      </w:tr>
    </w:tbl>
    <w:p w14:paraId="3074DDBC">
      <w:pPr>
        <w:pStyle w:val="18"/>
        <w:jc w:val="center"/>
        <w:rPr>
          <w:rFonts w:ascii="黑体" w:hAnsi="黑体" w:eastAsia="黑体"/>
          <w:snapToGrid w:val="0"/>
          <w:color w:val="auto"/>
          <w:sz w:val="36"/>
          <w:szCs w:val="36"/>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14650469">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color w:val="auto"/>
          <w:sz w:val="36"/>
        </w:rPr>
      </w:pPr>
      <w:r>
        <w:rPr>
          <w:rFonts w:hint="default" w:ascii="Times New Roman" w:hAnsi="Times New Roman" w:eastAsia="宋体" w:cs="Times New Roman"/>
          <w:b/>
          <w:bCs/>
          <w:color w:val="auto"/>
          <w:sz w:val="21"/>
          <w:szCs w:val="22"/>
          <w:lang w:val="en-US" w:eastAsia="zh-CN" w:bidi="zh-CN"/>
        </w:rPr>
        <w:t>表2-1 项目基本组成情况一览表</w:t>
      </w:r>
    </w:p>
    <w:tbl>
      <w:tblPr>
        <w:tblStyle w:val="21"/>
        <w:tblW w:w="1369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2"/>
        <w:gridCol w:w="637"/>
        <w:gridCol w:w="1402"/>
        <w:gridCol w:w="3035"/>
        <w:gridCol w:w="2940"/>
        <w:gridCol w:w="2570"/>
        <w:gridCol w:w="2400"/>
      </w:tblGrid>
      <w:tr w14:paraId="67872C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12" w:type="dxa"/>
            <w:vMerge w:val="restart"/>
            <w:tcBorders>
              <w:tl2br w:val="nil"/>
              <w:tr2bl w:val="nil"/>
            </w:tcBorders>
            <w:vAlign w:val="center"/>
          </w:tcPr>
          <w:p w14:paraId="129975BD">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类别</w:t>
            </w:r>
          </w:p>
        </w:tc>
        <w:tc>
          <w:tcPr>
            <w:tcW w:w="2039" w:type="dxa"/>
            <w:gridSpan w:val="2"/>
            <w:vMerge w:val="restart"/>
            <w:tcBorders>
              <w:tl2br w:val="nil"/>
              <w:tr2bl w:val="nil"/>
            </w:tcBorders>
            <w:vAlign w:val="center"/>
          </w:tcPr>
          <w:p w14:paraId="476F9C35">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工程名称</w:t>
            </w:r>
          </w:p>
        </w:tc>
        <w:tc>
          <w:tcPr>
            <w:tcW w:w="8545" w:type="dxa"/>
            <w:gridSpan w:val="3"/>
            <w:tcBorders>
              <w:tl2br w:val="nil"/>
              <w:tr2bl w:val="nil"/>
            </w:tcBorders>
            <w:vAlign w:val="center"/>
          </w:tcPr>
          <w:p w14:paraId="33153EF5">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建设内容及规模</w:t>
            </w:r>
          </w:p>
        </w:tc>
        <w:tc>
          <w:tcPr>
            <w:tcW w:w="2400" w:type="dxa"/>
            <w:vMerge w:val="restart"/>
            <w:tcBorders>
              <w:tl2br w:val="nil"/>
              <w:tr2bl w:val="nil"/>
            </w:tcBorders>
            <w:vAlign w:val="center"/>
          </w:tcPr>
          <w:p w14:paraId="76C31AA0">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cs="Times New Roman"/>
                <w:b/>
                <w:bCs/>
                <w:color w:val="auto"/>
                <w:sz w:val="18"/>
                <w:szCs w:val="18"/>
                <w:lang w:val="en-US" w:eastAsia="zh-CN"/>
              </w:rPr>
              <w:t>备注</w:t>
            </w:r>
          </w:p>
        </w:tc>
      </w:tr>
      <w:tr w14:paraId="085B3A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712" w:type="dxa"/>
            <w:vMerge w:val="continue"/>
            <w:tcBorders>
              <w:tl2br w:val="nil"/>
              <w:tr2bl w:val="nil"/>
            </w:tcBorders>
            <w:vAlign w:val="center"/>
          </w:tcPr>
          <w:p w14:paraId="64BB22D1">
            <w:pPr>
              <w:pStyle w:val="8"/>
              <w:keepNext w:val="0"/>
              <w:keepLines w:val="0"/>
              <w:pageBreakBefore w:val="0"/>
              <w:kinsoku/>
              <w:wordWrap/>
              <w:overflowPunct/>
              <w:topLinePunct w:val="0"/>
              <w:autoSpaceDE/>
              <w:autoSpaceDN/>
              <w:bidi w:val="0"/>
              <w:adjustRightInd/>
              <w:spacing w:before="0" w:after="0" w:line="240" w:lineRule="auto"/>
              <w:ind w:right="0" w:rightChars="0"/>
              <w:jc w:val="center"/>
              <w:textAlignment w:val="auto"/>
              <w:rPr>
                <w:color w:val="auto"/>
              </w:rPr>
            </w:pPr>
          </w:p>
        </w:tc>
        <w:tc>
          <w:tcPr>
            <w:tcW w:w="2039" w:type="dxa"/>
            <w:gridSpan w:val="2"/>
            <w:vMerge w:val="continue"/>
            <w:tcBorders>
              <w:tl2br w:val="nil"/>
              <w:tr2bl w:val="nil"/>
            </w:tcBorders>
            <w:vAlign w:val="center"/>
          </w:tcPr>
          <w:p w14:paraId="4D764162">
            <w:pPr>
              <w:pStyle w:val="8"/>
              <w:keepNext w:val="0"/>
              <w:keepLines w:val="0"/>
              <w:pageBreakBefore w:val="0"/>
              <w:kinsoku/>
              <w:wordWrap/>
              <w:overflowPunct/>
              <w:topLinePunct w:val="0"/>
              <w:autoSpaceDE/>
              <w:autoSpaceDN/>
              <w:bidi w:val="0"/>
              <w:adjustRightInd/>
              <w:spacing w:before="0" w:after="0" w:line="240" w:lineRule="auto"/>
              <w:ind w:right="0" w:rightChars="0"/>
              <w:jc w:val="center"/>
              <w:textAlignment w:val="auto"/>
              <w:rPr>
                <w:color w:val="auto"/>
              </w:rPr>
            </w:pPr>
          </w:p>
        </w:tc>
        <w:tc>
          <w:tcPr>
            <w:tcW w:w="3035" w:type="dxa"/>
            <w:tcBorders>
              <w:tl2br w:val="nil"/>
              <w:tr2bl w:val="nil"/>
            </w:tcBorders>
            <w:vAlign w:val="center"/>
          </w:tcPr>
          <w:p w14:paraId="76F46EAD">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b/>
                <w:bCs/>
                <w:color w:val="auto"/>
                <w:sz w:val="18"/>
                <w:szCs w:val="18"/>
                <w:lang w:val="en-US" w:eastAsia="zh-CN"/>
              </w:rPr>
            </w:pPr>
            <w:r>
              <w:rPr>
                <w:rFonts w:hint="eastAsia" w:cs="Times New Roman"/>
                <w:b/>
                <w:bCs/>
                <w:color w:val="auto"/>
                <w:sz w:val="18"/>
                <w:szCs w:val="18"/>
                <w:lang w:val="en-US" w:eastAsia="zh-CN"/>
              </w:rPr>
              <w:t>技改前全厂</w:t>
            </w:r>
          </w:p>
        </w:tc>
        <w:tc>
          <w:tcPr>
            <w:tcW w:w="2940" w:type="dxa"/>
            <w:tcBorders>
              <w:tl2br w:val="nil"/>
              <w:tr2bl w:val="nil"/>
            </w:tcBorders>
            <w:vAlign w:val="center"/>
          </w:tcPr>
          <w:p w14:paraId="3F4331E9">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b/>
                <w:bCs/>
                <w:color w:val="auto"/>
                <w:sz w:val="18"/>
                <w:szCs w:val="18"/>
                <w:lang w:val="en-US" w:eastAsia="zh-CN"/>
              </w:rPr>
            </w:pPr>
            <w:r>
              <w:rPr>
                <w:rFonts w:hint="eastAsia" w:cs="Times New Roman"/>
                <w:b/>
                <w:bCs/>
                <w:color w:val="auto"/>
                <w:sz w:val="18"/>
                <w:szCs w:val="18"/>
                <w:lang w:val="en-US" w:eastAsia="zh-CN"/>
              </w:rPr>
              <w:t>本次技改内容</w:t>
            </w:r>
          </w:p>
        </w:tc>
        <w:tc>
          <w:tcPr>
            <w:tcW w:w="2570" w:type="dxa"/>
            <w:tcBorders>
              <w:tl2br w:val="nil"/>
              <w:tr2bl w:val="nil"/>
            </w:tcBorders>
            <w:vAlign w:val="center"/>
          </w:tcPr>
          <w:p w14:paraId="67D7BB5F">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b/>
                <w:bCs/>
                <w:color w:val="auto"/>
                <w:sz w:val="18"/>
                <w:szCs w:val="18"/>
                <w:lang w:val="en-US" w:eastAsia="zh-CN"/>
              </w:rPr>
            </w:pPr>
            <w:r>
              <w:rPr>
                <w:rFonts w:hint="eastAsia" w:cs="Times New Roman"/>
                <w:b/>
                <w:bCs/>
                <w:color w:val="auto"/>
                <w:sz w:val="18"/>
                <w:szCs w:val="18"/>
                <w:lang w:val="en-US" w:eastAsia="zh-CN"/>
              </w:rPr>
              <w:t>技改后全厂</w:t>
            </w:r>
          </w:p>
        </w:tc>
        <w:tc>
          <w:tcPr>
            <w:tcW w:w="2400" w:type="dxa"/>
            <w:vMerge w:val="continue"/>
            <w:tcBorders>
              <w:tl2br w:val="nil"/>
              <w:tr2bl w:val="nil"/>
            </w:tcBorders>
            <w:vAlign w:val="center"/>
          </w:tcPr>
          <w:p w14:paraId="1405BE90">
            <w:pPr>
              <w:pStyle w:val="8"/>
              <w:keepNext w:val="0"/>
              <w:keepLines w:val="0"/>
              <w:pageBreakBefore w:val="0"/>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b/>
                <w:bCs/>
                <w:color w:val="auto"/>
                <w:sz w:val="18"/>
                <w:szCs w:val="18"/>
                <w:lang w:val="en-US" w:eastAsia="zh-CN"/>
              </w:rPr>
            </w:pPr>
          </w:p>
        </w:tc>
      </w:tr>
      <w:tr w14:paraId="7355F6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12" w:type="dxa"/>
            <w:vMerge w:val="restart"/>
            <w:tcBorders>
              <w:tl2br w:val="nil"/>
              <w:tr2bl w:val="nil"/>
            </w:tcBorders>
            <w:vAlign w:val="center"/>
          </w:tcPr>
          <w:p w14:paraId="02C2D871">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主体工程</w:t>
            </w:r>
          </w:p>
        </w:tc>
        <w:tc>
          <w:tcPr>
            <w:tcW w:w="2039" w:type="dxa"/>
            <w:gridSpan w:val="2"/>
            <w:tcBorders>
              <w:tl2br w:val="nil"/>
              <w:tr2bl w:val="nil"/>
            </w:tcBorders>
            <w:vAlign w:val="center"/>
          </w:tcPr>
          <w:p w14:paraId="78B3DD92">
            <w:pPr>
              <w:spacing w:line="240" w:lineRule="atLeast"/>
              <w:jc w:val="center"/>
              <w:rPr>
                <w:rFonts w:hint="eastAsia" w:ascii="Times New Roman" w:hAnsi="Times New Roman" w:eastAsia="宋体" w:cs="Times New Roman"/>
                <w:color w:val="auto"/>
                <w:kern w:val="2"/>
                <w:sz w:val="18"/>
                <w:szCs w:val="18"/>
                <w:highlight w:val="yellow"/>
                <w:lang w:val="en-US" w:eastAsia="zh-CN" w:bidi="ar-SA"/>
              </w:rPr>
            </w:pPr>
            <w:r>
              <w:rPr>
                <w:rFonts w:hint="eastAsia" w:ascii="Times New Roman" w:hAnsi="Times New Roman"/>
                <w:color w:val="auto"/>
                <w:sz w:val="18"/>
                <w:szCs w:val="18"/>
              </w:rPr>
              <w:t>注塑车间</w:t>
            </w:r>
            <w:r>
              <w:rPr>
                <w:rFonts w:hint="eastAsia"/>
                <w:color w:val="auto"/>
                <w:sz w:val="18"/>
                <w:szCs w:val="18"/>
                <w:lang w:val="en-US" w:eastAsia="zh-CN"/>
              </w:rPr>
              <w:t>一</w:t>
            </w:r>
          </w:p>
        </w:tc>
        <w:tc>
          <w:tcPr>
            <w:tcW w:w="3035" w:type="dxa"/>
            <w:tcBorders>
              <w:tl2br w:val="nil"/>
              <w:tr2bl w:val="nil"/>
            </w:tcBorders>
            <w:vAlign w:val="center"/>
          </w:tcPr>
          <w:p w14:paraId="1DBB7CF3">
            <w:pPr>
              <w:spacing w:line="240" w:lineRule="atLeast"/>
              <w:jc w:val="center"/>
              <w:rPr>
                <w:rFonts w:hint="default" w:ascii="Times New Roman" w:hAnsi="Times New Roman" w:eastAsia="宋体" w:cs="Times New Roman"/>
                <w:color w:val="auto"/>
                <w:kern w:val="2"/>
                <w:sz w:val="18"/>
                <w:szCs w:val="18"/>
                <w:highlight w:val="yellow"/>
                <w:vertAlign w:val="baseline"/>
                <w:lang w:val="en-US" w:eastAsia="zh-CN" w:bidi="ar-SA"/>
              </w:rPr>
            </w:pPr>
            <w:r>
              <w:rPr>
                <w:rFonts w:hint="eastAsia"/>
                <w:color w:val="auto"/>
                <w:sz w:val="18"/>
                <w:szCs w:val="18"/>
                <w:lang w:val="en-US" w:eastAsia="zh-CN"/>
              </w:rPr>
              <w:t>占地面积19431.68</w:t>
            </w:r>
            <w:r>
              <w:rPr>
                <w:rFonts w:ascii="Times New Roman" w:hAnsi="Times New Roman"/>
                <w:color w:val="auto"/>
                <w:sz w:val="18"/>
                <w:szCs w:val="18"/>
              </w:rPr>
              <w:t>m</w:t>
            </w:r>
            <w:r>
              <w:rPr>
                <w:rFonts w:ascii="Times New Roman" w:hAnsi="Times New Roman"/>
                <w:color w:val="auto"/>
                <w:sz w:val="18"/>
                <w:szCs w:val="18"/>
                <w:vertAlign w:val="superscript"/>
              </w:rPr>
              <w:t>2</w:t>
            </w:r>
            <w:r>
              <w:rPr>
                <w:rFonts w:hint="eastAsia"/>
                <w:color w:val="auto"/>
                <w:sz w:val="18"/>
                <w:szCs w:val="18"/>
                <w:vertAlign w:val="baseline"/>
                <w:lang w:eastAsia="zh-CN"/>
              </w:rPr>
              <w:t>，</w:t>
            </w:r>
            <w:r>
              <w:rPr>
                <w:rFonts w:ascii="Times New Roman" w:hAnsi="Times New Roman"/>
                <w:color w:val="auto"/>
                <w:sz w:val="18"/>
                <w:szCs w:val="18"/>
              </w:rPr>
              <w:t>建筑面积</w:t>
            </w:r>
            <w:r>
              <w:rPr>
                <w:rFonts w:hint="eastAsia"/>
                <w:color w:val="auto"/>
                <w:sz w:val="18"/>
                <w:szCs w:val="18"/>
                <w:lang w:val="en-US" w:eastAsia="zh-CN"/>
              </w:rPr>
              <w:t>19431.68</w:t>
            </w:r>
            <w:r>
              <w:rPr>
                <w:rFonts w:ascii="Times New Roman" w:hAnsi="Times New Roman"/>
                <w:color w:val="auto"/>
                <w:sz w:val="18"/>
                <w:szCs w:val="18"/>
              </w:rPr>
              <w:t>m</w:t>
            </w:r>
            <w:r>
              <w:rPr>
                <w:rFonts w:ascii="Times New Roman" w:hAnsi="Times New Roman"/>
                <w:color w:val="auto"/>
                <w:sz w:val="18"/>
                <w:szCs w:val="18"/>
                <w:vertAlign w:val="superscript"/>
              </w:rPr>
              <w:t>2</w:t>
            </w:r>
            <w:r>
              <w:rPr>
                <w:rFonts w:hint="eastAsia"/>
                <w:color w:val="auto"/>
                <w:sz w:val="18"/>
                <w:szCs w:val="18"/>
                <w:vertAlign w:val="baseline"/>
                <w:lang w:eastAsia="zh-CN"/>
              </w:rPr>
              <w:t>，</w:t>
            </w:r>
            <w:r>
              <w:rPr>
                <w:rFonts w:hint="eastAsia"/>
                <w:color w:val="auto"/>
                <w:sz w:val="18"/>
                <w:szCs w:val="18"/>
                <w:vertAlign w:val="baseline"/>
                <w:lang w:val="en-US" w:eastAsia="zh-CN"/>
              </w:rPr>
              <w:t>安置有塑料件生产线，生产能力为年产</w:t>
            </w:r>
            <w:r>
              <w:rPr>
                <w:rFonts w:hint="eastAsia" w:cs="Times New Roman"/>
                <w:color w:val="auto"/>
                <w:sz w:val="18"/>
                <w:szCs w:val="18"/>
                <w:lang w:val="en-US" w:eastAsia="zh-CN"/>
              </w:rPr>
              <w:t>2000</w:t>
            </w:r>
            <w:r>
              <w:rPr>
                <w:rFonts w:hint="eastAsia" w:ascii="Times New Roman" w:hAnsi="Times New Roman" w:cs="Times New Roman"/>
                <w:color w:val="auto"/>
                <w:sz w:val="18"/>
                <w:szCs w:val="18"/>
                <w:highlight w:val="none"/>
                <w:lang w:val="en-US" w:eastAsia="zh-CN"/>
              </w:rPr>
              <w:t>万台套</w:t>
            </w:r>
            <w:r>
              <w:rPr>
                <w:rFonts w:hint="eastAsia" w:cs="Times New Roman"/>
                <w:color w:val="auto"/>
                <w:sz w:val="18"/>
                <w:szCs w:val="18"/>
                <w:lang w:val="en-US" w:eastAsia="zh-CN"/>
              </w:rPr>
              <w:t>注塑塑料件</w:t>
            </w:r>
          </w:p>
        </w:tc>
        <w:tc>
          <w:tcPr>
            <w:tcW w:w="2940" w:type="dxa"/>
            <w:tcBorders>
              <w:tl2br w:val="nil"/>
              <w:tr2bl w:val="nil"/>
            </w:tcBorders>
            <w:vAlign w:val="center"/>
          </w:tcPr>
          <w:p w14:paraId="46B1180C">
            <w:pPr>
              <w:spacing w:line="240" w:lineRule="atLeast"/>
              <w:jc w:val="center"/>
              <w:rPr>
                <w:rFonts w:hint="eastAsia" w:ascii="Times New Roman" w:hAnsi="Times New Roman" w:eastAsia="宋体" w:cs="Times New Roman"/>
                <w:color w:val="auto"/>
                <w:kern w:val="2"/>
                <w:sz w:val="18"/>
                <w:szCs w:val="18"/>
                <w:highlight w:val="yellow"/>
                <w:lang w:val="en-US" w:eastAsia="zh-CN" w:bidi="ar-SA"/>
              </w:rPr>
            </w:pPr>
            <w:r>
              <w:rPr>
                <w:rFonts w:hint="eastAsia"/>
                <w:color w:val="auto"/>
                <w:sz w:val="18"/>
                <w:szCs w:val="18"/>
                <w:lang w:val="en-US" w:eastAsia="zh-CN"/>
              </w:rPr>
              <w:t>/</w:t>
            </w:r>
          </w:p>
        </w:tc>
        <w:tc>
          <w:tcPr>
            <w:tcW w:w="2570" w:type="dxa"/>
            <w:tcBorders>
              <w:tl2br w:val="nil"/>
              <w:tr2bl w:val="nil"/>
            </w:tcBorders>
            <w:vAlign w:val="center"/>
          </w:tcPr>
          <w:p w14:paraId="79F04A7B">
            <w:pPr>
              <w:spacing w:line="240" w:lineRule="atLeast"/>
              <w:jc w:val="center"/>
              <w:rPr>
                <w:rFonts w:hint="default" w:cs="Times New Roman"/>
                <w:color w:val="auto"/>
                <w:sz w:val="18"/>
                <w:szCs w:val="18"/>
                <w:highlight w:val="none"/>
                <w:lang w:val="en-US" w:eastAsia="zh-CN"/>
              </w:rPr>
            </w:pPr>
            <w:r>
              <w:rPr>
                <w:rFonts w:hint="eastAsia"/>
                <w:color w:val="auto"/>
                <w:sz w:val="18"/>
                <w:szCs w:val="18"/>
                <w:lang w:val="en-US" w:eastAsia="zh-CN"/>
              </w:rPr>
              <w:t>占地面积19431.68</w:t>
            </w:r>
            <w:r>
              <w:rPr>
                <w:rFonts w:ascii="Times New Roman" w:hAnsi="Times New Roman"/>
                <w:color w:val="auto"/>
                <w:sz w:val="18"/>
                <w:szCs w:val="18"/>
              </w:rPr>
              <w:t>m</w:t>
            </w:r>
            <w:r>
              <w:rPr>
                <w:rFonts w:ascii="Times New Roman" w:hAnsi="Times New Roman"/>
                <w:color w:val="auto"/>
                <w:sz w:val="18"/>
                <w:szCs w:val="18"/>
                <w:vertAlign w:val="superscript"/>
              </w:rPr>
              <w:t>2</w:t>
            </w:r>
            <w:r>
              <w:rPr>
                <w:rFonts w:hint="eastAsia"/>
                <w:color w:val="auto"/>
                <w:sz w:val="18"/>
                <w:szCs w:val="18"/>
                <w:vertAlign w:val="baseline"/>
                <w:lang w:eastAsia="zh-CN"/>
              </w:rPr>
              <w:t>，</w:t>
            </w:r>
            <w:r>
              <w:rPr>
                <w:rFonts w:ascii="Times New Roman" w:hAnsi="Times New Roman"/>
                <w:color w:val="auto"/>
                <w:sz w:val="18"/>
                <w:szCs w:val="18"/>
              </w:rPr>
              <w:t>建筑面积</w:t>
            </w:r>
            <w:r>
              <w:rPr>
                <w:rFonts w:hint="eastAsia"/>
                <w:color w:val="auto"/>
                <w:sz w:val="18"/>
                <w:szCs w:val="18"/>
                <w:lang w:val="en-US" w:eastAsia="zh-CN"/>
              </w:rPr>
              <w:t>19431.68</w:t>
            </w:r>
            <w:r>
              <w:rPr>
                <w:rFonts w:ascii="Times New Roman" w:hAnsi="Times New Roman"/>
                <w:color w:val="auto"/>
                <w:sz w:val="18"/>
                <w:szCs w:val="18"/>
              </w:rPr>
              <w:t>m</w:t>
            </w:r>
            <w:r>
              <w:rPr>
                <w:rFonts w:ascii="Times New Roman" w:hAnsi="Times New Roman"/>
                <w:color w:val="auto"/>
                <w:sz w:val="18"/>
                <w:szCs w:val="18"/>
                <w:vertAlign w:val="superscript"/>
              </w:rPr>
              <w:t>2</w:t>
            </w:r>
            <w:r>
              <w:rPr>
                <w:rFonts w:hint="eastAsia"/>
                <w:color w:val="auto"/>
                <w:sz w:val="18"/>
                <w:szCs w:val="18"/>
                <w:vertAlign w:val="baseline"/>
                <w:lang w:eastAsia="zh-CN"/>
              </w:rPr>
              <w:t>，</w:t>
            </w:r>
            <w:r>
              <w:rPr>
                <w:rFonts w:hint="eastAsia"/>
                <w:color w:val="auto"/>
                <w:sz w:val="18"/>
                <w:szCs w:val="18"/>
                <w:vertAlign w:val="baseline"/>
                <w:lang w:val="en-US" w:eastAsia="zh-CN"/>
              </w:rPr>
              <w:t>安置有塑料件生产线及</w:t>
            </w:r>
            <w:r>
              <w:rPr>
                <w:rFonts w:hint="eastAsia"/>
                <w:color w:val="auto"/>
                <w:sz w:val="18"/>
                <w:szCs w:val="18"/>
                <w:vertAlign w:val="baseline"/>
                <w:lang w:val="en-US" w:eastAsia="zh-CN"/>
              </w:rPr>
              <w:t>成品暂存区</w:t>
            </w:r>
            <w:r>
              <w:rPr>
                <w:rFonts w:hint="eastAsia"/>
                <w:color w:val="auto"/>
                <w:sz w:val="18"/>
                <w:szCs w:val="18"/>
                <w:vertAlign w:val="baseline"/>
                <w:lang w:val="en-US" w:eastAsia="zh-CN"/>
              </w:rPr>
              <w:t>，</w:t>
            </w:r>
            <w:r>
              <w:rPr>
                <w:rFonts w:hint="eastAsia"/>
                <w:color w:val="auto"/>
                <w:sz w:val="18"/>
                <w:szCs w:val="18"/>
                <w:vertAlign w:val="baseline"/>
                <w:lang w:val="en-US" w:eastAsia="zh-CN"/>
              </w:rPr>
              <w:t>生产能力为年产</w:t>
            </w:r>
            <w:r>
              <w:rPr>
                <w:rFonts w:hint="eastAsia" w:cs="Times New Roman"/>
                <w:color w:val="auto"/>
                <w:sz w:val="18"/>
                <w:szCs w:val="18"/>
                <w:lang w:val="en-US" w:eastAsia="zh-CN"/>
              </w:rPr>
              <w:t>注塑塑料件2000</w:t>
            </w:r>
            <w:r>
              <w:rPr>
                <w:rFonts w:hint="eastAsia" w:ascii="Times New Roman" w:hAnsi="Times New Roman" w:cs="Times New Roman"/>
                <w:color w:val="auto"/>
                <w:sz w:val="18"/>
                <w:szCs w:val="18"/>
                <w:highlight w:val="none"/>
                <w:lang w:val="en-US" w:eastAsia="zh-CN"/>
              </w:rPr>
              <w:t>万台套/a</w:t>
            </w:r>
          </w:p>
        </w:tc>
        <w:tc>
          <w:tcPr>
            <w:tcW w:w="2400" w:type="dxa"/>
            <w:tcBorders>
              <w:tl2br w:val="nil"/>
              <w:tr2bl w:val="nil"/>
            </w:tcBorders>
            <w:vAlign w:val="center"/>
          </w:tcPr>
          <w:p w14:paraId="567E7A0A">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成品暂存区从涂装车间搬至注塑车间一</w:t>
            </w:r>
          </w:p>
        </w:tc>
      </w:tr>
      <w:tr w14:paraId="2D128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12" w:type="dxa"/>
            <w:vMerge w:val="continue"/>
            <w:tcBorders>
              <w:tl2br w:val="nil"/>
              <w:tr2bl w:val="nil"/>
            </w:tcBorders>
            <w:vAlign w:val="center"/>
          </w:tcPr>
          <w:p w14:paraId="7C5BF727">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p>
        </w:tc>
        <w:tc>
          <w:tcPr>
            <w:tcW w:w="2039" w:type="dxa"/>
            <w:gridSpan w:val="2"/>
            <w:tcBorders>
              <w:tl2br w:val="nil"/>
              <w:tr2bl w:val="nil"/>
            </w:tcBorders>
            <w:vAlign w:val="center"/>
          </w:tcPr>
          <w:p w14:paraId="6F637CE6">
            <w:pPr>
              <w:spacing w:line="24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olor w:val="auto"/>
                <w:sz w:val="18"/>
                <w:szCs w:val="18"/>
                <w:lang w:val="en-US" w:eastAsia="zh-CN"/>
              </w:rPr>
              <w:t>模具车间一</w:t>
            </w:r>
          </w:p>
        </w:tc>
        <w:tc>
          <w:tcPr>
            <w:tcW w:w="3035" w:type="dxa"/>
            <w:tcBorders>
              <w:tl2br w:val="nil"/>
              <w:tr2bl w:val="nil"/>
            </w:tcBorders>
            <w:vAlign w:val="center"/>
          </w:tcPr>
          <w:p w14:paraId="6DF252BC">
            <w:pPr>
              <w:spacing w:line="240" w:lineRule="atLeast"/>
              <w:jc w:val="center"/>
              <w:rPr>
                <w:rFonts w:hint="default" w:ascii="Times New Roman" w:hAnsi="Times New Roman" w:eastAsia="宋体" w:cs="Times New Roman"/>
                <w:color w:val="auto"/>
                <w:kern w:val="2"/>
                <w:sz w:val="18"/>
                <w:szCs w:val="18"/>
                <w:vertAlign w:val="baseline"/>
                <w:lang w:val="en-US" w:eastAsia="zh-CN" w:bidi="ar-SA"/>
              </w:rPr>
            </w:pPr>
            <w:r>
              <w:rPr>
                <w:rFonts w:hint="eastAsia"/>
                <w:color w:val="auto"/>
                <w:sz w:val="18"/>
                <w:szCs w:val="18"/>
                <w:lang w:val="en-US" w:eastAsia="zh-CN"/>
              </w:rPr>
              <w:t>占地面积7254.14</w:t>
            </w:r>
            <w:r>
              <w:rPr>
                <w:rFonts w:ascii="Times New Roman" w:hAnsi="Times New Roman"/>
                <w:color w:val="auto"/>
                <w:sz w:val="18"/>
                <w:szCs w:val="18"/>
              </w:rPr>
              <w:t>m</w:t>
            </w:r>
            <w:r>
              <w:rPr>
                <w:rFonts w:ascii="Times New Roman" w:hAnsi="Times New Roman"/>
                <w:color w:val="auto"/>
                <w:sz w:val="18"/>
                <w:szCs w:val="18"/>
                <w:vertAlign w:val="superscript"/>
              </w:rPr>
              <w:t>2</w:t>
            </w:r>
            <w:r>
              <w:rPr>
                <w:rFonts w:hint="eastAsia"/>
                <w:color w:val="auto"/>
                <w:sz w:val="18"/>
                <w:szCs w:val="18"/>
                <w:vertAlign w:val="baseline"/>
                <w:lang w:eastAsia="zh-CN"/>
              </w:rPr>
              <w:t>，</w:t>
            </w:r>
            <w:r>
              <w:rPr>
                <w:rFonts w:ascii="Times New Roman" w:hAnsi="Times New Roman"/>
                <w:color w:val="auto"/>
                <w:sz w:val="18"/>
                <w:szCs w:val="18"/>
              </w:rPr>
              <w:t>建筑面积</w:t>
            </w:r>
            <w:r>
              <w:rPr>
                <w:rFonts w:hint="eastAsia"/>
                <w:color w:val="auto"/>
                <w:sz w:val="18"/>
                <w:szCs w:val="18"/>
                <w:lang w:val="en-US" w:eastAsia="zh-CN"/>
              </w:rPr>
              <w:t>7254.14</w:t>
            </w:r>
            <w:r>
              <w:rPr>
                <w:rFonts w:ascii="Times New Roman" w:hAnsi="Times New Roman"/>
                <w:color w:val="auto"/>
                <w:sz w:val="18"/>
                <w:szCs w:val="18"/>
              </w:rPr>
              <w:t>m</w:t>
            </w:r>
            <w:r>
              <w:rPr>
                <w:rFonts w:ascii="Times New Roman" w:hAnsi="Times New Roman"/>
                <w:color w:val="auto"/>
                <w:sz w:val="18"/>
                <w:szCs w:val="18"/>
                <w:vertAlign w:val="superscript"/>
              </w:rPr>
              <w:t>2</w:t>
            </w:r>
            <w:r>
              <w:rPr>
                <w:rFonts w:hint="eastAsia"/>
                <w:color w:val="auto"/>
                <w:sz w:val="18"/>
                <w:szCs w:val="18"/>
                <w:vertAlign w:val="baseline"/>
                <w:lang w:eastAsia="zh-CN"/>
              </w:rPr>
              <w:t>，</w:t>
            </w:r>
            <w:r>
              <w:rPr>
                <w:rFonts w:hint="eastAsia"/>
                <w:color w:val="auto"/>
                <w:sz w:val="18"/>
                <w:szCs w:val="18"/>
                <w:vertAlign w:val="baseline"/>
                <w:lang w:val="en-US" w:eastAsia="zh-CN"/>
              </w:rPr>
              <w:t>安置有模具检验线</w:t>
            </w:r>
          </w:p>
        </w:tc>
        <w:tc>
          <w:tcPr>
            <w:tcW w:w="2940" w:type="dxa"/>
            <w:tcBorders>
              <w:tl2br w:val="nil"/>
              <w:tr2bl w:val="nil"/>
            </w:tcBorders>
            <w:vAlign w:val="center"/>
          </w:tcPr>
          <w:p w14:paraId="0D4A1560">
            <w:pPr>
              <w:spacing w:line="240" w:lineRule="atLeast"/>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w:t>
            </w:r>
          </w:p>
        </w:tc>
        <w:tc>
          <w:tcPr>
            <w:tcW w:w="2570" w:type="dxa"/>
            <w:tcBorders>
              <w:tl2br w:val="nil"/>
              <w:tr2bl w:val="nil"/>
            </w:tcBorders>
            <w:vAlign w:val="center"/>
          </w:tcPr>
          <w:p w14:paraId="028BB5E2">
            <w:pPr>
              <w:spacing w:line="240" w:lineRule="atLeast"/>
              <w:jc w:val="center"/>
              <w:rPr>
                <w:rFonts w:hint="eastAsia" w:cs="Times New Roman"/>
                <w:color w:val="auto"/>
                <w:sz w:val="18"/>
                <w:szCs w:val="18"/>
                <w:highlight w:val="none"/>
                <w:lang w:val="en-US" w:eastAsia="zh-CN"/>
              </w:rPr>
            </w:pPr>
            <w:r>
              <w:rPr>
                <w:rFonts w:hint="eastAsia"/>
                <w:color w:val="auto"/>
                <w:sz w:val="18"/>
                <w:szCs w:val="18"/>
                <w:lang w:val="en-US" w:eastAsia="zh-CN"/>
              </w:rPr>
              <w:t>占地面积7254.14</w:t>
            </w:r>
            <w:r>
              <w:rPr>
                <w:rFonts w:ascii="Times New Roman" w:hAnsi="Times New Roman"/>
                <w:color w:val="auto"/>
                <w:sz w:val="18"/>
                <w:szCs w:val="18"/>
              </w:rPr>
              <w:t>m</w:t>
            </w:r>
            <w:r>
              <w:rPr>
                <w:rFonts w:ascii="Times New Roman" w:hAnsi="Times New Roman"/>
                <w:color w:val="auto"/>
                <w:sz w:val="18"/>
                <w:szCs w:val="18"/>
                <w:vertAlign w:val="superscript"/>
              </w:rPr>
              <w:t>2</w:t>
            </w:r>
            <w:r>
              <w:rPr>
                <w:rFonts w:hint="eastAsia"/>
                <w:color w:val="auto"/>
                <w:sz w:val="18"/>
                <w:szCs w:val="18"/>
                <w:vertAlign w:val="baseline"/>
                <w:lang w:eastAsia="zh-CN"/>
              </w:rPr>
              <w:t>，</w:t>
            </w:r>
            <w:r>
              <w:rPr>
                <w:rFonts w:ascii="Times New Roman" w:hAnsi="Times New Roman"/>
                <w:color w:val="auto"/>
                <w:sz w:val="18"/>
                <w:szCs w:val="18"/>
              </w:rPr>
              <w:t>建筑面积</w:t>
            </w:r>
            <w:r>
              <w:rPr>
                <w:rFonts w:hint="eastAsia"/>
                <w:color w:val="auto"/>
                <w:sz w:val="18"/>
                <w:szCs w:val="18"/>
                <w:lang w:val="en-US" w:eastAsia="zh-CN"/>
              </w:rPr>
              <w:t>7254.14</w:t>
            </w:r>
            <w:r>
              <w:rPr>
                <w:rFonts w:ascii="Times New Roman" w:hAnsi="Times New Roman"/>
                <w:color w:val="auto"/>
                <w:sz w:val="18"/>
                <w:szCs w:val="18"/>
              </w:rPr>
              <w:t>m</w:t>
            </w:r>
            <w:r>
              <w:rPr>
                <w:rFonts w:ascii="Times New Roman" w:hAnsi="Times New Roman"/>
                <w:color w:val="auto"/>
                <w:sz w:val="18"/>
                <w:szCs w:val="18"/>
                <w:vertAlign w:val="superscript"/>
              </w:rPr>
              <w:t>2</w:t>
            </w:r>
            <w:r>
              <w:rPr>
                <w:rFonts w:hint="eastAsia"/>
                <w:color w:val="auto"/>
                <w:sz w:val="18"/>
                <w:szCs w:val="18"/>
                <w:vertAlign w:val="baseline"/>
                <w:lang w:eastAsia="zh-CN"/>
              </w:rPr>
              <w:t>，</w:t>
            </w:r>
            <w:r>
              <w:rPr>
                <w:rFonts w:hint="eastAsia"/>
                <w:color w:val="auto"/>
                <w:sz w:val="18"/>
                <w:szCs w:val="18"/>
                <w:vertAlign w:val="baseline"/>
                <w:lang w:val="en-US" w:eastAsia="zh-CN"/>
              </w:rPr>
              <w:t>安置有模具检验线</w:t>
            </w:r>
          </w:p>
        </w:tc>
        <w:tc>
          <w:tcPr>
            <w:tcW w:w="2400" w:type="dxa"/>
            <w:tcBorders>
              <w:tl2br w:val="nil"/>
              <w:tr2bl w:val="nil"/>
            </w:tcBorders>
            <w:vAlign w:val="center"/>
          </w:tcPr>
          <w:p w14:paraId="771B1E33">
            <w:pPr>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本项目不涉及</w:t>
            </w:r>
          </w:p>
        </w:tc>
      </w:tr>
      <w:tr w14:paraId="6D9AC3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712" w:type="dxa"/>
            <w:vMerge w:val="continue"/>
            <w:tcBorders>
              <w:tl2br w:val="nil"/>
              <w:tr2bl w:val="nil"/>
            </w:tcBorders>
            <w:vAlign w:val="center"/>
          </w:tcPr>
          <w:p w14:paraId="327D1B4E">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p>
        </w:tc>
        <w:tc>
          <w:tcPr>
            <w:tcW w:w="2039" w:type="dxa"/>
            <w:gridSpan w:val="2"/>
            <w:tcBorders>
              <w:tl2br w:val="nil"/>
              <w:tr2bl w:val="nil"/>
            </w:tcBorders>
            <w:shd w:val="clear" w:color="auto" w:fill="auto"/>
            <w:vAlign w:val="center"/>
          </w:tcPr>
          <w:p w14:paraId="0C9E8B39">
            <w:pPr>
              <w:jc w:val="center"/>
              <w:rPr>
                <w:rFonts w:hint="default"/>
                <w:color w:val="auto"/>
                <w:kern w:val="0"/>
                <w:sz w:val="20"/>
                <w:lang w:val="en-US" w:eastAsia="zh-CN"/>
              </w:rPr>
            </w:pPr>
            <w:r>
              <w:rPr>
                <w:rFonts w:hint="eastAsia"/>
                <w:color w:val="auto"/>
                <w:kern w:val="0"/>
                <w:sz w:val="20"/>
                <w:lang w:val="en-US" w:eastAsia="zh-CN"/>
              </w:rPr>
              <w:t>注塑车间二</w:t>
            </w:r>
          </w:p>
        </w:tc>
        <w:tc>
          <w:tcPr>
            <w:tcW w:w="3035" w:type="dxa"/>
            <w:tcBorders>
              <w:tl2br w:val="nil"/>
              <w:tr2bl w:val="nil"/>
            </w:tcBorders>
            <w:vAlign w:val="center"/>
          </w:tcPr>
          <w:p w14:paraId="37D6CEE2">
            <w:pPr>
              <w:spacing w:line="240" w:lineRule="atLeast"/>
              <w:jc w:val="center"/>
              <w:rPr>
                <w:rFonts w:hint="default" w:eastAsia="宋体" w:cs="Times New Roman"/>
                <w:color w:val="auto"/>
                <w:sz w:val="18"/>
                <w:szCs w:val="18"/>
                <w:lang w:val="en-US" w:eastAsia="zh-CN"/>
              </w:rPr>
            </w:pPr>
            <w:r>
              <w:rPr>
                <w:rFonts w:hint="eastAsia"/>
                <w:color w:val="auto"/>
                <w:sz w:val="18"/>
                <w:szCs w:val="18"/>
                <w:lang w:val="en-US" w:eastAsia="zh-CN"/>
              </w:rPr>
              <w:t>占地</w:t>
            </w:r>
            <w:r>
              <w:rPr>
                <w:rFonts w:ascii="Times New Roman" w:hAnsi="Times New Roman"/>
                <w:color w:val="auto"/>
                <w:sz w:val="18"/>
                <w:szCs w:val="18"/>
              </w:rPr>
              <w:t>面积</w:t>
            </w:r>
            <w:r>
              <w:rPr>
                <w:rFonts w:hint="eastAsia"/>
                <w:color w:val="auto"/>
                <w:sz w:val="18"/>
                <w:szCs w:val="18"/>
                <w:lang w:val="en-US" w:eastAsia="zh-CN"/>
              </w:rPr>
              <w:t>6535.51</w:t>
            </w:r>
            <w:r>
              <w:rPr>
                <w:rFonts w:ascii="Times New Roman" w:hAnsi="Times New Roman"/>
                <w:color w:val="auto"/>
                <w:sz w:val="18"/>
                <w:szCs w:val="18"/>
              </w:rPr>
              <w:t>m</w:t>
            </w:r>
            <w:r>
              <w:rPr>
                <w:rFonts w:ascii="Times New Roman" w:hAnsi="Times New Roman"/>
                <w:color w:val="auto"/>
                <w:sz w:val="18"/>
                <w:szCs w:val="18"/>
                <w:vertAlign w:val="superscript"/>
              </w:rPr>
              <w:t>2</w:t>
            </w:r>
            <w:r>
              <w:rPr>
                <w:rFonts w:hint="eastAsia"/>
                <w:color w:val="auto"/>
                <w:sz w:val="18"/>
                <w:szCs w:val="18"/>
                <w:vertAlign w:val="baseline"/>
                <w:lang w:eastAsia="zh-CN"/>
              </w:rPr>
              <w:t>，</w:t>
            </w:r>
            <w:r>
              <w:rPr>
                <w:rFonts w:ascii="Times New Roman" w:hAnsi="Times New Roman"/>
                <w:color w:val="auto"/>
                <w:sz w:val="18"/>
                <w:szCs w:val="18"/>
              </w:rPr>
              <w:t>建筑面积</w:t>
            </w:r>
            <w:r>
              <w:rPr>
                <w:rFonts w:hint="eastAsia"/>
                <w:color w:val="auto"/>
                <w:sz w:val="18"/>
                <w:szCs w:val="18"/>
                <w:lang w:val="en-US" w:eastAsia="zh-CN"/>
              </w:rPr>
              <w:t>6535.51</w:t>
            </w:r>
            <w:r>
              <w:rPr>
                <w:rFonts w:ascii="Times New Roman" w:hAnsi="Times New Roman"/>
                <w:color w:val="auto"/>
                <w:sz w:val="18"/>
                <w:szCs w:val="18"/>
              </w:rPr>
              <w:t>m</w:t>
            </w:r>
            <w:r>
              <w:rPr>
                <w:rFonts w:ascii="Times New Roman" w:hAnsi="Times New Roman"/>
                <w:color w:val="auto"/>
                <w:sz w:val="18"/>
                <w:szCs w:val="18"/>
                <w:vertAlign w:val="superscript"/>
              </w:rPr>
              <w:t>2</w:t>
            </w:r>
            <w:r>
              <w:rPr>
                <w:rFonts w:hint="eastAsia"/>
                <w:color w:val="auto"/>
                <w:sz w:val="18"/>
                <w:szCs w:val="18"/>
                <w:vertAlign w:val="baseline"/>
                <w:lang w:eastAsia="zh-CN"/>
              </w:rPr>
              <w:t>，</w:t>
            </w:r>
            <w:r>
              <w:rPr>
                <w:rFonts w:hint="eastAsia"/>
                <w:color w:val="auto"/>
                <w:sz w:val="18"/>
                <w:szCs w:val="18"/>
                <w:vertAlign w:val="baseline"/>
                <w:lang w:val="en-US" w:eastAsia="zh-CN"/>
              </w:rPr>
              <w:t>安置有真空镀铝塑料件生产线，生产能力为年产</w:t>
            </w:r>
            <w:r>
              <w:rPr>
                <w:rFonts w:hint="eastAsia" w:ascii="Times New Roman" w:hAnsi="Times New Roman" w:cs="Times New Roman"/>
                <w:color w:val="auto"/>
                <w:sz w:val="18"/>
                <w:szCs w:val="18"/>
                <w:highlight w:val="none"/>
                <w:lang w:val="en-US" w:eastAsia="zh-CN"/>
              </w:rPr>
              <w:t>950万台套</w:t>
            </w:r>
            <w:r>
              <w:rPr>
                <w:rFonts w:hint="eastAsia"/>
                <w:color w:val="auto"/>
                <w:sz w:val="18"/>
                <w:szCs w:val="18"/>
                <w:vertAlign w:val="baseline"/>
                <w:lang w:val="en-US" w:eastAsia="zh-CN"/>
              </w:rPr>
              <w:t>真空镀铝塑料件</w:t>
            </w:r>
          </w:p>
        </w:tc>
        <w:tc>
          <w:tcPr>
            <w:tcW w:w="2940" w:type="dxa"/>
            <w:tcBorders>
              <w:tl2br w:val="nil"/>
              <w:tr2bl w:val="nil"/>
            </w:tcBorders>
            <w:vAlign w:val="center"/>
          </w:tcPr>
          <w:p w14:paraId="14B26A39">
            <w:pPr>
              <w:spacing w:line="240" w:lineRule="atLeast"/>
              <w:jc w:val="center"/>
              <w:rPr>
                <w:rFonts w:hint="eastAsia" w:ascii="Times New Roman" w:hAnsi="Times New Roman" w:eastAsia="宋体"/>
                <w:color w:val="auto"/>
                <w:sz w:val="18"/>
                <w:szCs w:val="18"/>
                <w:lang w:eastAsia="zh-CN"/>
              </w:rPr>
            </w:pPr>
            <w:r>
              <w:rPr>
                <w:rFonts w:hint="eastAsia"/>
                <w:color w:val="auto"/>
                <w:sz w:val="18"/>
                <w:szCs w:val="18"/>
                <w:lang w:val="en-US" w:eastAsia="zh-CN"/>
              </w:rPr>
              <w:t>/</w:t>
            </w:r>
          </w:p>
        </w:tc>
        <w:tc>
          <w:tcPr>
            <w:tcW w:w="2570" w:type="dxa"/>
            <w:tcBorders>
              <w:tl2br w:val="nil"/>
              <w:tr2bl w:val="nil"/>
            </w:tcBorders>
            <w:vAlign w:val="center"/>
          </w:tcPr>
          <w:p w14:paraId="1F822E19">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cs="Times New Roman"/>
                <w:color w:val="auto"/>
                <w:sz w:val="18"/>
                <w:szCs w:val="18"/>
                <w:lang w:val="en-US" w:eastAsia="zh-CN"/>
              </w:rPr>
            </w:pPr>
            <w:r>
              <w:rPr>
                <w:rFonts w:hint="eastAsia"/>
                <w:color w:val="auto"/>
                <w:sz w:val="18"/>
                <w:szCs w:val="18"/>
                <w:lang w:val="en-US" w:eastAsia="zh-CN"/>
              </w:rPr>
              <w:t>占地</w:t>
            </w:r>
            <w:r>
              <w:rPr>
                <w:rFonts w:ascii="Times New Roman" w:hAnsi="Times New Roman"/>
                <w:color w:val="auto"/>
                <w:sz w:val="18"/>
                <w:szCs w:val="18"/>
              </w:rPr>
              <w:t>面积</w:t>
            </w:r>
            <w:r>
              <w:rPr>
                <w:rFonts w:hint="eastAsia"/>
                <w:color w:val="auto"/>
                <w:sz w:val="18"/>
                <w:szCs w:val="18"/>
                <w:lang w:val="en-US" w:eastAsia="zh-CN"/>
              </w:rPr>
              <w:t>6535.51</w:t>
            </w:r>
            <w:r>
              <w:rPr>
                <w:rFonts w:ascii="Times New Roman" w:hAnsi="Times New Roman"/>
                <w:color w:val="auto"/>
                <w:sz w:val="18"/>
                <w:szCs w:val="18"/>
              </w:rPr>
              <w:t>m</w:t>
            </w:r>
            <w:r>
              <w:rPr>
                <w:rFonts w:ascii="Times New Roman" w:hAnsi="Times New Roman"/>
                <w:color w:val="auto"/>
                <w:sz w:val="18"/>
                <w:szCs w:val="18"/>
                <w:vertAlign w:val="superscript"/>
              </w:rPr>
              <w:t>2</w:t>
            </w:r>
            <w:r>
              <w:rPr>
                <w:rFonts w:hint="eastAsia"/>
                <w:color w:val="auto"/>
                <w:sz w:val="18"/>
                <w:szCs w:val="18"/>
                <w:vertAlign w:val="baseline"/>
                <w:lang w:eastAsia="zh-CN"/>
              </w:rPr>
              <w:t>，</w:t>
            </w:r>
            <w:r>
              <w:rPr>
                <w:rFonts w:ascii="Times New Roman" w:hAnsi="Times New Roman"/>
                <w:color w:val="auto"/>
                <w:sz w:val="18"/>
                <w:szCs w:val="18"/>
              </w:rPr>
              <w:t>建筑面积</w:t>
            </w:r>
            <w:r>
              <w:rPr>
                <w:rFonts w:hint="eastAsia"/>
                <w:color w:val="auto"/>
                <w:sz w:val="18"/>
                <w:szCs w:val="18"/>
                <w:lang w:val="en-US" w:eastAsia="zh-CN"/>
              </w:rPr>
              <w:t>6535.51</w:t>
            </w:r>
            <w:r>
              <w:rPr>
                <w:rFonts w:ascii="Times New Roman" w:hAnsi="Times New Roman"/>
                <w:color w:val="auto"/>
                <w:sz w:val="18"/>
                <w:szCs w:val="18"/>
              </w:rPr>
              <w:t>m</w:t>
            </w:r>
            <w:r>
              <w:rPr>
                <w:rFonts w:ascii="Times New Roman" w:hAnsi="Times New Roman"/>
                <w:color w:val="auto"/>
                <w:sz w:val="18"/>
                <w:szCs w:val="18"/>
                <w:vertAlign w:val="superscript"/>
              </w:rPr>
              <w:t>2</w:t>
            </w:r>
            <w:r>
              <w:rPr>
                <w:rFonts w:hint="eastAsia"/>
                <w:color w:val="auto"/>
                <w:sz w:val="18"/>
                <w:szCs w:val="18"/>
                <w:vertAlign w:val="baseline"/>
                <w:lang w:eastAsia="zh-CN"/>
              </w:rPr>
              <w:t>，</w:t>
            </w:r>
            <w:r>
              <w:rPr>
                <w:rFonts w:hint="eastAsia"/>
                <w:color w:val="auto"/>
                <w:sz w:val="18"/>
                <w:szCs w:val="18"/>
                <w:vertAlign w:val="baseline"/>
                <w:lang w:val="en-US" w:eastAsia="zh-CN"/>
              </w:rPr>
              <w:t>安置有真空镀铝塑料件生产线，生产能力为年产</w:t>
            </w:r>
            <w:r>
              <w:rPr>
                <w:rFonts w:hint="eastAsia" w:ascii="Times New Roman" w:hAnsi="Times New Roman" w:cs="Times New Roman"/>
                <w:color w:val="auto"/>
                <w:sz w:val="18"/>
                <w:szCs w:val="18"/>
                <w:highlight w:val="none"/>
                <w:lang w:val="en-US" w:eastAsia="zh-CN"/>
              </w:rPr>
              <w:t>950万台套</w:t>
            </w:r>
            <w:r>
              <w:rPr>
                <w:rFonts w:hint="eastAsia"/>
                <w:color w:val="auto"/>
                <w:sz w:val="18"/>
                <w:szCs w:val="18"/>
                <w:vertAlign w:val="baseline"/>
                <w:lang w:val="en-US" w:eastAsia="zh-CN"/>
              </w:rPr>
              <w:t>真空镀铝塑料件</w:t>
            </w:r>
          </w:p>
        </w:tc>
        <w:tc>
          <w:tcPr>
            <w:tcW w:w="2400" w:type="dxa"/>
            <w:tcBorders>
              <w:tl2br w:val="nil"/>
              <w:tr2bl w:val="nil"/>
            </w:tcBorders>
            <w:vAlign w:val="center"/>
          </w:tcPr>
          <w:p w14:paraId="682C5912">
            <w:pPr>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本项目不涉及</w:t>
            </w:r>
          </w:p>
        </w:tc>
      </w:tr>
      <w:tr w14:paraId="4F8966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712" w:type="dxa"/>
            <w:vMerge w:val="continue"/>
            <w:tcBorders>
              <w:tl2br w:val="nil"/>
              <w:tr2bl w:val="nil"/>
            </w:tcBorders>
            <w:vAlign w:val="center"/>
          </w:tcPr>
          <w:p w14:paraId="170E8C1B">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p>
        </w:tc>
        <w:tc>
          <w:tcPr>
            <w:tcW w:w="2039" w:type="dxa"/>
            <w:gridSpan w:val="2"/>
            <w:tcBorders>
              <w:tl2br w:val="nil"/>
              <w:tr2bl w:val="nil"/>
            </w:tcBorders>
            <w:shd w:val="clear" w:color="auto" w:fill="auto"/>
            <w:vAlign w:val="center"/>
          </w:tcPr>
          <w:p w14:paraId="067A29D3">
            <w:pPr>
              <w:jc w:val="center"/>
              <w:rPr>
                <w:rFonts w:hint="default"/>
                <w:color w:val="auto"/>
                <w:kern w:val="0"/>
                <w:sz w:val="20"/>
                <w:lang w:val="en-US" w:eastAsia="zh-CN"/>
              </w:rPr>
            </w:pPr>
            <w:r>
              <w:rPr>
                <w:rFonts w:hint="eastAsia"/>
                <w:color w:val="auto"/>
                <w:kern w:val="0"/>
                <w:sz w:val="20"/>
                <w:lang w:val="en-US" w:eastAsia="zh-CN"/>
              </w:rPr>
              <w:t>模具车间二</w:t>
            </w:r>
          </w:p>
        </w:tc>
        <w:tc>
          <w:tcPr>
            <w:tcW w:w="3035" w:type="dxa"/>
            <w:tcBorders>
              <w:tl2br w:val="nil"/>
              <w:tr2bl w:val="nil"/>
            </w:tcBorders>
            <w:vAlign w:val="center"/>
          </w:tcPr>
          <w:p w14:paraId="44345DDB">
            <w:pPr>
              <w:spacing w:line="240" w:lineRule="atLeast"/>
              <w:jc w:val="center"/>
              <w:rPr>
                <w:rFonts w:hint="default" w:cs="Times New Roman"/>
                <w:color w:val="auto"/>
                <w:sz w:val="18"/>
                <w:szCs w:val="18"/>
                <w:lang w:val="en-US" w:eastAsia="zh-CN"/>
              </w:rPr>
            </w:pPr>
            <w:r>
              <w:rPr>
                <w:rFonts w:hint="eastAsia"/>
                <w:color w:val="auto"/>
                <w:sz w:val="18"/>
                <w:szCs w:val="18"/>
                <w:lang w:val="en-US" w:eastAsia="zh-CN"/>
              </w:rPr>
              <w:t>占地面积7254.14</w:t>
            </w:r>
            <w:r>
              <w:rPr>
                <w:rFonts w:ascii="Times New Roman" w:hAnsi="Times New Roman"/>
                <w:color w:val="auto"/>
                <w:sz w:val="18"/>
                <w:szCs w:val="18"/>
              </w:rPr>
              <w:t>m</w:t>
            </w:r>
            <w:r>
              <w:rPr>
                <w:rFonts w:ascii="Times New Roman" w:hAnsi="Times New Roman"/>
                <w:color w:val="auto"/>
                <w:sz w:val="18"/>
                <w:szCs w:val="18"/>
                <w:vertAlign w:val="superscript"/>
              </w:rPr>
              <w:t>2</w:t>
            </w:r>
            <w:r>
              <w:rPr>
                <w:rFonts w:hint="eastAsia"/>
                <w:color w:val="auto"/>
                <w:sz w:val="18"/>
                <w:szCs w:val="18"/>
                <w:vertAlign w:val="baseline"/>
                <w:lang w:eastAsia="zh-CN"/>
              </w:rPr>
              <w:t>，</w:t>
            </w:r>
            <w:r>
              <w:rPr>
                <w:rFonts w:ascii="Times New Roman" w:hAnsi="Times New Roman"/>
                <w:color w:val="auto"/>
                <w:sz w:val="18"/>
                <w:szCs w:val="18"/>
              </w:rPr>
              <w:t>建筑面积</w:t>
            </w:r>
            <w:r>
              <w:rPr>
                <w:rFonts w:hint="eastAsia"/>
                <w:color w:val="auto"/>
                <w:sz w:val="18"/>
                <w:szCs w:val="18"/>
                <w:lang w:val="en-US" w:eastAsia="zh-CN"/>
              </w:rPr>
              <w:t>7254.14</w:t>
            </w:r>
            <w:r>
              <w:rPr>
                <w:rFonts w:ascii="Times New Roman" w:hAnsi="Times New Roman"/>
                <w:color w:val="auto"/>
                <w:sz w:val="18"/>
                <w:szCs w:val="18"/>
              </w:rPr>
              <w:t>m</w:t>
            </w:r>
            <w:r>
              <w:rPr>
                <w:rFonts w:ascii="Times New Roman" w:hAnsi="Times New Roman"/>
                <w:color w:val="auto"/>
                <w:sz w:val="18"/>
                <w:szCs w:val="18"/>
                <w:vertAlign w:val="superscript"/>
              </w:rPr>
              <w:t>2</w:t>
            </w:r>
            <w:r>
              <w:rPr>
                <w:rFonts w:hint="eastAsia"/>
                <w:color w:val="auto"/>
                <w:sz w:val="18"/>
                <w:szCs w:val="18"/>
                <w:vertAlign w:val="baseline"/>
                <w:lang w:eastAsia="zh-CN"/>
              </w:rPr>
              <w:t>，</w:t>
            </w:r>
            <w:r>
              <w:rPr>
                <w:rFonts w:hint="eastAsia"/>
                <w:color w:val="auto"/>
                <w:sz w:val="18"/>
                <w:szCs w:val="18"/>
                <w:vertAlign w:val="baseline"/>
                <w:lang w:val="en-US" w:eastAsia="zh-CN"/>
              </w:rPr>
              <w:t>安置有模具制造生产线，生产能力为年产</w:t>
            </w:r>
            <w:r>
              <w:rPr>
                <w:rFonts w:hint="eastAsia" w:ascii="Times New Roman" w:hAnsi="Times New Roman" w:cs="Times New Roman"/>
                <w:color w:val="auto"/>
                <w:sz w:val="18"/>
                <w:szCs w:val="18"/>
                <w:highlight w:val="none"/>
                <w:lang w:val="en-US" w:eastAsia="zh-CN"/>
              </w:rPr>
              <w:t>500付</w:t>
            </w:r>
            <w:r>
              <w:rPr>
                <w:rFonts w:hint="eastAsia" w:cs="Times New Roman"/>
                <w:color w:val="auto"/>
                <w:sz w:val="18"/>
                <w:szCs w:val="18"/>
                <w:lang w:val="en-US" w:eastAsia="zh-CN"/>
              </w:rPr>
              <w:t>模具</w:t>
            </w:r>
          </w:p>
        </w:tc>
        <w:tc>
          <w:tcPr>
            <w:tcW w:w="2940" w:type="dxa"/>
            <w:tcBorders>
              <w:tl2br w:val="nil"/>
              <w:tr2bl w:val="nil"/>
            </w:tcBorders>
            <w:vAlign w:val="center"/>
          </w:tcPr>
          <w:p w14:paraId="1F6808CF">
            <w:pPr>
              <w:spacing w:line="240" w:lineRule="atLeast"/>
              <w:jc w:val="center"/>
              <w:rPr>
                <w:rFonts w:hint="eastAsia" w:ascii="Times New Roman" w:hAnsi="Times New Roman" w:eastAsia="宋体"/>
                <w:color w:val="auto"/>
                <w:sz w:val="18"/>
                <w:szCs w:val="18"/>
                <w:lang w:eastAsia="zh-CN"/>
              </w:rPr>
            </w:pPr>
            <w:r>
              <w:rPr>
                <w:rFonts w:hint="eastAsia"/>
                <w:color w:val="auto"/>
                <w:sz w:val="18"/>
                <w:szCs w:val="18"/>
                <w:lang w:val="en-US" w:eastAsia="zh-CN"/>
              </w:rPr>
              <w:t>/</w:t>
            </w:r>
          </w:p>
        </w:tc>
        <w:tc>
          <w:tcPr>
            <w:tcW w:w="2570" w:type="dxa"/>
            <w:tcBorders>
              <w:tl2br w:val="nil"/>
              <w:tr2bl w:val="nil"/>
            </w:tcBorders>
            <w:vAlign w:val="center"/>
          </w:tcPr>
          <w:p w14:paraId="38CC2042">
            <w:pPr>
              <w:spacing w:line="240" w:lineRule="atLeast"/>
              <w:jc w:val="center"/>
              <w:rPr>
                <w:rFonts w:hint="eastAsia" w:cs="Times New Roman"/>
                <w:color w:val="auto"/>
                <w:sz w:val="18"/>
                <w:szCs w:val="18"/>
                <w:lang w:val="en-US" w:eastAsia="zh-CN"/>
              </w:rPr>
            </w:pPr>
            <w:r>
              <w:rPr>
                <w:rFonts w:hint="eastAsia"/>
                <w:color w:val="auto"/>
                <w:sz w:val="18"/>
                <w:szCs w:val="18"/>
                <w:lang w:val="en-US" w:eastAsia="zh-CN"/>
              </w:rPr>
              <w:t>占地面积7254.14</w:t>
            </w:r>
            <w:r>
              <w:rPr>
                <w:rFonts w:ascii="Times New Roman" w:hAnsi="Times New Roman"/>
                <w:color w:val="auto"/>
                <w:sz w:val="18"/>
                <w:szCs w:val="18"/>
              </w:rPr>
              <w:t>m</w:t>
            </w:r>
            <w:r>
              <w:rPr>
                <w:rFonts w:ascii="Times New Roman" w:hAnsi="Times New Roman"/>
                <w:color w:val="auto"/>
                <w:sz w:val="18"/>
                <w:szCs w:val="18"/>
                <w:vertAlign w:val="superscript"/>
              </w:rPr>
              <w:t>2</w:t>
            </w:r>
            <w:r>
              <w:rPr>
                <w:rFonts w:hint="eastAsia"/>
                <w:color w:val="auto"/>
                <w:sz w:val="18"/>
                <w:szCs w:val="18"/>
                <w:vertAlign w:val="baseline"/>
                <w:lang w:eastAsia="zh-CN"/>
              </w:rPr>
              <w:t>，</w:t>
            </w:r>
            <w:r>
              <w:rPr>
                <w:rFonts w:ascii="Times New Roman" w:hAnsi="Times New Roman"/>
                <w:color w:val="auto"/>
                <w:sz w:val="18"/>
                <w:szCs w:val="18"/>
              </w:rPr>
              <w:t>建筑面积</w:t>
            </w:r>
            <w:r>
              <w:rPr>
                <w:rFonts w:hint="eastAsia"/>
                <w:color w:val="auto"/>
                <w:sz w:val="18"/>
                <w:szCs w:val="18"/>
                <w:lang w:val="en-US" w:eastAsia="zh-CN"/>
              </w:rPr>
              <w:t>7254.14</w:t>
            </w:r>
            <w:r>
              <w:rPr>
                <w:rFonts w:ascii="Times New Roman" w:hAnsi="Times New Roman"/>
                <w:color w:val="auto"/>
                <w:sz w:val="18"/>
                <w:szCs w:val="18"/>
              </w:rPr>
              <w:t>m</w:t>
            </w:r>
            <w:r>
              <w:rPr>
                <w:rFonts w:ascii="Times New Roman" w:hAnsi="Times New Roman"/>
                <w:color w:val="auto"/>
                <w:sz w:val="18"/>
                <w:szCs w:val="18"/>
                <w:vertAlign w:val="superscript"/>
              </w:rPr>
              <w:t>2</w:t>
            </w:r>
            <w:r>
              <w:rPr>
                <w:rFonts w:hint="eastAsia"/>
                <w:color w:val="auto"/>
                <w:sz w:val="18"/>
                <w:szCs w:val="18"/>
                <w:vertAlign w:val="baseline"/>
                <w:lang w:eastAsia="zh-CN"/>
              </w:rPr>
              <w:t>，</w:t>
            </w:r>
            <w:r>
              <w:rPr>
                <w:rFonts w:hint="eastAsia"/>
                <w:color w:val="auto"/>
                <w:sz w:val="18"/>
                <w:szCs w:val="18"/>
                <w:vertAlign w:val="baseline"/>
                <w:lang w:val="en-US" w:eastAsia="zh-CN"/>
              </w:rPr>
              <w:t>安置有模具制造生产线，生产能力为年产</w:t>
            </w:r>
            <w:r>
              <w:rPr>
                <w:rFonts w:hint="eastAsia" w:ascii="Times New Roman" w:hAnsi="Times New Roman" w:cs="Times New Roman"/>
                <w:color w:val="auto"/>
                <w:sz w:val="18"/>
                <w:szCs w:val="18"/>
                <w:highlight w:val="none"/>
                <w:lang w:val="en-US" w:eastAsia="zh-CN"/>
              </w:rPr>
              <w:t>500付</w:t>
            </w:r>
            <w:r>
              <w:rPr>
                <w:rFonts w:hint="eastAsia" w:cs="Times New Roman"/>
                <w:color w:val="auto"/>
                <w:sz w:val="18"/>
                <w:szCs w:val="18"/>
                <w:lang w:val="en-US" w:eastAsia="zh-CN"/>
              </w:rPr>
              <w:t>模具</w:t>
            </w:r>
          </w:p>
        </w:tc>
        <w:tc>
          <w:tcPr>
            <w:tcW w:w="2400" w:type="dxa"/>
            <w:tcBorders>
              <w:tl2br w:val="nil"/>
              <w:tr2bl w:val="nil"/>
            </w:tcBorders>
            <w:vAlign w:val="center"/>
          </w:tcPr>
          <w:p w14:paraId="438887D9">
            <w:pPr>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本项目不涉及</w:t>
            </w:r>
          </w:p>
        </w:tc>
      </w:tr>
      <w:tr w14:paraId="0A1CF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712" w:type="dxa"/>
            <w:vMerge w:val="continue"/>
            <w:tcBorders>
              <w:tl2br w:val="nil"/>
              <w:tr2bl w:val="nil"/>
            </w:tcBorders>
            <w:vAlign w:val="center"/>
          </w:tcPr>
          <w:p w14:paraId="7BDD1411">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p>
        </w:tc>
        <w:tc>
          <w:tcPr>
            <w:tcW w:w="2039" w:type="dxa"/>
            <w:gridSpan w:val="2"/>
            <w:tcBorders>
              <w:tl2br w:val="nil"/>
              <w:tr2bl w:val="nil"/>
            </w:tcBorders>
            <w:shd w:val="clear" w:color="auto" w:fill="auto"/>
            <w:vAlign w:val="center"/>
          </w:tcPr>
          <w:p w14:paraId="6D8E7C0F">
            <w:pPr>
              <w:jc w:val="center"/>
              <w:rPr>
                <w:rFonts w:hint="default"/>
                <w:color w:val="auto"/>
                <w:kern w:val="0"/>
                <w:sz w:val="20"/>
                <w:lang w:val="en-US" w:eastAsia="zh-CN"/>
              </w:rPr>
            </w:pPr>
            <w:r>
              <w:rPr>
                <w:rFonts w:hint="eastAsia"/>
                <w:color w:val="auto"/>
                <w:kern w:val="0"/>
                <w:sz w:val="20"/>
                <w:lang w:val="en-US" w:eastAsia="zh-CN"/>
              </w:rPr>
              <w:t>印刷车间</w:t>
            </w:r>
          </w:p>
        </w:tc>
        <w:tc>
          <w:tcPr>
            <w:tcW w:w="3035" w:type="dxa"/>
            <w:tcBorders>
              <w:tl2br w:val="nil"/>
              <w:tr2bl w:val="nil"/>
            </w:tcBorders>
            <w:vAlign w:val="center"/>
          </w:tcPr>
          <w:p w14:paraId="3A3167F3">
            <w:pPr>
              <w:spacing w:line="240" w:lineRule="atLeast"/>
              <w:jc w:val="center"/>
              <w:rPr>
                <w:rFonts w:hint="eastAsia"/>
                <w:color w:val="auto"/>
                <w:sz w:val="18"/>
                <w:szCs w:val="18"/>
                <w:lang w:val="en-US" w:eastAsia="zh-CN"/>
              </w:rPr>
            </w:pPr>
            <w:r>
              <w:rPr>
                <w:rFonts w:hint="eastAsia"/>
                <w:color w:val="auto"/>
                <w:sz w:val="18"/>
                <w:szCs w:val="18"/>
                <w:lang w:val="en-US" w:eastAsia="zh-CN"/>
              </w:rPr>
              <w:t>占地面积1800</w:t>
            </w:r>
            <w:r>
              <w:rPr>
                <w:rFonts w:ascii="Times New Roman" w:hAnsi="Times New Roman"/>
                <w:color w:val="auto"/>
                <w:sz w:val="18"/>
                <w:szCs w:val="18"/>
              </w:rPr>
              <w:t>m</w:t>
            </w:r>
            <w:r>
              <w:rPr>
                <w:rFonts w:ascii="Times New Roman" w:hAnsi="Times New Roman"/>
                <w:color w:val="auto"/>
                <w:sz w:val="18"/>
                <w:szCs w:val="18"/>
                <w:vertAlign w:val="superscript"/>
              </w:rPr>
              <w:t>2</w:t>
            </w:r>
            <w:r>
              <w:rPr>
                <w:rFonts w:hint="eastAsia"/>
                <w:color w:val="auto"/>
                <w:sz w:val="18"/>
                <w:szCs w:val="18"/>
                <w:vertAlign w:val="baseline"/>
                <w:lang w:eastAsia="zh-CN"/>
              </w:rPr>
              <w:t>，</w:t>
            </w:r>
            <w:r>
              <w:rPr>
                <w:rFonts w:ascii="Times New Roman" w:hAnsi="Times New Roman"/>
                <w:color w:val="auto"/>
                <w:sz w:val="18"/>
                <w:szCs w:val="18"/>
              </w:rPr>
              <w:t>建筑面积约</w:t>
            </w:r>
            <w:r>
              <w:rPr>
                <w:rFonts w:hint="eastAsia"/>
                <w:color w:val="auto"/>
                <w:sz w:val="18"/>
                <w:szCs w:val="18"/>
                <w:lang w:val="en-US" w:eastAsia="zh-CN"/>
              </w:rPr>
              <w:t>1800</w:t>
            </w:r>
            <w:r>
              <w:rPr>
                <w:rFonts w:ascii="Times New Roman" w:hAnsi="Times New Roman"/>
                <w:color w:val="auto"/>
                <w:sz w:val="18"/>
                <w:szCs w:val="18"/>
              </w:rPr>
              <w:t>m</w:t>
            </w:r>
            <w:r>
              <w:rPr>
                <w:rFonts w:ascii="Times New Roman" w:hAnsi="Times New Roman"/>
                <w:color w:val="auto"/>
                <w:sz w:val="18"/>
                <w:szCs w:val="18"/>
                <w:vertAlign w:val="superscript"/>
              </w:rPr>
              <w:t>2</w:t>
            </w:r>
            <w:r>
              <w:rPr>
                <w:rFonts w:hint="eastAsia"/>
                <w:color w:val="auto"/>
                <w:sz w:val="18"/>
                <w:szCs w:val="18"/>
                <w:vertAlign w:val="baseline"/>
                <w:lang w:eastAsia="zh-CN"/>
              </w:rPr>
              <w:t>，</w:t>
            </w:r>
            <w:r>
              <w:rPr>
                <w:rFonts w:hint="eastAsia"/>
                <w:color w:val="auto"/>
                <w:sz w:val="18"/>
                <w:szCs w:val="18"/>
                <w:vertAlign w:val="baseline"/>
                <w:lang w:val="en-US" w:eastAsia="zh-CN"/>
              </w:rPr>
              <w:t>安置有</w:t>
            </w:r>
            <w:r>
              <w:rPr>
                <w:rFonts w:hint="eastAsia" w:cs="Times New Roman"/>
                <w:color w:val="auto"/>
                <w:sz w:val="18"/>
                <w:szCs w:val="18"/>
                <w:lang w:val="en-US" w:eastAsia="zh-CN"/>
              </w:rPr>
              <w:t>油墨印刷塑料件</w:t>
            </w:r>
            <w:r>
              <w:rPr>
                <w:rFonts w:hint="eastAsia"/>
                <w:color w:val="auto"/>
                <w:sz w:val="18"/>
                <w:szCs w:val="18"/>
                <w:vertAlign w:val="baseline"/>
                <w:lang w:val="en-US" w:eastAsia="zh-CN"/>
              </w:rPr>
              <w:t>生产线，生产能力为年产</w:t>
            </w:r>
            <w:r>
              <w:rPr>
                <w:rFonts w:hint="eastAsia" w:ascii="Times New Roman" w:hAnsi="Times New Roman" w:cs="Times New Roman"/>
                <w:color w:val="auto"/>
                <w:sz w:val="18"/>
                <w:szCs w:val="18"/>
                <w:highlight w:val="none"/>
                <w:lang w:val="en-US" w:eastAsia="zh-CN"/>
              </w:rPr>
              <w:t>50万台套</w:t>
            </w:r>
            <w:r>
              <w:rPr>
                <w:rFonts w:hint="eastAsia" w:cs="Times New Roman"/>
                <w:color w:val="auto"/>
                <w:sz w:val="18"/>
                <w:szCs w:val="18"/>
                <w:lang w:val="en-US" w:eastAsia="zh-CN"/>
              </w:rPr>
              <w:t>油墨印刷塑料件</w:t>
            </w:r>
          </w:p>
        </w:tc>
        <w:tc>
          <w:tcPr>
            <w:tcW w:w="2940" w:type="dxa"/>
            <w:tcBorders>
              <w:tl2br w:val="nil"/>
              <w:tr2bl w:val="nil"/>
            </w:tcBorders>
            <w:vAlign w:val="center"/>
          </w:tcPr>
          <w:p w14:paraId="518724F6">
            <w:pPr>
              <w:spacing w:line="240" w:lineRule="atLeast"/>
              <w:jc w:val="center"/>
              <w:rPr>
                <w:rFonts w:hint="eastAsia" w:ascii="Times New Roman" w:hAnsi="Times New Roman" w:eastAsia="宋体"/>
                <w:color w:val="auto"/>
                <w:sz w:val="18"/>
                <w:szCs w:val="18"/>
                <w:lang w:val="en-US" w:eastAsia="zh-CN"/>
              </w:rPr>
            </w:pPr>
            <w:r>
              <w:rPr>
                <w:rFonts w:hint="eastAsia"/>
                <w:color w:val="auto"/>
                <w:sz w:val="18"/>
                <w:szCs w:val="18"/>
                <w:lang w:val="en-US" w:eastAsia="zh-CN"/>
              </w:rPr>
              <w:t>/</w:t>
            </w:r>
          </w:p>
        </w:tc>
        <w:tc>
          <w:tcPr>
            <w:tcW w:w="2570" w:type="dxa"/>
            <w:tcBorders>
              <w:tl2br w:val="nil"/>
              <w:tr2bl w:val="nil"/>
            </w:tcBorders>
            <w:vAlign w:val="center"/>
          </w:tcPr>
          <w:p w14:paraId="4C0FABFC">
            <w:pPr>
              <w:spacing w:line="240" w:lineRule="atLeast"/>
              <w:jc w:val="center"/>
              <w:rPr>
                <w:rFonts w:hint="eastAsia" w:cs="Times New Roman"/>
                <w:color w:val="auto"/>
                <w:sz w:val="18"/>
                <w:szCs w:val="18"/>
                <w:highlight w:val="none"/>
                <w:lang w:val="en-US" w:eastAsia="zh-CN"/>
              </w:rPr>
            </w:pPr>
            <w:r>
              <w:rPr>
                <w:rFonts w:hint="eastAsia"/>
                <w:color w:val="auto"/>
                <w:sz w:val="18"/>
                <w:szCs w:val="18"/>
                <w:lang w:val="en-US" w:eastAsia="zh-CN"/>
              </w:rPr>
              <w:t>占地面积1800</w:t>
            </w:r>
            <w:r>
              <w:rPr>
                <w:rFonts w:ascii="Times New Roman" w:hAnsi="Times New Roman"/>
                <w:color w:val="auto"/>
                <w:sz w:val="18"/>
                <w:szCs w:val="18"/>
              </w:rPr>
              <w:t>m</w:t>
            </w:r>
            <w:r>
              <w:rPr>
                <w:rFonts w:ascii="Times New Roman" w:hAnsi="Times New Roman"/>
                <w:color w:val="auto"/>
                <w:sz w:val="18"/>
                <w:szCs w:val="18"/>
                <w:vertAlign w:val="superscript"/>
              </w:rPr>
              <w:t>2</w:t>
            </w:r>
            <w:r>
              <w:rPr>
                <w:rFonts w:hint="eastAsia"/>
                <w:color w:val="auto"/>
                <w:sz w:val="18"/>
                <w:szCs w:val="18"/>
                <w:vertAlign w:val="baseline"/>
                <w:lang w:eastAsia="zh-CN"/>
              </w:rPr>
              <w:t>，</w:t>
            </w:r>
            <w:r>
              <w:rPr>
                <w:rFonts w:ascii="Times New Roman" w:hAnsi="Times New Roman"/>
                <w:color w:val="auto"/>
                <w:sz w:val="18"/>
                <w:szCs w:val="18"/>
              </w:rPr>
              <w:t>建筑面积约</w:t>
            </w:r>
            <w:r>
              <w:rPr>
                <w:rFonts w:hint="eastAsia"/>
                <w:color w:val="auto"/>
                <w:sz w:val="18"/>
                <w:szCs w:val="18"/>
                <w:lang w:val="en-US" w:eastAsia="zh-CN"/>
              </w:rPr>
              <w:t>1800</w:t>
            </w:r>
            <w:r>
              <w:rPr>
                <w:rFonts w:ascii="Times New Roman" w:hAnsi="Times New Roman"/>
                <w:color w:val="auto"/>
                <w:sz w:val="18"/>
                <w:szCs w:val="18"/>
              </w:rPr>
              <w:t>m</w:t>
            </w:r>
            <w:r>
              <w:rPr>
                <w:rFonts w:ascii="Times New Roman" w:hAnsi="Times New Roman"/>
                <w:color w:val="auto"/>
                <w:sz w:val="18"/>
                <w:szCs w:val="18"/>
                <w:vertAlign w:val="superscript"/>
              </w:rPr>
              <w:t>2</w:t>
            </w:r>
            <w:r>
              <w:rPr>
                <w:rFonts w:hint="eastAsia"/>
                <w:color w:val="auto"/>
                <w:sz w:val="18"/>
                <w:szCs w:val="18"/>
                <w:vertAlign w:val="baseline"/>
                <w:lang w:eastAsia="zh-CN"/>
              </w:rPr>
              <w:t>，</w:t>
            </w:r>
            <w:r>
              <w:rPr>
                <w:rFonts w:hint="eastAsia"/>
                <w:color w:val="auto"/>
                <w:sz w:val="18"/>
                <w:szCs w:val="18"/>
                <w:vertAlign w:val="baseline"/>
                <w:lang w:val="en-US" w:eastAsia="zh-CN"/>
              </w:rPr>
              <w:t>安置有</w:t>
            </w:r>
            <w:r>
              <w:rPr>
                <w:rFonts w:hint="eastAsia" w:cs="Times New Roman"/>
                <w:color w:val="auto"/>
                <w:sz w:val="18"/>
                <w:szCs w:val="18"/>
                <w:lang w:val="en-US" w:eastAsia="zh-CN"/>
              </w:rPr>
              <w:t>油墨印刷塑料件</w:t>
            </w:r>
            <w:r>
              <w:rPr>
                <w:rFonts w:hint="eastAsia"/>
                <w:color w:val="auto"/>
                <w:sz w:val="18"/>
                <w:szCs w:val="18"/>
                <w:vertAlign w:val="baseline"/>
                <w:lang w:val="en-US" w:eastAsia="zh-CN"/>
              </w:rPr>
              <w:t>生产线，生产能力为年产</w:t>
            </w:r>
            <w:r>
              <w:rPr>
                <w:rFonts w:hint="eastAsia" w:ascii="Times New Roman" w:hAnsi="Times New Roman" w:cs="Times New Roman"/>
                <w:color w:val="auto"/>
                <w:sz w:val="18"/>
                <w:szCs w:val="18"/>
                <w:highlight w:val="none"/>
                <w:lang w:val="en-US" w:eastAsia="zh-CN"/>
              </w:rPr>
              <w:t>50万台套</w:t>
            </w:r>
            <w:r>
              <w:rPr>
                <w:rFonts w:hint="eastAsia" w:cs="Times New Roman"/>
                <w:color w:val="auto"/>
                <w:sz w:val="18"/>
                <w:szCs w:val="18"/>
                <w:lang w:val="en-US" w:eastAsia="zh-CN"/>
              </w:rPr>
              <w:t>油墨印刷塑料件</w:t>
            </w:r>
          </w:p>
        </w:tc>
        <w:tc>
          <w:tcPr>
            <w:tcW w:w="2400" w:type="dxa"/>
            <w:tcBorders>
              <w:tl2br w:val="nil"/>
              <w:tr2bl w:val="nil"/>
            </w:tcBorders>
            <w:vAlign w:val="center"/>
          </w:tcPr>
          <w:p w14:paraId="69326553">
            <w:pPr>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本项目不涉及</w:t>
            </w:r>
          </w:p>
        </w:tc>
      </w:tr>
      <w:tr w14:paraId="563919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712" w:type="dxa"/>
            <w:vMerge w:val="continue"/>
            <w:tcBorders>
              <w:tl2br w:val="nil"/>
              <w:tr2bl w:val="nil"/>
            </w:tcBorders>
            <w:vAlign w:val="center"/>
          </w:tcPr>
          <w:p w14:paraId="33B37174">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p>
        </w:tc>
        <w:tc>
          <w:tcPr>
            <w:tcW w:w="2039" w:type="dxa"/>
            <w:gridSpan w:val="2"/>
            <w:tcBorders>
              <w:tl2br w:val="nil"/>
              <w:tr2bl w:val="nil"/>
            </w:tcBorders>
            <w:shd w:val="clear" w:color="auto" w:fill="auto"/>
            <w:vAlign w:val="center"/>
          </w:tcPr>
          <w:p w14:paraId="3050AC54">
            <w:pPr>
              <w:jc w:val="center"/>
              <w:rPr>
                <w:rFonts w:hint="default" w:ascii="Times New Roman" w:hAnsi="Times New Roman" w:eastAsia="宋体" w:cs="Times New Roman"/>
                <w:color w:val="auto"/>
                <w:kern w:val="0"/>
                <w:sz w:val="20"/>
                <w:szCs w:val="24"/>
                <w:lang w:val="en-US" w:eastAsia="zh-CN" w:bidi="ar-SA"/>
              </w:rPr>
            </w:pPr>
            <w:r>
              <w:rPr>
                <w:rFonts w:hint="eastAsia"/>
                <w:color w:val="auto"/>
                <w:kern w:val="0"/>
                <w:sz w:val="20"/>
                <w:lang w:val="en-US" w:eastAsia="zh-CN"/>
              </w:rPr>
              <w:t>涂装车间</w:t>
            </w:r>
          </w:p>
        </w:tc>
        <w:tc>
          <w:tcPr>
            <w:tcW w:w="3035" w:type="dxa"/>
            <w:tcBorders>
              <w:tl2br w:val="nil"/>
              <w:tr2bl w:val="nil"/>
            </w:tcBorders>
            <w:vAlign w:val="center"/>
          </w:tcPr>
          <w:p w14:paraId="3B7EC56D">
            <w:pPr>
              <w:spacing w:line="240" w:lineRule="atLeast"/>
              <w:jc w:val="center"/>
              <w:rPr>
                <w:rFonts w:hint="default" w:ascii="Times New Roman" w:hAnsi="Times New Roman" w:eastAsia="宋体" w:cs="Times New Roman"/>
                <w:color w:val="auto"/>
                <w:sz w:val="18"/>
                <w:szCs w:val="18"/>
                <w:lang w:val="en-US" w:eastAsia="zh-CN"/>
              </w:rPr>
            </w:pPr>
            <w:r>
              <w:rPr>
                <w:rFonts w:hint="eastAsia"/>
                <w:color w:val="auto"/>
                <w:sz w:val="18"/>
                <w:szCs w:val="18"/>
                <w:lang w:val="en-US" w:eastAsia="zh-CN"/>
              </w:rPr>
              <w:t>占地面积650</w:t>
            </w:r>
            <w:r>
              <w:rPr>
                <w:rFonts w:ascii="Times New Roman" w:hAnsi="Times New Roman"/>
                <w:color w:val="auto"/>
                <w:sz w:val="18"/>
                <w:szCs w:val="18"/>
              </w:rPr>
              <w:t>m</w:t>
            </w:r>
            <w:r>
              <w:rPr>
                <w:rFonts w:ascii="Times New Roman" w:hAnsi="Times New Roman"/>
                <w:color w:val="auto"/>
                <w:sz w:val="18"/>
                <w:szCs w:val="18"/>
                <w:vertAlign w:val="superscript"/>
              </w:rPr>
              <w:t>2</w:t>
            </w:r>
            <w:r>
              <w:rPr>
                <w:rFonts w:hint="eastAsia"/>
                <w:color w:val="auto"/>
                <w:sz w:val="18"/>
                <w:szCs w:val="18"/>
                <w:vertAlign w:val="baseline"/>
                <w:lang w:eastAsia="zh-CN"/>
              </w:rPr>
              <w:t>，</w:t>
            </w:r>
            <w:r>
              <w:rPr>
                <w:rFonts w:ascii="Times New Roman" w:hAnsi="Times New Roman"/>
                <w:color w:val="auto"/>
                <w:sz w:val="18"/>
                <w:szCs w:val="18"/>
              </w:rPr>
              <w:t>建筑面积约</w:t>
            </w:r>
            <w:r>
              <w:rPr>
                <w:rFonts w:hint="eastAsia" w:ascii="Times New Roman" w:hAnsi="Times New Roman"/>
                <w:color w:val="auto"/>
                <w:sz w:val="18"/>
                <w:szCs w:val="18"/>
                <w:lang w:val="en-US" w:eastAsia="zh-CN"/>
              </w:rPr>
              <w:t>650</w:t>
            </w:r>
            <w:r>
              <w:rPr>
                <w:rFonts w:ascii="Times New Roman" w:hAnsi="Times New Roman"/>
                <w:color w:val="auto"/>
                <w:sz w:val="18"/>
                <w:szCs w:val="18"/>
              </w:rPr>
              <w:t>m</w:t>
            </w:r>
            <w:r>
              <w:rPr>
                <w:rFonts w:ascii="Times New Roman" w:hAnsi="Times New Roman"/>
                <w:color w:val="auto"/>
                <w:sz w:val="18"/>
                <w:szCs w:val="18"/>
                <w:vertAlign w:val="superscript"/>
              </w:rPr>
              <w:t>2</w:t>
            </w:r>
            <w:r>
              <w:rPr>
                <w:rFonts w:hint="eastAsia"/>
                <w:color w:val="auto"/>
                <w:sz w:val="18"/>
                <w:szCs w:val="18"/>
                <w:vertAlign w:val="baseline"/>
                <w:lang w:eastAsia="zh-CN"/>
              </w:rPr>
              <w:t>，</w:t>
            </w:r>
            <w:r>
              <w:rPr>
                <w:rFonts w:hint="eastAsia" w:cs="Times New Roman"/>
                <w:color w:val="auto"/>
                <w:sz w:val="18"/>
                <w:szCs w:val="18"/>
                <w:lang w:val="en-US" w:eastAsia="zh-CN"/>
              </w:rPr>
              <w:t>所在位置紧邻注塑车间一，为成品暂存区。</w:t>
            </w:r>
          </w:p>
        </w:tc>
        <w:tc>
          <w:tcPr>
            <w:tcW w:w="2940" w:type="dxa"/>
            <w:tcBorders>
              <w:tl2br w:val="nil"/>
              <w:tr2bl w:val="nil"/>
            </w:tcBorders>
            <w:vAlign w:val="center"/>
          </w:tcPr>
          <w:p w14:paraId="216888DF">
            <w:pPr>
              <w:spacing w:line="240" w:lineRule="atLeast"/>
              <w:jc w:val="center"/>
              <w:rPr>
                <w:rFonts w:hint="default" w:ascii="Times New Roman" w:hAnsi="Times New Roman" w:eastAsia="宋体" w:cs="Times New Roman"/>
                <w:color w:val="auto"/>
                <w:kern w:val="0"/>
                <w:sz w:val="18"/>
                <w:szCs w:val="18"/>
                <w:lang w:val="en-US" w:eastAsia="zh-CN" w:bidi="ar-SA"/>
              </w:rPr>
            </w:pPr>
            <w:r>
              <w:rPr>
                <w:rFonts w:hint="eastAsia"/>
                <w:color w:val="auto"/>
                <w:sz w:val="18"/>
                <w:szCs w:val="18"/>
                <w:lang w:val="en-US" w:eastAsia="zh-CN"/>
              </w:rPr>
              <w:t>占地面积650</w:t>
            </w:r>
            <w:r>
              <w:rPr>
                <w:rFonts w:ascii="Times New Roman" w:hAnsi="Times New Roman"/>
                <w:color w:val="auto"/>
                <w:sz w:val="18"/>
                <w:szCs w:val="18"/>
              </w:rPr>
              <w:t>m</w:t>
            </w:r>
            <w:r>
              <w:rPr>
                <w:rFonts w:ascii="Times New Roman" w:hAnsi="Times New Roman"/>
                <w:color w:val="auto"/>
                <w:sz w:val="18"/>
                <w:szCs w:val="18"/>
                <w:vertAlign w:val="superscript"/>
              </w:rPr>
              <w:t>2</w:t>
            </w:r>
            <w:r>
              <w:rPr>
                <w:rFonts w:hint="eastAsia"/>
                <w:color w:val="auto"/>
                <w:sz w:val="18"/>
                <w:szCs w:val="18"/>
                <w:vertAlign w:val="baseline"/>
                <w:lang w:eastAsia="zh-CN"/>
              </w:rPr>
              <w:t>，</w:t>
            </w:r>
            <w:r>
              <w:rPr>
                <w:rFonts w:ascii="Times New Roman" w:hAnsi="Times New Roman"/>
                <w:color w:val="auto"/>
                <w:sz w:val="18"/>
                <w:szCs w:val="18"/>
              </w:rPr>
              <w:t>建筑面积约</w:t>
            </w:r>
            <w:r>
              <w:rPr>
                <w:rFonts w:hint="eastAsia" w:ascii="Times New Roman" w:hAnsi="Times New Roman"/>
                <w:color w:val="auto"/>
                <w:sz w:val="18"/>
                <w:szCs w:val="18"/>
                <w:lang w:val="en-US" w:eastAsia="zh-CN"/>
              </w:rPr>
              <w:t>650</w:t>
            </w:r>
            <w:r>
              <w:rPr>
                <w:rFonts w:ascii="Times New Roman" w:hAnsi="Times New Roman"/>
                <w:color w:val="auto"/>
                <w:sz w:val="18"/>
                <w:szCs w:val="18"/>
              </w:rPr>
              <w:t>m</w:t>
            </w:r>
            <w:r>
              <w:rPr>
                <w:rFonts w:ascii="Times New Roman" w:hAnsi="Times New Roman"/>
                <w:color w:val="auto"/>
                <w:sz w:val="18"/>
                <w:szCs w:val="18"/>
                <w:vertAlign w:val="superscript"/>
              </w:rPr>
              <w:t>2</w:t>
            </w:r>
            <w:r>
              <w:rPr>
                <w:rFonts w:hint="eastAsia"/>
                <w:color w:val="auto"/>
                <w:sz w:val="18"/>
                <w:szCs w:val="18"/>
                <w:vertAlign w:val="baseline"/>
                <w:lang w:eastAsia="zh-CN"/>
              </w:rPr>
              <w:t>，</w:t>
            </w:r>
            <w:r>
              <w:rPr>
                <w:rFonts w:hint="eastAsia" w:cs="Times New Roman"/>
                <w:color w:val="auto"/>
                <w:sz w:val="18"/>
                <w:szCs w:val="18"/>
                <w:lang w:val="en-US" w:eastAsia="zh-CN"/>
              </w:rPr>
              <w:t>所在位置紧邻注塑车间一，利用现有厂房，</w:t>
            </w:r>
            <w:r>
              <w:rPr>
                <w:rFonts w:hint="eastAsia" w:cs="Times New Roman"/>
                <w:color w:val="auto"/>
                <w:sz w:val="18"/>
                <w:szCs w:val="18"/>
                <w:lang w:val="en-US" w:eastAsia="zh-CN"/>
              </w:rPr>
              <w:t>将成品暂存区改造为涂装车间，</w:t>
            </w:r>
            <w:r>
              <w:rPr>
                <w:rFonts w:hint="eastAsia" w:cs="Times New Roman"/>
                <w:color w:val="auto"/>
                <w:kern w:val="0"/>
                <w:sz w:val="18"/>
                <w:szCs w:val="18"/>
                <w:lang w:val="en-US" w:eastAsia="zh-CN" w:bidi="ar-SA"/>
              </w:rPr>
              <w:t>新增</w:t>
            </w:r>
            <w:r>
              <w:rPr>
                <w:rFonts w:hint="eastAsia" w:cs="Times New Roman"/>
                <w:color w:val="auto"/>
                <w:sz w:val="18"/>
                <w:szCs w:val="18"/>
                <w:lang w:val="en-US" w:eastAsia="zh-CN"/>
              </w:rPr>
              <w:t>置车灯涂装线，新增年产</w:t>
            </w:r>
            <w:r>
              <w:rPr>
                <w:rFonts w:hint="eastAsia" w:ascii="Times New Roman" w:hAnsi="Times New Roman" w:cs="Times New Roman"/>
                <w:color w:val="auto"/>
                <w:kern w:val="2"/>
                <w:sz w:val="18"/>
                <w:szCs w:val="18"/>
                <w:highlight w:val="none"/>
                <w:lang w:val="en-US" w:eastAsia="zh-CN" w:bidi="zh-CN"/>
              </w:rPr>
              <w:t>12.7</w:t>
            </w:r>
            <w:r>
              <w:rPr>
                <w:rFonts w:hint="eastAsia" w:ascii="Times New Roman" w:hAnsi="Times New Roman" w:cs="Times New Roman"/>
                <w:b w:val="0"/>
                <w:bCs w:val="0"/>
                <w:color w:val="auto"/>
                <w:kern w:val="2"/>
                <w:sz w:val="18"/>
                <w:szCs w:val="18"/>
                <w:highlight w:val="none"/>
                <w:lang w:val="en-US" w:eastAsia="zh-CN" w:bidi="zh-CN"/>
              </w:rPr>
              <w:t>万套</w:t>
            </w:r>
            <w:r>
              <w:rPr>
                <w:rFonts w:hint="eastAsia" w:cs="Times New Roman"/>
                <w:b w:val="0"/>
                <w:bCs w:val="0"/>
                <w:color w:val="auto"/>
                <w:kern w:val="2"/>
                <w:sz w:val="18"/>
                <w:szCs w:val="18"/>
                <w:highlight w:val="none"/>
                <w:lang w:val="en-US" w:eastAsia="zh-CN" w:bidi="zh-CN"/>
              </w:rPr>
              <w:t>HC车灯和</w:t>
            </w:r>
            <w:r>
              <w:rPr>
                <w:rFonts w:hint="eastAsia" w:ascii="Times New Roman" w:hAnsi="Times New Roman" w:cs="Times New Roman"/>
                <w:color w:val="auto"/>
                <w:kern w:val="2"/>
                <w:sz w:val="18"/>
                <w:szCs w:val="18"/>
                <w:highlight w:val="none"/>
                <w:lang w:val="en-US" w:eastAsia="zh-CN" w:bidi="zh-CN"/>
              </w:rPr>
              <w:t>8.5</w:t>
            </w:r>
            <w:r>
              <w:rPr>
                <w:rFonts w:hint="eastAsia" w:ascii="Times New Roman" w:hAnsi="Times New Roman" w:cs="Times New Roman"/>
                <w:b w:val="0"/>
                <w:bCs w:val="0"/>
                <w:color w:val="auto"/>
                <w:kern w:val="2"/>
                <w:sz w:val="18"/>
                <w:szCs w:val="18"/>
                <w:highlight w:val="none"/>
                <w:lang w:val="en-US" w:eastAsia="zh-CN" w:bidi="zh-CN"/>
              </w:rPr>
              <w:t>万套</w:t>
            </w:r>
            <w:r>
              <w:rPr>
                <w:rFonts w:hint="eastAsia" w:cs="Times New Roman"/>
                <w:b w:val="0"/>
                <w:bCs w:val="0"/>
                <w:color w:val="auto"/>
                <w:kern w:val="2"/>
                <w:sz w:val="18"/>
                <w:szCs w:val="18"/>
                <w:highlight w:val="none"/>
                <w:lang w:val="en-US" w:eastAsia="zh-CN" w:bidi="zh-CN"/>
              </w:rPr>
              <w:t>防雾车灯</w:t>
            </w:r>
          </w:p>
        </w:tc>
        <w:tc>
          <w:tcPr>
            <w:tcW w:w="2570" w:type="dxa"/>
            <w:tcBorders>
              <w:tl2br w:val="nil"/>
              <w:tr2bl w:val="nil"/>
            </w:tcBorders>
            <w:vAlign w:val="center"/>
          </w:tcPr>
          <w:p w14:paraId="370CDD79">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eastAsia="宋体" w:cs="Times New Roman"/>
                <w:color w:val="auto"/>
                <w:sz w:val="18"/>
                <w:szCs w:val="18"/>
                <w:vertAlign w:val="baseline"/>
                <w:lang w:val="en-US" w:eastAsia="zh-CN"/>
              </w:rPr>
            </w:pPr>
            <w:r>
              <w:rPr>
                <w:rFonts w:hint="eastAsia"/>
                <w:color w:val="auto"/>
                <w:sz w:val="18"/>
                <w:szCs w:val="18"/>
                <w:lang w:val="en-US" w:eastAsia="zh-CN"/>
              </w:rPr>
              <w:t>占地面积650</w:t>
            </w:r>
            <w:r>
              <w:rPr>
                <w:rFonts w:ascii="Times New Roman" w:hAnsi="Times New Roman"/>
                <w:color w:val="auto"/>
                <w:sz w:val="18"/>
                <w:szCs w:val="18"/>
              </w:rPr>
              <w:t>m</w:t>
            </w:r>
            <w:r>
              <w:rPr>
                <w:rFonts w:ascii="Times New Roman" w:hAnsi="Times New Roman"/>
                <w:color w:val="auto"/>
                <w:sz w:val="18"/>
                <w:szCs w:val="18"/>
                <w:vertAlign w:val="superscript"/>
              </w:rPr>
              <w:t>2</w:t>
            </w:r>
            <w:r>
              <w:rPr>
                <w:rFonts w:hint="eastAsia"/>
                <w:color w:val="auto"/>
                <w:sz w:val="18"/>
                <w:szCs w:val="18"/>
                <w:vertAlign w:val="baseline"/>
                <w:lang w:eastAsia="zh-CN"/>
              </w:rPr>
              <w:t>，</w:t>
            </w:r>
            <w:r>
              <w:rPr>
                <w:rFonts w:ascii="Times New Roman" w:hAnsi="Times New Roman"/>
                <w:color w:val="auto"/>
                <w:sz w:val="18"/>
                <w:szCs w:val="18"/>
              </w:rPr>
              <w:t>建筑面积约</w:t>
            </w:r>
            <w:r>
              <w:rPr>
                <w:rFonts w:hint="eastAsia" w:ascii="Times New Roman" w:hAnsi="Times New Roman"/>
                <w:color w:val="auto"/>
                <w:sz w:val="18"/>
                <w:szCs w:val="18"/>
                <w:lang w:val="en-US" w:eastAsia="zh-CN"/>
              </w:rPr>
              <w:t>650</w:t>
            </w:r>
            <w:r>
              <w:rPr>
                <w:rFonts w:ascii="Times New Roman" w:hAnsi="Times New Roman"/>
                <w:color w:val="auto"/>
                <w:sz w:val="18"/>
                <w:szCs w:val="18"/>
              </w:rPr>
              <w:t>m</w:t>
            </w:r>
            <w:r>
              <w:rPr>
                <w:rFonts w:ascii="Times New Roman" w:hAnsi="Times New Roman"/>
                <w:color w:val="auto"/>
                <w:sz w:val="18"/>
                <w:szCs w:val="18"/>
                <w:vertAlign w:val="superscript"/>
              </w:rPr>
              <w:t>2</w:t>
            </w:r>
            <w:r>
              <w:rPr>
                <w:rFonts w:hint="eastAsia"/>
                <w:color w:val="auto"/>
                <w:sz w:val="18"/>
                <w:szCs w:val="18"/>
                <w:vertAlign w:val="baseline"/>
                <w:lang w:eastAsia="zh-CN"/>
              </w:rPr>
              <w:t>，</w:t>
            </w:r>
            <w:r>
              <w:rPr>
                <w:rFonts w:hint="eastAsia" w:cs="Times New Roman"/>
                <w:color w:val="auto"/>
                <w:sz w:val="18"/>
                <w:szCs w:val="18"/>
                <w:lang w:val="en-US" w:eastAsia="zh-CN"/>
              </w:rPr>
              <w:t>所在位置紧邻注塑车间一，安置车灯涂装线，新增生产能力为年产</w:t>
            </w:r>
            <w:r>
              <w:rPr>
                <w:rFonts w:hint="eastAsia" w:ascii="Times New Roman" w:hAnsi="Times New Roman" w:cs="Times New Roman"/>
                <w:color w:val="auto"/>
                <w:kern w:val="2"/>
                <w:sz w:val="18"/>
                <w:szCs w:val="18"/>
                <w:highlight w:val="none"/>
                <w:lang w:val="en-US" w:eastAsia="zh-CN" w:bidi="zh-CN"/>
              </w:rPr>
              <w:t>12.7</w:t>
            </w:r>
            <w:r>
              <w:rPr>
                <w:rFonts w:hint="eastAsia" w:ascii="Times New Roman" w:hAnsi="Times New Roman" w:cs="Times New Roman"/>
                <w:b w:val="0"/>
                <w:bCs w:val="0"/>
                <w:color w:val="auto"/>
                <w:kern w:val="2"/>
                <w:sz w:val="18"/>
                <w:szCs w:val="18"/>
                <w:highlight w:val="none"/>
                <w:lang w:val="en-US" w:eastAsia="zh-CN" w:bidi="zh-CN"/>
              </w:rPr>
              <w:t>万套</w:t>
            </w:r>
            <w:r>
              <w:rPr>
                <w:rFonts w:hint="eastAsia" w:cs="Times New Roman"/>
                <w:b w:val="0"/>
                <w:bCs w:val="0"/>
                <w:color w:val="auto"/>
                <w:kern w:val="2"/>
                <w:sz w:val="18"/>
                <w:szCs w:val="18"/>
                <w:highlight w:val="none"/>
                <w:lang w:val="en-US" w:eastAsia="zh-CN" w:bidi="zh-CN"/>
              </w:rPr>
              <w:t>HC车灯和</w:t>
            </w:r>
            <w:r>
              <w:rPr>
                <w:rFonts w:hint="eastAsia" w:ascii="Times New Roman" w:hAnsi="Times New Roman" w:cs="Times New Roman"/>
                <w:color w:val="auto"/>
                <w:kern w:val="2"/>
                <w:sz w:val="18"/>
                <w:szCs w:val="18"/>
                <w:highlight w:val="none"/>
                <w:lang w:val="en-US" w:eastAsia="zh-CN" w:bidi="zh-CN"/>
              </w:rPr>
              <w:t>8.5</w:t>
            </w:r>
            <w:r>
              <w:rPr>
                <w:rFonts w:hint="eastAsia" w:ascii="Times New Roman" w:hAnsi="Times New Roman" w:cs="Times New Roman"/>
                <w:b w:val="0"/>
                <w:bCs w:val="0"/>
                <w:color w:val="auto"/>
                <w:kern w:val="2"/>
                <w:sz w:val="18"/>
                <w:szCs w:val="18"/>
                <w:highlight w:val="none"/>
                <w:lang w:val="en-US" w:eastAsia="zh-CN" w:bidi="zh-CN"/>
              </w:rPr>
              <w:t>万套</w:t>
            </w:r>
            <w:r>
              <w:rPr>
                <w:rFonts w:hint="eastAsia" w:cs="Times New Roman"/>
                <w:b w:val="0"/>
                <w:bCs w:val="0"/>
                <w:color w:val="auto"/>
                <w:kern w:val="2"/>
                <w:sz w:val="18"/>
                <w:szCs w:val="18"/>
                <w:highlight w:val="none"/>
                <w:lang w:val="en-US" w:eastAsia="zh-CN" w:bidi="zh-CN"/>
              </w:rPr>
              <w:t>防雾车灯</w:t>
            </w:r>
          </w:p>
        </w:tc>
        <w:tc>
          <w:tcPr>
            <w:tcW w:w="2400" w:type="dxa"/>
            <w:tcBorders>
              <w:tl2br w:val="nil"/>
              <w:tr2bl w:val="nil"/>
            </w:tcBorders>
            <w:vAlign w:val="center"/>
          </w:tcPr>
          <w:p w14:paraId="79CA8C4B">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紧邻注塑车间一</w:t>
            </w:r>
          </w:p>
        </w:tc>
      </w:tr>
      <w:tr w14:paraId="334841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712" w:type="dxa"/>
            <w:vMerge w:val="restart"/>
            <w:tcBorders>
              <w:tl2br w:val="nil"/>
              <w:tr2bl w:val="nil"/>
            </w:tcBorders>
            <w:vAlign w:val="center"/>
          </w:tcPr>
          <w:p w14:paraId="1F590957">
            <w:pPr>
              <w:pStyle w:val="8"/>
              <w:keepNext w:val="0"/>
              <w:keepLines w:val="0"/>
              <w:pageBreakBefore w:val="0"/>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储运工程</w:t>
            </w:r>
          </w:p>
        </w:tc>
        <w:tc>
          <w:tcPr>
            <w:tcW w:w="2039" w:type="dxa"/>
            <w:gridSpan w:val="2"/>
            <w:tcBorders>
              <w:tl2br w:val="nil"/>
              <w:tr2bl w:val="nil"/>
            </w:tcBorders>
            <w:vAlign w:val="center"/>
          </w:tcPr>
          <w:p w14:paraId="3416D765">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ascii="Times New Roman" w:hAnsi="Times New Roman"/>
                <w:color w:val="auto"/>
                <w:sz w:val="18"/>
                <w:szCs w:val="18"/>
              </w:rPr>
              <w:t>原料仓库</w:t>
            </w:r>
          </w:p>
        </w:tc>
        <w:tc>
          <w:tcPr>
            <w:tcW w:w="3035" w:type="dxa"/>
            <w:tcBorders>
              <w:tl2br w:val="nil"/>
              <w:tr2bl w:val="nil"/>
            </w:tcBorders>
            <w:vAlign w:val="center"/>
          </w:tcPr>
          <w:p w14:paraId="56671377">
            <w:pPr>
              <w:spacing w:line="240" w:lineRule="atLeast"/>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color w:val="auto"/>
                <w:sz w:val="18"/>
                <w:szCs w:val="18"/>
              </w:rPr>
              <w:t>建筑面积约4722.6m</w:t>
            </w:r>
            <w:r>
              <w:rPr>
                <w:rFonts w:ascii="Times New Roman" w:hAnsi="Times New Roman"/>
                <w:color w:val="auto"/>
                <w:sz w:val="18"/>
                <w:szCs w:val="18"/>
                <w:vertAlign w:val="superscript"/>
              </w:rPr>
              <w:t>2</w:t>
            </w:r>
          </w:p>
        </w:tc>
        <w:tc>
          <w:tcPr>
            <w:tcW w:w="2940" w:type="dxa"/>
            <w:tcBorders>
              <w:tl2br w:val="nil"/>
              <w:tr2bl w:val="nil"/>
            </w:tcBorders>
            <w:vAlign w:val="center"/>
          </w:tcPr>
          <w:p w14:paraId="1C364BFC">
            <w:pPr>
              <w:spacing w:line="240" w:lineRule="atLeast"/>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依托现有</w:t>
            </w:r>
          </w:p>
        </w:tc>
        <w:tc>
          <w:tcPr>
            <w:tcW w:w="2570" w:type="dxa"/>
            <w:tcBorders>
              <w:tl2br w:val="nil"/>
              <w:tr2bl w:val="nil"/>
            </w:tcBorders>
            <w:vAlign w:val="center"/>
          </w:tcPr>
          <w:p w14:paraId="417F9FE8">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与技改前一致</w:t>
            </w:r>
          </w:p>
        </w:tc>
        <w:tc>
          <w:tcPr>
            <w:tcW w:w="2400" w:type="dxa"/>
            <w:tcBorders>
              <w:tl2br w:val="nil"/>
              <w:tr2bl w:val="nil"/>
            </w:tcBorders>
            <w:vAlign w:val="center"/>
          </w:tcPr>
          <w:p w14:paraId="2C703465">
            <w:pPr>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r>
      <w:tr w14:paraId="798A41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712" w:type="dxa"/>
            <w:vMerge w:val="continue"/>
            <w:tcBorders>
              <w:tl2br w:val="nil"/>
              <w:tr2bl w:val="nil"/>
            </w:tcBorders>
            <w:vAlign w:val="center"/>
          </w:tcPr>
          <w:p w14:paraId="68E971F3">
            <w:pPr>
              <w:pStyle w:val="8"/>
              <w:keepNext w:val="0"/>
              <w:keepLines w:val="0"/>
              <w:pageBreakBefore w:val="0"/>
              <w:kinsoku/>
              <w:wordWrap/>
              <w:overflowPunct/>
              <w:topLinePunct w:val="0"/>
              <w:autoSpaceDE/>
              <w:autoSpaceDN/>
              <w:bidi w:val="0"/>
              <w:adjustRightInd/>
              <w:spacing w:before="0" w:after="0" w:line="240" w:lineRule="auto"/>
              <w:ind w:right="0" w:rightChars="0"/>
              <w:jc w:val="center"/>
              <w:textAlignment w:val="auto"/>
              <w:rPr>
                <w:rFonts w:hint="eastAsia" w:cs="Times New Roman"/>
                <w:color w:val="auto"/>
                <w:sz w:val="18"/>
                <w:szCs w:val="18"/>
                <w:lang w:val="en-US" w:eastAsia="zh-CN"/>
              </w:rPr>
            </w:pPr>
          </w:p>
        </w:tc>
        <w:tc>
          <w:tcPr>
            <w:tcW w:w="2039" w:type="dxa"/>
            <w:gridSpan w:val="2"/>
            <w:tcBorders>
              <w:tl2br w:val="nil"/>
              <w:tr2bl w:val="nil"/>
            </w:tcBorders>
            <w:vAlign w:val="center"/>
          </w:tcPr>
          <w:p w14:paraId="7CEC73C1">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成品仓库</w:t>
            </w:r>
          </w:p>
        </w:tc>
        <w:tc>
          <w:tcPr>
            <w:tcW w:w="3035" w:type="dxa"/>
            <w:tcBorders>
              <w:tl2br w:val="nil"/>
              <w:tr2bl w:val="nil"/>
            </w:tcBorders>
            <w:shd w:val="clear" w:color="auto" w:fill="auto"/>
            <w:vAlign w:val="center"/>
          </w:tcPr>
          <w:p w14:paraId="3D661009">
            <w:pPr>
              <w:spacing w:line="240" w:lineRule="atLeast"/>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color w:val="auto"/>
                <w:sz w:val="18"/>
                <w:szCs w:val="18"/>
              </w:rPr>
              <w:t>建筑面积约</w:t>
            </w:r>
            <w:r>
              <w:rPr>
                <w:rFonts w:hint="eastAsia"/>
                <w:color w:val="auto"/>
                <w:sz w:val="18"/>
                <w:szCs w:val="18"/>
                <w:lang w:val="en-US" w:eastAsia="zh-CN"/>
              </w:rPr>
              <w:t>8928</w:t>
            </w:r>
            <w:r>
              <w:rPr>
                <w:rFonts w:ascii="Times New Roman" w:hAnsi="Times New Roman"/>
                <w:color w:val="auto"/>
                <w:sz w:val="18"/>
                <w:szCs w:val="18"/>
              </w:rPr>
              <w:t>m</w:t>
            </w:r>
            <w:r>
              <w:rPr>
                <w:rFonts w:ascii="Times New Roman" w:hAnsi="Times New Roman"/>
                <w:color w:val="auto"/>
                <w:sz w:val="18"/>
                <w:szCs w:val="18"/>
                <w:vertAlign w:val="superscript"/>
              </w:rPr>
              <w:t>2</w:t>
            </w:r>
          </w:p>
        </w:tc>
        <w:tc>
          <w:tcPr>
            <w:tcW w:w="2940" w:type="dxa"/>
            <w:tcBorders>
              <w:tl2br w:val="nil"/>
              <w:tr2bl w:val="nil"/>
            </w:tcBorders>
            <w:shd w:val="clear" w:color="auto" w:fill="auto"/>
            <w:vAlign w:val="center"/>
          </w:tcPr>
          <w:p w14:paraId="6D2F887F">
            <w:pPr>
              <w:spacing w:line="240" w:lineRule="atLeast"/>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依托现有</w:t>
            </w:r>
          </w:p>
        </w:tc>
        <w:tc>
          <w:tcPr>
            <w:tcW w:w="2570" w:type="dxa"/>
            <w:tcBorders>
              <w:tl2br w:val="nil"/>
              <w:tr2bl w:val="nil"/>
            </w:tcBorders>
            <w:vAlign w:val="center"/>
          </w:tcPr>
          <w:p w14:paraId="33F441F8">
            <w:pPr>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与技改前一致</w:t>
            </w:r>
          </w:p>
        </w:tc>
        <w:tc>
          <w:tcPr>
            <w:tcW w:w="2400" w:type="dxa"/>
            <w:tcBorders>
              <w:tl2br w:val="nil"/>
              <w:tr2bl w:val="nil"/>
            </w:tcBorders>
            <w:vAlign w:val="center"/>
          </w:tcPr>
          <w:p w14:paraId="3B4FB82A">
            <w:pPr>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r>
      <w:tr w14:paraId="3A5FB2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712" w:type="dxa"/>
            <w:vMerge w:val="continue"/>
            <w:tcBorders>
              <w:tl2br w:val="nil"/>
              <w:tr2bl w:val="nil"/>
            </w:tcBorders>
            <w:vAlign w:val="center"/>
          </w:tcPr>
          <w:p w14:paraId="542FEB86">
            <w:pPr>
              <w:pStyle w:val="8"/>
              <w:keepNext w:val="0"/>
              <w:keepLines w:val="0"/>
              <w:pageBreakBefore w:val="0"/>
              <w:kinsoku/>
              <w:wordWrap/>
              <w:overflowPunct/>
              <w:topLinePunct w:val="0"/>
              <w:autoSpaceDE/>
              <w:autoSpaceDN/>
              <w:bidi w:val="0"/>
              <w:adjustRightInd/>
              <w:spacing w:before="0" w:after="0" w:line="240" w:lineRule="auto"/>
              <w:ind w:right="0" w:rightChars="0"/>
              <w:jc w:val="center"/>
              <w:textAlignment w:val="auto"/>
              <w:rPr>
                <w:rFonts w:hint="eastAsia" w:cs="Times New Roman"/>
                <w:color w:val="auto"/>
                <w:sz w:val="18"/>
                <w:szCs w:val="18"/>
                <w:lang w:val="en-US" w:eastAsia="zh-CN"/>
              </w:rPr>
            </w:pPr>
          </w:p>
        </w:tc>
        <w:tc>
          <w:tcPr>
            <w:tcW w:w="2039" w:type="dxa"/>
            <w:gridSpan w:val="2"/>
            <w:tcBorders>
              <w:tl2br w:val="nil"/>
              <w:tr2bl w:val="nil"/>
            </w:tcBorders>
            <w:vAlign w:val="center"/>
          </w:tcPr>
          <w:p w14:paraId="55C8E186">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原辅料仓库</w:t>
            </w:r>
          </w:p>
        </w:tc>
        <w:tc>
          <w:tcPr>
            <w:tcW w:w="3035" w:type="dxa"/>
            <w:tcBorders>
              <w:tl2br w:val="nil"/>
              <w:tr2bl w:val="nil"/>
            </w:tcBorders>
            <w:shd w:val="clear" w:color="auto" w:fill="auto"/>
            <w:vAlign w:val="center"/>
          </w:tcPr>
          <w:p w14:paraId="6BB3715E">
            <w:pPr>
              <w:spacing w:line="240" w:lineRule="atLeast"/>
              <w:jc w:val="center"/>
              <w:rPr>
                <w:rFonts w:ascii="Times New Roman" w:hAnsi="Times New Roman"/>
                <w:color w:val="auto"/>
                <w:sz w:val="18"/>
                <w:szCs w:val="18"/>
              </w:rPr>
            </w:pPr>
            <w:r>
              <w:rPr>
                <w:rFonts w:ascii="Times New Roman" w:hAnsi="Times New Roman"/>
                <w:color w:val="auto"/>
                <w:sz w:val="18"/>
                <w:szCs w:val="18"/>
              </w:rPr>
              <w:t>建筑面积约</w:t>
            </w:r>
            <w:r>
              <w:rPr>
                <w:rFonts w:hint="eastAsia" w:ascii="Times New Roman" w:hAnsi="Times New Roman"/>
                <w:color w:val="auto"/>
                <w:sz w:val="18"/>
                <w:szCs w:val="18"/>
              </w:rPr>
              <w:t>6000</w:t>
            </w:r>
            <w:r>
              <w:rPr>
                <w:rFonts w:ascii="Times New Roman" w:hAnsi="Times New Roman"/>
                <w:color w:val="auto"/>
                <w:sz w:val="18"/>
                <w:szCs w:val="18"/>
              </w:rPr>
              <w:t>m</w:t>
            </w:r>
            <w:r>
              <w:rPr>
                <w:rFonts w:ascii="Times New Roman" w:hAnsi="Times New Roman"/>
                <w:color w:val="auto"/>
                <w:sz w:val="18"/>
                <w:szCs w:val="18"/>
                <w:vertAlign w:val="superscript"/>
              </w:rPr>
              <w:t>2</w:t>
            </w:r>
          </w:p>
        </w:tc>
        <w:tc>
          <w:tcPr>
            <w:tcW w:w="2940" w:type="dxa"/>
            <w:tcBorders>
              <w:tl2br w:val="nil"/>
              <w:tr2bl w:val="nil"/>
            </w:tcBorders>
            <w:shd w:val="clear" w:color="auto" w:fill="auto"/>
            <w:vAlign w:val="center"/>
          </w:tcPr>
          <w:p w14:paraId="7723BC75">
            <w:pPr>
              <w:spacing w:line="240" w:lineRule="atLeast"/>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依托现有</w:t>
            </w:r>
          </w:p>
        </w:tc>
        <w:tc>
          <w:tcPr>
            <w:tcW w:w="2570" w:type="dxa"/>
            <w:tcBorders>
              <w:tl2br w:val="nil"/>
              <w:tr2bl w:val="nil"/>
            </w:tcBorders>
            <w:shd w:val="clear" w:color="auto" w:fill="auto"/>
            <w:vAlign w:val="center"/>
          </w:tcPr>
          <w:p w14:paraId="128D3BE1">
            <w:pPr>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与技改前一致</w:t>
            </w:r>
          </w:p>
        </w:tc>
        <w:tc>
          <w:tcPr>
            <w:tcW w:w="2400" w:type="dxa"/>
            <w:tcBorders>
              <w:tl2br w:val="nil"/>
              <w:tr2bl w:val="nil"/>
            </w:tcBorders>
            <w:vAlign w:val="center"/>
          </w:tcPr>
          <w:p w14:paraId="083E2A6B">
            <w:pPr>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r>
      <w:tr w14:paraId="18ECC0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12" w:type="dxa"/>
            <w:tcBorders>
              <w:tl2br w:val="nil"/>
              <w:tr2bl w:val="nil"/>
            </w:tcBorders>
            <w:vAlign w:val="center"/>
          </w:tcPr>
          <w:p w14:paraId="7739B6D6">
            <w:pPr>
              <w:pStyle w:val="8"/>
              <w:keepNext w:val="0"/>
              <w:keepLines w:val="0"/>
              <w:pageBreakBefore w:val="0"/>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辅助工程</w:t>
            </w:r>
          </w:p>
        </w:tc>
        <w:tc>
          <w:tcPr>
            <w:tcW w:w="2039" w:type="dxa"/>
            <w:gridSpan w:val="2"/>
            <w:tcBorders>
              <w:tl2br w:val="nil"/>
              <w:tr2bl w:val="nil"/>
            </w:tcBorders>
            <w:vAlign w:val="center"/>
          </w:tcPr>
          <w:p w14:paraId="383C3022">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olor w:val="auto"/>
                <w:sz w:val="18"/>
                <w:szCs w:val="18"/>
              </w:rPr>
              <w:t>食堂</w:t>
            </w:r>
          </w:p>
        </w:tc>
        <w:tc>
          <w:tcPr>
            <w:tcW w:w="3035" w:type="dxa"/>
            <w:tcBorders>
              <w:tl2br w:val="nil"/>
              <w:tr2bl w:val="nil"/>
            </w:tcBorders>
            <w:vAlign w:val="center"/>
          </w:tcPr>
          <w:p w14:paraId="0470698A">
            <w:pPr>
              <w:spacing w:line="240" w:lineRule="atLeast"/>
              <w:jc w:val="center"/>
              <w:rPr>
                <w:rFonts w:hint="eastAsia" w:cs="Times New Roman"/>
                <w:color w:val="auto"/>
                <w:sz w:val="18"/>
                <w:szCs w:val="18"/>
                <w:lang w:val="en-US" w:eastAsia="zh-CN"/>
              </w:rPr>
            </w:pPr>
            <w:r>
              <w:rPr>
                <w:rFonts w:ascii="Times New Roman" w:hAnsi="Times New Roman"/>
                <w:color w:val="auto"/>
                <w:sz w:val="18"/>
                <w:szCs w:val="18"/>
              </w:rPr>
              <w:t>建筑面积约</w:t>
            </w:r>
            <w:r>
              <w:rPr>
                <w:rFonts w:hint="eastAsia" w:ascii="Times New Roman" w:hAnsi="Times New Roman"/>
                <w:color w:val="auto"/>
                <w:sz w:val="18"/>
                <w:szCs w:val="18"/>
              </w:rPr>
              <w:t>6000</w:t>
            </w:r>
            <w:r>
              <w:rPr>
                <w:rFonts w:ascii="Times New Roman" w:hAnsi="Times New Roman"/>
                <w:color w:val="auto"/>
                <w:sz w:val="18"/>
                <w:szCs w:val="18"/>
              </w:rPr>
              <w:t>m</w:t>
            </w:r>
            <w:r>
              <w:rPr>
                <w:rFonts w:ascii="Times New Roman" w:hAnsi="Times New Roman"/>
                <w:color w:val="auto"/>
                <w:sz w:val="18"/>
                <w:szCs w:val="18"/>
                <w:vertAlign w:val="superscript"/>
              </w:rPr>
              <w:t>2</w:t>
            </w:r>
          </w:p>
        </w:tc>
        <w:tc>
          <w:tcPr>
            <w:tcW w:w="2940" w:type="dxa"/>
            <w:tcBorders>
              <w:tl2br w:val="nil"/>
              <w:tr2bl w:val="nil"/>
            </w:tcBorders>
            <w:vAlign w:val="center"/>
          </w:tcPr>
          <w:p w14:paraId="18ACE239">
            <w:pPr>
              <w:spacing w:line="240" w:lineRule="atLeast"/>
              <w:jc w:val="center"/>
              <w:rPr>
                <w:rFonts w:hint="default" w:ascii="Times New Roman" w:hAnsi="Times New Roman" w:cs="Times New Roman"/>
                <w:color w:val="auto"/>
                <w:sz w:val="18"/>
                <w:szCs w:val="18"/>
                <w:highlight w:val="yellow"/>
              </w:rPr>
            </w:pPr>
            <w:r>
              <w:rPr>
                <w:rFonts w:hint="eastAsia" w:cs="Times New Roman"/>
                <w:color w:val="auto"/>
                <w:sz w:val="18"/>
                <w:szCs w:val="18"/>
                <w:lang w:val="en-US" w:eastAsia="zh-CN"/>
              </w:rPr>
              <w:t>依托现有</w:t>
            </w:r>
          </w:p>
        </w:tc>
        <w:tc>
          <w:tcPr>
            <w:tcW w:w="2570" w:type="dxa"/>
            <w:tcBorders>
              <w:tl2br w:val="nil"/>
              <w:tr2bl w:val="nil"/>
            </w:tcBorders>
            <w:vAlign w:val="center"/>
          </w:tcPr>
          <w:p w14:paraId="78E008E2">
            <w:pPr>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yellow"/>
              </w:rPr>
            </w:pPr>
            <w:r>
              <w:rPr>
                <w:rFonts w:hint="eastAsia" w:cs="Times New Roman"/>
                <w:color w:val="auto"/>
                <w:sz w:val="18"/>
                <w:szCs w:val="18"/>
                <w:lang w:val="en-US" w:eastAsia="zh-CN"/>
              </w:rPr>
              <w:t>与技改前一致</w:t>
            </w:r>
          </w:p>
        </w:tc>
        <w:tc>
          <w:tcPr>
            <w:tcW w:w="2400" w:type="dxa"/>
            <w:tcBorders>
              <w:tl2br w:val="nil"/>
              <w:tr2bl w:val="nil"/>
            </w:tcBorders>
            <w:vAlign w:val="center"/>
          </w:tcPr>
          <w:p w14:paraId="01118D4C">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SA"/>
              </w:rPr>
            </w:pPr>
            <w:r>
              <w:rPr>
                <w:rFonts w:hint="eastAsia" w:cs="Times New Roman"/>
                <w:color w:val="auto"/>
                <w:sz w:val="18"/>
                <w:szCs w:val="18"/>
                <w:lang w:val="en-US" w:eastAsia="zh-CN"/>
              </w:rPr>
              <w:t>/</w:t>
            </w:r>
          </w:p>
        </w:tc>
      </w:tr>
      <w:tr w14:paraId="34F100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712" w:type="dxa"/>
            <w:vMerge w:val="restart"/>
            <w:tcBorders>
              <w:tl2br w:val="nil"/>
              <w:tr2bl w:val="nil"/>
            </w:tcBorders>
            <w:vAlign w:val="center"/>
          </w:tcPr>
          <w:p w14:paraId="78899C2B">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公用工程</w:t>
            </w:r>
          </w:p>
        </w:tc>
        <w:tc>
          <w:tcPr>
            <w:tcW w:w="2039" w:type="dxa"/>
            <w:gridSpan w:val="2"/>
            <w:tcBorders>
              <w:tl2br w:val="nil"/>
              <w:tr2bl w:val="nil"/>
            </w:tcBorders>
            <w:vAlign w:val="center"/>
          </w:tcPr>
          <w:p w14:paraId="11435FFE">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给水</w:t>
            </w:r>
          </w:p>
        </w:tc>
        <w:tc>
          <w:tcPr>
            <w:tcW w:w="3035" w:type="dxa"/>
            <w:tcBorders>
              <w:tl2br w:val="nil"/>
              <w:tr2bl w:val="nil"/>
            </w:tcBorders>
            <w:vAlign w:val="center"/>
          </w:tcPr>
          <w:p w14:paraId="54E7473B">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eastAsia" w:ascii="Times New Roman" w:hAnsi="Times New Roman" w:eastAsia="宋体" w:cs="Times New Roman"/>
                <w:color w:val="auto"/>
                <w:sz w:val="18"/>
                <w:szCs w:val="18"/>
                <w:highlight w:val="yellow"/>
                <w:lang w:val="en-US" w:eastAsia="zh-CN"/>
              </w:rPr>
            </w:pPr>
            <w:r>
              <w:rPr>
                <w:rFonts w:hint="eastAsia" w:cs="Times New Roman"/>
                <w:color w:val="auto"/>
                <w:highlight w:val="none"/>
                <w:lang w:val="en-US" w:eastAsia="zh-CN"/>
              </w:rPr>
              <w:t>给水量约28395</w:t>
            </w:r>
            <w:r>
              <w:rPr>
                <w:rFonts w:hint="default" w:ascii="Times New Roman" w:hAnsi="Times New Roman" w:cs="Times New Roman"/>
                <w:color w:val="auto"/>
                <w:highlight w:val="none"/>
              </w:rPr>
              <w:t>‬t/a</w:t>
            </w:r>
            <w:r>
              <w:rPr>
                <w:rFonts w:hint="eastAsia" w:cs="Times New Roman"/>
                <w:color w:val="auto"/>
                <w:highlight w:val="none"/>
                <w:lang w:eastAsia="zh-CN"/>
              </w:rPr>
              <w:t>，</w:t>
            </w:r>
            <w:r>
              <w:rPr>
                <w:rFonts w:hint="default" w:ascii="Times New Roman" w:hAnsi="Times New Roman" w:cs="Times New Roman"/>
                <w:color w:val="auto"/>
                <w:sz w:val="18"/>
                <w:szCs w:val="18"/>
                <w:lang w:val="en-US" w:eastAsia="zh-CN"/>
              </w:rPr>
              <w:t>来自市政水管网</w:t>
            </w:r>
          </w:p>
        </w:tc>
        <w:tc>
          <w:tcPr>
            <w:tcW w:w="2940" w:type="dxa"/>
            <w:tcBorders>
              <w:tl2br w:val="nil"/>
              <w:tr2bl w:val="nil"/>
            </w:tcBorders>
            <w:vAlign w:val="center"/>
          </w:tcPr>
          <w:p w14:paraId="227AB560">
            <w:pPr>
              <w:spacing w:line="240" w:lineRule="atLeast"/>
              <w:jc w:val="center"/>
              <w:rPr>
                <w:rFonts w:hint="default" w:ascii="Times New Roman" w:hAnsi="Times New Roman" w:cs="Times New Roman"/>
                <w:color w:val="auto"/>
                <w:sz w:val="18"/>
                <w:szCs w:val="18"/>
                <w:highlight w:val="yellow"/>
                <w:lang w:val="en-US" w:eastAsia="zh-CN"/>
              </w:rPr>
            </w:pPr>
            <w:r>
              <w:rPr>
                <w:rFonts w:hint="eastAsia" w:cs="Times New Roman"/>
                <w:color w:val="auto"/>
                <w:sz w:val="18"/>
                <w:szCs w:val="18"/>
                <w:lang w:val="en-US" w:eastAsia="zh-CN"/>
              </w:rPr>
              <w:t>依托现有给水设施</w:t>
            </w:r>
          </w:p>
        </w:tc>
        <w:tc>
          <w:tcPr>
            <w:tcW w:w="2570" w:type="dxa"/>
            <w:tcBorders>
              <w:tl2br w:val="nil"/>
              <w:tr2bl w:val="nil"/>
            </w:tcBorders>
            <w:vAlign w:val="center"/>
          </w:tcPr>
          <w:p w14:paraId="13CC2901">
            <w:pPr>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yellow"/>
                <w:lang w:val="en-US" w:eastAsia="zh-CN"/>
              </w:rPr>
            </w:pPr>
            <w:r>
              <w:rPr>
                <w:rFonts w:hint="eastAsia" w:cs="Times New Roman"/>
                <w:color w:val="auto"/>
                <w:sz w:val="18"/>
                <w:szCs w:val="18"/>
                <w:lang w:val="en-US" w:eastAsia="zh-CN"/>
              </w:rPr>
              <w:t>与技改前一致</w:t>
            </w:r>
          </w:p>
        </w:tc>
        <w:tc>
          <w:tcPr>
            <w:tcW w:w="2400" w:type="dxa"/>
            <w:tcBorders>
              <w:tl2br w:val="nil"/>
              <w:tr2bl w:val="nil"/>
            </w:tcBorders>
            <w:vAlign w:val="center"/>
          </w:tcPr>
          <w:p w14:paraId="1C3D5CEF">
            <w:pPr>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highlight w:val="none"/>
                <w:lang w:val="en-US" w:eastAsia="zh-CN"/>
              </w:rPr>
              <w:t>/</w:t>
            </w:r>
          </w:p>
        </w:tc>
      </w:tr>
      <w:tr w14:paraId="0D0214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2" w:type="dxa"/>
            <w:vMerge w:val="continue"/>
            <w:tcBorders>
              <w:tl2br w:val="nil"/>
              <w:tr2bl w:val="nil"/>
            </w:tcBorders>
            <w:vAlign w:val="center"/>
          </w:tcPr>
          <w:p w14:paraId="52CAE5E3">
            <w:pPr>
              <w:pStyle w:val="8"/>
              <w:keepNext w:val="0"/>
              <w:keepLines w:val="0"/>
              <w:pageBreakBefore w:val="0"/>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rPr>
            </w:pPr>
          </w:p>
        </w:tc>
        <w:tc>
          <w:tcPr>
            <w:tcW w:w="2039" w:type="dxa"/>
            <w:gridSpan w:val="2"/>
            <w:tcBorders>
              <w:tl2br w:val="nil"/>
              <w:tr2bl w:val="nil"/>
            </w:tcBorders>
            <w:vAlign w:val="center"/>
          </w:tcPr>
          <w:p w14:paraId="1693250B">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排水</w:t>
            </w:r>
          </w:p>
        </w:tc>
        <w:tc>
          <w:tcPr>
            <w:tcW w:w="3035" w:type="dxa"/>
            <w:tcBorders>
              <w:tl2br w:val="nil"/>
              <w:tr2bl w:val="nil"/>
            </w:tcBorders>
            <w:vAlign w:val="center"/>
          </w:tcPr>
          <w:p w14:paraId="7DF20008">
            <w:pPr>
              <w:keepNext w:val="0"/>
              <w:keepLines w:val="0"/>
              <w:pageBreakBefore w:val="0"/>
              <w:kinsoku/>
              <w:wordWrap/>
              <w:overflowPunct/>
              <w:topLinePunct w:val="0"/>
              <w:autoSpaceDE/>
              <w:autoSpaceDN/>
              <w:bidi w:val="0"/>
              <w:adjustRightInd/>
              <w:spacing w:line="240" w:lineRule="auto"/>
              <w:ind w:right="0"/>
              <w:jc w:val="center"/>
              <w:textAlignment w:val="auto"/>
              <w:rPr>
                <w:rFonts w:hint="default" w:ascii="Times New Roman" w:hAnsi="Times New Roman" w:eastAsia="宋体" w:cs="Times New Roman"/>
                <w:b w:val="0"/>
                <w:bCs w:val="0"/>
                <w:color w:val="auto"/>
                <w:kern w:val="0"/>
                <w:sz w:val="18"/>
                <w:szCs w:val="18"/>
                <w:lang w:val="en-US" w:eastAsia="zh-CN" w:bidi="ar-SA"/>
              </w:rPr>
            </w:pPr>
            <w:r>
              <w:rPr>
                <w:rFonts w:hint="default" w:ascii="Times New Roman" w:hAnsi="Times New Roman" w:cs="Times New Roman"/>
                <w:color w:val="auto"/>
                <w:sz w:val="18"/>
                <w:szCs w:val="18"/>
                <w:lang w:val="en-US" w:eastAsia="zh-CN"/>
              </w:rPr>
              <w:t>本项目污水总排放口接入市政污水管网</w:t>
            </w:r>
            <w:r>
              <w:rPr>
                <w:rFonts w:hint="eastAsia" w:cs="Times New Roman"/>
                <w:color w:val="auto"/>
                <w:sz w:val="18"/>
                <w:szCs w:val="18"/>
                <w:lang w:val="en-US" w:eastAsia="zh-CN"/>
              </w:rPr>
              <w:t>，排水量约为</w:t>
            </w:r>
            <w:r>
              <w:rPr>
                <w:rFonts w:hint="eastAsia" w:cs="Times New Roman"/>
                <w:b w:val="0"/>
                <w:bCs w:val="0"/>
                <w:color w:val="auto"/>
                <w:kern w:val="0"/>
                <w:sz w:val="18"/>
                <w:szCs w:val="18"/>
                <w:lang w:val="en-US" w:eastAsia="zh-CN" w:bidi="ar-SA"/>
              </w:rPr>
              <w:t>22356</w:t>
            </w:r>
            <w:r>
              <w:rPr>
                <w:rFonts w:hint="default" w:ascii="Times New Roman" w:hAnsi="Times New Roman" w:eastAsia="宋体" w:cs="Times New Roman"/>
                <w:b w:val="0"/>
                <w:bCs w:val="0"/>
                <w:color w:val="auto"/>
                <w:kern w:val="0"/>
                <w:sz w:val="18"/>
                <w:szCs w:val="18"/>
                <w:lang w:val="en-US" w:eastAsia="zh-CN" w:bidi="ar-SA"/>
              </w:rPr>
              <w:t>t/a</w:t>
            </w:r>
          </w:p>
        </w:tc>
        <w:tc>
          <w:tcPr>
            <w:tcW w:w="2940" w:type="dxa"/>
            <w:tcBorders>
              <w:tl2br w:val="nil"/>
              <w:tr2bl w:val="nil"/>
            </w:tcBorders>
            <w:vAlign w:val="center"/>
          </w:tcPr>
          <w:p w14:paraId="774C8854">
            <w:pPr>
              <w:spacing w:line="240" w:lineRule="atLeast"/>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依托现有排水设施</w:t>
            </w:r>
          </w:p>
        </w:tc>
        <w:tc>
          <w:tcPr>
            <w:tcW w:w="2570" w:type="dxa"/>
            <w:tcBorders>
              <w:tl2br w:val="nil"/>
              <w:tr2bl w:val="nil"/>
            </w:tcBorders>
            <w:vAlign w:val="center"/>
          </w:tcPr>
          <w:p w14:paraId="27867036">
            <w:pPr>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与技改前一致</w:t>
            </w:r>
          </w:p>
        </w:tc>
        <w:tc>
          <w:tcPr>
            <w:tcW w:w="2400" w:type="dxa"/>
            <w:tcBorders>
              <w:tl2br w:val="nil"/>
              <w:tr2bl w:val="nil"/>
            </w:tcBorders>
            <w:vAlign w:val="center"/>
          </w:tcPr>
          <w:p w14:paraId="74809C49">
            <w:pPr>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highlight w:val="none"/>
                <w:lang w:val="en-US" w:eastAsia="zh-CN"/>
              </w:rPr>
              <w:t>/</w:t>
            </w:r>
          </w:p>
        </w:tc>
      </w:tr>
      <w:tr w14:paraId="7E5178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12" w:type="dxa"/>
            <w:vMerge w:val="continue"/>
            <w:tcBorders>
              <w:tl2br w:val="nil"/>
              <w:tr2bl w:val="nil"/>
            </w:tcBorders>
            <w:vAlign w:val="center"/>
          </w:tcPr>
          <w:p w14:paraId="2076EF79">
            <w:pPr>
              <w:pStyle w:val="8"/>
              <w:keepNext w:val="0"/>
              <w:keepLines w:val="0"/>
              <w:pageBreakBefore w:val="0"/>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p>
        </w:tc>
        <w:tc>
          <w:tcPr>
            <w:tcW w:w="2039" w:type="dxa"/>
            <w:gridSpan w:val="2"/>
            <w:tcBorders>
              <w:tl2br w:val="nil"/>
              <w:tr2bl w:val="nil"/>
            </w:tcBorders>
            <w:vAlign w:val="center"/>
          </w:tcPr>
          <w:p w14:paraId="4D6B556A">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供电</w:t>
            </w:r>
          </w:p>
        </w:tc>
        <w:tc>
          <w:tcPr>
            <w:tcW w:w="3035" w:type="dxa"/>
            <w:tcBorders>
              <w:tl2br w:val="nil"/>
              <w:tr2bl w:val="nil"/>
            </w:tcBorders>
            <w:vAlign w:val="center"/>
          </w:tcPr>
          <w:p w14:paraId="0C6D2FDE">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由市政电网供给</w:t>
            </w:r>
            <w:r>
              <w:rPr>
                <w:rFonts w:hint="eastAsia" w:cs="Times New Roman"/>
                <w:color w:val="auto"/>
                <w:sz w:val="18"/>
                <w:szCs w:val="18"/>
                <w:lang w:val="en-US" w:eastAsia="zh-CN"/>
              </w:rPr>
              <w:t>，用电量为150</w:t>
            </w:r>
            <w:r>
              <w:rPr>
                <w:rFonts w:hint="default" w:ascii="Times New Roman" w:hAnsi="Times New Roman" w:cs="Times New Roman"/>
                <w:color w:val="auto"/>
                <w:sz w:val="18"/>
                <w:szCs w:val="18"/>
              </w:rPr>
              <w:t>万kw·h/a</w:t>
            </w:r>
          </w:p>
        </w:tc>
        <w:tc>
          <w:tcPr>
            <w:tcW w:w="2940" w:type="dxa"/>
            <w:tcBorders>
              <w:tl2br w:val="nil"/>
              <w:tr2bl w:val="nil"/>
            </w:tcBorders>
            <w:vAlign w:val="center"/>
          </w:tcPr>
          <w:p w14:paraId="4049FF3E">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增加5</w:t>
            </w:r>
            <w:r>
              <w:rPr>
                <w:rFonts w:hint="default" w:ascii="Times New Roman" w:hAnsi="Times New Roman" w:cs="Times New Roman"/>
                <w:color w:val="auto"/>
                <w:sz w:val="18"/>
                <w:szCs w:val="18"/>
              </w:rPr>
              <w:t>万kw·h/a</w:t>
            </w:r>
          </w:p>
        </w:tc>
        <w:tc>
          <w:tcPr>
            <w:tcW w:w="2570" w:type="dxa"/>
            <w:tcBorders>
              <w:tl2br w:val="nil"/>
              <w:tr2bl w:val="nil"/>
            </w:tcBorders>
            <w:vAlign w:val="center"/>
          </w:tcPr>
          <w:p w14:paraId="55C500A4">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由市政电网供给</w:t>
            </w:r>
            <w:r>
              <w:rPr>
                <w:rFonts w:hint="eastAsia" w:cs="Times New Roman"/>
                <w:color w:val="auto"/>
                <w:sz w:val="18"/>
                <w:szCs w:val="18"/>
                <w:lang w:val="en-US" w:eastAsia="zh-CN"/>
              </w:rPr>
              <w:t>，用电量为155</w:t>
            </w:r>
            <w:r>
              <w:rPr>
                <w:rFonts w:hint="default" w:ascii="Times New Roman" w:hAnsi="Times New Roman" w:cs="Times New Roman"/>
                <w:color w:val="auto"/>
                <w:sz w:val="18"/>
                <w:szCs w:val="18"/>
              </w:rPr>
              <w:t>万kw·h/a</w:t>
            </w:r>
          </w:p>
        </w:tc>
        <w:tc>
          <w:tcPr>
            <w:tcW w:w="2400" w:type="dxa"/>
            <w:tcBorders>
              <w:tl2br w:val="nil"/>
              <w:tr2bl w:val="nil"/>
            </w:tcBorders>
            <w:vAlign w:val="center"/>
          </w:tcPr>
          <w:p w14:paraId="5107DEAA">
            <w:pPr>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sz w:val="18"/>
                <w:szCs w:val="18"/>
                <w:highlight w:val="none"/>
                <w:lang w:val="en-US" w:eastAsia="zh-CN"/>
              </w:rPr>
              <w:t>/</w:t>
            </w:r>
          </w:p>
        </w:tc>
      </w:tr>
      <w:tr w14:paraId="729C35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712" w:type="dxa"/>
            <w:vMerge w:val="restart"/>
            <w:tcBorders>
              <w:tl2br w:val="nil"/>
              <w:tr2bl w:val="nil"/>
            </w:tcBorders>
            <w:vAlign w:val="center"/>
          </w:tcPr>
          <w:p w14:paraId="40B15A92">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环保工程</w:t>
            </w:r>
          </w:p>
        </w:tc>
        <w:tc>
          <w:tcPr>
            <w:tcW w:w="637" w:type="dxa"/>
            <w:vMerge w:val="restart"/>
            <w:tcBorders>
              <w:tl2br w:val="nil"/>
              <w:tr2bl w:val="nil"/>
            </w:tcBorders>
            <w:vAlign w:val="center"/>
          </w:tcPr>
          <w:p w14:paraId="03DF573A">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废气</w:t>
            </w:r>
          </w:p>
        </w:tc>
        <w:tc>
          <w:tcPr>
            <w:tcW w:w="1402" w:type="dxa"/>
            <w:tcBorders>
              <w:tl2br w:val="nil"/>
              <w:tr2bl w:val="nil"/>
            </w:tcBorders>
            <w:vAlign w:val="center"/>
          </w:tcPr>
          <w:p w14:paraId="4A1DB304">
            <w:pPr>
              <w:pStyle w:val="46"/>
              <w:keepNext w:val="0"/>
              <w:keepLines w:val="0"/>
              <w:pageBreakBefore w:val="0"/>
              <w:kinsoku/>
              <w:wordWrap/>
              <w:overflowPunct/>
              <w:topLinePunct w:val="0"/>
              <w:autoSpaceDE/>
              <w:autoSpaceDN/>
              <w:bidi w:val="0"/>
              <w:adjustRightInd/>
              <w:spacing w:line="240" w:lineRule="auto"/>
              <w:ind w:right="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b w:val="0"/>
                <w:bCs w:val="0"/>
                <w:color w:val="auto"/>
                <w:sz w:val="18"/>
                <w:szCs w:val="18"/>
                <w:lang w:val="en-US" w:eastAsia="zh-CN"/>
              </w:rPr>
              <w:t>涂装废气</w:t>
            </w:r>
          </w:p>
        </w:tc>
        <w:tc>
          <w:tcPr>
            <w:tcW w:w="3035" w:type="dxa"/>
            <w:tcBorders>
              <w:tl2br w:val="nil"/>
              <w:tr2bl w:val="nil"/>
            </w:tcBorders>
            <w:vAlign w:val="center"/>
          </w:tcPr>
          <w:p w14:paraId="706973DF">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2940" w:type="dxa"/>
            <w:tcBorders>
              <w:tl2br w:val="nil"/>
              <w:tr2bl w:val="nil"/>
            </w:tcBorders>
            <w:vAlign w:val="center"/>
          </w:tcPr>
          <w:p w14:paraId="72CDDFC2">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新增</w:t>
            </w:r>
            <w:r>
              <w:rPr>
                <w:rFonts w:hint="default" w:ascii="Times New Roman" w:hAnsi="Times New Roman" w:eastAsia="宋体" w:cs="Times New Roman"/>
                <w:color w:val="auto"/>
                <w:highlight w:val="none"/>
                <w:lang w:val="en-US" w:eastAsia="zh-CN"/>
              </w:rPr>
              <w:t>干式漆雾过滤器+二级活性炭吸附装置</w:t>
            </w:r>
            <w:r>
              <w:rPr>
                <w:rFonts w:hint="eastAsia" w:ascii="Times New Roman" w:hAnsi="Times New Roman" w:eastAsia="宋体" w:cs="Times New Roman"/>
                <w:color w:val="auto"/>
                <w:highlight w:val="none"/>
                <w:lang w:val="en-US" w:eastAsia="zh-CN"/>
              </w:rPr>
              <w:t>+15m高排气筒</w:t>
            </w:r>
            <w:r>
              <w:rPr>
                <w:rFonts w:hint="eastAsia" w:cs="Times New Roman"/>
                <w:color w:val="auto"/>
                <w:highlight w:val="none"/>
                <w:lang w:val="en-US" w:eastAsia="zh-CN"/>
              </w:rPr>
              <w:t>（DA016）</w:t>
            </w:r>
          </w:p>
        </w:tc>
        <w:tc>
          <w:tcPr>
            <w:tcW w:w="2570" w:type="dxa"/>
            <w:tcBorders>
              <w:tl2br w:val="nil"/>
              <w:tr2bl w:val="nil"/>
            </w:tcBorders>
            <w:vAlign w:val="center"/>
          </w:tcPr>
          <w:p w14:paraId="02950D43">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干式漆雾过滤器+二级活性炭吸附装置</w:t>
            </w:r>
            <w:r>
              <w:rPr>
                <w:rFonts w:hint="eastAsia" w:ascii="Times New Roman" w:hAnsi="Times New Roman" w:eastAsia="宋体" w:cs="Times New Roman"/>
                <w:color w:val="auto"/>
                <w:highlight w:val="none"/>
                <w:lang w:val="en-US" w:eastAsia="zh-CN"/>
              </w:rPr>
              <w:t>+15m高排气筒</w:t>
            </w:r>
            <w:r>
              <w:rPr>
                <w:rFonts w:hint="eastAsia" w:cs="Times New Roman"/>
                <w:color w:val="auto"/>
                <w:highlight w:val="none"/>
                <w:lang w:val="en-US" w:eastAsia="zh-CN"/>
              </w:rPr>
              <w:t>（DA016）</w:t>
            </w:r>
          </w:p>
        </w:tc>
        <w:tc>
          <w:tcPr>
            <w:tcW w:w="2400" w:type="dxa"/>
            <w:tcBorders>
              <w:tl2br w:val="nil"/>
              <w:tr2bl w:val="nil"/>
            </w:tcBorders>
            <w:vAlign w:val="center"/>
          </w:tcPr>
          <w:p w14:paraId="189BD24D">
            <w:pPr>
              <w:pStyle w:val="46"/>
              <w:keepNext w:val="0"/>
              <w:keepLines w:val="0"/>
              <w:pageBreakBefore w:val="0"/>
              <w:kinsoku/>
              <w:wordWrap/>
              <w:overflowPunct/>
              <w:topLinePunct w:val="0"/>
              <w:autoSpaceDE/>
              <w:autoSpaceDN/>
              <w:bidi w:val="0"/>
              <w:adjustRightInd/>
              <w:spacing w:line="240" w:lineRule="auto"/>
              <w:ind w:right="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达标排放</w:t>
            </w:r>
          </w:p>
        </w:tc>
      </w:tr>
      <w:tr w14:paraId="40FEA5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712" w:type="dxa"/>
            <w:vMerge w:val="continue"/>
            <w:tcBorders>
              <w:tl2br w:val="nil"/>
              <w:tr2bl w:val="nil"/>
            </w:tcBorders>
            <w:vAlign w:val="center"/>
          </w:tcPr>
          <w:p w14:paraId="27BE3667">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ascii="Times New Roman" w:hAnsi="Times New Roman" w:cs="Times New Roman"/>
                <w:color w:val="auto"/>
                <w:sz w:val="18"/>
                <w:szCs w:val="18"/>
                <w:lang w:val="en-US" w:eastAsia="zh-CN"/>
              </w:rPr>
            </w:pPr>
          </w:p>
        </w:tc>
        <w:tc>
          <w:tcPr>
            <w:tcW w:w="637" w:type="dxa"/>
            <w:vMerge w:val="continue"/>
            <w:tcBorders>
              <w:tl2br w:val="nil"/>
              <w:tr2bl w:val="nil"/>
            </w:tcBorders>
            <w:vAlign w:val="center"/>
          </w:tcPr>
          <w:p w14:paraId="03D8479F">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p>
        </w:tc>
        <w:tc>
          <w:tcPr>
            <w:tcW w:w="1402" w:type="dxa"/>
            <w:tcBorders>
              <w:tl2br w:val="nil"/>
              <w:tr2bl w:val="nil"/>
            </w:tcBorders>
            <w:vAlign w:val="center"/>
          </w:tcPr>
          <w:p w14:paraId="73C910AA">
            <w:pPr>
              <w:pStyle w:val="46"/>
              <w:keepNext w:val="0"/>
              <w:keepLines w:val="0"/>
              <w:pageBreakBefore w:val="0"/>
              <w:kinsoku/>
              <w:wordWrap/>
              <w:overflowPunct/>
              <w:topLinePunct w:val="0"/>
              <w:autoSpaceDE/>
              <w:autoSpaceDN/>
              <w:bidi w:val="0"/>
              <w:adjustRightInd/>
              <w:spacing w:line="240" w:lineRule="auto"/>
              <w:ind w:right="0"/>
              <w:jc w:val="center"/>
              <w:textAlignment w:val="auto"/>
              <w:rPr>
                <w:rFonts w:hint="default" w:ascii="Times New Roman" w:hAnsi="Times New Roman" w:cs="Times New Roman"/>
                <w:b w:val="0"/>
                <w:bCs w:val="0"/>
                <w:color w:val="auto"/>
                <w:sz w:val="18"/>
                <w:szCs w:val="18"/>
                <w:lang w:val="en-US" w:eastAsia="zh-CN"/>
              </w:rPr>
            </w:pPr>
            <w:r>
              <w:rPr>
                <w:rFonts w:hint="eastAsia" w:ascii="Times New Roman" w:hAnsi="Times New Roman" w:cs="Times New Roman"/>
                <w:b w:val="0"/>
                <w:bCs w:val="0"/>
                <w:color w:val="auto"/>
                <w:sz w:val="18"/>
                <w:szCs w:val="18"/>
                <w:lang w:val="en-US" w:eastAsia="zh-CN"/>
              </w:rPr>
              <w:t>注塑废气</w:t>
            </w:r>
          </w:p>
        </w:tc>
        <w:tc>
          <w:tcPr>
            <w:tcW w:w="3035" w:type="dxa"/>
            <w:tcBorders>
              <w:tl2br w:val="nil"/>
              <w:tr2bl w:val="nil"/>
            </w:tcBorders>
            <w:vAlign w:val="center"/>
          </w:tcPr>
          <w:p w14:paraId="36DE20E2">
            <w:pPr>
              <w:spacing w:line="240" w:lineRule="atLeast"/>
              <w:jc w:val="center"/>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集气罩</w:t>
            </w:r>
            <w:r>
              <w:rPr>
                <w:rFonts w:hint="default" w:ascii="Times New Roman" w:hAnsi="Times New Roman"/>
                <w:color w:val="auto"/>
                <w:sz w:val="18"/>
                <w:szCs w:val="18"/>
                <w:lang w:val="en-US" w:eastAsia="zh-CN"/>
              </w:rPr>
              <w:t>+</w:t>
            </w:r>
            <w:r>
              <w:rPr>
                <w:rFonts w:hint="eastAsia" w:ascii="Times New Roman" w:hAnsi="Times New Roman"/>
                <w:color w:val="auto"/>
                <w:sz w:val="18"/>
                <w:szCs w:val="18"/>
                <w:lang w:val="en-US" w:eastAsia="zh-CN"/>
              </w:rPr>
              <w:t>二级活性炭吸附</w:t>
            </w:r>
            <w:r>
              <w:rPr>
                <w:rFonts w:hint="default" w:ascii="Times New Roman" w:hAnsi="Times New Roman"/>
                <w:color w:val="auto"/>
                <w:sz w:val="18"/>
                <w:szCs w:val="18"/>
                <w:lang w:val="en-US" w:eastAsia="zh-CN"/>
              </w:rPr>
              <w:t>+15m</w:t>
            </w:r>
            <w:r>
              <w:rPr>
                <w:rFonts w:hint="eastAsia" w:ascii="Times New Roman" w:hAnsi="Times New Roman"/>
                <w:color w:val="auto"/>
                <w:sz w:val="18"/>
                <w:szCs w:val="18"/>
                <w:lang w:val="en-US" w:eastAsia="zh-CN"/>
              </w:rPr>
              <w:t>排气筒</w:t>
            </w:r>
            <w:r>
              <w:rPr>
                <w:rFonts w:hint="eastAsia"/>
                <w:color w:val="auto"/>
                <w:sz w:val="18"/>
                <w:szCs w:val="18"/>
                <w:lang w:val="en-US" w:eastAsia="zh-CN"/>
              </w:rPr>
              <w:t>（DA004~DA009、DA011）</w:t>
            </w:r>
          </w:p>
        </w:tc>
        <w:tc>
          <w:tcPr>
            <w:tcW w:w="2940" w:type="dxa"/>
            <w:tcBorders>
              <w:tl2br w:val="nil"/>
              <w:tr2bl w:val="nil"/>
            </w:tcBorders>
            <w:vAlign w:val="center"/>
          </w:tcPr>
          <w:p w14:paraId="40A5C8AC">
            <w:pPr>
              <w:spacing w:line="240" w:lineRule="atLeast"/>
              <w:jc w:val="center"/>
              <w:rPr>
                <w:rFonts w:hint="default" w:ascii="Times New Roman" w:hAnsi="Times New Roman"/>
                <w:color w:val="auto"/>
                <w:sz w:val="18"/>
                <w:szCs w:val="18"/>
                <w:lang w:val="en-US" w:eastAsia="zh-CN"/>
              </w:rPr>
            </w:pPr>
            <w:r>
              <w:rPr>
                <w:rFonts w:hint="eastAsia" w:cs="Times New Roman"/>
                <w:color w:val="auto"/>
                <w:sz w:val="18"/>
                <w:szCs w:val="18"/>
                <w:lang w:val="en-US" w:eastAsia="zh-CN"/>
              </w:rPr>
              <w:t>/</w:t>
            </w:r>
          </w:p>
        </w:tc>
        <w:tc>
          <w:tcPr>
            <w:tcW w:w="2570" w:type="dxa"/>
            <w:tcBorders>
              <w:tl2br w:val="nil"/>
              <w:tr2bl w:val="nil"/>
            </w:tcBorders>
            <w:vAlign w:val="center"/>
          </w:tcPr>
          <w:p w14:paraId="4164E714">
            <w:pPr>
              <w:spacing w:line="240" w:lineRule="atLeast"/>
              <w:jc w:val="center"/>
              <w:rPr>
                <w:rFonts w:hint="eastAsia" w:ascii="Times New Roman" w:hAnsi="Times New Roman" w:cs="Times New Roman"/>
                <w:color w:val="auto"/>
                <w:sz w:val="18"/>
                <w:szCs w:val="18"/>
                <w:highlight w:val="none"/>
                <w:lang w:val="en-US" w:eastAsia="zh-CN"/>
              </w:rPr>
            </w:pPr>
            <w:r>
              <w:rPr>
                <w:rFonts w:hint="eastAsia" w:ascii="Times New Roman" w:hAnsi="Times New Roman"/>
                <w:color w:val="auto"/>
                <w:sz w:val="18"/>
                <w:szCs w:val="18"/>
                <w:lang w:val="en-US" w:eastAsia="zh-CN"/>
              </w:rPr>
              <w:t>集气罩</w:t>
            </w:r>
            <w:r>
              <w:rPr>
                <w:rFonts w:hint="default" w:ascii="Times New Roman" w:hAnsi="Times New Roman"/>
                <w:color w:val="auto"/>
                <w:sz w:val="18"/>
                <w:szCs w:val="18"/>
                <w:lang w:val="en-US" w:eastAsia="zh-CN"/>
              </w:rPr>
              <w:t>+</w:t>
            </w:r>
            <w:r>
              <w:rPr>
                <w:rFonts w:hint="eastAsia" w:ascii="Times New Roman" w:hAnsi="Times New Roman"/>
                <w:color w:val="auto"/>
                <w:sz w:val="18"/>
                <w:szCs w:val="18"/>
                <w:lang w:val="en-US" w:eastAsia="zh-CN"/>
              </w:rPr>
              <w:t>二级活性炭吸附</w:t>
            </w:r>
            <w:r>
              <w:rPr>
                <w:rFonts w:hint="default" w:ascii="Times New Roman" w:hAnsi="Times New Roman"/>
                <w:color w:val="auto"/>
                <w:sz w:val="18"/>
                <w:szCs w:val="18"/>
                <w:lang w:val="en-US" w:eastAsia="zh-CN"/>
              </w:rPr>
              <w:t>+15m</w:t>
            </w:r>
            <w:r>
              <w:rPr>
                <w:rFonts w:hint="eastAsia" w:ascii="Times New Roman" w:hAnsi="Times New Roman"/>
                <w:color w:val="auto"/>
                <w:sz w:val="18"/>
                <w:szCs w:val="18"/>
                <w:lang w:val="en-US" w:eastAsia="zh-CN"/>
              </w:rPr>
              <w:t>排气筒</w:t>
            </w:r>
            <w:r>
              <w:rPr>
                <w:rFonts w:hint="eastAsia"/>
                <w:color w:val="auto"/>
                <w:sz w:val="18"/>
                <w:szCs w:val="18"/>
                <w:lang w:val="en-US" w:eastAsia="zh-CN"/>
              </w:rPr>
              <w:t>（DA004~DA009、DA011）</w:t>
            </w:r>
          </w:p>
        </w:tc>
        <w:tc>
          <w:tcPr>
            <w:tcW w:w="2400" w:type="dxa"/>
            <w:tcBorders>
              <w:tl2br w:val="nil"/>
              <w:tr2bl w:val="nil"/>
            </w:tcBorders>
            <w:vAlign w:val="center"/>
          </w:tcPr>
          <w:p w14:paraId="72ECD674">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lang w:val="en-US" w:eastAsia="zh-CN"/>
              </w:rPr>
              <w:t>本项目不涉及</w:t>
            </w:r>
          </w:p>
        </w:tc>
      </w:tr>
      <w:tr w14:paraId="6FBE28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712" w:type="dxa"/>
            <w:vMerge w:val="continue"/>
            <w:tcBorders>
              <w:tl2br w:val="nil"/>
              <w:tr2bl w:val="nil"/>
            </w:tcBorders>
            <w:vAlign w:val="center"/>
          </w:tcPr>
          <w:p w14:paraId="05E7BFF4">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ascii="Times New Roman" w:hAnsi="Times New Roman" w:cs="Times New Roman"/>
                <w:color w:val="auto"/>
                <w:sz w:val="18"/>
                <w:szCs w:val="18"/>
                <w:lang w:val="en-US" w:eastAsia="zh-CN"/>
              </w:rPr>
            </w:pPr>
          </w:p>
        </w:tc>
        <w:tc>
          <w:tcPr>
            <w:tcW w:w="637" w:type="dxa"/>
            <w:vMerge w:val="continue"/>
            <w:tcBorders>
              <w:tl2br w:val="nil"/>
              <w:tr2bl w:val="nil"/>
            </w:tcBorders>
            <w:vAlign w:val="center"/>
          </w:tcPr>
          <w:p w14:paraId="30942C3D">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p>
        </w:tc>
        <w:tc>
          <w:tcPr>
            <w:tcW w:w="1402" w:type="dxa"/>
            <w:tcBorders>
              <w:tl2br w:val="nil"/>
              <w:tr2bl w:val="nil"/>
            </w:tcBorders>
            <w:vAlign w:val="center"/>
          </w:tcPr>
          <w:p w14:paraId="7D080703">
            <w:pPr>
              <w:pStyle w:val="46"/>
              <w:keepNext w:val="0"/>
              <w:keepLines w:val="0"/>
              <w:pageBreakBefore w:val="0"/>
              <w:kinsoku/>
              <w:wordWrap/>
              <w:overflowPunct/>
              <w:topLinePunct w:val="0"/>
              <w:autoSpaceDE/>
              <w:autoSpaceDN/>
              <w:bidi w:val="0"/>
              <w:adjustRightInd/>
              <w:spacing w:line="240" w:lineRule="auto"/>
              <w:ind w:right="0"/>
              <w:jc w:val="center"/>
              <w:textAlignment w:val="auto"/>
              <w:rPr>
                <w:rFonts w:hint="default" w:ascii="Times New Roman" w:hAnsi="Times New Roman" w:cs="Times New Roman"/>
                <w:b w:val="0"/>
                <w:bCs w:val="0"/>
                <w:color w:val="auto"/>
                <w:sz w:val="18"/>
                <w:szCs w:val="18"/>
                <w:lang w:val="en-US" w:eastAsia="zh-CN"/>
              </w:rPr>
            </w:pPr>
            <w:r>
              <w:rPr>
                <w:rFonts w:hint="eastAsia" w:ascii="Times New Roman" w:hAnsi="Times New Roman" w:cs="Times New Roman"/>
                <w:b w:val="0"/>
                <w:bCs w:val="0"/>
                <w:color w:val="auto"/>
                <w:sz w:val="18"/>
                <w:szCs w:val="18"/>
                <w:lang w:val="en-US" w:eastAsia="zh-CN"/>
              </w:rPr>
              <w:t>危废仓库废气</w:t>
            </w:r>
          </w:p>
        </w:tc>
        <w:tc>
          <w:tcPr>
            <w:tcW w:w="3035" w:type="dxa"/>
            <w:tcBorders>
              <w:tl2br w:val="nil"/>
              <w:tr2bl w:val="nil"/>
            </w:tcBorders>
            <w:shd w:val="clear" w:color="auto" w:fill="auto"/>
            <w:vAlign w:val="center"/>
          </w:tcPr>
          <w:p w14:paraId="467ABE80">
            <w:pPr>
              <w:spacing w:line="24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olor w:val="auto"/>
                <w:sz w:val="18"/>
                <w:szCs w:val="18"/>
                <w:lang w:val="en-US" w:eastAsia="zh-CN"/>
              </w:rPr>
              <w:t>集气罩</w:t>
            </w:r>
            <w:r>
              <w:rPr>
                <w:rFonts w:hint="default" w:ascii="Times New Roman" w:hAnsi="Times New Roman"/>
                <w:color w:val="auto"/>
                <w:sz w:val="18"/>
                <w:szCs w:val="18"/>
                <w:lang w:val="en-US" w:eastAsia="zh-CN"/>
              </w:rPr>
              <w:t>+</w:t>
            </w:r>
            <w:r>
              <w:rPr>
                <w:rFonts w:hint="eastAsia" w:ascii="Times New Roman" w:hAnsi="Times New Roman"/>
                <w:color w:val="auto"/>
                <w:sz w:val="18"/>
                <w:szCs w:val="18"/>
                <w:lang w:val="en-US" w:eastAsia="zh-CN"/>
              </w:rPr>
              <w:t>活性炭吸附</w:t>
            </w:r>
            <w:r>
              <w:rPr>
                <w:rFonts w:hint="default" w:ascii="Times New Roman" w:hAnsi="Times New Roman"/>
                <w:color w:val="auto"/>
                <w:sz w:val="18"/>
                <w:szCs w:val="18"/>
                <w:lang w:val="en-US" w:eastAsia="zh-CN"/>
              </w:rPr>
              <w:t>+15m</w:t>
            </w:r>
            <w:r>
              <w:rPr>
                <w:rFonts w:hint="eastAsia" w:ascii="Times New Roman" w:hAnsi="Times New Roman"/>
                <w:color w:val="auto"/>
                <w:sz w:val="18"/>
                <w:szCs w:val="18"/>
                <w:lang w:val="en-US" w:eastAsia="zh-CN"/>
              </w:rPr>
              <w:t>排气筒</w:t>
            </w:r>
            <w:r>
              <w:rPr>
                <w:rFonts w:hint="eastAsia" w:ascii="Times New Roman" w:hAnsi="Times New Roman" w:cs="Times New Roman"/>
                <w:b w:val="0"/>
                <w:bCs w:val="0"/>
                <w:color w:val="auto"/>
                <w:sz w:val="18"/>
                <w:szCs w:val="18"/>
                <w:highlight w:val="none"/>
                <w:lang w:val="en-US" w:eastAsia="zh-CN"/>
              </w:rPr>
              <w:t>（DA010）</w:t>
            </w:r>
          </w:p>
        </w:tc>
        <w:tc>
          <w:tcPr>
            <w:tcW w:w="2940" w:type="dxa"/>
            <w:tcBorders>
              <w:tl2br w:val="nil"/>
              <w:tr2bl w:val="nil"/>
            </w:tcBorders>
            <w:shd w:val="clear" w:color="auto" w:fill="auto"/>
            <w:vAlign w:val="center"/>
          </w:tcPr>
          <w:p w14:paraId="1DAAC2BE">
            <w:pPr>
              <w:spacing w:line="24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依托现有废气处理设施</w:t>
            </w:r>
          </w:p>
        </w:tc>
        <w:tc>
          <w:tcPr>
            <w:tcW w:w="2570" w:type="dxa"/>
            <w:tcBorders>
              <w:tl2br w:val="nil"/>
              <w:tr2bl w:val="nil"/>
            </w:tcBorders>
            <w:vAlign w:val="center"/>
          </w:tcPr>
          <w:p w14:paraId="237C83FA">
            <w:pPr>
              <w:spacing w:line="240" w:lineRule="atLeast"/>
              <w:jc w:val="center"/>
              <w:rPr>
                <w:rFonts w:hint="eastAsia"/>
                <w:color w:val="auto"/>
                <w:sz w:val="18"/>
                <w:szCs w:val="21"/>
                <w:lang w:val="en-US" w:eastAsia="zh-CN"/>
              </w:rPr>
            </w:pPr>
            <w:r>
              <w:rPr>
                <w:rFonts w:hint="eastAsia" w:ascii="Times New Roman" w:hAnsi="Times New Roman"/>
                <w:color w:val="auto"/>
                <w:sz w:val="18"/>
                <w:szCs w:val="18"/>
                <w:lang w:val="en-US" w:eastAsia="zh-CN"/>
              </w:rPr>
              <w:t>集气罩</w:t>
            </w:r>
            <w:r>
              <w:rPr>
                <w:rFonts w:hint="default" w:ascii="Times New Roman" w:hAnsi="Times New Roman"/>
                <w:color w:val="auto"/>
                <w:sz w:val="18"/>
                <w:szCs w:val="18"/>
                <w:lang w:val="en-US" w:eastAsia="zh-CN"/>
              </w:rPr>
              <w:t>+</w:t>
            </w:r>
            <w:r>
              <w:rPr>
                <w:rFonts w:hint="eastAsia" w:ascii="Times New Roman" w:hAnsi="Times New Roman"/>
                <w:color w:val="auto"/>
                <w:sz w:val="18"/>
                <w:szCs w:val="18"/>
                <w:lang w:val="en-US" w:eastAsia="zh-CN"/>
              </w:rPr>
              <w:t>活性炭吸附</w:t>
            </w:r>
            <w:r>
              <w:rPr>
                <w:rFonts w:hint="default" w:ascii="Times New Roman" w:hAnsi="Times New Roman"/>
                <w:color w:val="auto"/>
                <w:sz w:val="18"/>
                <w:szCs w:val="18"/>
                <w:lang w:val="en-US" w:eastAsia="zh-CN"/>
              </w:rPr>
              <w:t>+15m</w:t>
            </w:r>
            <w:r>
              <w:rPr>
                <w:rFonts w:hint="eastAsia" w:ascii="Times New Roman" w:hAnsi="Times New Roman"/>
                <w:color w:val="auto"/>
                <w:sz w:val="18"/>
                <w:szCs w:val="18"/>
                <w:lang w:val="en-US" w:eastAsia="zh-CN"/>
              </w:rPr>
              <w:t>排气筒</w:t>
            </w:r>
            <w:r>
              <w:rPr>
                <w:rFonts w:hint="eastAsia" w:ascii="Times New Roman" w:hAnsi="Times New Roman" w:cs="Times New Roman"/>
                <w:b w:val="0"/>
                <w:bCs w:val="0"/>
                <w:color w:val="auto"/>
                <w:sz w:val="18"/>
                <w:szCs w:val="18"/>
                <w:highlight w:val="none"/>
                <w:lang w:val="en-US" w:eastAsia="zh-CN"/>
              </w:rPr>
              <w:t>（DA010）</w:t>
            </w:r>
          </w:p>
        </w:tc>
        <w:tc>
          <w:tcPr>
            <w:tcW w:w="2400" w:type="dxa"/>
            <w:tcBorders>
              <w:tl2br w:val="nil"/>
              <w:tr2bl w:val="nil"/>
            </w:tcBorders>
            <w:vAlign w:val="center"/>
          </w:tcPr>
          <w:p w14:paraId="5F28FA16">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lang w:val="en-US" w:eastAsia="zh-CN"/>
              </w:rPr>
              <w:t>达标排放</w:t>
            </w:r>
          </w:p>
        </w:tc>
      </w:tr>
      <w:tr w14:paraId="2B0AB1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712" w:type="dxa"/>
            <w:vMerge w:val="continue"/>
            <w:tcBorders>
              <w:tl2br w:val="nil"/>
              <w:tr2bl w:val="nil"/>
            </w:tcBorders>
            <w:vAlign w:val="center"/>
          </w:tcPr>
          <w:p w14:paraId="7BA06193">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ascii="Times New Roman" w:hAnsi="Times New Roman" w:cs="Times New Roman"/>
                <w:color w:val="auto"/>
                <w:sz w:val="18"/>
                <w:szCs w:val="18"/>
                <w:lang w:val="en-US" w:eastAsia="zh-CN"/>
              </w:rPr>
            </w:pPr>
          </w:p>
        </w:tc>
        <w:tc>
          <w:tcPr>
            <w:tcW w:w="637" w:type="dxa"/>
            <w:vMerge w:val="continue"/>
            <w:tcBorders>
              <w:tl2br w:val="nil"/>
              <w:tr2bl w:val="nil"/>
            </w:tcBorders>
            <w:vAlign w:val="center"/>
          </w:tcPr>
          <w:p w14:paraId="63B8820D">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p>
        </w:tc>
        <w:tc>
          <w:tcPr>
            <w:tcW w:w="1402" w:type="dxa"/>
            <w:tcBorders>
              <w:tl2br w:val="nil"/>
              <w:tr2bl w:val="nil"/>
            </w:tcBorders>
            <w:vAlign w:val="center"/>
          </w:tcPr>
          <w:p w14:paraId="19FD87D5">
            <w:pPr>
              <w:pStyle w:val="46"/>
              <w:keepNext w:val="0"/>
              <w:keepLines w:val="0"/>
              <w:pageBreakBefore w:val="0"/>
              <w:kinsoku/>
              <w:wordWrap/>
              <w:overflowPunct/>
              <w:topLinePunct w:val="0"/>
              <w:autoSpaceDE/>
              <w:autoSpaceDN/>
              <w:bidi w:val="0"/>
              <w:adjustRightInd/>
              <w:spacing w:line="240" w:lineRule="auto"/>
              <w:ind w:right="0"/>
              <w:jc w:val="center"/>
              <w:textAlignment w:val="auto"/>
              <w:rPr>
                <w:rFonts w:hint="default" w:ascii="Times New Roman" w:hAnsi="Times New Roman" w:cs="Times New Roman"/>
                <w:b w:val="0"/>
                <w:bCs w:val="0"/>
                <w:color w:val="auto"/>
                <w:sz w:val="18"/>
                <w:szCs w:val="18"/>
                <w:lang w:val="en-US" w:eastAsia="zh-CN"/>
              </w:rPr>
            </w:pPr>
            <w:r>
              <w:rPr>
                <w:rFonts w:hint="eastAsia" w:ascii="Times New Roman" w:hAnsi="Times New Roman" w:cs="Times New Roman"/>
                <w:b w:val="0"/>
                <w:bCs w:val="0"/>
                <w:color w:val="auto"/>
                <w:sz w:val="18"/>
                <w:szCs w:val="18"/>
                <w:lang w:val="en-US" w:eastAsia="zh-CN"/>
              </w:rPr>
              <w:t>镀铝废气</w:t>
            </w:r>
          </w:p>
        </w:tc>
        <w:tc>
          <w:tcPr>
            <w:tcW w:w="3035" w:type="dxa"/>
            <w:tcBorders>
              <w:tl2br w:val="nil"/>
              <w:tr2bl w:val="nil"/>
            </w:tcBorders>
            <w:vAlign w:val="center"/>
          </w:tcPr>
          <w:p w14:paraId="38FD24B0">
            <w:pPr>
              <w:pStyle w:val="46"/>
              <w:keepNext w:val="0"/>
              <w:keepLines w:val="0"/>
              <w:pageBreakBefore w:val="0"/>
              <w:kinsoku/>
              <w:wordWrap/>
              <w:overflowPunct/>
              <w:topLinePunct w:val="0"/>
              <w:autoSpaceDE/>
              <w:autoSpaceDN/>
              <w:bidi w:val="0"/>
              <w:adjustRightInd/>
              <w:spacing w:line="240" w:lineRule="auto"/>
              <w:ind w:right="0"/>
              <w:jc w:val="center"/>
              <w:textAlignment w:val="auto"/>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集气罩+二级活性炭吸附+15m排气筒（DA0013~DA015，其中DA013、DA015为生产使用，DA014作为备用），车间设置排风扇，加强车间自然通风及机械排风，废气处理装置与排风扇依托现有</w:t>
            </w:r>
          </w:p>
        </w:tc>
        <w:tc>
          <w:tcPr>
            <w:tcW w:w="2940" w:type="dxa"/>
            <w:tcBorders>
              <w:tl2br w:val="nil"/>
              <w:tr2bl w:val="nil"/>
            </w:tcBorders>
            <w:vAlign w:val="center"/>
          </w:tcPr>
          <w:p w14:paraId="62C55B26">
            <w:pPr>
              <w:spacing w:line="240" w:lineRule="atLeast"/>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w:t>
            </w:r>
          </w:p>
        </w:tc>
        <w:tc>
          <w:tcPr>
            <w:tcW w:w="2570" w:type="dxa"/>
            <w:tcBorders>
              <w:tl2br w:val="nil"/>
              <w:tr2bl w:val="nil"/>
            </w:tcBorders>
            <w:vAlign w:val="center"/>
          </w:tcPr>
          <w:p w14:paraId="1C9748F8">
            <w:pPr>
              <w:pStyle w:val="46"/>
              <w:keepNext w:val="0"/>
              <w:keepLines w:val="0"/>
              <w:pageBreakBefore w:val="0"/>
              <w:kinsoku/>
              <w:wordWrap/>
              <w:overflowPunct/>
              <w:topLinePunct w:val="0"/>
              <w:autoSpaceDE/>
              <w:autoSpaceDN/>
              <w:bidi w:val="0"/>
              <w:adjustRightInd/>
              <w:spacing w:line="240" w:lineRule="auto"/>
              <w:ind w:right="0" w:rightChars="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集气罩+二级活性炭吸附+15m排气筒（DA0013~DA015，其中DA013、DA015为生产使用，DA014作为备用），车间设置排风扇，加强车间自然通风及机械排风，废气处理装置与排风扇依托现有</w:t>
            </w:r>
          </w:p>
        </w:tc>
        <w:tc>
          <w:tcPr>
            <w:tcW w:w="2400" w:type="dxa"/>
            <w:tcBorders>
              <w:tl2br w:val="nil"/>
              <w:tr2bl w:val="nil"/>
            </w:tcBorders>
            <w:vAlign w:val="center"/>
          </w:tcPr>
          <w:p w14:paraId="0A52BC9D">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cs="Times New Roman"/>
                <w:color w:val="auto"/>
                <w:sz w:val="18"/>
                <w:szCs w:val="18"/>
                <w:highlight w:val="none"/>
                <w:lang w:val="en-US" w:eastAsia="zh-CN"/>
              </w:rPr>
            </w:pPr>
            <w:r>
              <w:rPr>
                <w:rFonts w:hint="eastAsia" w:cs="Times New Roman"/>
                <w:color w:val="auto"/>
                <w:sz w:val="18"/>
                <w:szCs w:val="18"/>
                <w:lang w:val="en-US" w:eastAsia="zh-CN"/>
              </w:rPr>
              <w:t>本项目不涉及</w:t>
            </w:r>
          </w:p>
        </w:tc>
      </w:tr>
      <w:tr w14:paraId="553A6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712" w:type="dxa"/>
            <w:vMerge w:val="continue"/>
            <w:tcBorders>
              <w:tl2br w:val="nil"/>
              <w:tr2bl w:val="nil"/>
            </w:tcBorders>
            <w:vAlign w:val="center"/>
          </w:tcPr>
          <w:p w14:paraId="467A8D95">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ascii="Times New Roman" w:hAnsi="Times New Roman" w:cs="Times New Roman"/>
                <w:color w:val="auto"/>
                <w:sz w:val="18"/>
                <w:szCs w:val="18"/>
                <w:lang w:val="en-US" w:eastAsia="zh-CN"/>
              </w:rPr>
            </w:pPr>
          </w:p>
        </w:tc>
        <w:tc>
          <w:tcPr>
            <w:tcW w:w="637" w:type="dxa"/>
            <w:vMerge w:val="continue"/>
            <w:tcBorders>
              <w:tl2br w:val="nil"/>
              <w:tr2bl w:val="nil"/>
            </w:tcBorders>
            <w:vAlign w:val="center"/>
          </w:tcPr>
          <w:p w14:paraId="030A0F9E">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p>
        </w:tc>
        <w:tc>
          <w:tcPr>
            <w:tcW w:w="1402" w:type="dxa"/>
            <w:tcBorders>
              <w:tl2br w:val="nil"/>
              <w:tr2bl w:val="nil"/>
            </w:tcBorders>
            <w:vAlign w:val="center"/>
          </w:tcPr>
          <w:p w14:paraId="44FAEBB8">
            <w:pPr>
              <w:pStyle w:val="46"/>
              <w:keepNext w:val="0"/>
              <w:keepLines w:val="0"/>
              <w:pageBreakBefore w:val="0"/>
              <w:kinsoku/>
              <w:wordWrap/>
              <w:overflowPunct/>
              <w:topLinePunct w:val="0"/>
              <w:autoSpaceDE/>
              <w:autoSpaceDN/>
              <w:bidi w:val="0"/>
              <w:adjustRightInd/>
              <w:spacing w:line="240" w:lineRule="auto"/>
              <w:ind w:right="0"/>
              <w:jc w:val="center"/>
              <w:textAlignment w:val="auto"/>
              <w:rPr>
                <w:rFonts w:hint="default" w:ascii="Times New Roman" w:hAnsi="Times New Roman" w:cs="Times New Roman"/>
                <w:b w:val="0"/>
                <w:bCs w:val="0"/>
                <w:color w:val="auto"/>
                <w:sz w:val="18"/>
                <w:szCs w:val="18"/>
                <w:lang w:val="en-US" w:eastAsia="zh-CN"/>
              </w:rPr>
            </w:pPr>
            <w:r>
              <w:rPr>
                <w:rFonts w:hint="eastAsia" w:ascii="Times New Roman" w:hAnsi="Times New Roman" w:cs="Times New Roman"/>
                <w:b w:val="0"/>
                <w:bCs w:val="0"/>
                <w:color w:val="auto"/>
                <w:sz w:val="18"/>
                <w:szCs w:val="18"/>
                <w:lang w:val="en-US" w:eastAsia="zh-CN"/>
              </w:rPr>
              <w:t>印刷废气</w:t>
            </w:r>
          </w:p>
        </w:tc>
        <w:tc>
          <w:tcPr>
            <w:tcW w:w="3035" w:type="dxa"/>
            <w:tcBorders>
              <w:tl2br w:val="nil"/>
              <w:tr2bl w:val="nil"/>
            </w:tcBorders>
            <w:vAlign w:val="center"/>
          </w:tcPr>
          <w:p w14:paraId="61B893A3">
            <w:pPr>
              <w:pStyle w:val="46"/>
              <w:keepNext w:val="0"/>
              <w:keepLines w:val="0"/>
              <w:pageBreakBefore w:val="0"/>
              <w:kinsoku/>
              <w:wordWrap/>
              <w:overflowPunct/>
              <w:topLinePunct w:val="0"/>
              <w:autoSpaceDE/>
              <w:autoSpaceDN/>
              <w:bidi w:val="0"/>
              <w:adjustRightInd/>
              <w:spacing w:line="240" w:lineRule="auto"/>
              <w:ind w:right="0"/>
              <w:jc w:val="center"/>
              <w:textAlignment w:val="auto"/>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集气罩+二级活性炭吸附+15m排气筒（DA012），车间设置排风扇，加强车间自然通风及机械排风</w:t>
            </w:r>
          </w:p>
        </w:tc>
        <w:tc>
          <w:tcPr>
            <w:tcW w:w="2940" w:type="dxa"/>
            <w:tcBorders>
              <w:tl2br w:val="nil"/>
              <w:tr2bl w:val="nil"/>
            </w:tcBorders>
            <w:vAlign w:val="center"/>
          </w:tcPr>
          <w:p w14:paraId="1B4CD327">
            <w:pPr>
              <w:spacing w:line="240" w:lineRule="atLeast"/>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w:t>
            </w:r>
          </w:p>
        </w:tc>
        <w:tc>
          <w:tcPr>
            <w:tcW w:w="2570" w:type="dxa"/>
            <w:tcBorders>
              <w:tl2br w:val="nil"/>
              <w:tr2bl w:val="nil"/>
            </w:tcBorders>
            <w:vAlign w:val="center"/>
          </w:tcPr>
          <w:p w14:paraId="6803B520">
            <w:pPr>
              <w:pStyle w:val="46"/>
              <w:keepNext w:val="0"/>
              <w:keepLines w:val="0"/>
              <w:pageBreakBefore w:val="0"/>
              <w:kinsoku/>
              <w:wordWrap/>
              <w:overflowPunct/>
              <w:topLinePunct w:val="0"/>
              <w:autoSpaceDE/>
              <w:autoSpaceDN/>
              <w:bidi w:val="0"/>
              <w:adjustRightInd/>
              <w:spacing w:line="240" w:lineRule="auto"/>
              <w:ind w:right="0" w:rightChars="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集气罩+二级活性炭吸附+15m排气筒（DA012），车间设置排风扇，加强车间自然通风及机械排风</w:t>
            </w:r>
          </w:p>
        </w:tc>
        <w:tc>
          <w:tcPr>
            <w:tcW w:w="2400" w:type="dxa"/>
            <w:tcBorders>
              <w:tl2br w:val="nil"/>
              <w:tr2bl w:val="nil"/>
            </w:tcBorders>
            <w:vAlign w:val="center"/>
          </w:tcPr>
          <w:p w14:paraId="7DCBF858">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cs="Times New Roman"/>
                <w:color w:val="auto"/>
                <w:sz w:val="18"/>
                <w:szCs w:val="18"/>
                <w:highlight w:val="none"/>
                <w:lang w:val="en-US" w:eastAsia="zh-CN"/>
              </w:rPr>
            </w:pPr>
            <w:r>
              <w:rPr>
                <w:rFonts w:hint="eastAsia" w:cs="Times New Roman"/>
                <w:color w:val="auto"/>
                <w:sz w:val="18"/>
                <w:szCs w:val="18"/>
                <w:lang w:val="en-US" w:eastAsia="zh-CN"/>
              </w:rPr>
              <w:t>本项目不涉及</w:t>
            </w:r>
          </w:p>
        </w:tc>
      </w:tr>
      <w:tr w14:paraId="6A5271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712" w:type="dxa"/>
            <w:vMerge w:val="continue"/>
            <w:tcBorders>
              <w:tl2br w:val="nil"/>
              <w:tr2bl w:val="nil"/>
            </w:tcBorders>
            <w:vAlign w:val="center"/>
          </w:tcPr>
          <w:p w14:paraId="6D118400">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ascii="Times New Roman" w:hAnsi="Times New Roman" w:cs="Times New Roman"/>
                <w:color w:val="auto"/>
                <w:sz w:val="18"/>
                <w:szCs w:val="18"/>
                <w:lang w:val="en-US" w:eastAsia="zh-CN"/>
              </w:rPr>
            </w:pPr>
          </w:p>
        </w:tc>
        <w:tc>
          <w:tcPr>
            <w:tcW w:w="637" w:type="dxa"/>
            <w:vMerge w:val="continue"/>
            <w:tcBorders>
              <w:tl2br w:val="nil"/>
              <w:tr2bl w:val="nil"/>
            </w:tcBorders>
            <w:vAlign w:val="center"/>
          </w:tcPr>
          <w:p w14:paraId="02759878">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p>
        </w:tc>
        <w:tc>
          <w:tcPr>
            <w:tcW w:w="1402" w:type="dxa"/>
            <w:tcBorders>
              <w:tl2br w:val="nil"/>
              <w:tr2bl w:val="nil"/>
            </w:tcBorders>
            <w:vAlign w:val="center"/>
          </w:tcPr>
          <w:p w14:paraId="53C5174F">
            <w:pPr>
              <w:pStyle w:val="46"/>
              <w:keepNext w:val="0"/>
              <w:keepLines w:val="0"/>
              <w:pageBreakBefore w:val="0"/>
              <w:kinsoku/>
              <w:wordWrap/>
              <w:overflowPunct/>
              <w:topLinePunct w:val="0"/>
              <w:autoSpaceDE/>
              <w:autoSpaceDN/>
              <w:bidi w:val="0"/>
              <w:adjustRightInd/>
              <w:spacing w:line="240" w:lineRule="auto"/>
              <w:ind w:right="0"/>
              <w:jc w:val="center"/>
              <w:textAlignment w:val="auto"/>
              <w:rPr>
                <w:rFonts w:hint="default" w:ascii="Times New Roman" w:hAnsi="Times New Roman" w:cs="Times New Roman"/>
                <w:b w:val="0"/>
                <w:bCs w:val="0"/>
                <w:color w:val="auto"/>
                <w:sz w:val="18"/>
                <w:szCs w:val="18"/>
                <w:lang w:val="en-US" w:eastAsia="zh-CN"/>
              </w:rPr>
            </w:pPr>
            <w:r>
              <w:rPr>
                <w:rFonts w:hint="eastAsia" w:ascii="Times New Roman" w:hAnsi="Times New Roman" w:cs="Times New Roman"/>
                <w:b w:val="0"/>
                <w:bCs w:val="0"/>
                <w:color w:val="auto"/>
                <w:sz w:val="18"/>
                <w:szCs w:val="18"/>
                <w:lang w:val="en-US" w:eastAsia="zh-CN"/>
              </w:rPr>
              <w:t>食堂油烟</w:t>
            </w:r>
          </w:p>
        </w:tc>
        <w:tc>
          <w:tcPr>
            <w:tcW w:w="3035" w:type="dxa"/>
            <w:tcBorders>
              <w:tl2br w:val="nil"/>
              <w:tr2bl w:val="nil"/>
            </w:tcBorders>
            <w:vAlign w:val="center"/>
          </w:tcPr>
          <w:p w14:paraId="14E60731">
            <w:pPr>
              <w:pStyle w:val="46"/>
              <w:keepNext w:val="0"/>
              <w:keepLines w:val="0"/>
              <w:pageBreakBefore w:val="0"/>
              <w:kinsoku/>
              <w:wordWrap/>
              <w:overflowPunct/>
              <w:topLinePunct w:val="0"/>
              <w:autoSpaceDE/>
              <w:autoSpaceDN/>
              <w:bidi w:val="0"/>
              <w:adjustRightInd/>
              <w:spacing w:line="240" w:lineRule="auto"/>
              <w:ind w:right="0"/>
              <w:jc w:val="center"/>
              <w:textAlignment w:val="auto"/>
              <w:rPr>
                <w:rFonts w:hint="eastAsia" w:ascii="Times New Roman" w:hAnsi="Times New Roman" w:cs="Times New Roman"/>
                <w:b w:val="0"/>
                <w:bCs w:val="0"/>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油烟净化装置+8m（DA001）排气筒</w:t>
            </w:r>
          </w:p>
        </w:tc>
        <w:tc>
          <w:tcPr>
            <w:tcW w:w="2940" w:type="dxa"/>
            <w:tcBorders>
              <w:tl2br w:val="nil"/>
              <w:tr2bl w:val="nil"/>
            </w:tcBorders>
            <w:vAlign w:val="center"/>
          </w:tcPr>
          <w:p w14:paraId="1736DAD7">
            <w:pPr>
              <w:spacing w:line="240" w:lineRule="atLeast"/>
              <w:jc w:val="center"/>
              <w:rPr>
                <w:rFonts w:hint="default" w:ascii="Times New Roman" w:hAnsi="Times New Roman" w:cs="Times New Roman"/>
                <w:b w:val="0"/>
                <w:bCs w:val="0"/>
                <w:color w:val="auto"/>
                <w:sz w:val="18"/>
                <w:szCs w:val="18"/>
                <w:highlight w:val="none"/>
                <w:lang w:val="en-US" w:eastAsia="zh-CN"/>
              </w:rPr>
            </w:pPr>
            <w:r>
              <w:rPr>
                <w:rFonts w:hint="eastAsia" w:cs="Times New Roman"/>
                <w:color w:val="auto"/>
                <w:sz w:val="18"/>
                <w:szCs w:val="18"/>
                <w:lang w:val="en-US" w:eastAsia="zh-CN"/>
              </w:rPr>
              <w:t>/</w:t>
            </w:r>
          </w:p>
        </w:tc>
        <w:tc>
          <w:tcPr>
            <w:tcW w:w="2570" w:type="dxa"/>
            <w:tcBorders>
              <w:tl2br w:val="nil"/>
              <w:tr2bl w:val="nil"/>
            </w:tcBorders>
            <w:vAlign w:val="center"/>
          </w:tcPr>
          <w:p w14:paraId="3F0A749F">
            <w:pPr>
              <w:pStyle w:val="46"/>
              <w:keepNext w:val="0"/>
              <w:keepLines w:val="0"/>
              <w:pageBreakBefore w:val="0"/>
              <w:kinsoku/>
              <w:wordWrap/>
              <w:overflowPunct/>
              <w:topLinePunct w:val="0"/>
              <w:autoSpaceDE/>
              <w:autoSpaceDN/>
              <w:bidi w:val="0"/>
              <w:adjustRightInd/>
              <w:spacing w:line="240" w:lineRule="auto"/>
              <w:ind w:right="0" w:rightChars="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b w:val="0"/>
                <w:bCs w:val="0"/>
                <w:color w:val="auto"/>
                <w:sz w:val="18"/>
                <w:szCs w:val="18"/>
                <w:highlight w:val="none"/>
                <w:lang w:val="en-US" w:eastAsia="zh-CN"/>
              </w:rPr>
              <w:t>油烟净化装置+8m（DA001）排气筒</w:t>
            </w:r>
          </w:p>
        </w:tc>
        <w:tc>
          <w:tcPr>
            <w:tcW w:w="2400" w:type="dxa"/>
            <w:tcBorders>
              <w:tl2br w:val="nil"/>
              <w:tr2bl w:val="nil"/>
            </w:tcBorders>
            <w:vAlign w:val="center"/>
          </w:tcPr>
          <w:p w14:paraId="6D53D361">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cs="Times New Roman"/>
                <w:color w:val="auto"/>
                <w:sz w:val="18"/>
                <w:szCs w:val="18"/>
                <w:highlight w:val="none"/>
                <w:lang w:val="en-US" w:eastAsia="zh-CN"/>
              </w:rPr>
            </w:pPr>
            <w:r>
              <w:rPr>
                <w:rFonts w:hint="eastAsia" w:cs="Times New Roman"/>
                <w:color w:val="auto"/>
                <w:sz w:val="18"/>
                <w:szCs w:val="18"/>
                <w:lang w:val="en-US" w:eastAsia="zh-CN"/>
              </w:rPr>
              <w:t>本项目不涉及</w:t>
            </w:r>
          </w:p>
        </w:tc>
      </w:tr>
      <w:tr w14:paraId="1D0EA7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12" w:type="dxa"/>
            <w:vMerge w:val="continue"/>
            <w:tcBorders>
              <w:tl2br w:val="nil"/>
              <w:tr2bl w:val="nil"/>
            </w:tcBorders>
            <w:vAlign w:val="center"/>
          </w:tcPr>
          <w:p w14:paraId="67C14839">
            <w:pPr>
              <w:pStyle w:val="8"/>
              <w:keepNext w:val="0"/>
              <w:keepLines w:val="0"/>
              <w:pageBreakBefore w:val="0"/>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rPr>
            </w:pPr>
          </w:p>
        </w:tc>
        <w:tc>
          <w:tcPr>
            <w:tcW w:w="637" w:type="dxa"/>
            <w:tcBorders>
              <w:tl2br w:val="nil"/>
              <w:tr2bl w:val="nil"/>
            </w:tcBorders>
            <w:vAlign w:val="center"/>
          </w:tcPr>
          <w:p w14:paraId="0E395F88">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废水</w:t>
            </w:r>
          </w:p>
        </w:tc>
        <w:tc>
          <w:tcPr>
            <w:tcW w:w="1402" w:type="dxa"/>
            <w:tcBorders>
              <w:tl2br w:val="nil"/>
              <w:tr2bl w:val="nil"/>
            </w:tcBorders>
            <w:vAlign w:val="center"/>
          </w:tcPr>
          <w:p w14:paraId="66EC5DE3">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生活污水</w:t>
            </w:r>
            <w:r>
              <w:rPr>
                <w:rFonts w:hint="eastAsia" w:ascii="Times New Roman" w:hAnsi="Times New Roman" w:cs="Times New Roman"/>
                <w:color w:val="auto"/>
                <w:sz w:val="18"/>
                <w:szCs w:val="18"/>
                <w:lang w:val="en-US" w:eastAsia="zh-CN"/>
              </w:rPr>
              <w:t>、</w:t>
            </w:r>
            <w:r>
              <w:rPr>
                <w:rFonts w:hint="default" w:ascii="Times New Roman" w:hAnsi="Times New Roman" w:cs="Times New Roman"/>
                <w:color w:val="auto"/>
                <w:sz w:val="18"/>
                <w:szCs w:val="18"/>
                <w:lang w:val="en-US" w:eastAsia="zh-CN"/>
              </w:rPr>
              <w:t>食堂废水</w:t>
            </w:r>
          </w:p>
        </w:tc>
        <w:tc>
          <w:tcPr>
            <w:tcW w:w="3035" w:type="dxa"/>
            <w:tcBorders>
              <w:tl2br w:val="nil"/>
              <w:tr2bl w:val="nil"/>
            </w:tcBorders>
            <w:vAlign w:val="center"/>
          </w:tcPr>
          <w:p w14:paraId="084FC37C">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化粪池</w:t>
            </w:r>
            <w:r>
              <w:rPr>
                <w:rFonts w:hint="eastAsia" w:ascii="Times New Roman" w:hAnsi="Times New Roman" w:cs="Times New Roman"/>
                <w:color w:val="auto"/>
                <w:sz w:val="18"/>
                <w:szCs w:val="18"/>
                <w:lang w:val="en-US" w:eastAsia="zh-CN"/>
              </w:rPr>
              <w:t>、</w:t>
            </w:r>
            <w:r>
              <w:rPr>
                <w:rFonts w:hint="default" w:ascii="Times New Roman" w:hAnsi="Times New Roman" w:cs="Times New Roman"/>
                <w:color w:val="auto"/>
                <w:sz w:val="18"/>
                <w:szCs w:val="18"/>
                <w:lang w:val="en-US" w:eastAsia="zh-CN"/>
              </w:rPr>
              <w:t>隔油池</w:t>
            </w:r>
          </w:p>
        </w:tc>
        <w:tc>
          <w:tcPr>
            <w:tcW w:w="2940" w:type="dxa"/>
            <w:tcBorders>
              <w:tl2br w:val="nil"/>
              <w:tr2bl w:val="nil"/>
            </w:tcBorders>
            <w:vAlign w:val="center"/>
          </w:tcPr>
          <w:p w14:paraId="5688C382">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依托现有</w:t>
            </w:r>
          </w:p>
        </w:tc>
        <w:tc>
          <w:tcPr>
            <w:tcW w:w="2570" w:type="dxa"/>
            <w:tcBorders>
              <w:tl2br w:val="nil"/>
              <w:tr2bl w:val="nil"/>
            </w:tcBorders>
            <w:vAlign w:val="center"/>
          </w:tcPr>
          <w:p w14:paraId="7CDAC5A6">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化粪池</w:t>
            </w:r>
            <w:r>
              <w:rPr>
                <w:rFonts w:hint="eastAsia" w:ascii="Times New Roman" w:hAnsi="Times New Roman" w:cs="Times New Roman"/>
                <w:color w:val="auto"/>
                <w:sz w:val="18"/>
                <w:szCs w:val="18"/>
                <w:lang w:val="en-US" w:eastAsia="zh-CN"/>
              </w:rPr>
              <w:t>、</w:t>
            </w:r>
            <w:r>
              <w:rPr>
                <w:rFonts w:hint="default" w:ascii="Times New Roman" w:hAnsi="Times New Roman" w:cs="Times New Roman"/>
                <w:color w:val="auto"/>
                <w:sz w:val="18"/>
                <w:szCs w:val="18"/>
                <w:lang w:val="en-US" w:eastAsia="zh-CN"/>
              </w:rPr>
              <w:t>隔油池</w:t>
            </w:r>
          </w:p>
        </w:tc>
        <w:tc>
          <w:tcPr>
            <w:tcW w:w="2400" w:type="dxa"/>
            <w:tcBorders>
              <w:tl2br w:val="nil"/>
              <w:tr2bl w:val="nil"/>
            </w:tcBorders>
            <w:vAlign w:val="center"/>
          </w:tcPr>
          <w:p w14:paraId="55388CCA">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rPr>
            </w:pPr>
            <w:r>
              <w:rPr>
                <w:rFonts w:hint="eastAsia" w:cs="Times New Roman"/>
                <w:color w:val="auto"/>
                <w:sz w:val="18"/>
                <w:szCs w:val="18"/>
                <w:lang w:val="en-US" w:eastAsia="zh-CN"/>
              </w:rPr>
              <w:t>处理后</w:t>
            </w:r>
            <w:r>
              <w:rPr>
                <w:rFonts w:hint="default" w:ascii="Times New Roman" w:hAnsi="Times New Roman" w:cs="Times New Roman"/>
                <w:color w:val="auto"/>
                <w:sz w:val="18"/>
                <w:szCs w:val="18"/>
              </w:rPr>
              <w:t>接管至</w:t>
            </w:r>
            <w:r>
              <w:rPr>
                <w:rFonts w:hint="eastAsia" w:cs="Times New Roman"/>
                <w:color w:val="auto"/>
                <w:sz w:val="18"/>
                <w:szCs w:val="18"/>
                <w:u w:val="none"/>
                <w:lang w:eastAsia="zh-CN"/>
              </w:rPr>
              <w:t>南通海门经开水务有限公司</w:t>
            </w:r>
          </w:p>
        </w:tc>
      </w:tr>
      <w:tr w14:paraId="5F022D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712" w:type="dxa"/>
            <w:vMerge w:val="continue"/>
            <w:tcBorders>
              <w:tl2br w:val="nil"/>
              <w:tr2bl w:val="nil"/>
            </w:tcBorders>
            <w:vAlign w:val="center"/>
          </w:tcPr>
          <w:p w14:paraId="31799D4E">
            <w:pPr>
              <w:pStyle w:val="8"/>
              <w:keepNext w:val="0"/>
              <w:keepLines w:val="0"/>
              <w:pageBreakBefore w:val="0"/>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p>
        </w:tc>
        <w:tc>
          <w:tcPr>
            <w:tcW w:w="2039" w:type="dxa"/>
            <w:gridSpan w:val="2"/>
            <w:tcBorders>
              <w:tl2br w:val="nil"/>
              <w:tr2bl w:val="nil"/>
            </w:tcBorders>
            <w:vAlign w:val="center"/>
          </w:tcPr>
          <w:p w14:paraId="1CDFD572">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val="en-US" w:eastAsia="zh-CN"/>
              </w:rPr>
              <w:t>噪声</w:t>
            </w:r>
          </w:p>
        </w:tc>
        <w:tc>
          <w:tcPr>
            <w:tcW w:w="3035" w:type="dxa"/>
            <w:tcBorders>
              <w:tl2br w:val="nil"/>
              <w:tr2bl w:val="nil"/>
            </w:tcBorders>
            <w:vAlign w:val="center"/>
          </w:tcPr>
          <w:p w14:paraId="50BE9948">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采用低噪声设备、隔声、减振</w:t>
            </w:r>
          </w:p>
        </w:tc>
        <w:tc>
          <w:tcPr>
            <w:tcW w:w="2940" w:type="dxa"/>
            <w:tcBorders>
              <w:tl2br w:val="nil"/>
              <w:tr2bl w:val="nil"/>
            </w:tcBorders>
            <w:vAlign w:val="center"/>
          </w:tcPr>
          <w:p w14:paraId="31A350B0">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采用低噪声设备、隔声、减振</w:t>
            </w:r>
          </w:p>
        </w:tc>
        <w:tc>
          <w:tcPr>
            <w:tcW w:w="2570" w:type="dxa"/>
            <w:tcBorders>
              <w:tl2br w:val="nil"/>
              <w:tr2bl w:val="nil"/>
            </w:tcBorders>
            <w:vAlign w:val="center"/>
          </w:tcPr>
          <w:p w14:paraId="3276F3DD">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采用低噪声设备、隔声、减振</w:t>
            </w:r>
          </w:p>
        </w:tc>
        <w:tc>
          <w:tcPr>
            <w:tcW w:w="2400" w:type="dxa"/>
            <w:tcBorders>
              <w:tl2br w:val="nil"/>
              <w:tr2bl w:val="nil"/>
            </w:tcBorders>
            <w:vAlign w:val="center"/>
          </w:tcPr>
          <w:p w14:paraId="0C423471">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执行</w:t>
            </w:r>
            <w:r>
              <w:rPr>
                <w:rFonts w:hint="default" w:ascii="Times New Roman" w:hAnsi="Times New Roman" w:cs="Times New Roman"/>
                <w:color w:val="auto"/>
                <w:sz w:val="18"/>
                <w:szCs w:val="18"/>
              </w:rPr>
              <w:t>《工业企业厂界环境噪声排放标准》（GB12348-2008）3类标准要求</w:t>
            </w:r>
            <w:r>
              <w:rPr>
                <w:rFonts w:hint="default" w:ascii="Times New Roman" w:hAnsi="Times New Roman" w:cs="Times New Roman"/>
                <w:color w:val="auto"/>
                <w:sz w:val="18"/>
                <w:szCs w:val="18"/>
                <w:lang w:eastAsia="zh-CN"/>
              </w:rPr>
              <w:t>。</w:t>
            </w:r>
          </w:p>
        </w:tc>
      </w:tr>
      <w:tr w14:paraId="6AB1C7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12" w:type="dxa"/>
            <w:vMerge w:val="continue"/>
            <w:tcBorders>
              <w:tl2br w:val="nil"/>
              <w:tr2bl w:val="nil"/>
            </w:tcBorders>
            <w:vAlign w:val="center"/>
          </w:tcPr>
          <w:p w14:paraId="4BAD18C1">
            <w:pPr>
              <w:pStyle w:val="8"/>
              <w:keepNext w:val="0"/>
              <w:keepLines w:val="0"/>
              <w:pageBreakBefore w:val="0"/>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p>
        </w:tc>
        <w:tc>
          <w:tcPr>
            <w:tcW w:w="637" w:type="dxa"/>
            <w:vMerge w:val="restart"/>
            <w:tcBorders>
              <w:tl2br w:val="nil"/>
              <w:tr2bl w:val="nil"/>
            </w:tcBorders>
            <w:vAlign w:val="center"/>
          </w:tcPr>
          <w:p w14:paraId="67C74A41">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固废</w:t>
            </w:r>
          </w:p>
        </w:tc>
        <w:tc>
          <w:tcPr>
            <w:tcW w:w="1402" w:type="dxa"/>
            <w:tcBorders>
              <w:tl2br w:val="nil"/>
              <w:tr2bl w:val="nil"/>
            </w:tcBorders>
            <w:vAlign w:val="center"/>
          </w:tcPr>
          <w:p w14:paraId="56EFBCE8">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危废</w:t>
            </w:r>
            <w:r>
              <w:rPr>
                <w:rFonts w:hint="eastAsia" w:cs="Times New Roman"/>
                <w:color w:val="auto"/>
                <w:sz w:val="18"/>
                <w:szCs w:val="18"/>
                <w:lang w:val="en-US" w:eastAsia="zh-CN"/>
              </w:rPr>
              <w:t>仓库</w:t>
            </w:r>
          </w:p>
        </w:tc>
        <w:tc>
          <w:tcPr>
            <w:tcW w:w="3035" w:type="dxa"/>
            <w:tcBorders>
              <w:tl2br w:val="nil"/>
              <w:tr2bl w:val="nil"/>
            </w:tcBorders>
            <w:vAlign w:val="center"/>
          </w:tcPr>
          <w:p w14:paraId="77093C8C">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建筑面积70</w:t>
            </w:r>
            <w:r>
              <w:rPr>
                <w:rFonts w:hint="default" w:ascii="Times New Roman" w:hAnsi="Times New Roman" w:cs="Times New Roman"/>
                <w:color w:val="auto"/>
                <w:sz w:val="18"/>
                <w:szCs w:val="18"/>
                <w:lang w:val="en-US" w:eastAsia="zh-CN"/>
              </w:rPr>
              <w:t>m</w:t>
            </w:r>
            <w:r>
              <w:rPr>
                <w:rFonts w:hint="default" w:ascii="Times New Roman" w:hAnsi="Times New Roman" w:cs="Times New Roman"/>
                <w:color w:val="auto"/>
                <w:sz w:val="18"/>
                <w:szCs w:val="18"/>
                <w:vertAlign w:val="superscript"/>
                <w:lang w:val="en-US" w:eastAsia="zh-CN"/>
              </w:rPr>
              <w:t>2</w:t>
            </w:r>
          </w:p>
        </w:tc>
        <w:tc>
          <w:tcPr>
            <w:tcW w:w="2940" w:type="dxa"/>
            <w:tcBorders>
              <w:tl2br w:val="nil"/>
              <w:tr2bl w:val="nil"/>
            </w:tcBorders>
            <w:vAlign w:val="center"/>
          </w:tcPr>
          <w:p w14:paraId="78ACEF0E">
            <w:pPr>
              <w:spacing w:line="240" w:lineRule="atLeast"/>
              <w:jc w:val="center"/>
              <w:rPr>
                <w:rFonts w:hint="default" w:ascii="Times New Roman" w:hAnsi="Times New Roman" w:cs="Times New Roman"/>
                <w:color w:val="auto"/>
                <w:sz w:val="18"/>
                <w:szCs w:val="18"/>
                <w:lang w:val="en-US" w:eastAsia="zh-CN"/>
              </w:rPr>
            </w:pPr>
            <w:r>
              <w:rPr>
                <w:rFonts w:hint="eastAsia"/>
                <w:color w:val="auto"/>
                <w:sz w:val="18"/>
                <w:szCs w:val="18"/>
                <w:lang w:val="en-US" w:eastAsia="zh-CN"/>
              </w:rPr>
              <w:t>依托现有</w:t>
            </w:r>
          </w:p>
        </w:tc>
        <w:tc>
          <w:tcPr>
            <w:tcW w:w="2570" w:type="dxa"/>
            <w:tcBorders>
              <w:tl2br w:val="nil"/>
              <w:tr2bl w:val="nil"/>
            </w:tcBorders>
            <w:vAlign w:val="center"/>
          </w:tcPr>
          <w:p w14:paraId="2AC49D84">
            <w:pPr>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ascii="Times New Roman" w:hAnsi="Times New Roman" w:cs="Times New Roman"/>
                <w:color w:val="auto"/>
                <w:sz w:val="18"/>
                <w:szCs w:val="18"/>
                <w:lang w:eastAsia="zh-CN"/>
              </w:rPr>
            </w:pPr>
            <w:r>
              <w:rPr>
                <w:rFonts w:hint="eastAsia" w:cs="Times New Roman"/>
                <w:color w:val="auto"/>
                <w:sz w:val="18"/>
                <w:szCs w:val="18"/>
                <w:lang w:val="en-US" w:eastAsia="zh-CN"/>
              </w:rPr>
              <w:t>与技改前一致</w:t>
            </w:r>
          </w:p>
        </w:tc>
        <w:tc>
          <w:tcPr>
            <w:tcW w:w="2400" w:type="dxa"/>
            <w:tcBorders>
              <w:tl2br w:val="nil"/>
              <w:tr2bl w:val="nil"/>
            </w:tcBorders>
            <w:vAlign w:val="center"/>
          </w:tcPr>
          <w:p w14:paraId="356B4A20">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sz w:val="18"/>
                <w:szCs w:val="18"/>
                <w:lang w:eastAsia="zh-CN"/>
              </w:rPr>
              <w:t>执行</w:t>
            </w:r>
            <w:r>
              <w:rPr>
                <w:rFonts w:hint="default" w:ascii="Times New Roman" w:hAnsi="Times New Roman" w:cs="Times New Roman"/>
                <w:color w:val="auto"/>
                <w:sz w:val="18"/>
                <w:szCs w:val="18"/>
              </w:rPr>
              <w:t>《危险废物贮存污染控制标准》（GB 18597-2023）</w:t>
            </w:r>
          </w:p>
        </w:tc>
      </w:tr>
      <w:tr w14:paraId="53C578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2" w:type="dxa"/>
            <w:vMerge w:val="continue"/>
            <w:tcBorders>
              <w:tl2br w:val="nil"/>
              <w:tr2bl w:val="nil"/>
            </w:tcBorders>
            <w:vAlign w:val="center"/>
          </w:tcPr>
          <w:p w14:paraId="7493AFBF">
            <w:pPr>
              <w:pStyle w:val="8"/>
              <w:keepNext w:val="0"/>
              <w:keepLines w:val="0"/>
              <w:pageBreakBefore w:val="0"/>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rPr>
            </w:pPr>
          </w:p>
        </w:tc>
        <w:tc>
          <w:tcPr>
            <w:tcW w:w="637" w:type="dxa"/>
            <w:vMerge w:val="continue"/>
            <w:tcBorders>
              <w:tl2br w:val="nil"/>
              <w:tr2bl w:val="nil"/>
            </w:tcBorders>
            <w:vAlign w:val="center"/>
          </w:tcPr>
          <w:p w14:paraId="5F5A6F2F">
            <w:pPr>
              <w:pStyle w:val="8"/>
              <w:keepNext w:val="0"/>
              <w:keepLines w:val="0"/>
              <w:pageBreakBefore w:val="0"/>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rPr>
            </w:pPr>
          </w:p>
        </w:tc>
        <w:tc>
          <w:tcPr>
            <w:tcW w:w="1402" w:type="dxa"/>
            <w:tcBorders>
              <w:tl2br w:val="nil"/>
              <w:tr2bl w:val="nil"/>
            </w:tcBorders>
            <w:vAlign w:val="center"/>
          </w:tcPr>
          <w:p w14:paraId="39547E32">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both"/>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一般固废仓库</w:t>
            </w:r>
          </w:p>
        </w:tc>
        <w:tc>
          <w:tcPr>
            <w:tcW w:w="3035" w:type="dxa"/>
            <w:tcBorders>
              <w:tl2br w:val="nil"/>
              <w:tr2bl w:val="nil"/>
            </w:tcBorders>
            <w:vAlign w:val="center"/>
          </w:tcPr>
          <w:p w14:paraId="6C272CBC">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建筑面积1000</w:t>
            </w:r>
            <w:r>
              <w:rPr>
                <w:rFonts w:hint="default" w:ascii="Times New Roman" w:hAnsi="Times New Roman" w:cs="Times New Roman"/>
                <w:color w:val="auto"/>
                <w:sz w:val="18"/>
                <w:szCs w:val="18"/>
                <w:lang w:val="en-US" w:eastAsia="zh-CN"/>
              </w:rPr>
              <w:t>m</w:t>
            </w:r>
            <w:r>
              <w:rPr>
                <w:rFonts w:hint="default" w:ascii="Times New Roman" w:hAnsi="Times New Roman" w:cs="Times New Roman"/>
                <w:color w:val="auto"/>
                <w:sz w:val="18"/>
                <w:szCs w:val="18"/>
                <w:vertAlign w:val="superscript"/>
                <w:lang w:val="en-US" w:eastAsia="zh-CN"/>
              </w:rPr>
              <w:t>2</w:t>
            </w:r>
          </w:p>
        </w:tc>
        <w:tc>
          <w:tcPr>
            <w:tcW w:w="2940" w:type="dxa"/>
            <w:tcBorders>
              <w:tl2br w:val="nil"/>
              <w:tr2bl w:val="nil"/>
            </w:tcBorders>
            <w:vAlign w:val="center"/>
          </w:tcPr>
          <w:p w14:paraId="6931ABDD">
            <w:pPr>
              <w:spacing w:line="240" w:lineRule="atLeast"/>
              <w:jc w:val="center"/>
              <w:rPr>
                <w:rFonts w:hint="default" w:ascii="Times New Roman" w:hAnsi="Times New Roman" w:cs="Times New Roman"/>
                <w:color w:val="auto"/>
                <w:sz w:val="18"/>
                <w:szCs w:val="18"/>
                <w:lang w:val="en-US" w:eastAsia="zh-CN"/>
              </w:rPr>
            </w:pPr>
            <w:r>
              <w:rPr>
                <w:rFonts w:hint="eastAsia"/>
                <w:color w:val="auto"/>
                <w:sz w:val="18"/>
                <w:szCs w:val="18"/>
                <w:lang w:val="en-US" w:eastAsia="zh-CN"/>
              </w:rPr>
              <w:t>依托现有</w:t>
            </w:r>
          </w:p>
        </w:tc>
        <w:tc>
          <w:tcPr>
            <w:tcW w:w="2570" w:type="dxa"/>
            <w:tcBorders>
              <w:tl2br w:val="nil"/>
              <w:tr2bl w:val="nil"/>
            </w:tcBorders>
            <w:vAlign w:val="center"/>
          </w:tcPr>
          <w:p w14:paraId="1B3743F5">
            <w:pPr>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ascii="Times New Roman" w:hAnsi="Times New Roman" w:cs="Times New Roman"/>
                <w:color w:val="auto"/>
                <w:sz w:val="18"/>
                <w:szCs w:val="18"/>
                <w:lang w:eastAsia="zh-CN"/>
              </w:rPr>
            </w:pPr>
            <w:r>
              <w:rPr>
                <w:rFonts w:hint="eastAsia" w:cs="Times New Roman"/>
                <w:color w:val="auto"/>
                <w:sz w:val="18"/>
                <w:szCs w:val="18"/>
                <w:lang w:val="en-US" w:eastAsia="zh-CN"/>
              </w:rPr>
              <w:t>与技改前一致</w:t>
            </w:r>
          </w:p>
        </w:tc>
        <w:tc>
          <w:tcPr>
            <w:tcW w:w="2400" w:type="dxa"/>
            <w:tcBorders>
              <w:tl2br w:val="nil"/>
              <w:tr2bl w:val="nil"/>
            </w:tcBorders>
            <w:vAlign w:val="center"/>
          </w:tcPr>
          <w:p w14:paraId="68E6958C">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sz w:val="18"/>
                <w:szCs w:val="18"/>
                <w:lang w:eastAsia="zh-CN"/>
              </w:rPr>
              <w:t>执行</w:t>
            </w:r>
            <w:r>
              <w:rPr>
                <w:rFonts w:hint="default" w:ascii="Times New Roman" w:hAnsi="Times New Roman" w:cs="Times New Roman"/>
                <w:color w:val="auto"/>
                <w:sz w:val="18"/>
                <w:szCs w:val="18"/>
              </w:rPr>
              <w:t>《一般工业固体废物贮存和填埋污染控制标准》（GB18599-2020）</w:t>
            </w:r>
          </w:p>
        </w:tc>
      </w:tr>
      <w:tr w14:paraId="79D520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2" w:type="dxa"/>
            <w:vMerge w:val="continue"/>
            <w:tcBorders>
              <w:tl2br w:val="nil"/>
              <w:tr2bl w:val="nil"/>
            </w:tcBorders>
            <w:vAlign w:val="center"/>
          </w:tcPr>
          <w:p w14:paraId="508D37D8">
            <w:pPr>
              <w:pStyle w:val="8"/>
              <w:keepNext w:val="0"/>
              <w:keepLines w:val="0"/>
              <w:pageBreakBefore w:val="0"/>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p>
        </w:tc>
        <w:tc>
          <w:tcPr>
            <w:tcW w:w="637" w:type="dxa"/>
            <w:vMerge w:val="continue"/>
            <w:tcBorders>
              <w:tl2br w:val="nil"/>
              <w:tr2bl w:val="nil"/>
            </w:tcBorders>
            <w:vAlign w:val="center"/>
          </w:tcPr>
          <w:p w14:paraId="7B6F6C87">
            <w:pPr>
              <w:pStyle w:val="8"/>
              <w:keepNext w:val="0"/>
              <w:keepLines w:val="0"/>
              <w:pageBreakBefore w:val="0"/>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p>
        </w:tc>
        <w:tc>
          <w:tcPr>
            <w:tcW w:w="1402" w:type="dxa"/>
            <w:tcBorders>
              <w:tl2br w:val="nil"/>
              <w:tr2bl w:val="nil"/>
            </w:tcBorders>
            <w:vAlign w:val="center"/>
          </w:tcPr>
          <w:p w14:paraId="146CD560">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垃圾桶</w:t>
            </w:r>
          </w:p>
        </w:tc>
        <w:tc>
          <w:tcPr>
            <w:tcW w:w="10945" w:type="dxa"/>
            <w:gridSpan w:val="4"/>
            <w:tcBorders>
              <w:tl2br w:val="nil"/>
              <w:tr2bl w:val="nil"/>
            </w:tcBorders>
            <w:vAlign w:val="center"/>
          </w:tcPr>
          <w:p w14:paraId="3BD1421B">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暂存生活垃圾，每日清运</w:t>
            </w:r>
          </w:p>
        </w:tc>
      </w:tr>
      <w:tr w14:paraId="06E62A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2" w:type="dxa"/>
            <w:tcBorders>
              <w:tl2br w:val="nil"/>
              <w:tr2bl w:val="nil"/>
            </w:tcBorders>
            <w:shd w:val="clear" w:color="auto" w:fill="auto"/>
            <w:vAlign w:val="center"/>
          </w:tcPr>
          <w:p w14:paraId="216511A8">
            <w:pPr>
              <w:pStyle w:val="8"/>
              <w:keepNext w:val="0"/>
              <w:keepLines w:val="0"/>
              <w:pageBreakBefore w:val="0"/>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eastAsia="宋体" w:cs="Times New Roman"/>
                <w:color w:val="auto"/>
                <w:kern w:val="0"/>
                <w:sz w:val="18"/>
                <w:szCs w:val="18"/>
                <w:lang w:val="en-US" w:eastAsia="zh-CN" w:bidi="ar-SA"/>
              </w:rPr>
            </w:pPr>
            <w:r>
              <w:rPr>
                <w:rFonts w:hint="eastAsia" w:cs="Times New Roman"/>
                <w:color w:val="auto"/>
                <w:sz w:val="18"/>
                <w:szCs w:val="18"/>
                <w:lang w:val="en-US" w:eastAsia="zh-CN"/>
              </w:rPr>
              <w:t>风险防范设施</w:t>
            </w:r>
          </w:p>
        </w:tc>
        <w:tc>
          <w:tcPr>
            <w:tcW w:w="2039" w:type="dxa"/>
            <w:gridSpan w:val="2"/>
            <w:tcBorders>
              <w:tl2br w:val="nil"/>
              <w:tr2bl w:val="nil"/>
            </w:tcBorders>
            <w:shd w:val="clear" w:color="auto" w:fill="auto"/>
            <w:vAlign w:val="center"/>
          </w:tcPr>
          <w:p w14:paraId="66314CF4">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18"/>
                <w:szCs w:val="18"/>
                <w:lang w:val="en-US" w:eastAsia="zh-CN" w:bidi="ar-SA"/>
              </w:rPr>
            </w:pPr>
            <w:r>
              <w:rPr>
                <w:rFonts w:hint="eastAsia"/>
                <w:color w:val="auto"/>
                <w:lang w:val="en-US" w:eastAsia="zh-CN"/>
              </w:rPr>
              <w:t>应急池</w:t>
            </w:r>
          </w:p>
        </w:tc>
        <w:tc>
          <w:tcPr>
            <w:tcW w:w="3035" w:type="dxa"/>
            <w:tcBorders>
              <w:tl2br w:val="nil"/>
              <w:tr2bl w:val="nil"/>
            </w:tcBorders>
            <w:shd w:val="clear" w:color="auto" w:fill="auto"/>
            <w:vAlign w:val="center"/>
          </w:tcPr>
          <w:p w14:paraId="4D89601C">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35m</w:t>
            </w:r>
            <w:r>
              <w:rPr>
                <w:rFonts w:hint="eastAsia" w:cs="Times New Roman"/>
                <w:color w:val="auto"/>
                <w:sz w:val="18"/>
                <w:szCs w:val="18"/>
                <w:vertAlign w:val="superscript"/>
                <w:lang w:val="en-US" w:eastAsia="zh-CN"/>
              </w:rPr>
              <w:t>3</w:t>
            </w:r>
            <w:r>
              <w:rPr>
                <w:rFonts w:hint="eastAsia" w:cs="Times New Roman"/>
                <w:color w:val="auto"/>
                <w:sz w:val="18"/>
                <w:szCs w:val="18"/>
                <w:lang w:val="en-US" w:eastAsia="zh-CN"/>
              </w:rPr>
              <w:t>应急池1座</w:t>
            </w:r>
          </w:p>
        </w:tc>
        <w:tc>
          <w:tcPr>
            <w:tcW w:w="2940" w:type="dxa"/>
            <w:tcBorders>
              <w:tl2br w:val="nil"/>
              <w:tr2bl w:val="nil"/>
            </w:tcBorders>
            <w:shd w:val="clear" w:color="auto" w:fill="auto"/>
            <w:vAlign w:val="center"/>
          </w:tcPr>
          <w:p w14:paraId="5ECDBE1E">
            <w:pPr>
              <w:spacing w:line="240" w:lineRule="atLeast"/>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依托现有</w:t>
            </w:r>
            <w:r>
              <w:rPr>
                <w:rFonts w:hint="eastAsia"/>
                <w:color w:val="auto"/>
                <w:sz w:val="18"/>
                <w:szCs w:val="18"/>
                <w:lang w:eastAsia="zh-CN"/>
              </w:rPr>
              <w:t>应急池作为收集井，新增</w:t>
            </w:r>
            <w:r>
              <w:rPr>
                <w:rFonts w:hint="eastAsia"/>
                <w:color w:val="auto"/>
                <w:sz w:val="18"/>
                <w:szCs w:val="18"/>
                <w:lang w:val="en-US" w:eastAsia="zh-CN"/>
              </w:rPr>
              <w:t>330m</w:t>
            </w:r>
            <w:r>
              <w:rPr>
                <w:rFonts w:hint="eastAsia"/>
                <w:color w:val="auto"/>
                <w:sz w:val="18"/>
                <w:szCs w:val="18"/>
                <w:vertAlign w:val="superscript"/>
                <w:lang w:val="en-US" w:eastAsia="zh-CN"/>
              </w:rPr>
              <w:t>3</w:t>
            </w:r>
            <w:r>
              <w:rPr>
                <w:rFonts w:hint="eastAsia"/>
                <w:color w:val="auto"/>
                <w:sz w:val="18"/>
                <w:szCs w:val="18"/>
                <w:lang w:val="en-US" w:eastAsia="zh-CN"/>
              </w:rPr>
              <w:t>应急水囊、应急电源、泵</w:t>
            </w:r>
          </w:p>
        </w:tc>
        <w:tc>
          <w:tcPr>
            <w:tcW w:w="2570" w:type="dxa"/>
            <w:tcBorders>
              <w:tl2br w:val="nil"/>
              <w:tr2bl w:val="nil"/>
            </w:tcBorders>
            <w:shd w:val="clear" w:color="auto" w:fill="auto"/>
            <w:vAlign w:val="center"/>
          </w:tcPr>
          <w:p w14:paraId="65000ADB">
            <w:pPr>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color w:val="auto"/>
                <w:lang w:val="en-US" w:eastAsia="zh-CN"/>
              </w:rPr>
            </w:pPr>
            <w:r>
              <w:rPr>
                <w:rFonts w:hint="eastAsia"/>
                <w:color w:val="auto"/>
                <w:sz w:val="18"/>
                <w:szCs w:val="18"/>
                <w:lang w:val="en-US" w:eastAsia="zh-CN"/>
              </w:rPr>
              <w:t>330m</w:t>
            </w:r>
            <w:r>
              <w:rPr>
                <w:rFonts w:hint="eastAsia"/>
                <w:color w:val="auto"/>
                <w:sz w:val="18"/>
                <w:szCs w:val="18"/>
                <w:vertAlign w:val="superscript"/>
                <w:lang w:val="en-US" w:eastAsia="zh-CN"/>
              </w:rPr>
              <w:t>3</w:t>
            </w:r>
            <w:r>
              <w:rPr>
                <w:rFonts w:hint="eastAsia"/>
                <w:color w:val="auto"/>
                <w:sz w:val="18"/>
                <w:szCs w:val="18"/>
                <w:lang w:val="en-US" w:eastAsia="zh-CN"/>
              </w:rPr>
              <w:t>应急水囊、应急电源、泵，现有1座35m</w:t>
            </w:r>
            <w:r>
              <w:rPr>
                <w:rFonts w:hint="eastAsia"/>
                <w:color w:val="auto"/>
                <w:sz w:val="18"/>
                <w:szCs w:val="18"/>
                <w:vertAlign w:val="superscript"/>
                <w:lang w:val="en-US" w:eastAsia="zh-CN"/>
              </w:rPr>
              <w:t>3</w:t>
            </w:r>
            <w:r>
              <w:rPr>
                <w:rFonts w:hint="eastAsia"/>
                <w:color w:val="auto"/>
                <w:sz w:val="18"/>
                <w:szCs w:val="18"/>
                <w:lang w:val="en-US" w:eastAsia="zh-CN"/>
              </w:rPr>
              <w:t>应急池作为收集井</w:t>
            </w:r>
          </w:p>
        </w:tc>
        <w:tc>
          <w:tcPr>
            <w:tcW w:w="2400" w:type="dxa"/>
            <w:tcBorders>
              <w:tl2br w:val="nil"/>
              <w:tr2bl w:val="nil"/>
            </w:tcBorders>
            <w:shd w:val="clear" w:color="auto" w:fill="auto"/>
            <w:vAlign w:val="center"/>
          </w:tcPr>
          <w:p w14:paraId="2589FDEC">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已建应急池于厂区西侧</w:t>
            </w:r>
          </w:p>
        </w:tc>
      </w:tr>
    </w:tbl>
    <w:p w14:paraId="1B117A24">
      <w:pPr>
        <w:pStyle w:val="18"/>
        <w:jc w:val="center"/>
        <w:rPr>
          <w:rFonts w:ascii="黑体" w:hAnsi="黑体" w:eastAsia="黑体"/>
          <w:snapToGrid w:val="0"/>
          <w:color w:val="auto"/>
          <w:sz w:val="36"/>
          <w:szCs w:val="36"/>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69"/>
        <w:gridCol w:w="8492"/>
      </w:tblGrid>
      <w:tr w14:paraId="5C1C75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07" w:type="dxa"/>
            <w:noWrap w:val="0"/>
            <w:vAlign w:val="center"/>
          </w:tcPr>
          <w:p w14:paraId="4AFE6202">
            <w:pPr>
              <w:pStyle w:val="18"/>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建设内容</w:t>
            </w:r>
          </w:p>
        </w:tc>
        <w:tc>
          <w:tcPr>
            <w:tcW w:w="8377" w:type="dxa"/>
            <w:noWrap w:val="0"/>
            <w:vAlign w:val="top"/>
          </w:tcPr>
          <w:p w14:paraId="69451322">
            <w:pPr>
              <w:pStyle w:val="3"/>
              <w:bidi w:val="0"/>
              <w:rPr>
                <w:rFonts w:hint="default" w:ascii="Times New Roman" w:hAnsi="Times New Roman" w:cs="Times New Roman"/>
                <w:color w:val="auto"/>
              </w:rPr>
            </w:pPr>
            <w:r>
              <w:rPr>
                <w:rFonts w:hint="default" w:ascii="Times New Roman" w:hAnsi="Times New Roman" w:cs="Times New Roman"/>
                <w:color w:val="auto"/>
                <w:lang w:val="en-US" w:eastAsia="zh-CN"/>
              </w:rPr>
              <w:t>（三）</w:t>
            </w:r>
            <w:r>
              <w:rPr>
                <w:rFonts w:hint="default" w:ascii="Times New Roman" w:hAnsi="Times New Roman" w:cs="Times New Roman"/>
                <w:color w:val="auto"/>
              </w:rPr>
              <w:t>产品方案</w:t>
            </w:r>
            <w:r>
              <w:rPr>
                <w:rFonts w:hint="eastAsia" w:ascii="Times New Roman" w:hAnsi="Times New Roman" w:cs="Times New Roman"/>
                <w:color w:val="auto"/>
                <w:lang w:eastAsia="zh-CN"/>
              </w:rPr>
              <w:t>、</w:t>
            </w:r>
            <w:r>
              <w:rPr>
                <w:rFonts w:hint="default" w:ascii="Times New Roman" w:hAnsi="Times New Roman" w:cs="Times New Roman"/>
                <w:color w:val="auto"/>
              </w:rPr>
              <w:t>主要原辅料、设备</w:t>
            </w:r>
          </w:p>
          <w:p w14:paraId="25D894AF">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r>
              <w:rPr>
                <w:rFonts w:hint="eastAsia" w:cs="Times New Roman"/>
                <w:color w:val="auto"/>
                <w:lang w:val="en-US" w:eastAsia="zh-CN"/>
              </w:rPr>
              <w:t>产品方案</w:t>
            </w:r>
          </w:p>
          <w:p w14:paraId="676A6B1C">
            <w:pPr>
              <w:pStyle w:val="4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rPr>
            </w:pPr>
            <w:r>
              <w:rPr>
                <w:rFonts w:hint="default" w:ascii="Times New Roman" w:hAnsi="Times New Roman" w:cs="Times New Roman"/>
                <w:color w:val="auto"/>
              </w:rPr>
              <w:t>主要产品见</w:t>
            </w:r>
            <w:r>
              <w:rPr>
                <w:rFonts w:hint="eastAsia" w:ascii="Times New Roman" w:hAnsi="Times New Roman" w:cs="Times New Roman"/>
                <w:color w:val="auto"/>
                <w:lang w:val="en-US" w:eastAsia="zh-CN"/>
              </w:rPr>
              <w:t>下表</w:t>
            </w:r>
            <w:r>
              <w:rPr>
                <w:rFonts w:hint="default" w:ascii="Times New Roman" w:hAnsi="Times New Roman" w:cs="Times New Roman"/>
                <w:color w:val="auto"/>
              </w:rPr>
              <w:t>。</w:t>
            </w:r>
          </w:p>
          <w:p w14:paraId="11A5CBA1">
            <w:pPr>
              <w:keepNext w:val="0"/>
              <w:keepLines w:val="0"/>
              <w:pageBreakBefore w:val="0"/>
              <w:widowControl w:val="0"/>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表2-</w:t>
            </w:r>
            <w:r>
              <w:rPr>
                <w:rFonts w:hint="eastAsia" w:cs="Times New Roman"/>
                <w:b/>
                <w:bCs/>
                <w:color w:val="auto"/>
                <w:lang w:val="en-US" w:eastAsia="zh-CN"/>
              </w:rPr>
              <w:t xml:space="preserve">2 </w:t>
            </w:r>
            <w:r>
              <w:rPr>
                <w:rFonts w:hint="default" w:ascii="Times New Roman" w:hAnsi="Times New Roman" w:cs="Times New Roman"/>
                <w:b/>
                <w:bCs/>
                <w:color w:val="auto"/>
                <w:lang w:eastAsia="zh-CN"/>
              </w:rPr>
              <w:t>产品方案</w:t>
            </w:r>
            <w:r>
              <w:rPr>
                <w:rFonts w:hint="default" w:ascii="Times New Roman" w:hAnsi="Times New Roman" w:cs="Times New Roman"/>
                <w:b/>
                <w:bCs/>
                <w:color w:val="auto"/>
              </w:rPr>
              <w:t>表</w:t>
            </w:r>
          </w:p>
          <w:tbl>
            <w:tblPr>
              <w:tblStyle w:val="20"/>
              <w:tblW w:w="813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27"/>
              <w:gridCol w:w="488"/>
              <w:gridCol w:w="556"/>
              <w:gridCol w:w="2111"/>
              <w:gridCol w:w="978"/>
              <w:gridCol w:w="978"/>
              <w:gridCol w:w="885"/>
              <w:gridCol w:w="868"/>
              <w:gridCol w:w="946"/>
            </w:tblGrid>
            <w:tr w14:paraId="2C812D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6" w:hRule="atLeast"/>
                <w:jc w:val="center"/>
              </w:trPr>
              <w:tc>
                <w:tcPr>
                  <w:tcW w:w="388" w:type="dxa"/>
                  <w:vMerge w:val="restart"/>
                  <w:tcBorders>
                    <w:tl2br w:val="nil"/>
                    <w:tr2bl w:val="nil"/>
                  </w:tcBorders>
                  <w:noWrap w:val="0"/>
                  <w:vAlign w:val="center"/>
                </w:tcPr>
                <w:p w14:paraId="41DDC53F">
                  <w:pPr>
                    <w:pStyle w:val="4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b/>
                      <w:bCs/>
                      <w:color w:val="auto"/>
                      <w:sz w:val="18"/>
                      <w:szCs w:val="18"/>
                      <w:lang w:eastAsia="zh-CN"/>
                    </w:rPr>
                  </w:pPr>
                  <w:r>
                    <w:rPr>
                      <w:rFonts w:hint="default" w:ascii="Times New Roman" w:hAnsi="Times New Roman" w:cs="Times New Roman"/>
                      <w:b/>
                      <w:bCs/>
                      <w:color w:val="auto"/>
                      <w:sz w:val="18"/>
                      <w:szCs w:val="18"/>
                      <w:lang w:eastAsia="zh-CN"/>
                    </w:rPr>
                    <w:t>序号</w:t>
                  </w:r>
                </w:p>
              </w:tc>
              <w:tc>
                <w:tcPr>
                  <w:tcW w:w="1296" w:type="dxa"/>
                  <w:gridSpan w:val="2"/>
                  <w:vMerge w:val="restart"/>
                  <w:tcBorders>
                    <w:tl2br w:val="nil"/>
                    <w:tr2bl w:val="nil"/>
                  </w:tcBorders>
                  <w:noWrap w:val="0"/>
                  <w:vAlign w:val="center"/>
                </w:tcPr>
                <w:p w14:paraId="08FC4CC1">
                  <w:pPr>
                    <w:pStyle w:val="46"/>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rPr>
                    <w:t>产品</w:t>
                  </w:r>
                  <w:r>
                    <w:rPr>
                      <w:rFonts w:hint="eastAsia" w:ascii="Times New Roman" w:hAnsi="Times New Roman" w:cs="Times New Roman"/>
                      <w:b/>
                      <w:bCs/>
                      <w:color w:val="auto"/>
                      <w:sz w:val="18"/>
                      <w:szCs w:val="18"/>
                      <w:lang w:val="en-US" w:eastAsia="zh-CN"/>
                    </w:rPr>
                    <w:t>名称</w:t>
                  </w:r>
                </w:p>
              </w:tc>
              <w:tc>
                <w:tcPr>
                  <w:tcW w:w="681" w:type="dxa"/>
                  <w:vMerge w:val="restart"/>
                  <w:tcBorders>
                    <w:tl2br w:val="nil"/>
                    <w:tr2bl w:val="nil"/>
                  </w:tcBorders>
                  <w:noWrap w:val="0"/>
                  <w:vAlign w:val="center"/>
                </w:tcPr>
                <w:p w14:paraId="7D172034">
                  <w:pPr>
                    <w:pStyle w:val="46"/>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规格</w:t>
                  </w:r>
                </w:p>
              </w:tc>
              <w:tc>
                <w:tcPr>
                  <w:tcW w:w="3538" w:type="dxa"/>
                  <w:gridSpan w:val="3"/>
                  <w:tcBorders>
                    <w:tl2br w:val="nil"/>
                    <w:tr2bl w:val="nil"/>
                  </w:tcBorders>
                  <w:noWrap w:val="0"/>
                  <w:vAlign w:val="center"/>
                </w:tcPr>
                <w:p w14:paraId="44993994">
                  <w:pPr>
                    <w:pStyle w:val="46"/>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cs="Times New Roman"/>
                      <w:b/>
                      <w:bCs/>
                      <w:color w:val="auto"/>
                      <w:sz w:val="18"/>
                      <w:szCs w:val="18"/>
                      <w:lang w:val="en-US" w:eastAsia="zh-CN"/>
                    </w:rPr>
                  </w:pPr>
                  <w:r>
                    <w:rPr>
                      <w:rFonts w:hint="eastAsia" w:ascii="Times New Roman" w:hAnsi="Times New Roman" w:cs="Times New Roman"/>
                      <w:b/>
                      <w:bCs/>
                      <w:color w:val="auto"/>
                      <w:sz w:val="18"/>
                      <w:szCs w:val="18"/>
                      <w:lang w:eastAsia="zh-CN"/>
                    </w:rPr>
                    <w:t>产能</w:t>
                  </w:r>
                </w:p>
              </w:tc>
              <w:tc>
                <w:tcPr>
                  <w:tcW w:w="1041" w:type="dxa"/>
                  <w:vMerge w:val="restart"/>
                  <w:tcBorders>
                    <w:tl2br w:val="nil"/>
                    <w:tr2bl w:val="nil"/>
                  </w:tcBorders>
                  <w:noWrap w:val="0"/>
                  <w:vAlign w:val="center"/>
                </w:tcPr>
                <w:p w14:paraId="1D48E02D">
                  <w:pPr>
                    <w:pStyle w:val="4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年运行时数</w:t>
                  </w:r>
                </w:p>
              </w:tc>
              <w:tc>
                <w:tcPr>
                  <w:tcW w:w="1193" w:type="dxa"/>
                  <w:vMerge w:val="restart"/>
                  <w:tcBorders>
                    <w:tl2br w:val="nil"/>
                    <w:tr2bl w:val="nil"/>
                  </w:tcBorders>
                  <w:noWrap w:val="0"/>
                  <w:vAlign w:val="center"/>
                </w:tcPr>
                <w:p w14:paraId="644EDD8D">
                  <w:pPr>
                    <w:pStyle w:val="4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备注</w:t>
                  </w:r>
                </w:p>
              </w:tc>
            </w:tr>
            <w:tr w14:paraId="3FC921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388" w:type="dxa"/>
                  <w:vMerge w:val="continue"/>
                  <w:tcBorders>
                    <w:tl2br w:val="nil"/>
                    <w:tr2bl w:val="nil"/>
                  </w:tcBorders>
                  <w:noWrap w:val="0"/>
                  <w:vAlign w:val="center"/>
                </w:tcPr>
                <w:p w14:paraId="4E004148">
                  <w:pPr>
                    <w:pStyle w:val="46"/>
                    <w:keepNext w:val="0"/>
                    <w:keepLines w:val="0"/>
                    <w:pageBreakBefore w:val="0"/>
                    <w:widowControl w:val="0"/>
                    <w:kinsoku/>
                    <w:wordWrap/>
                    <w:overflowPunct/>
                    <w:topLinePunct w:val="0"/>
                    <w:autoSpaceDE/>
                    <w:autoSpaceDN/>
                    <w:bidi w:val="0"/>
                    <w:adjustRightInd/>
                    <w:snapToGrid/>
                    <w:ind w:left="0" w:right="0"/>
                    <w:jc w:val="center"/>
                    <w:textAlignment w:val="auto"/>
                    <w:rPr>
                      <w:color w:val="auto"/>
                    </w:rPr>
                  </w:pPr>
                </w:p>
              </w:tc>
              <w:tc>
                <w:tcPr>
                  <w:tcW w:w="1296" w:type="dxa"/>
                  <w:gridSpan w:val="2"/>
                  <w:vMerge w:val="continue"/>
                  <w:tcBorders>
                    <w:tl2br w:val="nil"/>
                    <w:tr2bl w:val="nil"/>
                  </w:tcBorders>
                  <w:noWrap w:val="0"/>
                  <w:vAlign w:val="center"/>
                </w:tcPr>
                <w:p w14:paraId="341FF681">
                  <w:pPr>
                    <w:pStyle w:val="46"/>
                    <w:keepNext w:val="0"/>
                    <w:keepLines w:val="0"/>
                    <w:pageBreakBefore w:val="0"/>
                    <w:widowControl w:val="0"/>
                    <w:kinsoku/>
                    <w:wordWrap/>
                    <w:overflowPunct/>
                    <w:topLinePunct w:val="0"/>
                    <w:autoSpaceDE/>
                    <w:autoSpaceDN/>
                    <w:bidi w:val="0"/>
                    <w:adjustRightInd/>
                    <w:snapToGrid/>
                    <w:ind w:left="0" w:right="0"/>
                    <w:jc w:val="center"/>
                    <w:textAlignment w:val="auto"/>
                    <w:rPr>
                      <w:color w:val="auto"/>
                    </w:rPr>
                  </w:pPr>
                </w:p>
              </w:tc>
              <w:tc>
                <w:tcPr>
                  <w:tcW w:w="681" w:type="dxa"/>
                  <w:vMerge w:val="continue"/>
                  <w:tcBorders>
                    <w:tl2br w:val="nil"/>
                    <w:tr2bl w:val="nil"/>
                  </w:tcBorders>
                  <w:noWrap w:val="0"/>
                  <w:vAlign w:val="center"/>
                </w:tcPr>
                <w:p w14:paraId="4A7332BF">
                  <w:pPr>
                    <w:pStyle w:val="46"/>
                    <w:keepNext w:val="0"/>
                    <w:keepLines w:val="0"/>
                    <w:pageBreakBefore w:val="0"/>
                    <w:widowControl w:val="0"/>
                    <w:kinsoku/>
                    <w:wordWrap/>
                    <w:overflowPunct/>
                    <w:topLinePunct w:val="0"/>
                    <w:autoSpaceDE/>
                    <w:autoSpaceDN/>
                    <w:bidi w:val="0"/>
                    <w:adjustRightInd/>
                    <w:snapToGrid/>
                    <w:ind w:left="0" w:right="0"/>
                    <w:jc w:val="center"/>
                    <w:textAlignment w:val="auto"/>
                    <w:rPr>
                      <w:color w:val="auto"/>
                    </w:rPr>
                  </w:pPr>
                </w:p>
              </w:tc>
              <w:tc>
                <w:tcPr>
                  <w:tcW w:w="1179" w:type="dxa"/>
                  <w:tcBorders>
                    <w:tl2br w:val="nil"/>
                    <w:tr2bl w:val="nil"/>
                  </w:tcBorders>
                  <w:noWrap w:val="0"/>
                  <w:vAlign w:val="center"/>
                </w:tcPr>
                <w:p w14:paraId="37BD64E0">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eastAsia="宋体" w:cs="Times New Roman"/>
                      <w:b/>
                      <w:bCs/>
                      <w:color w:val="auto"/>
                      <w:kern w:val="2"/>
                      <w:sz w:val="18"/>
                      <w:szCs w:val="18"/>
                      <w:lang w:val="en-US" w:eastAsia="zh-CN" w:bidi="ar-SA"/>
                    </w:rPr>
                  </w:pPr>
                  <w:r>
                    <w:rPr>
                      <w:rFonts w:hint="eastAsia"/>
                      <w:b/>
                      <w:bCs/>
                      <w:color w:val="auto"/>
                      <w:sz w:val="18"/>
                      <w:szCs w:val="18"/>
                      <w:lang w:eastAsia="zh-CN"/>
                    </w:rPr>
                    <w:t>技改前</w:t>
                  </w:r>
                </w:p>
              </w:tc>
              <w:tc>
                <w:tcPr>
                  <w:tcW w:w="1179" w:type="dxa"/>
                  <w:tcBorders>
                    <w:tl2br w:val="nil"/>
                    <w:tr2bl w:val="nil"/>
                  </w:tcBorders>
                  <w:noWrap w:val="0"/>
                  <w:vAlign w:val="center"/>
                </w:tcPr>
                <w:p w14:paraId="7C796889">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eastAsia="宋体" w:cs="Times New Roman"/>
                      <w:b/>
                      <w:bCs/>
                      <w:color w:val="auto"/>
                      <w:kern w:val="2"/>
                      <w:sz w:val="18"/>
                      <w:szCs w:val="18"/>
                      <w:lang w:val="en-US" w:eastAsia="zh-CN" w:bidi="ar-SA"/>
                    </w:rPr>
                  </w:pPr>
                  <w:r>
                    <w:rPr>
                      <w:rFonts w:hint="eastAsia"/>
                      <w:b/>
                      <w:bCs/>
                      <w:color w:val="auto"/>
                      <w:sz w:val="18"/>
                      <w:szCs w:val="18"/>
                      <w:lang w:eastAsia="zh-CN"/>
                    </w:rPr>
                    <w:t>技改后</w:t>
                  </w:r>
                </w:p>
              </w:tc>
              <w:tc>
                <w:tcPr>
                  <w:tcW w:w="1180" w:type="dxa"/>
                  <w:tcBorders>
                    <w:tl2br w:val="nil"/>
                    <w:tr2bl w:val="nil"/>
                  </w:tcBorders>
                  <w:noWrap w:val="0"/>
                  <w:vAlign w:val="center"/>
                </w:tcPr>
                <w:p w14:paraId="2DE03DED">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eastAsia="宋体" w:cs="Times New Roman"/>
                      <w:b/>
                      <w:bCs/>
                      <w:color w:val="auto"/>
                      <w:kern w:val="2"/>
                      <w:sz w:val="18"/>
                      <w:szCs w:val="18"/>
                      <w:lang w:val="en-US" w:eastAsia="zh-CN" w:bidi="ar-SA"/>
                    </w:rPr>
                  </w:pPr>
                  <w:r>
                    <w:rPr>
                      <w:rFonts w:hint="eastAsia"/>
                      <w:b/>
                      <w:bCs/>
                      <w:color w:val="auto"/>
                      <w:sz w:val="18"/>
                      <w:szCs w:val="18"/>
                      <w:lang w:eastAsia="zh-CN"/>
                    </w:rPr>
                    <w:t>变化量</w:t>
                  </w:r>
                </w:p>
              </w:tc>
              <w:tc>
                <w:tcPr>
                  <w:tcW w:w="1041" w:type="dxa"/>
                  <w:vMerge w:val="continue"/>
                  <w:tcBorders>
                    <w:tl2br w:val="nil"/>
                    <w:tr2bl w:val="nil"/>
                  </w:tcBorders>
                  <w:noWrap w:val="0"/>
                  <w:vAlign w:val="center"/>
                </w:tcPr>
                <w:p w14:paraId="0E490FD7">
                  <w:pPr>
                    <w:pStyle w:val="46"/>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cs="Times New Roman"/>
                      <w:b/>
                      <w:bCs/>
                      <w:color w:val="auto"/>
                      <w:sz w:val="18"/>
                      <w:szCs w:val="18"/>
                      <w:lang w:val="en-US" w:eastAsia="zh-CN"/>
                    </w:rPr>
                  </w:pPr>
                </w:p>
              </w:tc>
              <w:tc>
                <w:tcPr>
                  <w:tcW w:w="1193" w:type="dxa"/>
                  <w:vMerge w:val="continue"/>
                  <w:tcBorders>
                    <w:tl2br w:val="nil"/>
                    <w:tr2bl w:val="nil"/>
                  </w:tcBorders>
                  <w:noWrap w:val="0"/>
                  <w:vAlign w:val="center"/>
                </w:tcPr>
                <w:p w14:paraId="55B7513C">
                  <w:pPr>
                    <w:pStyle w:val="46"/>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cs="Times New Roman"/>
                      <w:b/>
                      <w:bCs/>
                      <w:color w:val="auto"/>
                      <w:sz w:val="18"/>
                      <w:szCs w:val="18"/>
                      <w:lang w:val="en-US" w:eastAsia="zh-CN"/>
                    </w:rPr>
                  </w:pPr>
                </w:p>
              </w:tc>
            </w:tr>
            <w:tr w14:paraId="6BE458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88" w:type="dxa"/>
                  <w:tcBorders>
                    <w:tl2br w:val="nil"/>
                    <w:tr2bl w:val="nil"/>
                  </w:tcBorders>
                  <w:noWrap w:val="0"/>
                  <w:vAlign w:val="center"/>
                </w:tcPr>
                <w:p w14:paraId="2568167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cs="Times New Roman"/>
                      <w:color w:val="auto"/>
                      <w:sz w:val="18"/>
                      <w:szCs w:val="18"/>
                      <w:lang w:val="en-US" w:eastAsia="zh-CN"/>
                    </w:rPr>
                  </w:pPr>
                  <w:r>
                    <w:rPr>
                      <w:rFonts w:hint="default" w:ascii="Times New Roman" w:hAnsi="Times New Roman" w:cs="Times New Roman"/>
                      <w:color w:val="auto"/>
                      <w:sz w:val="18"/>
                      <w:szCs w:val="18"/>
                      <w:lang w:val="en-US" w:eastAsia="zh-CN"/>
                    </w:rPr>
                    <w:t>1</w:t>
                  </w:r>
                </w:p>
              </w:tc>
              <w:tc>
                <w:tcPr>
                  <w:tcW w:w="1296" w:type="dxa"/>
                  <w:gridSpan w:val="2"/>
                  <w:tcBorders>
                    <w:tl2br w:val="nil"/>
                    <w:tr2bl w:val="nil"/>
                  </w:tcBorders>
                  <w:noWrap w:val="0"/>
                  <w:vAlign w:val="center"/>
                </w:tcPr>
                <w:p w14:paraId="46DD7FFA">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模具</w:t>
                  </w:r>
                </w:p>
              </w:tc>
              <w:tc>
                <w:tcPr>
                  <w:tcW w:w="681" w:type="dxa"/>
                  <w:tcBorders>
                    <w:tl2br w:val="nil"/>
                    <w:tr2bl w:val="nil"/>
                  </w:tcBorders>
                  <w:noWrap w:val="0"/>
                  <w:vAlign w:val="center"/>
                </w:tcPr>
                <w:p w14:paraId="239446FF">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1179" w:type="dxa"/>
                  <w:tcBorders>
                    <w:tl2br w:val="nil"/>
                    <w:tr2bl w:val="nil"/>
                  </w:tcBorders>
                  <w:noWrap w:val="0"/>
                  <w:vAlign w:val="center"/>
                </w:tcPr>
                <w:p w14:paraId="291F6D7E">
                  <w:pPr>
                    <w:pStyle w:val="4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500付/a</w:t>
                  </w:r>
                </w:p>
              </w:tc>
              <w:tc>
                <w:tcPr>
                  <w:tcW w:w="1179" w:type="dxa"/>
                  <w:tcBorders>
                    <w:tl2br w:val="nil"/>
                    <w:tr2bl w:val="nil"/>
                  </w:tcBorders>
                  <w:noWrap w:val="0"/>
                  <w:vAlign w:val="center"/>
                </w:tcPr>
                <w:p w14:paraId="7EEDD576">
                  <w:pPr>
                    <w:pStyle w:val="4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auto"/>
                      <w:kern w:val="2"/>
                      <w:sz w:val="18"/>
                      <w:szCs w:val="18"/>
                      <w:highlight w:val="none"/>
                      <w:lang w:val="en-US" w:eastAsia="zh-CN" w:bidi="zh-CN"/>
                    </w:rPr>
                  </w:pPr>
                  <w:r>
                    <w:rPr>
                      <w:rFonts w:hint="eastAsia" w:ascii="Times New Roman" w:hAnsi="Times New Roman" w:cs="Times New Roman"/>
                      <w:color w:val="auto"/>
                      <w:sz w:val="18"/>
                      <w:szCs w:val="18"/>
                      <w:highlight w:val="none"/>
                      <w:lang w:val="en-US" w:eastAsia="zh-CN"/>
                    </w:rPr>
                    <w:t>500付/a</w:t>
                  </w:r>
                </w:p>
              </w:tc>
              <w:tc>
                <w:tcPr>
                  <w:tcW w:w="1180" w:type="dxa"/>
                  <w:tcBorders>
                    <w:tl2br w:val="nil"/>
                    <w:tr2bl w:val="nil"/>
                  </w:tcBorders>
                  <w:noWrap w:val="0"/>
                  <w:vAlign w:val="center"/>
                </w:tcPr>
                <w:p w14:paraId="45FB9E39">
                  <w:pPr>
                    <w:pStyle w:val="4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auto"/>
                      <w:kern w:val="2"/>
                      <w:sz w:val="18"/>
                      <w:szCs w:val="18"/>
                      <w:highlight w:val="none"/>
                      <w:lang w:val="en-US" w:eastAsia="zh-CN" w:bidi="zh-CN"/>
                    </w:rPr>
                  </w:pPr>
                  <w:r>
                    <w:rPr>
                      <w:rFonts w:hint="eastAsia" w:ascii="Times New Roman" w:hAnsi="Times New Roman" w:cs="Times New Roman"/>
                      <w:color w:val="auto"/>
                      <w:kern w:val="2"/>
                      <w:sz w:val="18"/>
                      <w:szCs w:val="18"/>
                      <w:highlight w:val="none"/>
                      <w:lang w:val="en-US" w:eastAsia="zh-CN" w:bidi="zh-CN"/>
                    </w:rPr>
                    <w:t>0</w:t>
                  </w:r>
                </w:p>
              </w:tc>
              <w:tc>
                <w:tcPr>
                  <w:tcW w:w="1041" w:type="dxa"/>
                  <w:tcBorders>
                    <w:tl2br w:val="nil"/>
                    <w:tr2bl w:val="nil"/>
                  </w:tcBorders>
                  <w:noWrap w:val="0"/>
                  <w:vAlign w:val="center"/>
                </w:tcPr>
                <w:p w14:paraId="7EA1230E">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7200h</w:t>
                  </w:r>
                </w:p>
              </w:tc>
              <w:tc>
                <w:tcPr>
                  <w:tcW w:w="1193" w:type="dxa"/>
                  <w:tcBorders>
                    <w:tl2br w:val="nil"/>
                    <w:tr2bl w:val="nil"/>
                  </w:tcBorders>
                  <w:noWrap w:val="0"/>
                  <w:vAlign w:val="center"/>
                </w:tcPr>
                <w:p w14:paraId="5D80F0F9">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656CD9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88" w:type="dxa"/>
                  <w:vMerge w:val="restart"/>
                  <w:tcBorders>
                    <w:tl2br w:val="nil"/>
                    <w:tr2bl w:val="nil"/>
                  </w:tcBorders>
                  <w:noWrap w:val="0"/>
                  <w:vAlign w:val="center"/>
                </w:tcPr>
                <w:p w14:paraId="28F6FBF8">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2</w:t>
                  </w:r>
                </w:p>
              </w:tc>
              <w:tc>
                <w:tcPr>
                  <w:tcW w:w="615" w:type="dxa"/>
                  <w:vMerge w:val="restart"/>
                  <w:tcBorders>
                    <w:tl2br w:val="nil"/>
                    <w:tr2bl w:val="nil"/>
                  </w:tcBorders>
                  <w:noWrap w:val="0"/>
                  <w:vAlign w:val="center"/>
                </w:tcPr>
                <w:p w14:paraId="0515BA40">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注塑塑料件</w:t>
                  </w:r>
                </w:p>
              </w:tc>
              <w:tc>
                <w:tcPr>
                  <w:tcW w:w="681" w:type="dxa"/>
                  <w:tcBorders>
                    <w:tl2br w:val="nil"/>
                    <w:tr2bl w:val="nil"/>
                  </w:tcBorders>
                  <w:noWrap w:val="0"/>
                  <w:vAlign w:val="center"/>
                </w:tcPr>
                <w:p w14:paraId="62F6039C">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注塑车灯</w:t>
                  </w:r>
                </w:p>
              </w:tc>
              <w:tc>
                <w:tcPr>
                  <w:tcW w:w="681" w:type="dxa"/>
                  <w:tcBorders>
                    <w:tl2br w:val="nil"/>
                    <w:tr2bl w:val="nil"/>
                  </w:tcBorders>
                  <w:noWrap w:val="0"/>
                  <w:vAlign w:val="center"/>
                </w:tcPr>
                <w:p w14:paraId="6A5AB4A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1179" w:type="dxa"/>
                  <w:tcBorders>
                    <w:tl2br w:val="nil"/>
                    <w:tr2bl w:val="nil"/>
                  </w:tcBorders>
                  <w:noWrap w:val="0"/>
                  <w:vAlign w:val="center"/>
                </w:tcPr>
                <w:p w14:paraId="7C19A366">
                  <w:pPr>
                    <w:pStyle w:val="4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1978.8万台套/a</w:t>
                  </w:r>
                </w:p>
              </w:tc>
              <w:tc>
                <w:tcPr>
                  <w:tcW w:w="1179" w:type="dxa"/>
                  <w:tcBorders>
                    <w:tl2br w:val="nil"/>
                    <w:tr2bl w:val="nil"/>
                  </w:tcBorders>
                  <w:noWrap w:val="0"/>
                  <w:vAlign w:val="center"/>
                </w:tcPr>
                <w:p w14:paraId="4BE5F89A">
                  <w:pPr>
                    <w:pStyle w:val="4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auto"/>
                      <w:kern w:val="2"/>
                      <w:sz w:val="18"/>
                      <w:szCs w:val="18"/>
                      <w:highlight w:val="none"/>
                      <w:lang w:val="en-US" w:eastAsia="zh-CN" w:bidi="zh-CN"/>
                    </w:rPr>
                  </w:pPr>
                  <w:r>
                    <w:rPr>
                      <w:rFonts w:hint="eastAsia" w:ascii="Times New Roman" w:hAnsi="Times New Roman" w:cs="Times New Roman"/>
                      <w:color w:val="auto"/>
                      <w:sz w:val="18"/>
                      <w:szCs w:val="18"/>
                      <w:highlight w:val="none"/>
                      <w:lang w:val="en-US" w:eastAsia="zh-CN"/>
                    </w:rPr>
                    <w:t>1978.8万台套/a</w:t>
                  </w:r>
                </w:p>
              </w:tc>
              <w:tc>
                <w:tcPr>
                  <w:tcW w:w="1180" w:type="dxa"/>
                  <w:tcBorders>
                    <w:tl2br w:val="nil"/>
                    <w:tr2bl w:val="nil"/>
                  </w:tcBorders>
                  <w:noWrap w:val="0"/>
                  <w:vAlign w:val="center"/>
                </w:tcPr>
                <w:p w14:paraId="71916590">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auto"/>
                      <w:kern w:val="2"/>
                      <w:sz w:val="18"/>
                      <w:szCs w:val="18"/>
                      <w:highlight w:val="none"/>
                      <w:lang w:val="en-US" w:eastAsia="zh-CN" w:bidi="zh-CN"/>
                    </w:rPr>
                  </w:pPr>
                  <w:r>
                    <w:rPr>
                      <w:rFonts w:hint="eastAsia" w:ascii="Times New Roman" w:hAnsi="Times New Roman" w:cs="Times New Roman"/>
                      <w:color w:val="auto"/>
                      <w:kern w:val="2"/>
                      <w:sz w:val="18"/>
                      <w:szCs w:val="18"/>
                      <w:highlight w:val="none"/>
                      <w:lang w:val="en-US" w:eastAsia="zh-CN" w:bidi="zh-CN"/>
                    </w:rPr>
                    <w:t>0</w:t>
                  </w:r>
                </w:p>
              </w:tc>
              <w:tc>
                <w:tcPr>
                  <w:tcW w:w="1041" w:type="dxa"/>
                  <w:tcBorders>
                    <w:tl2br w:val="nil"/>
                    <w:tr2bl w:val="nil"/>
                  </w:tcBorders>
                  <w:noWrap w:val="0"/>
                  <w:vAlign w:val="center"/>
                </w:tcPr>
                <w:p w14:paraId="473D8154">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7200h</w:t>
                  </w:r>
                </w:p>
              </w:tc>
              <w:tc>
                <w:tcPr>
                  <w:tcW w:w="1193" w:type="dxa"/>
                  <w:tcBorders>
                    <w:tl2br w:val="nil"/>
                    <w:tr2bl w:val="nil"/>
                  </w:tcBorders>
                  <w:noWrap w:val="0"/>
                  <w:vAlign w:val="center"/>
                </w:tcPr>
                <w:p w14:paraId="034CD8A3">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0192BE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88" w:type="dxa"/>
                  <w:vMerge w:val="continue"/>
                  <w:tcBorders>
                    <w:tl2br w:val="nil"/>
                    <w:tr2bl w:val="nil"/>
                  </w:tcBorders>
                  <w:noWrap w:val="0"/>
                  <w:vAlign w:val="center"/>
                </w:tcPr>
                <w:p w14:paraId="7FB03489">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cs="Times New Roman"/>
                      <w:color w:val="auto"/>
                      <w:sz w:val="18"/>
                      <w:szCs w:val="18"/>
                      <w:lang w:val="en-US" w:eastAsia="zh-CN"/>
                    </w:rPr>
                  </w:pPr>
                </w:p>
              </w:tc>
              <w:tc>
                <w:tcPr>
                  <w:tcW w:w="615" w:type="dxa"/>
                  <w:vMerge w:val="continue"/>
                  <w:tcBorders>
                    <w:tl2br w:val="nil"/>
                    <w:tr2bl w:val="nil"/>
                  </w:tcBorders>
                  <w:noWrap w:val="0"/>
                  <w:vAlign w:val="center"/>
                </w:tcPr>
                <w:p w14:paraId="7B12F39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cs="Times New Roman"/>
                      <w:color w:val="auto"/>
                      <w:sz w:val="18"/>
                      <w:szCs w:val="18"/>
                      <w:lang w:val="en-US" w:eastAsia="zh-CN"/>
                    </w:rPr>
                  </w:pPr>
                </w:p>
              </w:tc>
              <w:tc>
                <w:tcPr>
                  <w:tcW w:w="681" w:type="dxa"/>
                  <w:tcBorders>
                    <w:tl2br w:val="nil"/>
                    <w:tr2bl w:val="nil"/>
                  </w:tcBorders>
                  <w:noWrap w:val="0"/>
                  <w:vAlign w:val="center"/>
                </w:tcPr>
                <w:p w14:paraId="5195C484">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HC车灯</w:t>
                  </w:r>
                </w:p>
              </w:tc>
              <w:tc>
                <w:tcPr>
                  <w:tcW w:w="681" w:type="dxa"/>
                  <w:tcBorders>
                    <w:tl2br w:val="nil"/>
                    <w:tr2bl w:val="nil"/>
                  </w:tcBorders>
                  <w:noWrap w:val="0"/>
                  <w:vAlign w:val="center"/>
                </w:tcPr>
                <w:p w14:paraId="6D5FFF3F">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839.9mm*297.4mm*509mm</w:t>
                  </w:r>
                </w:p>
              </w:tc>
              <w:tc>
                <w:tcPr>
                  <w:tcW w:w="1179" w:type="dxa"/>
                  <w:tcBorders>
                    <w:tl2br w:val="nil"/>
                    <w:tr2bl w:val="nil"/>
                  </w:tcBorders>
                  <w:noWrap w:val="0"/>
                  <w:vAlign w:val="center"/>
                </w:tcPr>
                <w:p w14:paraId="3837E67D">
                  <w:pPr>
                    <w:pStyle w:val="4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kern w:val="2"/>
                      <w:sz w:val="18"/>
                      <w:szCs w:val="18"/>
                      <w:highlight w:val="none"/>
                      <w:lang w:val="en-US" w:eastAsia="zh-CN" w:bidi="zh-CN"/>
                    </w:rPr>
                    <w:t>12.7</w:t>
                  </w:r>
                  <w:r>
                    <w:rPr>
                      <w:rFonts w:hint="eastAsia" w:ascii="Times New Roman" w:hAnsi="Times New Roman" w:cs="Times New Roman"/>
                      <w:b w:val="0"/>
                      <w:bCs w:val="0"/>
                      <w:color w:val="auto"/>
                      <w:kern w:val="2"/>
                      <w:sz w:val="18"/>
                      <w:szCs w:val="18"/>
                      <w:highlight w:val="none"/>
                      <w:lang w:val="en-US" w:eastAsia="zh-CN" w:bidi="zh-CN"/>
                    </w:rPr>
                    <w:t>万套/a</w:t>
                  </w:r>
                </w:p>
              </w:tc>
              <w:tc>
                <w:tcPr>
                  <w:tcW w:w="1179" w:type="dxa"/>
                  <w:tcBorders>
                    <w:tl2br w:val="nil"/>
                    <w:tr2bl w:val="nil"/>
                  </w:tcBorders>
                  <w:noWrap w:val="0"/>
                  <w:vAlign w:val="center"/>
                </w:tcPr>
                <w:p w14:paraId="38FD166C">
                  <w:pPr>
                    <w:pStyle w:val="4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kern w:val="2"/>
                      <w:sz w:val="18"/>
                      <w:szCs w:val="18"/>
                      <w:highlight w:val="none"/>
                      <w:lang w:val="en-US" w:eastAsia="zh-CN" w:bidi="zh-CN"/>
                    </w:rPr>
                    <w:t>12.7</w:t>
                  </w:r>
                  <w:r>
                    <w:rPr>
                      <w:rFonts w:hint="eastAsia" w:ascii="Times New Roman" w:hAnsi="Times New Roman" w:cs="Times New Roman"/>
                      <w:b w:val="0"/>
                      <w:bCs w:val="0"/>
                      <w:color w:val="auto"/>
                      <w:kern w:val="2"/>
                      <w:sz w:val="18"/>
                      <w:szCs w:val="18"/>
                      <w:highlight w:val="none"/>
                      <w:lang w:val="en-US" w:eastAsia="zh-CN" w:bidi="zh-CN"/>
                    </w:rPr>
                    <w:t>万套/a</w:t>
                  </w:r>
                </w:p>
              </w:tc>
              <w:tc>
                <w:tcPr>
                  <w:tcW w:w="1180" w:type="dxa"/>
                  <w:tcBorders>
                    <w:tl2br w:val="nil"/>
                    <w:tr2bl w:val="nil"/>
                  </w:tcBorders>
                  <w:noWrap w:val="0"/>
                  <w:vAlign w:val="center"/>
                </w:tcPr>
                <w:p w14:paraId="3C3C651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auto"/>
                      <w:kern w:val="2"/>
                      <w:sz w:val="18"/>
                      <w:szCs w:val="18"/>
                      <w:highlight w:val="none"/>
                      <w:lang w:val="en-US" w:eastAsia="zh-CN" w:bidi="zh-CN"/>
                    </w:rPr>
                  </w:pPr>
                  <w:r>
                    <w:rPr>
                      <w:rFonts w:hint="eastAsia" w:cs="Times New Roman"/>
                      <w:color w:val="auto"/>
                      <w:kern w:val="2"/>
                      <w:sz w:val="18"/>
                      <w:szCs w:val="18"/>
                      <w:highlight w:val="none"/>
                      <w:lang w:val="en-US" w:eastAsia="zh-CN" w:bidi="zh-CN"/>
                    </w:rPr>
                    <w:t>0</w:t>
                  </w:r>
                </w:p>
              </w:tc>
              <w:tc>
                <w:tcPr>
                  <w:tcW w:w="1041" w:type="dxa"/>
                  <w:tcBorders>
                    <w:tl2br w:val="nil"/>
                    <w:tr2bl w:val="nil"/>
                  </w:tcBorders>
                  <w:noWrap w:val="0"/>
                  <w:vAlign w:val="center"/>
                </w:tcPr>
                <w:p w14:paraId="5652B0BC">
                  <w:pPr>
                    <w:pStyle w:val="4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2112h</w:t>
                  </w:r>
                </w:p>
              </w:tc>
              <w:tc>
                <w:tcPr>
                  <w:tcW w:w="1193" w:type="dxa"/>
                  <w:vMerge w:val="restart"/>
                  <w:tcBorders>
                    <w:tl2br w:val="nil"/>
                    <w:tr2bl w:val="nil"/>
                  </w:tcBorders>
                  <w:noWrap w:val="0"/>
                  <w:vAlign w:val="center"/>
                </w:tcPr>
                <w:p w14:paraId="240B8139">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技改前涂装为外发，技改后涂装由企业自己进行</w:t>
                  </w:r>
                </w:p>
              </w:tc>
            </w:tr>
            <w:tr w14:paraId="7CDB84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88" w:type="dxa"/>
                  <w:vMerge w:val="continue"/>
                  <w:tcBorders>
                    <w:tl2br w:val="nil"/>
                    <w:tr2bl w:val="nil"/>
                  </w:tcBorders>
                  <w:noWrap w:val="0"/>
                  <w:vAlign w:val="center"/>
                </w:tcPr>
                <w:p w14:paraId="35FEB693">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cs="Times New Roman"/>
                      <w:color w:val="auto"/>
                      <w:sz w:val="18"/>
                      <w:szCs w:val="18"/>
                      <w:lang w:val="en-US" w:eastAsia="zh-CN"/>
                    </w:rPr>
                  </w:pPr>
                </w:p>
              </w:tc>
              <w:tc>
                <w:tcPr>
                  <w:tcW w:w="615" w:type="dxa"/>
                  <w:vMerge w:val="continue"/>
                  <w:tcBorders>
                    <w:tl2br w:val="nil"/>
                    <w:tr2bl w:val="nil"/>
                  </w:tcBorders>
                  <w:noWrap w:val="0"/>
                  <w:vAlign w:val="center"/>
                </w:tcPr>
                <w:p w14:paraId="2B4683D7">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cs="Times New Roman"/>
                      <w:color w:val="auto"/>
                      <w:sz w:val="18"/>
                      <w:szCs w:val="18"/>
                      <w:lang w:val="en-US" w:eastAsia="zh-CN"/>
                    </w:rPr>
                  </w:pPr>
                </w:p>
              </w:tc>
              <w:tc>
                <w:tcPr>
                  <w:tcW w:w="681" w:type="dxa"/>
                  <w:tcBorders>
                    <w:tl2br w:val="nil"/>
                    <w:tr2bl w:val="nil"/>
                  </w:tcBorders>
                  <w:noWrap w:val="0"/>
                  <w:vAlign w:val="center"/>
                </w:tcPr>
                <w:p w14:paraId="219EDF4F">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防雾车灯</w:t>
                  </w:r>
                </w:p>
              </w:tc>
              <w:tc>
                <w:tcPr>
                  <w:tcW w:w="681" w:type="dxa"/>
                  <w:tcBorders>
                    <w:tl2br w:val="nil"/>
                    <w:tr2bl w:val="nil"/>
                  </w:tcBorders>
                  <w:noWrap w:val="0"/>
                  <w:vAlign w:val="center"/>
                </w:tcPr>
                <w:p w14:paraId="765B130D">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839.9mm*297.4mm*509mm</w:t>
                  </w:r>
                </w:p>
              </w:tc>
              <w:tc>
                <w:tcPr>
                  <w:tcW w:w="1179" w:type="dxa"/>
                  <w:tcBorders>
                    <w:tl2br w:val="nil"/>
                    <w:tr2bl w:val="nil"/>
                  </w:tcBorders>
                  <w:noWrap w:val="0"/>
                  <w:vAlign w:val="center"/>
                </w:tcPr>
                <w:p w14:paraId="43BDBF24">
                  <w:pPr>
                    <w:pStyle w:val="4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kern w:val="2"/>
                      <w:sz w:val="18"/>
                      <w:szCs w:val="18"/>
                      <w:highlight w:val="none"/>
                      <w:lang w:val="en-US" w:eastAsia="zh-CN" w:bidi="zh-CN"/>
                    </w:rPr>
                    <w:t>8.5</w:t>
                  </w:r>
                  <w:r>
                    <w:rPr>
                      <w:rFonts w:hint="eastAsia" w:ascii="Times New Roman" w:hAnsi="Times New Roman" w:cs="Times New Roman"/>
                      <w:b w:val="0"/>
                      <w:bCs w:val="0"/>
                      <w:color w:val="auto"/>
                      <w:kern w:val="2"/>
                      <w:sz w:val="18"/>
                      <w:szCs w:val="18"/>
                      <w:highlight w:val="none"/>
                      <w:lang w:val="en-US" w:eastAsia="zh-CN" w:bidi="zh-CN"/>
                    </w:rPr>
                    <w:t>万套/a</w:t>
                  </w:r>
                </w:p>
              </w:tc>
              <w:tc>
                <w:tcPr>
                  <w:tcW w:w="1179" w:type="dxa"/>
                  <w:tcBorders>
                    <w:tl2br w:val="nil"/>
                    <w:tr2bl w:val="nil"/>
                  </w:tcBorders>
                  <w:noWrap w:val="0"/>
                  <w:vAlign w:val="center"/>
                </w:tcPr>
                <w:p w14:paraId="5ACF72AD">
                  <w:pPr>
                    <w:pStyle w:val="4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kern w:val="2"/>
                      <w:sz w:val="18"/>
                      <w:szCs w:val="18"/>
                      <w:highlight w:val="none"/>
                      <w:lang w:val="en-US" w:eastAsia="zh-CN" w:bidi="zh-CN"/>
                    </w:rPr>
                    <w:t>8.5</w:t>
                  </w:r>
                  <w:r>
                    <w:rPr>
                      <w:rFonts w:hint="eastAsia" w:ascii="Times New Roman" w:hAnsi="Times New Roman" w:cs="Times New Roman"/>
                      <w:b w:val="0"/>
                      <w:bCs w:val="0"/>
                      <w:color w:val="auto"/>
                      <w:kern w:val="2"/>
                      <w:sz w:val="18"/>
                      <w:szCs w:val="18"/>
                      <w:highlight w:val="none"/>
                      <w:lang w:val="en-US" w:eastAsia="zh-CN" w:bidi="zh-CN"/>
                    </w:rPr>
                    <w:t>万套/a</w:t>
                  </w:r>
                </w:p>
              </w:tc>
              <w:tc>
                <w:tcPr>
                  <w:tcW w:w="1180" w:type="dxa"/>
                  <w:tcBorders>
                    <w:tl2br w:val="nil"/>
                    <w:tr2bl w:val="nil"/>
                  </w:tcBorders>
                  <w:noWrap w:val="0"/>
                  <w:vAlign w:val="center"/>
                </w:tcPr>
                <w:p w14:paraId="5D078939">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cs="Times New Roman"/>
                      <w:color w:val="auto"/>
                      <w:kern w:val="2"/>
                      <w:sz w:val="18"/>
                      <w:szCs w:val="18"/>
                      <w:highlight w:val="none"/>
                      <w:lang w:val="en-US" w:eastAsia="zh-CN" w:bidi="zh-CN"/>
                    </w:rPr>
                  </w:pPr>
                  <w:r>
                    <w:rPr>
                      <w:rFonts w:hint="eastAsia" w:cs="Times New Roman"/>
                      <w:color w:val="auto"/>
                      <w:kern w:val="2"/>
                      <w:sz w:val="18"/>
                      <w:szCs w:val="18"/>
                      <w:highlight w:val="none"/>
                      <w:lang w:val="en-US" w:eastAsia="zh-CN" w:bidi="zh-CN"/>
                    </w:rPr>
                    <w:t>0</w:t>
                  </w:r>
                </w:p>
              </w:tc>
              <w:tc>
                <w:tcPr>
                  <w:tcW w:w="1041" w:type="dxa"/>
                  <w:tcBorders>
                    <w:tl2br w:val="nil"/>
                    <w:tr2bl w:val="nil"/>
                  </w:tcBorders>
                  <w:noWrap w:val="0"/>
                  <w:vAlign w:val="center"/>
                </w:tcPr>
                <w:p w14:paraId="06311766">
                  <w:pPr>
                    <w:pStyle w:val="4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2112h</w:t>
                  </w:r>
                </w:p>
              </w:tc>
              <w:tc>
                <w:tcPr>
                  <w:tcW w:w="1193" w:type="dxa"/>
                  <w:vMerge w:val="continue"/>
                  <w:tcBorders>
                    <w:tl2br w:val="nil"/>
                    <w:tr2bl w:val="nil"/>
                  </w:tcBorders>
                  <w:noWrap w:val="0"/>
                  <w:vAlign w:val="center"/>
                </w:tcPr>
                <w:p w14:paraId="7FFAC2EB">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18"/>
                      <w:szCs w:val="18"/>
                      <w:lang w:val="en-US" w:eastAsia="zh-CN"/>
                    </w:rPr>
                  </w:pPr>
                </w:p>
              </w:tc>
            </w:tr>
            <w:tr w14:paraId="667210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88" w:type="dxa"/>
                  <w:vMerge w:val="continue"/>
                  <w:tcBorders>
                    <w:tl2br w:val="nil"/>
                    <w:tr2bl w:val="nil"/>
                  </w:tcBorders>
                  <w:noWrap w:val="0"/>
                  <w:vAlign w:val="center"/>
                </w:tcPr>
                <w:p w14:paraId="2415BF6D">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cs="Times New Roman"/>
                      <w:color w:val="auto"/>
                      <w:sz w:val="18"/>
                      <w:szCs w:val="18"/>
                      <w:lang w:val="en-US" w:eastAsia="zh-CN"/>
                    </w:rPr>
                  </w:pPr>
                </w:p>
              </w:tc>
              <w:tc>
                <w:tcPr>
                  <w:tcW w:w="615" w:type="dxa"/>
                  <w:vMerge w:val="continue"/>
                  <w:tcBorders>
                    <w:tl2br w:val="nil"/>
                    <w:tr2bl w:val="nil"/>
                  </w:tcBorders>
                  <w:noWrap w:val="0"/>
                  <w:vAlign w:val="center"/>
                </w:tcPr>
                <w:p w14:paraId="57FC701F">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cs="Times New Roman"/>
                      <w:color w:val="auto"/>
                      <w:sz w:val="18"/>
                      <w:szCs w:val="18"/>
                      <w:lang w:val="en-US" w:eastAsia="zh-CN"/>
                    </w:rPr>
                  </w:pPr>
                </w:p>
              </w:tc>
              <w:tc>
                <w:tcPr>
                  <w:tcW w:w="681" w:type="dxa"/>
                  <w:tcBorders>
                    <w:tl2br w:val="nil"/>
                    <w:tr2bl w:val="nil"/>
                  </w:tcBorders>
                  <w:noWrap w:val="0"/>
                  <w:vAlign w:val="center"/>
                </w:tcPr>
                <w:p w14:paraId="76B4D652">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真空镀铝塑料件</w:t>
                  </w:r>
                </w:p>
              </w:tc>
              <w:tc>
                <w:tcPr>
                  <w:tcW w:w="681" w:type="dxa"/>
                  <w:tcBorders>
                    <w:tl2br w:val="nil"/>
                    <w:tr2bl w:val="nil"/>
                  </w:tcBorders>
                  <w:noWrap w:val="0"/>
                  <w:vAlign w:val="center"/>
                </w:tcPr>
                <w:p w14:paraId="6DFCF1F8">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1179" w:type="dxa"/>
                  <w:tcBorders>
                    <w:tl2br w:val="nil"/>
                    <w:tr2bl w:val="nil"/>
                  </w:tcBorders>
                  <w:noWrap w:val="0"/>
                  <w:vAlign w:val="center"/>
                </w:tcPr>
                <w:p w14:paraId="7AAC840C">
                  <w:pPr>
                    <w:pStyle w:val="4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950万台套/a</w:t>
                  </w:r>
                </w:p>
              </w:tc>
              <w:tc>
                <w:tcPr>
                  <w:tcW w:w="1179" w:type="dxa"/>
                  <w:tcBorders>
                    <w:tl2br w:val="nil"/>
                    <w:tr2bl w:val="nil"/>
                  </w:tcBorders>
                  <w:noWrap w:val="0"/>
                  <w:vAlign w:val="center"/>
                </w:tcPr>
                <w:p w14:paraId="23A20249">
                  <w:pPr>
                    <w:pStyle w:val="4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auto"/>
                      <w:kern w:val="2"/>
                      <w:sz w:val="18"/>
                      <w:szCs w:val="18"/>
                      <w:highlight w:val="none"/>
                      <w:lang w:val="en-US" w:eastAsia="zh-CN" w:bidi="zh-CN"/>
                    </w:rPr>
                  </w:pPr>
                  <w:r>
                    <w:rPr>
                      <w:rFonts w:hint="eastAsia" w:ascii="Times New Roman" w:hAnsi="Times New Roman" w:cs="Times New Roman"/>
                      <w:color w:val="auto"/>
                      <w:sz w:val="18"/>
                      <w:szCs w:val="18"/>
                      <w:highlight w:val="none"/>
                      <w:lang w:val="en-US" w:eastAsia="zh-CN"/>
                    </w:rPr>
                    <w:t>950万台套/a</w:t>
                  </w:r>
                </w:p>
              </w:tc>
              <w:tc>
                <w:tcPr>
                  <w:tcW w:w="1180" w:type="dxa"/>
                  <w:tcBorders>
                    <w:tl2br w:val="nil"/>
                    <w:tr2bl w:val="nil"/>
                  </w:tcBorders>
                  <w:noWrap w:val="0"/>
                  <w:vAlign w:val="center"/>
                </w:tcPr>
                <w:p w14:paraId="6DFF604C">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auto"/>
                      <w:kern w:val="2"/>
                      <w:sz w:val="18"/>
                      <w:szCs w:val="18"/>
                      <w:highlight w:val="none"/>
                      <w:lang w:val="en-US" w:eastAsia="zh-CN" w:bidi="zh-CN"/>
                    </w:rPr>
                  </w:pPr>
                  <w:r>
                    <w:rPr>
                      <w:rFonts w:hint="eastAsia" w:ascii="Times New Roman" w:hAnsi="Times New Roman" w:cs="Times New Roman"/>
                      <w:color w:val="auto"/>
                      <w:kern w:val="2"/>
                      <w:sz w:val="18"/>
                      <w:szCs w:val="18"/>
                      <w:highlight w:val="none"/>
                      <w:lang w:val="en-US" w:eastAsia="zh-CN" w:bidi="zh-CN"/>
                    </w:rPr>
                    <w:t>0</w:t>
                  </w:r>
                </w:p>
              </w:tc>
              <w:tc>
                <w:tcPr>
                  <w:tcW w:w="1041" w:type="dxa"/>
                  <w:tcBorders>
                    <w:tl2br w:val="nil"/>
                    <w:tr2bl w:val="nil"/>
                  </w:tcBorders>
                  <w:noWrap w:val="0"/>
                  <w:vAlign w:val="center"/>
                </w:tcPr>
                <w:p w14:paraId="02ECB8C3">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7200h</w:t>
                  </w:r>
                </w:p>
              </w:tc>
              <w:tc>
                <w:tcPr>
                  <w:tcW w:w="1193" w:type="dxa"/>
                  <w:tcBorders>
                    <w:tl2br w:val="nil"/>
                    <w:tr2bl w:val="nil"/>
                  </w:tcBorders>
                  <w:noWrap w:val="0"/>
                  <w:vAlign w:val="center"/>
                </w:tcPr>
                <w:p w14:paraId="6514F588">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5D6308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88" w:type="dxa"/>
                  <w:vMerge w:val="continue"/>
                  <w:tcBorders>
                    <w:tl2br w:val="nil"/>
                    <w:tr2bl w:val="nil"/>
                  </w:tcBorders>
                  <w:noWrap w:val="0"/>
                  <w:vAlign w:val="center"/>
                </w:tcPr>
                <w:p w14:paraId="40F7AF7D">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cs="Times New Roman"/>
                      <w:color w:val="auto"/>
                      <w:sz w:val="18"/>
                      <w:szCs w:val="18"/>
                      <w:lang w:val="en-US" w:eastAsia="zh-CN"/>
                    </w:rPr>
                  </w:pPr>
                </w:p>
              </w:tc>
              <w:tc>
                <w:tcPr>
                  <w:tcW w:w="615" w:type="dxa"/>
                  <w:vMerge w:val="continue"/>
                  <w:tcBorders>
                    <w:tl2br w:val="nil"/>
                    <w:tr2bl w:val="nil"/>
                  </w:tcBorders>
                  <w:noWrap w:val="0"/>
                  <w:vAlign w:val="center"/>
                </w:tcPr>
                <w:p w14:paraId="3326F7A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cs="Times New Roman"/>
                      <w:color w:val="auto"/>
                      <w:sz w:val="18"/>
                      <w:szCs w:val="18"/>
                      <w:lang w:val="en-US" w:eastAsia="zh-CN"/>
                    </w:rPr>
                  </w:pPr>
                </w:p>
              </w:tc>
              <w:tc>
                <w:tcPr>
                  <w:tcW w:w="681" w:type="dxa"/>
                  <w:tcBorders>
                    <w:tl2br w:val="nil"/>
                    <w:tr2bl w:val="nil"/>
                  </w:tcBorders>
                  <w:noWrap w:val="0"/>
                  <w:vAlign w:val="center"/>
                </w:tcPr>
                <w:p w14:paraId="46454A20">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油墨印刷塑料件</w:t>
                  </w:r>
                </w:p>
              </w:tc>
              <w:tc>
                <w:tcPr>
                  <w:tcW w:w="681" w:type="dxa"/>
                  <w:tcBorders>
                    <w:tl2br w:val="nil"/>
                    <w:tr2bl w:val="nil"/>
                  </w:tcBorders>
                  <w:noWrap w:val="0"/>
                  <w:vAlign w:val="center"/>
                </w:tcPr>
                <w:p w14:paraId="513587B3">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1179" w:type="dxa"/>
                  <w:tcBorders>
                    <w:tl2br w:val="nil"/>
                    <w:tr2bl w:val="nil"/>
                  </w:tcBorders>
                  <w:noWrap w:val="0"/>
                  <w:vAlign w:val="center"/>
                </w:tcPr>
                <w:p w14:paraId="35BAB8A1">
                  <w:pPr>
                    <w:pStyle w:val="4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50万台套/a</w:t>
                  </w:r>
                </w:p>
              </w:tc>
              <w:tc>
                <w:tcPr>
                  <w:tcW w:w="1179" w:type="dxa"/>
                  <w:tcBorders>
                    <w:tl2br w:val="nil"/>
                    <w:tr2bl w:val="nil"/>
                  </w:tcBorders>
                  <w:noWrap w:val="0"/>
                  <w:vAlign w:val="center"/>
                </w:tcPr>
                <w:p w14:paraId="11F49E8B">
                  <w:pPr>
                    <w:pStyle w:val="4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auto"/>
                      <w:kern w:val="2"/>
                      <w:sz w:val="18"/>
                      <w:szCs w:val="18"/>
                      <w:highlight w:val="none"/>
                      <w:lang w:val="en-US" w:eastAsia="zh-CN" w:bidi="zh-CN"/>
                    </w:rPr>
                  </w:pPr>
                  <w:r>
                    <w:rPr>
                      <w:rFonts w:hint="eastAsia" w:ascii="Times New Roman" w:hAnsi="Times New Roman" w:cs="Times New Roman"/>
                      <w:color w:val="auto"/>
                      <w:sz w:val="18"/>
                      <w:szCs w:val="18"/>
                      <w:highlight w:val="none"/>
                      <w:lang w:val="en-US" w:eastAsia="zh-CN"/>
                    </w:rPr>
                    <w:t>50万台套/a</w:t>
                  </w:r>
                </w:p>
              </w:tc>
              <w:tc>
                <w:tcPr>
                  <w:tcW w:w="1180" w:type="dxa"/>
                  <w:tcBorders>
                    <w:tl2br w:val="nil"/>
                    <w:tr2bl w:val="nil"/>
                  </w:tcBorders>
                  <w:noWrap w:val="0"/>
                  <w:vAlign w:val="center"/>
                </w:tcPr>
                <w:p w14:paraId="68E44DD3">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cs="Times New Roman"/>
                      <w:color w:val="auto"/>
                      <w:kern w:val="2"/>
                      <w:sz w:val="18"/>
                      <w:szCs w:val="18"/>
                      <w:highlight w:val="none"/>
                      <w:lang w:val="en-US" w:eastAsia="zh-CN" w:bidi="zh-CN"/>
                    </w:rPr>
                  </w:pPr>
                  <w:r>
                    <w:rPr>
                      <w:rFonts w:hint="eastAsia" w:ascii="Times New Roman" w:hAnsi="Times New Roman" w:cs="Times New Roman"/>
                      <w:color w:val="auto"/>
                      <w:kern w:val="2"/>
                      <w:sz w:val="18"/>
                      <w:szCs w:val="18"/>
                      <w:highlight w:val="none"/>
                      <w:lang w:val="en-US" w:eastAsia="zh-CN" w:bidi="zh-CN"/>
                    </w:rPr>
                    <w:t>0</w:t>
                  </w:r>
                </w:p>
              </w:tc>
              <w:tc>
                <w:tcPr>
                  <w:tcW w:w="1041" w:type="dxa"/>
                  <w:tcBorders>
                    <w:tl2br w:val="nil"/>
                    <w:tr2bl w:val="nil"/>
                  </w:tcBorders>
                  <w:noWrap w:val="0"/>
                  <w:vAlign w:val="center"/>
                </w:tcPr>
                <w:p w14:paraId="02E1B0A4">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7200h</w:t>
                  </w:r>
                </w:p>
              </w:tc>
              <w:tc>
                <w:tcPr>
                  <w:tcW w:w="1193" w:type="dxa"/>
                  <w:tcBorders>
                    <w:tl2br w:val="nil"/>
                    <w:tr2bl w:val="nil"/>
                  </w:tcBorders>
                  <w:noWrap w:val="0"/>
                  <w:vAlign w:val="center"/>
                </w:tcPr>
                <w:p w14:paraId="7ED68965">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bl>
          <w:p w14:paraId="7C13D608">
            <w:pPr>
              <w:pStyle w:val="4"/>
              <w:bidi w:val="0"/>
              <w:rPr>
                <w:rFonts w:hint="default" w:ascii="Times New Roman" w:hAnsi="Times New Roman" w:cs="Times New Roman"/>
                <w:color w:val="auto"/>
                <w:lang w:val="en-US" w:eastAsia="zh-CN"/>
              </w:rPr>
            </w:pPr>
            <w:r>
              <w:rPr>
                <w:rFonts w:hint="eastAsia" w:cs="Times New Roman"/>
                <w:color w:val="auto"/>
                <w:lang w:val="en-US" w:eastAsia="zh-CN"/>
              </w:rPr>
              <w:t>2、</w:t>
            </w:r>
            <w:r>
              <w:rPr>
                <w:rFonts w:hint="default" w:ascii="Times New Roman" w:hAnsi="Times New Roman" w:cs="Times New Roman"/>
                <w:color w:val="auto"/>
                <w:lang w:val="en-US" w:eastAsia="zh-CN"/>
              </w:rPr>
              <w:t>主要原辅料</w:t>
            </w:r>
          </w:p>
          <w:p w14:paraId="22F8DFBC">
            <w:pPr>
              <w:shd w:val="clear"/>
              <w:bidi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主要原辅材料消耗量见表2-</w:t>
            </w:r>
            <w:r>
              <w:rPr>
                <w:rFonts w:hint="eastAsia" w:cs="Times New Roman"/>
                <w:color w:val="auto"/>
                <w:lang w:val="en-US" w:eastAsia="zh-CN"/>
              </w:rPr>
              <w:t>3</w:t>
            </w:r>
            <w:r>
              <w:rPr>
                <w:rFonts w:hint="default" w:ascii="Times New Roman" w:hAnsi="Times New Roman" w:cs="Times New Roman"/>
                <w:color w:val="auto"/>
              </w:rPr>
              <w:t>。</w:t>
            </w:r>
          </w:p>
          <w:p w14:paraId="1C799779">
            <w:pPr>
              <w:pStyle w:val="46"/>
              <w:spacing w:before="5" w:line="240" w:lineRule="auto"/>
              <w:ind w:right="-15"/>
              <w:jc w:val="center"/>
              <w:rPr>
                <w:rFonts w:hint="default" w:ascii="Times New Roman" w:hAnsi="Times New Roman" w:cs="Times New Roman"/>
                <w:b/>
                <w:bCs/>
                <w:color w:val="auto"/>
              </w:rPr>
            </w:pPr>
            <w:r>
              <w:rPr>
                <w:rFonts w:hint="default" w:ascii="Times New Roman" w:hAnsi="Times New Roman" w:cs="Times New Roman"/>
                <w:b/>
                <w:bCs/>
                <w:color w:val="auto"/>
              </w:rPr>
              <w:t>表2-</w:t>
            </w:r>
            <w:r>
              <w:rPr>
                <w:rFonts w:hint="eastAsia" w:ascii="Times New Roman" w:hAnsi="Times New Roman" w:cs="Times New Roman"/>
                <w:b/>
                <w:bCs/>
                <w:color w:val="auto"/>
                <w:lang w:val="en-US" w:eastAsia="zh-CN"/>
              </w:rPr>
              <w:t>3</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rPr>
              <w:t>主要原辅材料消耗一览表</w:t>
            </w:r>
          </w:p>
          <w:tbl>
            <w:tblPr>
              <w:tblStyle w:val="20"/>
              <w:tblW w:w="810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36" w:type="dxa"/>
                <w:bottom w:w="0" w:type="dxa"/>
                <w:right w:w="136" w:type="dxa"/>
              </w:tblCellMar>
            </w:tblPr>
            <w:tblGrid>
              <w:gridCol w:w="453"/>
              <w:gridCol w:w="1235"/>
              <w:gridCol w:w="1022"/>
              <w:gridCol w:w="710"/>
              <w:gridCol w:w="766"/>
              <w:gridCol w:w="859"/>
              <w:gridCol w:w="1049"/>
              <w:gridCol w:w="849"/>
              <w:gridCol w:w="1164"/>
            </w:tblGrid>
            <w:tr w14:paraId="5CDF91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345" w:hRule="atLeast"/>
                <w:jc w:val="center"/>
              </w:trPr>
              <w:tc>
                <w:tcPr>
                  <w:tcW w:w="401" w:type="dxa"/>
                  <w:vMerge w:val="restart"/>
                  <w:tcBorders>
                    <w:tl2br w:val="nil"/>
                    <w:tr2bl w:val="nil"/>
                  </w:tcBorders>
                  <w:noWrap w:val="0"/>
                  <w:vAlign w:val="center"/>
                </w:tcPr>
                <w:p w14:paraId="075DBB7D">
                  <w:pPr>
                    <w:keepNext w:val="0"/>
                    <w:keepLines w:val="0"/>
                    <w:pageBreakBefore w:val="0"/>
                    <w:kinsoku/>
                    <w:wordWrap/>
                    <w:overflowPunct/>
                    <w:topLinePunct w:val="0"/>
                    <w:bidi w:val="0"/>
                    <w:adjustRightInd/>
                    <w:snapToGrid/>
                    <w:spacing w:line="240" w:lineRule="auto"/>
                    <w:jc w:val="both"/>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1261" w:type="dxa"/>
                  <w:vMerge w:val="restart"/>
                  <w:tcBorders>
                    <w:tl2br w:val="nil"/>
                    <w:tr2bl w:val="nil"/>
                  </w:tcBorders>
                  <w:noWrap w:val="0"/>
                  <w:vAlign w:val="center"/>
                </w:tcPr>
                <w:p w14:paraId="0B48C26B">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名称</w:t>
                  </w:r>
                </w:p>
              </w:tc>
              <w:tc>
                <w:tcPr>
                  <w:tcW w:w="838" w:type="dxa"/>
                  <w:vMerge w:val="restart"/>
                  <w:tcBorders>
                    <w:tl2br w:val="nil"/>
                    <w:tr2bl w:val="nil"/>
                  </w:tcBorders>
                  <w:noWrap w:val="0"/>
                  <w:vAlign w:val="center"/>
                </w:tcPr>
                <w:p w14:paraId="7FCA2AB6">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组分/规格</w:t>
                  </w:r>
                </w:p>
              </w:tc>
              <w:tc>
                <w:tcPr>
                  <w:tcW w:w="750" w:type="dxa"/>
                  <w:vMerge w:val="restart"/>
                  <w:tcBorders>
                    <w:tl2br w:val="nil"/>
                    <w:tr2bl w:val="nil"/>
                  </w:tcBorders>
                  <w:noWrap w:val="0"/>
                  <w:vAlign w:val="center"/>
                </w:tcPr>
                <w:p w14:paraId="0346EF5D">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存储位置</w:t>
                  </w:r>
                </w:p>
              </w:tc>
              <w:tc>
                <w:tcPr>
                  <w:tcW w:w="2737" w:type="dxa"/>
                  <w:gridSpan w:val="3"/>
                  <w:tcBorders>
                    <w:tl2br w:val="nil"/>
                    <w:tr2bl w:val="nil"/>
                  </w:tcBorders>
                  <w:noWrap w:val="0"/>
                  <w:vAlign w:val="center"/>
                </w:tcPr>
                <w:p w14:paraId="11648585">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年</w:t>
                  </w:r>
                  <w:r>
                    <w:rPr>
                      <w:rFonts w:hint="default" w:ascii="Times New Roman" w:hAnsi="Times New Roman" w:cs="Times New Roman"/>
                      <w:b/>
                      <w:bCs/>
                      <w:color w:val="auto"/>
                      <w:sz w:val="18"/>
                      <w:szCs w:val="18"/>
                      <w:lang w:val="en-US" w:eastAsia="zh-CN"/>
                    </w:rPr>
                    <w:t>用</w:t>
                  </w:r>
                  <w:r>
                    <w:rPr>
                      <w:rFonts w:hint="default" w:ascii="Times New Roman" w:hAnsi="Times New Roman" w:cs="Times New Roman"/>
                      <w:b/>
                      <w:bCs/>
                      <w:color w:val="auto"/>
                      <w:sz w:val="18"/>
                      <w:szCs w:val="18"/>
                    </w:rPr>
                    <w:t>量</w:t>
                  </w:r>
                  <w:r>
                    <w:rPr>
                      <w:rFonts w:hint="default" w:ascii="Times New Roman" w:hAnsi="Times New Roman" w:cs="Times New Roman"/>
                      <w:b/>
                      <w:bCs/>
                      <w:color w:val="auto"/>
                      <w:kern w:val="2"/>
                      <w:sz w:val="18"/>
                      <w:szCs w:val="18"/>
                      <w:highlight w:val="none"/>
                      <w:lang w:val="en-US" w:eastAsia="zh-CN" w:bidi="ar-SA"/>
                    </w:rPr>
                    <w:t>t/a</w:t>
                  </w:r>
                </w:p>
              </w:tc>
              <w:tc>
                <w:tcPr>
                  <w:tcW w:w="873" w:type="dxa"/>
                  <w:vMerge w:val="restart"/>
                  <w:tcBorders>
                    <w:tl2br w:val="nil"/>
                    <w:tr2bl w:val="nil"/>
                  </w:tcBorders>
                  <w:noWrap w:val="0"/>
                  <w:vAlign w:val="center"/>
                </w:tcPr>
                <w:p w14:paraId="6CE3693B">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eastAsia="宋体" w:cs="Times New Roman"/>
                      <w:b/>
                      <w:bCs/>
                      <w:color w:val="auto"/>
                      <w:sz w:val="18"/>
                      <w:szCs w:val="18"/>
                      <w:lang w:eastAsia="zh-CN"/>
                    </w:rPr>
                  </w:pPr>
                  <w:r>
                    <w:rPr>
                      <w:rFonts w:hint="default" w:ascii="Times New Roman" w:hAnsi="Times New Roman" w:cs="Times New Roman"/>
                      <w:b/>
                      <w:bCs/>
                      <w:color w:val="auto"/>
                      <w:sz w:val="18"/>
                      <w:szCs w:val="18"/>
                      <w:lang w:eastAsia="zh-CN"/>
                    </w:rPr>
                    <w:t>最大暂存量</w:t>
                  </w:r>
                  <w:r>
                    <w:rPr>
                      <w:rFonts w:hint="default" w:ascii="Times New Roman" w:hAnsi="Times New Roman" w:cs="Times New Roman"/>
                      <w:b/>
                      <w:bCs/>
                      <w:color w:val="auto"/>
                      <w:sz w:val="18"/>
                      <w:szCs w:val="18"/>
                      <w:lang w:val="en-US" w:eastAsia="zh-CN"/>
                    </w:rPr>
                    <w:t>/</w:t>
                  </w:r>
                  <w:r>
                    <w:rPr>
                      <w:rFonts w:hint="default" w:ascii="Times New Roman" w:hAnsi="Times New Roman" w:cs="Times New Roman"/>
                      <w:b/>
                      <w:bCs/>
                      <w:color w:val="auto"/>
                      <w:sz w:val="18"/>
                      <w:szCs w:val="18"/>
                    </w:rPr>
                    <w:t>最大</w:t>
                  </w:r>
                  <w:r>
                    <w:rPr>
                      <w:rFonts w:hint="default" w:ascii="Times New Roman" w:hAnsi="Times New Roman" w:cs="Times New Roman"/>
                      <w:b/>
                      <w:bCs/>
                      <w:color w:val="auto"/>
                      <w:sz w:val="18"/>
                      <w:szCs w:val="18"/>
                      <w:lang w:val="en-US" w:eastAsia="zh-CN"/>
                    </w:rPr>
                    <w:t>进料</w:t>
                  </w:r>
                  <w:r>
                    <w:rPr>
                      <w:rFonts w:hint="default" w:ascii="Times New Roman" w:hAnsi="Times New Roman" w:cs="Times New Roman"/>
                      <w:b/>
                      <w:bCs/>
                      <w:color w:val="auto"/>
                      <w:sz w:val="18"/>
                      <w:szCs w:val="18"/>
                    </w:rPr>
                    <w:t>量</w:t>
                  </w:r>
                  <w:r>
                    <w:rPr>
                      <w:rFonts w:hint="eastAsia"/>
                      <w:b/>
                      <w:bCs/>
                      <w:color w:val="auto"/>
                      <w:sz w:val="18"/>
                      <w:szCs w:val="18"/>
                      <w:lang w:eastAsia="zh-CN"/>
                    </w:rPr>
                    <w:t>（</w:t>
                  </w:r>
                  <w:r>
                    <w:rPr>
                      <w:rFonts w:hint="eastAsia"/>
                      <w:b/>
                      <w:bCs/>
                      <w:color w:val="auto"/>
                      <w:sz w:val="18"/>
                      <w:szCs w:val="18"/>
                      <w:lang w:val="en-US" w:eastAsia="zh-CN"/>
                    </w:rPr>
                    <w:t>t</w:t>
                  </w:r>
                  <w:r>
                    <w:rPr>
                      <w:rFonts w:hint="eastAsia"/>
                      <w:b/>
                      <w:bCs/>
                      <w:color w:val="auto"/>
                      <w:sz w:val="18"/>
                      <w:szCs w:val="18"/>
                      <w:lang w:eastAsia="zh-CN"/>
                    </w:rPr>
                    <w:t>）</w:t>
                  </w:r>
                </w:p>
              </w:tc>
              <w:tc>
                <w:tcPr>
                  <w:tcW w:w="1247" w:type="dxa"/>
                  <w:vMerge w:val="restart"/>
                  <w:tcBorders>
                    <w:tl2br w:val="nil"/>
                    <w:tr2bl w:val="nil"/>
                  </w:tcBorders>
                  <w:noWrap w:val="0"/>
                  <w:vAlign w:val="center"/>
                </w:tcPr>
                <w:p w14:paraId="3074F62E">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cs="Times New Roman"/>
                      <w:b/>
                      <w:bCs/>
                      <w:color w:val="auto"/>
                      <w:sz w:val="18"/>
                      <w:szCs w:val="18"/>
                      <w:lang w:eastAsia="zh-CN"/>
                    </w:rPr>
                  </w:pPr>
                  <w:r>
                    <w:rPr>
                      <w:rFonts w:hint="default" w:ascii="Times New Roman" w:hAnsi="Times New Roman" w:cs="Times New Roman"/>
                      <w:b/>
                      <w:bCs/>
                      <w:color w:val="auto"/>
                      <w:sz w:val="18"/>
                      <w:szCs w:val="18"/>
                      <w:lang w:val="en-US" w:eastAsia="zh-CN"/>
                    </w:rPr>
                    <w:t>备注</w:t>
                  </w:r>
                </w:p>
              </w:tc>
            </w:tr>
            <w:tr w14:paraId="07FCF7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345" w:hRule="atLeast"/>
                <w:jc w:val="center"/>
              </w:trPr>
              <w:tc>
                <w:tcPr>
                  <w:tcW w:w="401" w:type="dxa"/>
                  <w:vMerge w:val="continue"/>
                  <w:tcBorders>
                    <w:tl2br w:val="nil"/>
                    <w:tr2bl w:val="nil"/>
                  </w:tcBorders>
                  <w:noWrap w:val="0"/>
                  <w:vAlign w:val="center"/>
                </w:tcPr>
                <w:p w14:paraId="6530E335">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cs="Times New Roman"/>
                      <w:color w:val="auto"/>
                      <w:sz w:val="18"/>
                      <w:szCs w:val="18"/>
                    </w:rPr>
                  </w:pPr>
                </w:p>
              </w:tc>
              <w:tc>
                <w:tcPr>
                  <w:tcW w:w="1261" w:type="dxa"/>
                  <w:vMerge w:val="continue"/>
                  <w:tcBorders>
                    <w:tl2br w:val="nil"/>
                    <w:tr2bl w:val="nil"/>
                  </w:tcBorders>
                  <w:noWrap w:val="0"/>
                  <w:vAlign w:val="center"/>
                </w:tcPr>
                <w:p w14:paraId="3CA41014">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cs="Times New Roman"/>
                      <w:color w:val="auto"/>
                      <w:sz w:val="18"/>
                      <w:szCs w:val="18"/>
                    </w:rPr>
                  </w:pPr>
                </w:p>
              </w:tc>
              <w:tc>
                <w:tcPr>
                  <w:tcW w:w="838" w:type="dxa"/>
                  <w:vMerge w:val="continue"/>
                  <w:tcBorders>
                    <w:tl2br w:val="nil"/>
                    <w:tr2bl w:val="nil"/>
                  </w:tcBorders>
                  <w:noWrap w:val="0"/>
                  <w:vAlign w:val="center"/>
                </w:tcPr>
                <w:p w14:paraId="39ACC085">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cs="Times New Roman"/>
                      <w:color w:val="auto"/>
                      <w:sz w:val="18"/>
                      <w:szCs w:val="18"/>
                    </w:rPr>
                  </w:pPr>
                </w:p>
              </w:tc>
              <w:tc>
                <w:tcPr>
                  <w:tcW w:w="750" w:type="dxa"/>
                  <w:vMerge w:val="continue"/>
                  <w:tcBorders>
                    <w:tl2br w:val="nil"/>
                    <w:tr2bl w:val="nil"/>
                  </w:tcBorders>
                  <w:noWrap w:val="0"/>
                  <w:vAlign w:val="center"/>
                </w:tcPr>
                <w:p w14:paraId="6177F063">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cs="Times New Roman"/>
                      <w:color w:val="auto"/>
                      <w:sz w:val="18"/>
                      <w:szCs w:val="18"/>
                    </w:rPr>
                  </w:pPr>
                </w:p>
              </w:tc>
              <w:tc>
                <w:tcPr>
                  <w:tcW w:w="787" w:type="dxa"/>
                  <w:tcBorders>
                    <w:tl2br w:val="nil"/>
                    <w:tr2bl w:val="nil"/>
                  </w:tcBorders>
                  <w:noWrap w:val="0"/>
                  <w:vAlign w:val="center"/>
                </w:tcPr>
                <w:p w14:paraId="78EFA21C">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cs="Times New Roman"/>
                      <w:b/>
                      <w:bCs/>
                      <w:color w:val="auto"/>
                      <w:sz w:val="18"/>
                      <w:szCs w:val="18"/>
                      <w:lang w:eastAsia="zh-CN"/>
                    </w:rPr>
                    <w:t>技改前</w:t>
                  </w:r>
                </w:p>
              </w:tc>
              <w:tc>
                <w:tcPr>
                  <w:tcW w:w="873" w:type="dxa"/>
                  <w:tcBorders>
                    <w:tl2br w:val="nil"/>
                    <w:tr2bl w:val="nil"/>
                  </w:tcBorders>
                  <w:noWrap w:val="0"/>
                  <w:vAlign w:val="center"/>
                </w:tcPr>
                <w:p w14:paraId="4684BC23">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cs="Times New Roman"/>
                      <w:b/>
                      <w:bCs/>
                      <w:color w:val="auto"/>
                      <w:sz w:val="18"/>
                      <w:szCs w:val="18"/>
                      <w:lang w:eastAsia="zh-CN"/>
                    </w:rPr>
                    <w:t>技改后</w:t>
                  </w:r>
                </w:p>
              </w:tc>
              <w:tc>
                <w:tcPr>
                  <w:tcW w:w="1077" w:type="dxa"/>
                  <w:tcBorders>
                    <w:tl2br w:val="nil"/>
                    <w:tr2bl w:val="nil"/>
                  </w:tcBorders>
                  <w:noWrap w:val="0"/>
                  <w:vAlign w:val="center"/>
                </w:tcPr>
                <w:p w14:paraId="134B4D47">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18"/>
                      <w:szCs w:val="18"/>
                      <w:lang w:eastAsia="zh-CN"/>
                    </w:rPr>
                  </w:pPr>
                  <w:r>
                    <w:rPr>
                      <w:rFonts w:hint="default" w:ascii="Times New Roman" w:hAnsi="Times New Roman" w:cs="Times New Roman"/>
                      <w:b/>
                      <w:bCs/>
                      <w:color w:val="auto"/>
                      <w:sz w:val="18"/>
                      <w:szCs w:val="18"/>
                      <w:lang w:eastAsia="zh-CN"/>
                    </w:rPr>
                    <w:t>变化量</w:t>
                  </w:r>
                </w:p>
              </w:tc>
              <w:tc>
                <w:tcPr>
                  <w:tcW w:w="873" w:type="dxa"/>
                  <w:vMerge w:val="continue"/>
                  <w:tcBorders>
                    <w:tl2br w:val="nil"/>
                    <w:tr2bl w:val="nil"/>
                  </w:tcBorders>
                  <w:noWrap w:val="0"/>
                  <w:vAlign w:val="center"/>
                </w:tcPr>
                <w:p w14:paraId="56D9DEFD">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cs="Times New Roman"/>
                      <w:color w:val="auto"/>
                      <w:sz w:val="18"/>
                      <w:szCs w:val="18"/>
                    </w:rPr>
                  </w:pPr>
                </w:p>
              </w:tc>
              <w:tc>
                <w:tcPr>
                  <w:tcW w:w="1247" w:type="dxa"/>
                  <w:vMerge w:val="continue"/>
                  <w:tcBorders>
                    <w:tl2br w:val="nil"/>
                    <w:tr2bl w:val="nil"/>
                  </w:tcBorders>
                  <w:noWrap w:val="0"/>
                  <w:vAlign w:val="center"/>
                </w:tcPr>
                <w:p w14:paraId="48F3E0C8">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cs="Times New Roman"/>
                      <w:color w:val="auto"/>
                      <w:sz w:val="18"/>
                      <w:szCs w:val="18"/>
                    </w:rPr>
                  </w:pPr>
                </w:p>
              </w:tc>
            </w:tr>
            <w:tr w14:paraId="10F2AC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57" w:hRule="atLeast"/>
                <w:jc w:val="center"/>
              </w:trPr>
              <w:tc>
                <w:tcPr>
                  <w:tcW w:w="401" w:type="dxa"/>
                  <w:tcBorders>
                    <w:tl2br w:val="nil"/>
                    <w:tr2bl w:val="nil"/>
                  </w:tcBorders>
                  <w:noWrap w:val="0"/>
                  <w:vAlign w:val="center"/>
                </w:tcPr>
                <w:p w14:paraId="3D7AD1BE">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18"/>
                      <w:szCs w:val="18"/>
                      <w:lang w:val="en-US" w:eastAsia="zh-CN" w:bidi="zh-CN"/>
                    </w:rPr>
                  </w:pPr>
                  <w:r>
                    <w:rPr>
                      <w:rFonts w:hint="default" w:ascii="Times New Roman" w:hAnsi="Times New Roman" w:eastAsia="宋体" w:cs="Times New Roman"/>
                      <w:color w:val="auto"/>
                      <w:sz w:val="18"/>
                      <w:szCs w:val="18"/>
                      <w:lang w:val="en-US" w:eastAsia="zh-CN" w:bidi="zh-CN"/>
                    </w:rPr>
                    <w:t>1</w:t>
                  </w:r>
                </w:p>
              </w:tc>
              <w:tc>
                <w:tcPr>
                  <w:tcW w:w="1261" w:type="dxa"/>
                  <w:tcBorders>
                    <w:tl2br w:val="nil"/>
                    <w:tr2bl w:val="nil"/>
                  </w:tcBorders>
                  <w:noWrap w:val="0"/>
                  <w:vAlign w:val="center"/>
                </w:tcPr>
                <w:p w14:paraId="4047FEB8">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kern w:val="2"/>
                      <w:sz w:val="18"/>
                      <w:szCs w:val="18"/>
                      <w:lang w:val="en-US" w:eastAsia="zh-CN" w:bidi="ar-SA"/>
                    </w:rPr>
                    <w:t>聚碳酸酯车灯</w:t>
                  </w:r>
                </w:p>
              </w:tc>
              <w:tc>
                <w:tcPr>
                  <w:tcW w:w="838" w:type="dxa"/>
                  <w:tcBorders>
                    <w:tl2br w:val="nil"/>
                    <w:tr2bl w:val="nil"/>
                  </w:tcBorders>
                  <w:noWrap w:val="0"/>
                  <w:vAlign w:val="center"/>
                </w:tcPr>
                <w:p w14:paraId="35F63346">
                  <w:pPr>
                    <w:keepNext w:val="0"/>
                    <w:keepLines w:val="0"/>
                    <w:pageBreakBefore w:val="0"/>
                    <w:widowControl/>
                    <w:suppressLineNumbers w:val="0"/>
                    <w:kinsoku/>
                    <w:wordWrap/>
                    <w:overflowPunct/>
                    <w:topLinePunct w:val="0"/>
                    <w:bidi w:val="0"/>
                    <w:adjustRightInd/>
                    <w:snapToGrid/>
                    <w:spacing w:line="240" w:lineRule="auto"/>
                    <w:jc w:val="center"/>
                    <w:textAlignment w:val="auto"/>
                    <w:rPr>
                      <w:rFonts w:hint="default" w:ascii="Times New Roman" w:hAnsi="Times New Roman" w:cs="Times New Roman"/>
                      <w:color w:val="auto"/>
                      <w:sz w:val="18"/>
                      <w:szCs w:val="18"/>
                      <w:lang w:val="en-US" w:eastAsia="zh-CN"/>
                    </w:rPr>
                  </w:pPr>
                  <w:r>
                    <w:rPr>
                      <w:rFonts w:hint="eastAsia" w:cs="Times New Roman"/>
                      <w:b w:val="0"/>
                      <w:bCs w:val="0"/>
                      <w:color w:val="auto"/>
                      <w:kern w:val="2"/>
                      <w:sz w:val="18"/>
                      <w:szCs w:val="18"/>
                      <w:lang w:val="en-US" w:eastAsia="zh-CN" w:bidi="ar-SA"/>
                    </w:rPr>
                    <w:t>聚碳酸酯</w:t>
                  </w:r>
                </w:p>
              </w:tc>
              <w:tc>
                <w:tcPr>
                  <w:tcW w:w="750" w:type="dxa"/>
                  <w:tcBorders>
                    <w:tl2br w:val="nil"/>
                    <w:tr2bl w:val="nil"/>
                  </w:tcBorders>
                  <w:noWrap w:val="0"/>
                  <w:vAlign w:val="center"/>
                </w:tcPr>
                <w:p w14:paraId="19099E3D">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原料仓库</w:t>
                  </w:r>
                </w:p>
              </w:tc>
              <w:tc>
                <w:tcPr>
                  <w:tcW w:w="787" w:type="dxa"/>
                  <w:tcBorders>
                    <w:tl2br w:val="nil"/>
                    <w:tr2bl w:val="nil"/>
                  </w:tcBorders>
                  <w:noWrap w:val="0"/>
                  <w:vAlign w:val="center"/>
                </w:tcPr>
                <w:p w14:paraId="24154825">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w:t>
                  </w:r>
                </w:p>
              </w:tc>
              <w:tc>
                <w:tcPr>
                  <w:tcW w:w="873" w:type="dxa"/>
                  <w:tcBorders>
                    <w:tl2br w:val="nil"/>
                    <w:tr2bl w:val="nil"/>
                  </w:tcBorders>
                  <w:shd w:val="clear" w:color="auto" w:fill="auto"/>
                  <w:noWrap w:val="0"/>
                  <w:vAlign w:val="center"/>
                </w:tcPr>
                <w:p w14:paraId="08A2F575">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kern w:val="2"/>
                      <w:sz w:val="18"/>
                      <w:szCs w:val="18"/>
                      <w:highlight w:val="none"/>
                      <w:lang w:val="en-US" w:eastAsia="zh-CN" w:bidi="ar-SA"/>
                    </w:rPr>
                    <w:t>136.56</w:t>
                  </w:r>
                </w:p>
              </w:tc>
              <w:tc>
                <w:tcPr>
                  <w:tcW w:w="1077" w:type="dxa"/>
                  <w:tcBorders>
                    <w:tl2br w:val="nil"/>
                    <w:tr2bl w:val="nil"/>
                  </w:tcBorders>
                  <w:shd w:val="clear" w:color="auto" w:fill="auto"/>
                  <w:noWrap w:val="0"/>
                  <w:vAlign w:val="center"/>
                </w:tcPr>
                <w:p w14:paraId="0F61ACA7">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kern w:val="2"/>
                      <w:sz w:val="18"/>
                      <w:szCs w:val="18"/>
                      <w:highlight w:val="none"/>
                      <w:lang w:val="en-US" w:eastAsia="zh-CN" w:bidi="ar-SA"/>
                    </w:rPr>
                    <w:t>+136.56</w:t>
                  </w:r>
                </w:p>
              </w:tc>
              <w:tc>
                <w:tcPr>
                  <w:tcW w:w="873" w:type="dxa"/>
                  <w:tcBorders>
                    <w:tl2br w:val="nil"/>
                    <w:tr2bl w:val="nil"/>
                  </w:tcBorders>
                  <w:noWrap w:val="0"/>
                  <w:vAlign w:val="center"/>
                </w:tcPr>
                <w:p w14:paraId="38431819">
                  <w:pPr>
                    <w:pStyle w:val="49"/>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bidi="ar-SA"/>
                    </w:rPr>
                  </w:pPr>
                  <w:r>
                    <w:rPr>
                      <w:rFonts w:hint="eastAsia" w:cs="Times New Roman"/>
                      <w:color w:val="auto"/>
                      <w:sz w:val="18"/>
                      <w:szCs w:val="18"/>
                      <w:lang w:val="en-US" w:eastAsia="zh-CN" w:bidi="ar-SA"/>
                    </w:rPr>
                    <w:t>50</w:t>
                  </w:r>
                </w:p>
              </w:tc>
              <w:tc>
                <w:tcPr>
                  <w:tcW w:w="1247" w:type="dxa"/>
                  <w:vMerge w:val="restart"/>
                  <w:tcBorders>
                    <w:tl2br w:val="nil"/>
                    <w:tr2bl w:val="nil"/>
                  </w:tcBorders>
                  <w:noWrap w:val="0"/>
                  <w:vAlign w:val="center"/>
                </w:tcPr>
                <w:p w14:paraId="0AACA343">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b w:val="0"/>
                      <w:bCs w:val="0"/>
                      <w:color w:val="auto"/>
                      <w:kern w:val="2"/>
                      <w:sz w:val="18"/>
                      <w:szCs w:val="18"/>
                      <w:highlight w:val="none"/>
                      <w:lang w:val="en-US" w:eastAsia="zh-CN" w:bidi="ar-SA"/>
                    </w:rPr>
                    <w:t>聚碳酸酯车灯、聚甲基丙烯酸甲酯车灯均为企业自产（现有项目</w:t>
                  </w:r>
                </w:p>
              </w:tc>
            </w:tr>
            <w:tr w14:paraId="032684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06" w:hRule="atLeast"/>
                <w:jc w:val="center"/>
              </w:trPr>
              <w:tc>
                <w:tcPr>
                  <w:tcW w:w="401" w:type="dxa"/>
                  <w:tcBorders>
                    <w:tl2br w:val="nil"/>
                    <w:tr2bl w:val="nil"/>
                  </w:tcBorders>
                  <w:noWrap w:val="0"/>
                  <w:vAlign w:val="center"/>
                </w:tcPr>
                <w:p w14:paraId="186F7C49">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18"/>
                      <w:szCs w:val="18"/>
                      <w:lang w:val="en-US" w:eastAsia="zh-CN" w:bidi="zh-CN"/>
                    </w:rPr>
                  </w:pPr>
                  <w:r>
                    <w:rPr>
                      <w:rFonts w:hint="default" w:ascii="Times New Roman" w:hAnsi="Times New Roman" w:eastAsia="宋体" w:cs="Times New Roman"/>
                      <w:color w:val="auto"/>
                      <w:sz w:val="18"/>
                      <w:szCs w:val="18"/>
                      <w:lang w:val="en-US" w:eastAsia="zh-CN" w:bidi="zh-CN"/>
                    </w:rPr>
                    <w:t>2</w:t>
                  </w:r>
                </w:p>
              </w:tc>
              <w:tc>
                <w:tcPr>
                  <w:tcW w:w="1261" w:type="dxa"/>
                  <w:tcBorders>
                    <w:tl2br w:val="nil"/>
                    <w:tr2bl w:val="nil"/>
                  </w:tcBorders>
                  <w:noWrap w:val="0"/>
                  <w:vAlign w:val="center"/>
                </w:tcPr>
                <w:p w14:paraId="6C506EAA">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textAlignment w:val="auto"/>
                    <w:rPr>
                      <w:rFonts w:hint="default" w:ascii="Times New Roman" w:hAnsi="Times New Roman" w:eastAsia="宋体" w:cs="Times New Roman"/>
                      <w:b w:val="0"/>
                      <w:bCs w:val="0"/>
                      <w:color w:val="auto"/>
                      <w:kern w:val="2"/>
                      <w:sz w:val="18"/>
                      <w:szCs w:val="18"/>
                      <w:lang w:val="en-US" w:eastAsia="zh-CN" w:bidi="ar-SA"/>
                    </w:rPr>
                  </w:pPr>
                  <w:r>
                    <w:rPr>
                      <w:rFonts w:hint="eastAsia" w:cs="Times New Roman"/>
                      <w:b w:val="0"/>
                      <w:bCs w:val="0"/>
                      <w:color w:val="auto"/>
                      <w:kern w:val="2"/>
                      <w:sz w:val="18"/>
                      <w:szCs w:val="18"/>
                      <w:lang w:val="en-US" w:eastAsia="zh-CN" w:bidi="ar-SA"/>
                    </w:rPr>
                    <w:t>聚甲基丙烯酸甲酯车灯</w:t>
                  </w:r>
                </w:p>
              </w:tc>
              <w:tc>
                <w:tcPr>
                  <w:tcW w:w="838" w:type="dxa"/>
                  <w:tcBorders>
                    <w:tl2br w:val="nil"/>
                    <w:tr2bl w:val="nil"/>
                  </w:tcBorders>
                  <w:noWrap w:val="0"/>
                  <w:vAlign w:val="center"/>
                </w:tcPr>
                <w:p w14:paraId="2BE4B7F2">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18"/>
                      <w:szCs w:val="18"/>
                      <w:lang w:val="en-US" w:eastAsia="zh-CN"/>
                    </w:rPr>
                  </w:pPr>
                  <w:r>
                    <w:rPr>
                      <w:rFonts w:hint="eastAsia" w:cs="Times New Roman"/>
                      <w:b w:val="0"/>
                      <w:bCs w:val="0"/>
                      <w:color w:val="auto"/>
                      <w:kern w:val="2"/>
                      <w:sz w:val="18"/>
                      <w:szCs w:val="18"/>
                      <w:lang w:val="en-US" w:eastAsia="zh-CN" w:bidi="ar-SA"/>
                    </w:rPr>
                    <w:t>聚甲基丙烯酸甲酯</w:t>
                  </w:r>
                </w:p>
              </w:tc>
              <w:tc>
                <w:tcPr>
                  <w:tcW w:w="750" w:type="dxa"/>
                  <w:tcBorders>
                    <w:tl2br w:val="nil"/>
                    <w:tr2bl w:val="nil"/>
                  </w:tcBorders>
                  <w:noWrap w:val="0"/>
                  <w:vAlign w:val="center"/>
                </w:tcPr>
                <w:p w14:paraId="52AE03E0">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原料仓库</w:t>
                  </w:r>
                </w:p>
              </w:tc>
              <w:tc>
                <w:tcPr>
                  <w:tcW w:w="787" w:type="dxa"/>
                  <w:tcBorders>
                    <w:tl2br w:val="nil"/>
                    <w:tr2bl w:val="nil"/>
                  </w:tcBorders>
                  <w:noWrap w:val="0"/>
                  <w:vAlign w:val="center"/>
                </w:tcPr>
                <w:p w14:paraId="66FE6689">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w:t>
                  </w:r>
                </w:p>
              </w:tc>
              <w:tc>
                <w:tcPr>
                  <w:tcW w:w="873" w:type="dxa"/>
                  <w:tcBorders>
                    <w:tl2br w:val="nil"/>
                    <w:tr2bl w:val="nil"/>
                  </w:tcBorders>
                  <w:shd w:val="clear" w:color="auto" w:fill="auto"/>
                  <w:noWrap w:val="0"/>
                  <w:vAlign w:val="center"/>
                </w:tcPr>
                <w:p w14:paraId="0C6D8427">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103.32</w:t>
                  </w:r>
                </w:p>
              </w:tc>
              <w:tc>
                <w:tcPr>
                  <w:tcW w:w="1077" w:type="dxa"/>
                  <w:tcBorders>
                    <w:tl2br w:val="nil"/>
                    <w:tr2bl w:val="nil"/>
                  </w:tcBorders>
                  <w:shd w:val="clear" w:color="auto" w:fill="auto"/>
                  <w:noWrap w:val="0"/>
                  <w:vAlign w:val="center"/>
                </w:tcPr>
                <w:p w14:paraId="681BB23A">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+103.32</w:t>
                  </w:r>
                </w:p>
              </w:tc>
              <w:tc>
                <w:tcPr>
                  <w:tcW w:w="873" w:type="dxa"/>
                  <w:tcBorders>
                    <w:tl2br w:val="nil"/>
                    <w:tr2bl w:val="nil"/>
                  </w:tcBorders>
                  <w:noWrap w:val="0"/>
                  <w:vAlign w:val="center"/>
                </w:tcPr>
                <w:p w14:paraId="0D89AC7A">
                  <w:pPr>
                    <w:pStyle w:val="49"/>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18"/>
                      <w:szCs w:val="18"/>
                      <w:lang w:val="en-US" w:eastAsia="zh-CN" w:bidi="ar-SA"/>
                    </w:rPr>
                  </w:pPr>
                  <w:r>
                    <w:rPr>
                      <w:rFonts w:hint="eastAsia" w:cs="Times New Roman"/>
                      <w:color w:val="auto"/>
                      <w:sz w:val="18"/>
                      <w:szCs w:val="18"/>
                      <w:lang w:val="en-US" w:eastAsia="zh-CN" w:bidi="ar-SA"/>
                    </w:rPr>
                    <w:t>50</w:t>
                  </w:r>
                </w:p>
              </w:tc>
              <w:tc>
                <w:tcPr>
                  <w:tcW w:w="1247" w:type="dxa"/>
                  <w:vMerge w:val="continue"/>
                  <w:tcBorders>
                    <w:tl2br w:val="nil"/>
                    <w:tr2bl w:val="nil"/>
                  </w:tcBorders>
                  <w:noWrap w:val="0"/>
                  <w:vAlign w:val="center"/>
                </w:tcPr>
                <w:p w14:paraId="68D8168F">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18"/>
                      <w:szCs w:val="18"/>
                      <w:lang w:val="en-US" w:eastAsia="zh-CN"/>
                    </w:rPr>
                  </w:pPr>
                </w:p>
              </w:tc>
            </w:tr>
            <w:tr w14:paraId="4C80C8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06" w:hRule="atLeast"/>
                <w:jc w:val="center"/>
              </w:trPr>
              <w:tc>
                <w:tcPr>
                  <w:tcW w:w="401" w:type="dxa"/>
                  <w:tcBorders>
                    <w:tl2br w:val="nil"/>
                    <w:tr2bl w:val="nil"/>
                  </w:tcBorders>
                  <w:noWrap w:val="0"/>
                  <w:vAlign w:val="center"/>
                </w:tcPr>
                <w:p w14:paraId="34C7998B">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18"/>
                      <w:szCs w:val="18"/>
                      <w:lang w:val="en-US" w:eastAsia="zh-CN" w:bidi="zh-CN"/>
                    </w:rPr>
                  </w:pPr>
                  <w:r>
                    <w:rPr>
                      <w:rFonts w:hint="default" w:ascii="Times New Roman" w:hAnsi="Times New Roman" w:cs="Times New Roman"/>
                      <w:color w:val="auto"/>
                      <w:sz w:val="18"/>
                      <w:szCs w:val="18"/>
                      <w:lang w:val="en-US" w:eastAsia="zh-CN" w:bidi="zh-CN"/>
                    </w:rPr>
                    <w:t>3</w:t>
                  </w:r>
                </w:p>
              </w:tc>
              <w:tc>
                <w:tcPr>
                  <w:tcW w:w="1261" w:type="dxa"/>
                  <w:tcBorders>
                    <w:tl2br w:val="nil"/>
                    <w:tr2bl w:val="nil"/>
                  </w:tcBorders>
                  <w:noWrap w:val="0"/>
                  <w:vAlign w:val="center"/>
                </w:tcPr>
                <w:p w14:paraId="4D417BDE">
                  <w:pPr>
                    <w:pStyle w:val="64"/>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有机硅硬质涂层</w:t>
                  </w:r>
                </w:p>
              </w:tc>
              <w:tc>
                <w:tcPr>
                  <w:tcW w:w="838" w:type="dxa"/>
                  <w:tcBorders>
                    <w:tl2br w:val="nil"/>
                    <w:tr2bl w:val="nil"/>
                  </w:tcBorders>
                  <w:noWrap w:val="0"/>
                  <w:vAlign w:val="center"/>
                </w:tcPr>
                <w:p w14:paraId="2513B445">
                  <w:pPr>
                    <w:widowControl/>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1-甲氧基-2-丙醇20-50%、脂肪族聚氨酯丙烯酸酯20-50%、季戊四醇三丙烯酸酯5-10%、1,6-己二醇二丙烯酸酯2.5-5%、有机官能硅烷1-5%、季戊四醇三丙烯酸酯1-5%、酰基氧化物1-2.5%</w:t>
                  </w:r>
                </w:p>
              </w:tc>
              <w:tc>
                <w:tcPr>
                  <w:tcW w:w="750" w:type="dxa"/>
                  <w:tcBorders>
                    <w:tl2br w:val="nil"/>
                    <w:tr2bl w:val="nil"/>
                  </w:tcBorders>
                  <w:noWrap w:val="0"/>
                  <w:vAlign w:val="center"/>
                </w:tcPr>
                <w:p w14:paraId="4EE6209B">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原料仓库</w:t>
                  </w:r>
                </w:p>
              </w:tc>
              <w:tc>
                <w:tcPr>
                  <w:tcW w:w="787" w:type="dxa"/>
                  <w:tcBorders>
                    <w:tl2br w:val="nil"/>
                    <w:tr2bl w:val="nil"/>
                  </w:tcBorders>
                  <w:noWrap w:val="0"/>
                  <w:vAlign w:val="center"/>
                </w:tcPr>
                <w:p w14:paraId="7779C38A">
                  <w:pPr>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highlight w:val="none"/>
                      <w:lang w:val="en-US" w:eastAsia="zh-CN" w:bidi="ar-SA"/>
                    </w:rPr>
                    <w:t>0</w:t>
                  </w:r>
                </w:p>
              </w:tc>
              <w:tc>
                <w:tcPr>
                  <w:tcW w:w="873" w:type="dxa"/>
                  <w:tcBorders>
                    <w:tl2br w:val="nil"/>
                    <w:tr2bl w:val="nil"/>
                  </w:tcBorders>
                  <w:shd w:val="clear" w:color="auto" w:fill="auto"/>
                  <w:noWrap w:val="0"/>
                  <w:vAlign w:val="center"/>
                </w:tcPr>
                <w:p w14:paraId="3E93AD38">
                  <w:pPr>
                    <w:pStyle w:val="63"/>
                    <w:ind w:firstLine="0" w:firstLineChars="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5.07</w:t>
                  </w:r>
                </w:p>
              </w:tc>
              <w:tc>
                <w:tcPr>
                  <w:tcW w:w="1077" w:type="dxa"/>
                  <w:tcBorders>
                    <w:tl2br w:val="nil"/>
                    <w:tr2bl w:val="nil"/>
                  </w:tcBorders>
                  <w:shd w:val="clear" w:color="auto" w:fill="auto"/>
                  <w:noWrap w:val="0"/>
                  <w:vAlign w:val="center"/>
                </w:tcPr>
                <w:p w14:paraId="61E6EA55">
                  <w:pPr>
                    <w:pStyle w:val="63"/>
                    <w:ind w:firstLine="0" w:firstLineChars="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+5.07</w:t>
                  </w:r>
                </w:p>
              </w:tc>
              <w:tc>
                <w:tcPr>
                  <w:tcW w:w="873" w:type="dxa"/>
                  <w:tcBorders>
                    <w:tl2br w:val="nil"/>
                    <w:tr2bl w:val="nil"/>
                  </w:tcBorders>
                  <w:noWrap w:val="0"/>
                  <w:vAlign w:val="center"/>
                </w:tcPr>
                <w:p w14:paraId="353D6BCC">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1247" w:type="dxa"/>
                  <w:tcBorders>
                    <w:tl2br w:val="nil"/>
                    <w:tr2bl w:val="nil"/>
                  </w:tcBorders>
                  <w:noWrap w:val="0"/>
                  <w:vAlign w:val="center"/>
                </w:tcPr>
                <w:p w14:paraId="399E94DC">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无需调配，直接使用</w:t>
                  </w:r>
                </w:p>
              </w:tc>
            </w:tr>
            <w:tr w14:paraId="59B1BD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06" w:hRule="atLeast"/>
                <w:jc w:val="center"/>
              </w:trPr>
              <w:tc>
                <w:tcPr>
                  <w:tcW w:w="401" w:type="dxa"/>
                  <w:tcBorders>
                    <w:tl2br w:val="nil"/>
                    <w:tr2bl w:val="nil"/>
                  </w:tcBorders>
                  <w:noWrap w:val="0"/>
                  <w:vAlign w:val="center"/>
                </w:tcPr>
                <w:p w14:paraId="34200E80">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18"/>
                      <w:szCs w:val="18"/>
                      <w:lang w:val="en-US" w:eastAsia="zh-CN" w:bidi="zh-CN"/>
                    </w:rPr>
                  </w:pPr>
                  <w:r>
                    <w:rPr>
                      <w:rFonts w:hint="default" w:ascii="Times New Roman" w:hAnsi="Times New Roman" w:cs="Times New Roman"/>
                      <w:color w:val="auto"/>
                      <w:sz w:val="18"/>
                      <w:szCs w:val="18"/>
                      <w:lang w:val="en-US" w:eastAsia="zh-CN" w:bidi="zh-CN"/>
                    </w:rPr>
                    <w:t>4</w:t>
                  </w:r>
                </w:p>
              </w:tc>
              <w:tc>
                <w:tcPr>
                  <w:tcW w:w="1261" w:type="dxa"/>
                  <w:tcBorders>
                    <w:tl2br w:val="nil"/>
                    <w:tr2bl w:val="nil"/>
                  </w:tcBorders>
                  <w:noWrap w:val="0"/>
                  <w:vAlign w:val="center"/>
                </w:tcPr>
                <w:p w14:paraId="24857457">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防雾涂料</w:t>
                  </w:r>
                </w:p>
              </w:tc>
              <w:tc>
                <w:tcPr>
                  <w:tcW w:w="838" w:type="dxa"/>
                  <w:tcBorders>
                    <w:tl2br w:val="nil"/>
                    <w:tr2bl w:val="nil"/>
                  </w:tcBorders>
                  <w:noWrap w:val="0"/>
                  <w:vAlign w:val="center"/>
                </w:tcPr>
                <w:p w14:paraId="4E02FDD8">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丙烯酸树脂</w:t>
                  </w:r>
                  <w:r>
                    <w:rPr>
                      <w:rFonts w:hint="eastAsia" w:cs="Times New Roman"/>
                      <w:color w:val="auto"/>
                      <w:kern w:val="2"/>
                      <w:sz w:val="18"/>
                      <w:szCs w:val="18"/>
                      <w:lang w:val="en-US" w:eastAsia="zh-CN" w:bidi="ar-SA"/>
                    </w:rPr>
                    <w:t>5-10%</w:t>
                  </w:r>
                  <w:r>
                    <w:rPr>
                      <w:rFonts w:hint="eastAsia" w:ascii="Times New Roman" w:hAnsi="Times New Roman" w:eastAsia="宋体" w:cs="Times New Roman"/>
                      <w:color w:val="auto"/>
                      <w:kern w:val="2"/>
                      <w:sz w:val="18"/>
                      <w:szCs w:val="18"/>
                      <w:lang w:val="en-US" w:eastAsia="zh-CN" w:bidi="ar-SA"/>
                    </w:rPr>
                    <w:t>、甲醚化氨基树脂</w:t>
                  </w:r>
                  <w:r>
                    <w:rPr>
                      <w:rFonts w:hint="eastAsia" w:cs="Times New Roman"/>
                      <w:color w:val="auto"/>
                      <w:kern w:val="2"/>
                      <w:sz w:val="18"/>
                      <w:szCs w:val="18"/>
                      <w:lang w:val="en-US" w:eastAsia="zh-CN" w:bidi="ar-SA"/>
                    </w:rPr>
                    <w:t>20-30%</w:t>
                  </w:r>
                  <w:r>
                    <w:rPr>
                      <w:rFonts w:hint="eastAsia" w:ascii="Times New Roman" w:hAnsi="Times New Roman" w:eastAsia="宋体" w:cs="Times New Roman"/>
                      <w:color w:val="auto"/>
                      <w:kern w:val="2"/>
                      <w:sz w:val="18"/>
                      <w:szCs w:val="18"/>
                      <w:lang w:val="en-US" w:eastAsia="zh-CN" w:bidi="ar-SA"/>
                    </w:rPr>
                    <w:t>、</w:t>
                  </w:r>
                  <w:r>
                    <w:rPr>
                      <w:rFonts w:hint="eastAsia" w:cs="Times New Roman"/>
                      <w:color w:val="auto"/>
                      <w:kern w:val="2"/>
                      <w:sz w:val="18"/>
                      <w:szCs w:val="18"/>
                      <w:lang w:val="en-US" w:eastAsia="zh-CN" w:bidi="ar-SA"/>
                    </w:rPr>
                    <w:t>纳米材料5-10%</w:t>
                  </w:r>
                  <w:r>
                    <w:rPr>
                      <w:rFonts w:hint="eastAsia" w:ascii="Times New Roman" w:hAnsi="Times New Roman" w:eastAsia="宋体" w:cs="Times New Roman"/>
                      <w:color w:val="auto"/>
                      <w:kern w:val="2"/>
                      <w:sz w:val="18"/>
                      <w:szCs w:val="18"/>
                      <w:lang w:val="en-US" w:eastAsia="zh-CN" w:bidi="ar-SA"/>
                    </w:rPr>
                    <w:t>、去离子水</w:t>
                  </w:r>
                  <w:r>
                    <w:rPr>
                      <w:rFonts w:hint="eastAsia" w:cs="Times New Roman"/>
                      <w:color w:val="auto"/>
                      <w:kern w:val="2"/>
                      <w:sz w:val="18"/>
                      <w:szCs w:val="18"/>
                      <w:lang w:val="en-US" w:eastAsia="zh-CN" w:bidi="ar-SA"/>
                    </w:rPr>
                    <w:t>20-30%</w:t>
                  </w:r>
                  <w:r>
                    <w:rPr>
                      <w:rFonts w:hint="eastAsia" w:ascii="Times New Roman" w:hAnsi="Times New Roman" w:eastAsia="宋体" w:cs="Times New Roman"/>
                      <w:color w:val="auto"/>
                      <w:kern w:val="2"/>
                      <w:sz w:val="18"/>
                      <w:szCs w:val="18"/>
                      <w:lang w:val="en-US" w:eastAsia="zh-CN" w:bidi="ar-SA"/>
                    </w:rPr>
                    <w:t>、丙二醇甲醚</w:t>
                  </w:r>
                  <w:r>
                    <w:rPr>
                      <w:rFonts w:hint="eastAsia" w:cs="Times New Roman"/>
                      <w:color w:val="auto"/>
                      <w:kern w:val="2"/>
                      <w:sz w:val="18"/>
                      <w:szCs w:val="18"/>
                      <w:lang w:val="en-US" w:eastAsia="zh-CN" w:bidi="ar-SA"/>
                    </w:rPr>
                    <w:t>25-45%</w:t>
                  </w:r>
                  <w:r>
                    <w:rPr>
                      <w:rFonts w:hint="eastAsia" w:ascii="Times New Roman" w:hAnsi="Times New Roman" w:eastAsia="宋体" w:cs="Times New Roman"/>
                      <w:color w:val="auto"/>
                      <w:kern w:val="2"/>
                      <w:sz w:val="18"/>
                      <w:szCs w:val="18"/>
                      <w:lang w:val="en-US" w:eastAsia="zh-CN" w:bidi="ar-SA"/>
                    </w:rPr>
                    <w:t>、乙醇</w:t>
                  </w:r>
                  <w:r>
                    <w:rPr>
                      <w:rFonts w:hint="eastAsia" w:cs="Times New Roman"/>
                      <w:color w:val="auto"/>
                      <w:kern w:val="2"/>
                      <w:sz w:val="18"/>
                      <w:szCs w:val="18"/>
                      <w:lang w:val="en-US" w:eastAsia="zh-CN" w:bidi="ar-SA"/>
                    </w:rPr>
                    <w:t>5-10%</w:t>
                  </w:r>
                </w:p>
              </w:tc>
              <w:tc>
                <w:tcPr>
                  <w:tcW w:w="750" w:type="dxa"/>
                  <w:tcBorders>
                    <w:tl2br w:val="nil"/>
                    <w:tr2bl w:val="nil"/>
                  </w:tcBorders>
                  <w:noWrap w:val="0"/>
                  <w:vAlign w:val="center"/>
                </w:tcPr>
                <w:p w14:paraId="67FE76D8">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原料仓库</w:t>
                  </w:r>
                </w:p>
              </w:tc>
              <w:tc>
                <w:tcPr>
                  <w:tcW w:w="787" w:type="dxa"/>
                  <w:tcBorders>
                    <w:tl2br w:val="nil"/>
                    <w:tr2bl w:val="nil"/>
                  </w:tcBorders>
                  <w:noWrap w:val="0"/>
                  <w:vAlign w:val="center"/>
                </w:tcPr>
                <w:p w14:paraId="39831A64">
                  <w:pPr>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highlight w:val="none"/>
                      <w:lang w:val="en-US" w:eastAsia="zh-CN" w:bidi="ar-SA"/>
                    </w:rPr>
                    <w:t>0</w:t>
                  </w:r>
                </w:p>
              </w:tc>
              <w:tc>
                <w:tcPr>
                  <w:tcW w:w="873" w:type="dxa"/>
                  <w:tcBorders>
                    <w:tl2br w:val="nil"/>
                    <w:tr2bl w:val="nil"/>
                  </w:tcBorders>
                  <w:shd w:val="clear" w:color="auto" w:fill="auto"/>
                  <w:noWrap w:val="0"/>
                  <w:vAlign w:val="center"/>
                </w:tcPr>
                <w:p w14:paraId="051C07E8">
                  <w:pPr>
                    <w:pStyle w:val="63"/>
                    <w:ind w:firstLine="0" w:firstLineChars="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2.496</w:t>
                  </w:r>
                </w:p>
              </w:tc>
              <w:tc>
                <w:tcPr>
                  <w:tcW w:w="1077" w:type="dxa"/>
                  <w:tcBorders>
                    <w:tl2br w:val="nil"/>
                    <w:tr2bl w:val="nil"/>
                  </w:tcBorders>
                  <w:shd w:val="clear" w:color="auto" w:fill="auto"/>
                  <w:noWrap w:val="0"/>
                  <w:vAlign w:val="center"/>
                </w:tcPr>
                <w:p w14:paraId="204EAB1B">
                  <w:pPr>
                    <w:pStyle w:val="63"/>
                    <w:ind w:firstLine="0" w:firstLineChars="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+2.496</w:t>
                  </w:r>
                </w:p>
              </w:tc>
              <w:tc>
                <w:tcPr>
                  <w:tcW w:w="873" w:type="dxa"/>
                  <w:tcBorders>
                    <w:tl2br w:val="nil"/>
                    <w:tr2bl w:val="nil"/>
                  </w:tcBorders>
                  <w:noWrap w:val="0"/>
                  <w:vAlign w:val="center"/>
                </w:tcPr>
                <w:p w14:paraId="3017A7A8">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0.5</w:t>
                  </w:r>
                </w:p>
              </w:tc>
              <w:tc>
                <w:tcPr>
                  <w:tcW w:w="1247" w:type="dxa"/>
                  <w:tcBorders>
                    <w:tl2br w:val="nil"/>
                    <w:tr2bl w:val="nil"/>
                  </w:tcBorders>
                  <w:noWrap w:val="0"/>
                  <w:vAlign w:val="center"/>
                </w:tcPr>
                <w:p w14:paraId="5084B81F">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无需调配，直接使用</w:t>
                  </w:r>
                </w:p>
              </w:tc>
            </w:tr>
            <w:tr w14:paraId="038AB3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06" w:hRule="atLeast"/>
                <w:jc w:val="center"/>
              </w:trPr>
              <w:tc>
                <w:tcPr>
                  <w:tcW w:w="401" w:type="dxa"/>
                  <w:tcBorders>
                    <w:tl2br w:val="nil"/>
                    <w:tr2bl w:val="nil"/>
                  </w:tcBorders>
                  <w:noWrap w:val="0"/>
                  <w:vAlign w:val="center"/>
                </w:tcPr>
                <w:p w14:paraId="2A8BC8BE">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18"/>
                      <w:szCs w:val="18"/>
                      <w:lang w:val="en-US" w:eastAsia="zh-CN" w:bidi="zh-CN"/>
                    </w:rPr>
                  </w:pPr>
                  <w:r>
                    <w:rPr>
                      <w:rFonts w:hint="eastAsia" w:cs="Times New Roman"/>
                      <w:color w:val="auto"/>
                      <w:sz w:val="18"/>
                      <w:szCs w:val="18"/>
                      <w:lang w:val="en-US" w:eastAsia="zh-CN" w:bidi="zh-CN"/>
                    </w:rPr>
                    <w:t>5</w:t>
                  </w:r>
                </w:p>
              </w:tc>
              <w:tc>
                <w:tcPr>
                  <w:tcW w:w="1261" w:type="dxa"/>
                  <w:tcBorders>
                    <w:tl2br w:val="nil"/>
                    <w:tr2bl w:val="nil"/>
                  </w:tcBorders>
                  <w:noWrap w:val="0"/>
                  <w:vAlign w:val="center"/>
                </w:tcPr>
                <w:p w14:paraId="2B3A39CC">
                  <w:pPr>
                    <w:pStyle w:val="64"/>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清洗剂</w:t>
                  </w:r>
                </w:p>
              </w:tc>
              <w:tc>
                <w:tcPr>
                  <w:tcW w:w="838" w:type="dxa"/>
                  <w:tcBorders>
                    <w:tl2br w:val="nil"/>
                    <w:tr2bl w:val="nil"/>
                  </w:tcBorders>
                  <w:noWrap w:val="0"/>
                  <w:vAlign w:val="center"/>
                </w:tcPr>
                <w:p w14:paraId="34902B66">
                  <w:pPr>
                    <w:widowControl/>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丙丁烷抛射剂40%、</w:t>
                  </w:r>
                  <w:r>
                    <w:rPr>
                      <w:rFonts w:hint="eastAsia" w:cs="Times New Roman"/>
                      <w:color w:val="auto"/>
                      <w:kern w:val="2"/>
                      <w:sz w:val="18"/>
                      <w:szCs w:val="18"/>
                      <w:lang w:val="en-US" w:eastAsia="zh-CN" w:bidi="ar-SA"/>
                    </w:rPr>
                    <w:t>丁醇</w:t>
                  </w:r>
                  <w:r>
                    <w:rPr>
                      <w:rFonts w:hint="eastAsia" w:cs="Times New Roman"/>
                      <w:color w:val="auto"/>
                      <w:kern w:val="2"/>
                      <w:sz w:val="18"/>
                      <w:szCs w:val="18"/>
                      <w:lang w:val="en-US" w:eastAsia="zh-CN" w:bidi="ar-SA"/>
                    </w:rPr>
                    <w:t>45%、异丙醇10%、</w:t>
                  </w:r>
                  <w:r>
                    <w:rPr>
                      <w:rFonts w:hint="eastAsia" w:cs="Times New Roman"/>
                      <w:color w:val="auto"/>
                      <w:kern w:val="2"/>
                      <w:sz w:val="18"/>
                      <w:szCs w:val="18"/>
                      <w:lang w:val="en-US" w:eastAsia="zh-CN" w:bidi="ar-SA"/>
                    </w:rPr>
                    <w:t>乙醇</w:t>
                  </w:r>
                  <w:r>
                    <w:rPr>
                      <w:rFonts w:hint="eastAsia" w:cs="Times New Roman"/>
                      <w:color w:val="auto"/>
                      <w:kern w:val="2"/>
                      <w:sz w:val="18"/>
                      <w:szCs w:val="18"/>
                      <w:lang w:val="en-US" w:eastAsia="zh-CN" w:bidi="ar-SA"/>
                    </w:rPr>
                    <w:t>5%</w:t>
                  </w:r>
                </w:p>
              </w:tc>
              <w:tc>
                <w:tcPr>
                  <w:tcW w:w="750" w:type="dxa"/>
                  <w:tcBorders>
                    <w:tl2br w:val="nil"/>
                    <w:tr2bl w:val="nil"/>
                  </w:tcBorders>
                  <w:noWrap w:val="0"/>
                  <w:vAlign w:val="center"/>
                </w:tcPr>
                <w:p w14:paraId="70FCABF0">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原料仓库</w:t>
                  </w:r>
                </w:p>
              </w:tc>
              <w:tc>
                <w:tcPr>
                  <w:tcW w:w="787" w:type="dxa"/>
                  <w:tcBorders>
                    <w:tl2br w:val="nil"/>
                    <w:tr2bl w:val="nil"/>
                  </w:tcBorders>
                  <w:noWrap w:val="0"/>
                  <w:vAlign w:val="center"/>
                </w:tcPr>
                <w:p w14:paraId="0246D150">
                  <w:pPr>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highlight w:val="none"/>
                      <w:lang w:val="en-US" w:eastAsia="zh-CN" w:bidi="ar-SA"/>
                    </w:rPr>
                    <w:t>0</w:t>
                  </w:r>
                </w:p>
              </w:tc>
              <w:tc>
                <w:tcPr>
                  <w:tcW w:w="873" w:type="dxa"/>
                  <w:tcBorders>
                    <w:tl2br w:val="nil"/>
                    <w:tr2bl w:val="nil"/>
                  </w:tcBorders>
                  <w:shd w:val="clear" w:color="auto" w:fill="auto"/>
                  <w:noWrap w:val="0"/>
                  <w:vAlign w:val="center"/>
                </w:tcPr>
                <w:p w14:paraId="1FCC1979">
                  <w:pPr>
                    <w:pStyle w:val="63"/>
                    <w:ind w:firstLine="0" w:firstLineChars="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0.5</w:t>
                  </w:r>
                </w:p>
              </w:tc>
              <w:tc>
                <w:tcPr>
                  <w:tcW w:w="1077" w:type="dxa"/>
                  <w:tcBorders>
                    <w:tl2br w:val="nil"/>
                    <w:tr2bl w:val="nil"/>
                  </w:tcBorders>
                  <w:shd w:val="clear" w:color="auto" w:fill="auto"/>
                  <w:noWrap w:val="0"/>
                  <w:vAlign w:val="center"/>
                </w:tcPr>
                <w:p w14:paraId="4E6B0B5F">
                  <w:pPr>
                    <w:pStyle w:val="63"/>
                    <w:ind w:firstLine="0" w:firstLineChars="0"/>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+0.5</w:t>
                  </w:r>
                </w:p>
              </w:tc>
              <w:tc>
                <w:tcPr>
                  <w:tcW w:w="873" w:type="dxa"/>
                  <w:tcBorders>
                    <w:tl2br w:val="nil"/>
                    <w:tr2bl w:val="nil"/>
                  </w:tcBorders>
                  <w:noWrap w:val="0"/>
                  <w:vAlign w:val="center"/>
                </w:tcPr>
                <w:p w14:paraId="64B980EA">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0.5</w:t>
                  </w:r>
                </w:p>
              </w:tc>
              <w:tc>
                <w:tcPr>
                  <w:tcW w:w="1247" w:type="dxa"/>
                  <w:tcBorders>
                    <w:tl2br w:val="nil"/>
                    <w:tr2bl w:val="nil"/>
                  </w:tcBorders>
                  <w:noWrap w:val="0"/>
                  <w:vAlign w:val="center"/>
                </w:tcPr>
                <w:p w14:paraId="6E7D5086">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w:t>
                  </w:r>
                </w:p>
              </w:tc>
            </w:tr>
            <w:tr w14:paraId="7ACCFF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08" w:hRule="atLeast"/>
                <w:jc w:val="center"/>
              </w:trPr>
              <w:tc>
                <w:tcPr>
                  <w:tcW w:w="401" w:type="dxa"/>
                  <w:tcBorders>
                    <w:tl2br w:val="nil"/>
                    <w:tr2bl w:val="nil"/>
                  </w:tcBorders>
                  <w:noWrap w:val="0"/>
                  <w:vAlign w:val="center"/>
                </w:tcPr>
                <w:p w14:paraId="7A35B90C">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cs="Times New Roman"/>
                      <w:color w:val="auto"/>
                      <w:sz w:val="18"/>
                      <w:szCs w:val="18"/>
                      <w:lang w:val="en-US" w:eastAsia="zh-CN" w:bidi="zh-CN"/>
                    </w:rPr>
                  </w:pPr>
                  <w:r>
                    <w:rPr>
                      <w:rFonts w:hint="eastAsia" w:cs="Times New Roman"/>
                      <w:color w:val="auto"/>
                      <w:sz w:val="18"/>
                      <w:szCs w:val="18"/>
                      <w:lang w:val="en-US" w:eastAsia="zh-CN" w:bidi="zh-CN"/>
                    </w:rPr>
                    <w:t>6</w:t>
                  </w:r>
                </w:p>
              </w:tc>
              <w:tc>
                <w:tcPr>
                  <w:tcW w:w="1261" w:type="dxa"/>
                  <w:tcBorders>
                    <w:tl2br w:val="nil"/>
                    <w:tr2bl w:val="nil"/>
                  </w:tcBorders>
                  <w:noWrap w:val="0"/>
                  <w:vAlign w:val="center"/>
                </w:tcPr>
                <w:p w14:paraId="09E5AE58">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聚碳酸酯（PC）</w:t>
                  </w:r>
                </w:p>
              </w:tc>
              <w:tc>
                <w:tcPr>
                  <w:tcW w:w="838" w:type="dxa"/>
                  <w:tcBorders>
                    <w:tl2br w:val="nil"/>
                    <w:tr2bl w:val="nil"/>
                  </w:tcBorders>
                  <w:shd w:val="clear" w:color="auto" w:fill="auto"/>
                  <w:noWrap w:val="0"/>
                  <w:vAlign w:val="center"/>
                </w:tcPr>
                <w:p w14:paraId="1C84E598">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聚碳酸酯</w:t>
                  </w:r>
                </w:p>
              </w:tc>
              <w:tc>
                <w:tcPr>
                  <w:tcW w:w="750" w:type="dxa"/>
                  <w:tcBorders>
                    <w:tl2br w:val="nil"/>
                    <w:tr2bl w:val="nil"/>
                  </w:tcBorders>
                  <w:noWrap w:val="0"/>
                  <w:vAlign w:val="center"/>
                </w:tcPr>
                <w:p w14:paraId="587CDE27">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787" w:type="dxa"/>
                  <w:tcBorders>
                    <w:tl2br w:val="nil"/>
                    <w:tr2bl w:val="nil"/>
                  </w:tcBorders>
                  <w:noWrap w:val="0"/>
                  <w:vAlign w:val="center"/>
                </w:tcPr>
                <w:p w14:paraId="5673EE44">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5080</w:t>
                  </w:r>
                </w:p>
              </w:tc>
              <w:tc>
                <w:tcPr>
                  <w:tcW w:w="873" w:type="dxa"/>
                  <w:tcBorders>
                    <w:tl2br w:val="nil"/>
                    <w:tr2bl w:val="nil"/>
                  </w:tcBorders>
                  <w:shd w:val="clear" w:color="auto" w:fill="auto"/>
                  <w:noWrap w:val="0"/>
                  <w:vAlign w:val="center"/>
                </w:tcPr>
                <w:p w14:paraId="5CA14F26">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5080</w:t>
                  </w:r>
                </w:p>
              </w:tc>
              <w:tc>
                <w:tcPr>
                  <w:tcW w:w="1077" w:type="dxa"/>
                  <w:tcBorders>
                    <w:tl2br w:val="nil"/>
                    <w:tr2bl w:val="nil"/>
                  </w:tcBorders>
                  <w:shd w:val="clear" w:color="auto" w:fill="auto"/>
                  <w:noWrap w:val="0"/>
                  <w:vAlign w:val="center"/>
                </w:tcPr>
                <w:p w14:paraId="7EC4A59C">
                  <w:pPr>
                    <w:pStyle w:val="63"/>
                    <w:ind w:firstLine="0" w:firstLineChars="0"/>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73" w:type="dxa"/>
                  <w:tcBorders>
                    <w:tl2br w:val="nil"/>
                    <w:tr2bl w:val="nil"/>
                  </w:tcBorders>
                  <w:noWrap w:val="0"/>
                  <w:vAlign w:val="center"/>
                </w:tcPr>
                <w:p w14:paraId="158811B1">
                  <w:pPr>
                    <w:spacing w:line="240" w:lineRule="auto"/>
                    <w:ind w:firstLine="0" w:firstLineChars="0"/>
                    <w:jc w:val="center"/>
                    <w:rPr>
                      <w:rFonts w:hint="default"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508</w:t>
                  </w:r>
                </w:p>
              </w:tc>
              <w:tc>
                <w:tcPr>
                  <w:tcW w:w="1247" w:type="dxa"/>
                  <w:tcBorders>
                    <w:tl2br w:val="nil"/>
                    <w:tr2bl w:val="nil"/>
                  </w:tcBorders>
                  <w:noWrap w:val="0"/>
                  <w:vAlign w:val="center"/>
                </w:tcPr>
                <w:p w14:paraId="0B1D717B">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61A594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08" w:hRule="atLeast"/>
                <w:jc w:val="center"/>
              </w:trPr>
              <w:tc>
                <w:tcPr>
                  <w:tcW w:w="401" w:type="dxa"/>
                  <w:tcBorders>
                    <w:tl2br w:val="nil"/>
                    <w:tr2bl w:val="nil"/>
                  </w:tcBorders>
                  <w:noWrap w:val="0"/>
                  <w:vAlign w:val="center"/>
                </w:tcPr>
                <w:p w14:paraId="39FCD074">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cs="Times New Roman"/>
                      <w:color w:val="auto"/>
                      <w:sz w:val="18"/>
                      <w:szCs w:val="18"/>
                      <w:lang w:val="en-US" w:eastAsia="zh-CN" w:bidi="zh-CN"/>
                    </w:rPr>
                  </w:pPr>
                  <w:r>
                    <w:rPr>
                      <w:rFonts w:hint="eastAsia" w:cs="Times New Roman"/>
                      <w:color w:val="auto"/>
                      <w:sz w:val="18"/>
                      <w:szCs w:val="18"/>
                      <w:lang w:val="en-US" w:eastAsia="zh-CN" w:bidi="zh-CN"/>
                    </w:rPr>
                    <w:t>7</w:t>
                  </w:r>
                </w:p>
              </w:tc>
              <w:tc>
                <w:tcPr>
                  <w:tcW w:w="1261" w:type="dxa"/>
                  <w:tcBorders>
                    <w:tl2br w:val="nil"/>
                    <w:tr2bl w:val="nil"/>
                  </w:tcBorders>
                  <w:noWrap w:val="0"/>
                  <w:vAlign w:val="center"/>
                </w:tcPr>
                <w:p w14:paraId="037668A5">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聚丙烯（PP）</w:t>
                  </w:r>
                </w:p>
              </w:tc>
              <w:tc>
                <w:tcPr>
                  <w:tcW w:w="838" w:type="dxa"/>
                  <w:tcBorders>
                    <w:tl2br w:val="nil"/>
                    <w:tr2bl w:val="nil"/>
                  </w:tcBorders>
                  <w:shd w:val="clear" w:color="auto" w:fill="auto"/>
                  <w:noWrap w:val="0"/>
                  <w:vAlign w:val="center"/>
                </w:tcPr>
                <w:p w14:paraId="7C7FD815">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聚丙烯</w:t>
                  </w:r>
                </w:p>
              </w:tc>
              <w:tc>
                <w:tcPr>
                  <w:tcW w:w="750" w:type="dxa"/>
                  <w:tcBorders>
                    <w:tl2br w:val="nil"/>
                    <w:tr2bl w:val="nil"/>
                  </w:tcBorders>
                  <w:noWrap w:val="0"/>
                  <w:vAlign w:val="center"/>
                </w:tcPr>
                <w:p w14:paraId="58AF4296">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787" w:type="dxa"/>
                  <w:tcBorders>
                    <w:tl2br w:val="nil"/>
                    <w:tr2bl w:val="nil"/>
                  </w:tcBorders>
                  <w:noWrap w:val="0"/>
                  <w:vAlign w:val="center"/>
                </w:tcPr>
                <w:p w14:paraId="0D71E374">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8000</w:t>
                  </w:r>
                </w:p>
              </w:tc>
              <w:tc>
                <w:tcPr>
                  <w:tcW w:w="873" w:type="dxa"/>
                  <w:tcBorders>
                    <w:tl2br w:val="nil"/>
                    <w:tr2bl w:val="nil"/>
                  </w:tcBorders>
                  <w:shd w:val="clear" w:color="auto" w:fill="auto"/>
                  <w:noWrap w:val="0"/>
                  <w:vAlign w:val="center"/>
                </w:tcPr>
                <w:p w14:paraId="3C5718AD">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8000</w:t>
                  </w:r>
                </w:p>
              </w:tc>
              <w:tc>
                <w:tcPr>
                  <w:tcW w:w="1077" w:type="dxa"/>
                  <w:tcBorders>
                    <w:tl2br w:val="nil"/>
                    <w:tr2bl w:val="nil"/>
                  </w:tcBorders>
                  <w:shd w:val="clear" w:color="auto" w:fill="auto"/>
                  <w:noWrap w:val="0"/>
                  <w:vAlign w:val="center"/>
                </w:tcPr>
                <w:p w14:paraId="77C6A801">
                  <w:pPr>
                    <w:ind w:firstLine="0" w:firstLineChars="0"/>
                    <w:jc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73" w:type="dxa"/>
                  <w:tcBorders>
                    <w:tl2br w:val="nil"/>
                    <w:tr2bl w:val="nil"/>
                  </w:tcBorders>
                  <w:noWrap w:val="0"/>
                  <w:vAlign w:val="center"/>
                </w:tcPr>
                <w:p w14:paraId="7B035C4A">
                  <w:pPr>
                    <w:spacing w:line="240" w:lineRule="auto"/>
                    <w:ind w:firstLine="0" w:firstLineChars="0"/>
                    <w:jc w:val="center"/>
                    <w:rPr>
                      <w:rFonts w:hint="default"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800</w:t>
                  </w:r>
                </w:p>
              </w:tc>
              <w:tc>
                <w:tcPr>
                  <w:tcW w:w="1247" w:type="dxa"/>
                  <w:tcBorders>
                    <w:tl2br w:val="nil"/>
                    <w:tr2bl w:val="nil"/>
                  </w:tcBorders>
                  <w:noWrap w:val="0"/>
                  <w:vAlign w:val="center"/>
                </w:tcPr>
                <w:p w14:paraId="6DC11E54">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06261E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08" w:hRule="atLeast"/>
                <w:jc w:val="center"/>
              </w:trPr>
              <w:tc>
                <w:tcPr>
                  <w:tcW w:w="401" w:type="dxa"/>
                  <w:tcBorders>
                    <w:tl2br w:val="nil"/>
                    <w:tr2bl w:val="nil"/>
                  </w:tcBorders>
                  <w:noWrap w:val="0"/>
                  <w:vAlign w:val="center"/>
                </w:tcPr>
                <w:p w14:paraId="19646972">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cs="Times New Roman"/>
                      <w:color w:val="auto"/>
                      <w:sz w:val="18"/>
                      <w:szCs w:val="18"/>
                      <w:lang w:val="en-US" w:eastAsia="zh-CN" w:bidi="zh-CN"/>
                    </w:rPr>
                  </w:pPr>
                  <w:r>
                    <w:rPr>
                      <w:rFonts w:hint="eastAsia" w:cs="Times New Roman"/>
                      <w:color w:val="auto"/>
                      <w:sz w:val="18"/>
                      <w:szCs w:val="18"/>
                      <w:lang w:val="en-US" w:eastAsia="zh-CN" w:bidi="zh-CN"/>
                    </w:rPr>
                    <w:t>8</w:t>
                  </w:r>
                </w:p>
              </w:tc>
              <w:tc>
                <w:tcPr>
                  <w:tcW w:w="1261" w:type="dxa"/>
                  <w:tcBorders>
                    <w:tl2br w:val="nil"/>
                    <w:tr2bl w:val="nil"/>
                  </w:tcBorders>
                  <w:noWrap w:val="0"/>
                  <w:vAlign w:val="center"/>
                </w:tcPr>
                <w:p w14:paraId="5FA86C5F">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聚对苯二甲酸丁二醇酯（PBT）</w:t>
                  </w:r>
                </w:p>
              </w:tc>
              <w:tc>
                <w:tcPr>
                  <w:tcW w:w="838" w:type="dxa"/>
                  <w:tcBorders>
                    <w:tl2br w:val="nil"/>
                    <w:tr2bl w:val="nil"/>
                  </w:tcBorders>
                  <w:shd w:val="clear" w:color="auto" w:fill="auto"/>
                  <w:noWrap w:val="0"/>
                  <w:vAlign w:val="center"/>
                </w:tcPr>
                <w:p w14:paraId="6AC66F89">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聚对苯二甲酸丁二醇酯（PBT）</w:t>
                  </w:r>
                </w:p>
              </w:tc>
              <w:tc>
                <w:tcPr>
                  <w:tcW w:w="750" w:type="dxa"/>
                  <w:tcBorders>
                    <w:tl2br w:val="nil"/>
                    <w:tr2bl w:val="nil"/>
                  </w:tcBorders>
                  <w:noWrap w:val="0"/>
                  <w:vAlign w:val="center"/>
                </w:tcPr>
                <w:p w14:paraId="479AA3C9">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787" w:type="dxa"/>
                  <w:tcBorders>
                    <w:tl2br w:val="nil"/>
                    <w:tr2bl w:val="nil"/>
                  </w:tcBorders>
                  <w:noWrap w:val="0"/>
                  <w:vAlign w:val="center"/>
                </w:tcPr>
                <w:p w14:paraId="0592558B">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2000</w:t>
                  </w:r>
                </w:p>
              </w:tc>
              <w:tc>
                <w:tcPr>
                  <w:tcW w:w="873" w:type="dxa"/>
                  <w:tcBorders>
                    <w:tl2br w:val="nil"/>
                    <w:tr2bl w:val="nil"/>
                  </w:tcBorders>
                  <w:shd w:val="clear" w:color="auto" w:fill="auto"/>
                  <w:noWrap w:val="0"/>
                  <w:vAlign w:val="center"/>
                </w:tcPr>
                <w:p w14:paraId="7FD34B7B">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2000</w:t>
                  </w:r>
                </w:p>
              </w:tc>
              <w:tc>
                <w:tcPr>
                  <w:tcW w:w="1077" w:type="dxa"/>
                  <w:tcBorders>
                    <w:tl2br w:val="nil"/>
                    <w:tr2bl w:val="nil"/>
                  </w:tcBorders>
                  <w:shd w:val="clear" w:color="auto" w:fill="auto"/>
                  <w:noWrap w:val="0"/>
                  <w:vAlign w:val="center"/>
                </w:tcPr>
                <w:p w14:paraId="4903727A">
                  <w:pPr>
                    <w:ind w:firstLine="0" w:firstLineChars="0"/>
                    <w:jc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73" w:type="dxa"/>
                  <w:tcBorders>
                    <w:tl2br w:val="nil"/>
                    <w:tr2bl w:val="nil"/>
                  </w:tcBorders>
                  <w:noWrap w:val="0"/>
                  <w:vAlign w:val="center"/>
                </w:tcPr>
                <w:p w14:paraId="63664F5A">
                  <w:pPr>
                    <w:spacing w:line="240" w:lineRule="auto"/>
                    <w:ind w:firstLine="0" w:firstLineChars="0"/>
                    <w:jc w:val="center"/>
                    <w:rPr>
                      <w:rFonts w:hint="default"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200</w:t>
                  </w:r>
                </w:p>
              </w:tc>
              <w:tc>
                <w:tcPr>
                  <w:tcW w:w="1247" w:type="dxa"/>
                  <w:tcBorders>
                    <w:tl2br w:val="nil"/>
                    <w:tr2bl w:val="nil"/>
                  </w:tcBorders>
                  <w:noWrap w:val="0"/>
                  <w:vAlign w:val="center"/>
                </w:tcPr>
                <w:p w14:paraId="460C20A3">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513C44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08" w:hRule="atLeast"/>
                <w:jc w:val="center"/>
              </w:trPr>
              <w:tc>
                <w:tcPr>
                  <w:tcW w:w="401" w:type="dxa"/>
                  <w:tcBorders>
                    <w:tl2br w:val="nil"/>
                    <w:tr2bl w:val="nil"/>
                  </w:tcBorders>
                  <w:noWrap w:val="0"/>
                  <w:vAlign w:val="center"/>
                </w:tcPr>
                <w:p w14:paraId="1CEB9180">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cs="Times New Roman"/>
                      <w:color w:val="auto"/>
                      <w:sz w:val="18"/>
                      <w:szCs w:val="18"/>
                      <w:lang w:val="en-US" w:eastAsia="zh-CN" w:bidi="zh-CN"/>
                    </w:rPr>
                  </w:pPr>
                  <w:r>
                    <w:rPr>
                      <w:rFonts w:hint="eastAsia" w:cs="Times New Roman"/>
                      <w:color w:val="auto"/>
                      <w:sz w:val="18"/>
                      <w:szCs w:val="18"/>
                      <w:lang w:val="en-US" w:eastAsia="zh-CN" w:bidi="zh-CN"/>
                    </w:rPr>
                    <w:t>9</w:t>
                  </w:r>
                </w:p>
              </w:tc>
              <w:tc>
                <w:tcPr>
                  <w:tcW w:w="1261" w:type="dxa"/>
                  <w:tcBorders>
                    <w:tl2br w:val="nil"/>
                    <w:tr2bl w:val="nil"/>
                  </w:tcBorders>
                  <w:noWrap w:val="0"/>
                  <w:vAlign w:val="center"/>
                </w:tcPr>
                <w:p w14:paraId="36505411">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钢材</w:t>
                  </w:r>
                </w:p>
              </w:tc>
              <w:tc>
                <w:tcPr>
                  <w:tcW w:w="838" w:type="dxa"/>
                  <w:tcBorders>
                    <w:tl2br w:val="nil"/>
                    <w:tr2bl w:val="nil"/>
                  </w:tcBorders>
                  <w:shd w:val="clear" w:color="auto" w:fill="auto"/>
                  <w:noWrap w:val="0"/>
                  <w:vAlign w:val="center"/>
                </w:tcPr>
                <w:p w14:paraId="4F169DAA">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钢</w:t>
                  </w:r>
                </w:p>
              </w:tc>
              <w:tc>
                <w:tcPr>
                  <w:tcW w:w="750" w:type="dxa"/>
                  <w:tcBorders>
                    <w:tl2br w:val="nil"/>
                    <w:tr2bl w:val="nil"/>
                  </w:tcBorders>
                  <w:noWrap w:val="0"/>
                  <w:vAlign w:val="center"/>
                </w:tcPr>
                <w:p w14:paraId="45A8C125">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787" w:type="dxa"/>
                  <w:tcBorders>
                    <w:tl2br w:val="nil"/>
                    <w:tr2bl w:val="nil"/>
                  </w:tcBorders>
                  <w:noWrap w:val="0"/>
                  <w:vAlign w:val="center"/>
                </w:tcPr>
                <w:p w14:paraId="26BA44A4">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1800</w:t>
                  </w:r>
                </w:p>
              </w:tc>
              <w:tc>
                <w:tcPr>
                  <w:tcW w:w="873" w:type="dxa"/>
                  <w:tcBorders>
                    <w:tl2br w:val="nil"/>
                    <w:tr2bl w:val="nil"/>
                  </w:tcBorders>
                  <w:shd w:val="clear" w:color="auto" w:fill="auto"/>
                  <w:noWrap w:val="0"/>
                  <w:vAlign w:val="center"/>
                </w:tcPr>
                <w:p w14:paraId="629BBA7E">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1800</w:t>
                  </w:r>
                </w:p>
              </w:tc>
              <w:tc>
                <w:tcPr>
                  <w:tcW w:w="1077" w:type="dxa"/>
                  <w:tcBorders>
                    <w:tl2br w:val="nil"/>
                    <w:tr2bl w:val="nil"/>
                  </w:tcBorders>
                  <w:shd w:val="clear" w:color="auto" w:fill="auto"/>
                  <w:noWrap w:val="0"/>
                  <w:vAlign w:val="center"/>
                </w:tcPr>
                <w:p w14:paraId="4E6C4480">
                  <w:pPr>
                    <w:ind w:firstLine="0" w:firstLineChars="0"/>
                    <w:jc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73" w:type="dxa"/>
                  <w:tcBorders>
                    <w:tl2br w:val="nil"/>
                    <w:tr2bl w:val="nil"/>
                  </w:tcBorders>
                  <w:noWrap w:val="0"/>
                  <w:vAlign w:val="center"/>
                </w:tcPr>
                <w:p w14:paraId="2920D037">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180</w:t>
                  </w:r>
                </w:p>
              </w:tc>
              <w:tc>
                <w:tcPr>
                  <w:tcW w:w="1247" w:type="dxa"/>
                  <w:tcBorders>
                    <w:tl2br w:val="nil"/>
                    <w:tr2bl w:val="nil"/>
                  </w:tcBorders>
                  <w:noWrap w:val="0"/>
                  <w:vAlign w:val="center"/>
                </w:tcPr>
                <w:p w14:paraId="6ECF911D">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23B2FF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08" w:hRule="atLeast"/>
                <w:jc w:val="center"/>
              </w:trPr>
              <w:tc>
                <w:tcPr>
                  <w:tcW w:w="401" w:type="dxa"/>
                  <w:tcBorders>
                    <w:tl2br w:val="nil"/>
                    <w:tr2bl w:val="nil"/>
                  </w:tcBorders>
                  <w:noWrap w:val="0"/>
                  <w:vAlign w:val="center"/>
                </w:tcPr>
                <w:p w14:paraId="5BB4478F">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cs="Times New Roman"/>
                      <w:color w:val="auto"/>
                      <w:sz w:val="18"/>
                      <w:szCs w:val="18"/>
                      <w:lang w:val="en-US" w:eastAsia="zh-CN" w:bidi="zh-CN"/>
                    </w:rPr>
                  </w:pPr>
                  <w:r>
                    <w:rPr>
                      <w:rFonts w:hint="eastAsia" w:cs="Times New Roman"/>
                      <w:color w:val="auto"/>
                      <w:sz w:val="18"/>
                      <w:szCs w:val="18"/>
                      <w:lang w:val="en-US" w:eastAsia="zh-CN" w:bidi="zh-CN"/>
                    </w:rPr>
                    <w:t>10</w:t>
                  </w:r>
                </w:p>
              </w:tc>
              <w:tc>
                <w:tcPr>
                  <w:tcW w:w="1261" w:type="dxa"/>
                  <w:tcBorders>
                    <w:tl2br w:val="nil"/>
                    <w:tr2bl w:val="nil"/>
                  </w:tcBorders>
                  <w:noWrap w:val="0"/>
                  <w:vAlign w:val="center"/>
                </w:tcPr>
                <w:p w14:paraId="6F837E2A">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切削液</w:t>
                  </w:r>
                </w:p>
              </w:tc>
              <w:tc>
                <w:tcPr>
                  <w:tcW w:w="838" w:type="dxa"/>
                  <w:tcBorders>
                    <w:tl2br w:val="nil"/>
                    <w:tr2bl w:val="nil"/>
                  </w:tcBorders>
                  <w:shd w:val="clear" w:color="auto" w:fill="auto"/>
                  <w:noWrap w:val="0"/>
                  <w:vAlign w:val="center"/>
                </w:tcPr>
                <w:p w14:paraId="57C13408">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切削液</w:t>
                  </w:r>
                </w:p>
              </w:tc>
              <w:tc>
                <w:tcPr>
                  <w:tcW w:w="750" w:type="dxa"/>
                  <w:tcBorders>
                    <w:tl2br w:val="nil"/>
                    <w:tr2bl w:val="nil"/>
                  </w:tcBorders>
                  <w:noWrap w:val="0"/>
                  <w:vAlign w:val="center"/>
                </w:tcPr>
                <w:p w14:paraId="4215EEBA">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787" w:type="dxa"/>
                  <w:tcBorders>
                    <w:tl2br w:val="nil"/>
                    <w:tr2bl w:val="nil"/>
                  </w:tcBorders>
                  <w:noWrap w:val="0"/>
                  <w:vAlign w:val="center"/>
                </w:tcPr>
                <w:p w14:paraId="1C8EDEB4">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0.5</w:t>
                  </w:r>
                </w:p>
              </w:tc>
              <w:tc>
                <w:tcPr>
                  <w:tcW w:w="873" w:type="dxa"/>
                  <w:tcBorders>
                    <w:tl2br w:val="nil"/>
                    <w:tr2bl w:val="nil"/>
                  </w:tcBorders>
                  <w:shd w:val="clear" w:color="auto" w:fill="auto"/>
                  <w:noWrap w:val="0"/>
                  <w:vAlign w:val="center"/>
                </w:tcPr>
                <w:p w14:paraId="7D39ECFB">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0.5</w:t>
                  </w:r>
                </w:p>
              </w:tc>
              <w:tc>
                <w:tcPr>
                  <w:tcW w:w="1077" w:type="dxa"/>
                  <w:tcBorders>
                    <w:tl2br w:val="nil"/>
                    <w:tr2bl w:val="nil"/>
                  </w:tcBorders>
                  <w:shd w:val="clear" w:color="auto" w:fill="auto"/>
                  <w:noWrap w:val="0"/>
                  <w:vAlign w:val="center"/>
                </w:tcPr>
                <w:p w14:paraId="15FFF1C8">
                  <w:pPr>
                    <w:ind w:firstLine="0" w:firstLineChars="0"/>
                    <w:jc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73" w:type="dxa"/>
                  <w:tcBorders>
                    <w:tl2br w:val="nil"/>
                    <w:tr2bl w:val="nil"/>
                  </w:tcBorders>
                  <w:noWrap w:val="0"/>
                  <w:vAlign w:val="center"/>
                </w:tcPr>
                <w:p w14:paraId="1616D7FD">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0.5</w:t>
                  </w:r>
                </w:p>
              </w:tc>
              <w:tc>
                <w:tcPr>
                  <w:tcW w:w="1247" w:type="dxa"/>
                  <w:tcBorders>
                    <w:tl2br w:val="nil"/>
                    <w:tr2bl w:val="nil"/>
                  </w:tcBorders>
                  <w:noWrap w:val="0"/>
                  <w:vAlign w:val="center"/>
                </w:tcPr>
                <w:p w14:paraId="6D740378">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61D5C2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08" w:hRule="atLeast"/>
                <w:jc w:val="center"/>
              </w:trPr>
              <w:tc>
                <w:tcPr>
                  <w:tcW w:w="401" w:type="dxa"/>
                  <w:tcBorders>
                    <w:tl2br w:val="nil"/>
                    <w:tr2bl w:val="nil"/>
                  </w:tcBorders>
                  <w:noWrap w:val="0"/>
                  <w:vAlign w:val="center"/>
                </w:tcPr>
                <w:p w14:paraId="416A29B5">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cs="Times New Roman"/>
                      <w:color w:val="auto"/>
                      <w:sz w:val="18"/>
                      <w:szCs w:val="18"/>
                      <w:lang w:val="en-US" w:eastAsia="zh-CN" w:bidi="zh-CN"/>
                    </w:rPr>
                  </w:pPr>
                  <w:r>
                    <w:rPr>
                      <w:rFonts w:hint="eastAsia" w:cs="Times New Roman"/>
                      <w:color w:val="auto"/>
                      <w:sz w:val="18"/>
                      <w:szCs w:val="18"/>
                      <w:lang w:val="en-US" w:eastAsia="zh-CN" w:bidi="zh-CN"/>
                    </w:rPr>
                    <w:t>11</w:t>
                  </w:r>
                </w:p>
              </w:tc>
              <w:tc>
                <w:tcPr>
                  <w:tcW w:w="1261" w:type="dxa"/>
                  <w:tcBorders>
                    <w:tl2br w:val="nil"/>
                    <w:tr2bl w:val="nil"/>
                  </w:tcBorders>
                  <w:noWrap w:val="0"/>
                  <w:vAlign w:val="center"/>
                </w:tcPr>
                <w:p w14:paraId="2A113597">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塑料颗粒（PVC 、 ABS 、PC+ABS 等）</w:t>
                  </w:r>
                </w:p>
              </w:tc>
              <w:tc>
                <w:tcPr>
                  <w:tcW w:w="838" w:type="dxa"/>
                  <w:tcBorders>
                    <w:tl2br w:val="nil"/>
                    <w:tr2bl w:val="nil"/>
                  </w:tcBorders>
                  <w:shd w:val="clear" w:color="auto" w:fill="auto"/>
                  <w:noWrap w:val="0"/>
                  <w:vAlign w:val="center"/>
                </w:tcPr>
                <w:p w14:paraId="2E553893">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PVC、 ABS 、PC、ABS</w:t>
                  </w:r>
                </w:p>
              </w:tc>
              <w:tc>
                <w:tcPr>
                  <w:tcW w:w="750" w:type="dxa"/>
                  <w:tcBorders>
                    <w:tl2br w:val="nil"/>
                    <w:tr2bl w:val="nil"/>
                  </w:tcBorders>
                  <w:noWrap w:val="0"/>
                  <w:vAlign w:val="center"/>
                </w:tcPr>
                <w:p w14:paraId="354BF27B">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787" w:type="dxa"/>
                  <w:tcBorders>
                    <w:tl2br w:val="nil"/>
                    <w:tr2bl w:val="nil"/>
                  </w:tcBorders>
                  <w:noWrap w:val="0"/>
                  <w:vAlign w:val="center"/>
                </w:tcPr>
                <w:p w14:paraId="6852A1A7">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5000</w:t>
                  </w:r>
                </w:p>
              </w:tc>
              <w:tc>
                <w:tcPr>
                  <w:tcW w:w="873" w:type="dxa"/>
                  <w:tcBorders>
                    <w:tl2br w:val="nil"/>
                    <w:tr2bl w:val="nil"/>
                  </w:tcBorders>
                  <w:shd w:val="clear" w:color="auto" w:fill="auto"/>
                  <w:noWrap w:val="0"/>
                  <w:vAlign w:val="center"/>
                </w:tcPr>
                <w:p w14:paraId="44E8D6DD">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5000</w:t>
                  </w:r>
                </w:p>
              </w:tc>
              <w:tc>
                <w:tcPr>
                  <w:tcW w:w="1077" w:type="dxa"/>
                  <w:tcBorders>
                    <w:tl2br w:val="nil"/>
                    <w:tr2bl w:val="nil"/>
                  </w:tcBorders>
                  <w:shd w:val="clear" w:color="auto" w:fill="auto"/>
                  <w:noWrap w:val="0"/>
                  <w:vAlign w:val="center"/>
                </w:tcPr>
                <w:p w14:paraId="460B6610">
                  <w:pPr>
                    <w:ind w:firstLine="0" w:firstLineChars="0"/>
                    <w:jc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73" w:type="dxa"/>
                  <w:tcBorders>
                    <w:tl2br w:val="nil"/>
                    <w:tr2bl w:val="nil"/>
                  </w:tcBorders>
                  <w:noWrap w:val="0"/>
                  <w:vAlign w:val="center"/>
                </w:tcPr>
                <w:p w14:paraId="3B168AC4">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500</w:t>
                  </w:r>
                </w:p>
              </w:tc>
              <w:tc>
                <w:tcPr>
                  <w:tcW w:w="1247" w:type="dxa"/>
                  <w:tcBorders>
                    <w:tl2br w:val="nil"/>
                    <w:tr2bl w:val="nil"/>
                  </w:tcBorders>
                  <w:noWrap w:val="0"/>
                  <w:vAlign w:val="center"/>
                </w:tcPr>
                <w:p w14:paraId="6EF67BBD">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393788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08" w:hRule="atLeast"/>
                <w:jc w:val="center"/>
              </w:trPr>
              <w:tc>
                <w:tcPr>
                  <w:tcW w:w="401" w:type="dxa"/>
                  <w:tcBorders>
                    <w:tl2br w:val="nil"/>
                    <w:tr2bl w:val="nil"/>
                  </w:tcBorders>
                  <w:noWrap w:val="0"/>
                  <w:vAlign w:val="center"/>
                </w:tcPr>
                <w:p w14:paraId="344F4418">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cs="Times New Roman"/>
                      <w:color w:val="auto"/>
                      <w:sz w:val="18"/>
                      <w:szCs w:val="18"/>
                      <w:lang w:val="en-US" w:eastAsia="zh-CN" w:bidi="zh-CN"/>
                    </w:rPr>
                  </w:pPr>
                  <w:r>
                    <w:rPr>
                      <w:rFonts w:hint="eastAsia" w:cs="Times New Roman"/>
                      <w:color w:val="auto"/>
                      <w:sz w:val="18"/>
                      <w:szCs w:val="18"/>
                      <w:lang w:val="en-US" w:eastAsia="zh-CN" w:bidi="zh-CN"/>
                    </w:rPr>
                    <w:t>12</w:t>
                  </w:r>
                </w:p>
              </w:tc>
              <w:tc>
                <w:tcPr>
                  <w:tcW w:w="1261" w:type="dxa"/>
                  <w:tcBorders>
                    <w:tl2br w:val="nil"/>
                    <w:tr2bl w:val="nil"/>
                  </w:tcBorders>
                  <w:noWrap w:val="0"/>
                  <w:vAlign w:val="center"/>
                </w:tcPr>
                <w:p w14:paraId="70CA88A1">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电线</w:t>
                  </w:r>
                </w:p>
              </w:tc>
              <w:tc>
                <w:tcPr>
                  <w:tcW w:w="838" w:type="dxa"/>
                  <w:tcBorders>
                    <w:tl2br w:val="nil"/>
                    <w:tr2bl w:val="nil"/>
                  </w:tcBorders>
                  <w:shd w:val="clear" w:color="auto" w:fill="auto"/>
                  <w:noWrap w:val="0"/>
                  <w:vAlign w:val="center"/>
                </w:tcPr>
                <w:p w14:paraId="46481F9B">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电线</w:t>
                  </w:r>
                </w:p>
              </w:tc>
              <w:tc>
                <w:tcPr>
                  <w:tcW w:w="750" w:type="dxa"/>
                  <w:tcBorders>
                    <w:tl2br w:val="nil"/>
                    <w:tr2bl w:val="nil"/>
                  </w:tcBorders>
                  <w:noWrap w:val="0"/>
                  <w:vAlign w:val="center"/>
                </w:tcPr>
                <w:p w14:paraId="48DE389A">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787" w:type="dxa"/>
                  <w:tcBorders>
                    <w:tl2br w:val="nil"/>
                    <w:tr2bl w:val="nil"/>
                  </w:tcBorders>
                  <w:noWrap w:val="0"/>
                  <w:vAlign w:val="center"/>
                </w:tcPr>
                <w:p w14:paraId="74C18838">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80</w:t>
                  </w:r>
                </w:p>
              </w:tc>
              <w:tc>
                <w:tcPr>
                  <w:tcW w:w="873" w:type="dxa"/>
                  <w:tcBorders>
                    <w:tl2br w:val="nil"/>
                    <w:tr2bl w:val="nil"/>
                  </w:tcBorders>
                  <w:shd w:val="clear" w:color="auto" w:fill="auto"/>
                  <w:noWrap w:val="0"/>
                  <w:vAlign w:val="center"/>
                </w:tcPr>
                <w:p w14:paraId="5769F304">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80</w:t>
                  </w:r>
                </w:p>
              </w:tc>
              <w:tc>
                <w:tcPr>
                  <w:tcW w:w="1077" w:type="dxa"/>
                  <w:tcBorders>
                    <w:tl2br w:val="nil"/>
                    <w:tr2bl w:val="nil"/>
                  </w:tcBorders>
                  <w:shd w:val="clear" w:color="auto" w:fill="auto"/>
                  <w:noWrap w:val="0"/>
                  <w:vAlign w:val="center"/>
                </w:tcPr>
                <w:p w14:paraId="780EDF13">
                  <w:pPr>
                    <w:ind w:firstLine="0" w:firstLineChars="0"/>
                    <w:jc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73" w:type="dxa"/>
                  <w:tcBorders>
                    <w:tl2br w:val="nil"/>
                    <w:tr2bl w:val="nil"/>
                  </w:tcBorders>
                  <w:noWrap w:val="0"/>
                  <w:vAlign w:val="center"/>
                </w:tcPr>
                <w:p w14:paraId="515C6AE2">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80</w:t>
                  </w:r>
                </w:p>
              </w:tc>
              <w:tc>
                <w:tcPr>
                  <w:tcW w:w="1247" w:type="dxa"/>
                  <w:tcBorders>
                    <w:tl2br w:val="nil"/>
                    <w:tr2bl w:val="nil"/>
                  </w:tcBorders>
                  <w:noWrap w:val="0"/>
                  <w:vAlign w:val="center"/>
                </w:tcPr>
                <w:p w14:paraId="5C0C469C">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5E0875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08" w:hRule="atLeast"/>
                <w:jc w:val="center"/>
              </w:trPr>
              <w:tc>
                <w:tcPr>
                  <w:tcW w:w="401" w:type="dxa"/>
                  <w:tcBorders>
                    <w:tl2br w:val="nil"/>
                    <w:tr2bl w:val="nil"/>
                  </w:tcBorders>
                  <w:noWrap w:val="0"/>
                  <w:vAlign w:val="center"/>
                </w:tcPr>
                <w:p w14:paraId="430EF74B">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cs="Times New Roman"/>
                      <w:color w:val="auto"/>
                      <w:sz w:val="18"/>
                      <w:szCs w:val="18"/>
                      <w:lang w:val="en-US" w:eastAsia="zh-CN" w:bidi="zh-CN"/>
                    </w:rPr>
                  </w:pPr>
                  <w:r>
                    <w:rPr>
                      <w:rFonts w:hint="eastAsia" w:cs="Times New Roman"/>
                      <w:color w:val="auto"/>
                      <w:sz w:val="18"/>
                      <w:szCs w:val="18"/>
                      <w:lang w:val="en-US" w:eastAsia="zh-CN" w:bidi="zh-CN"/>
                    </w:rPr>
                    <w:t>13</w:t>
                  </w:r>
                </w:p>
              </w:tc>
              <w:tc>
                <w:tcPr>
                  <w:tcW w:w="1261" w:type="dxa"/>
                  <w:tcBorders>
                    <w:tl2br w:val="nil"/>
                    <w:tr2bl w:val="nil"/>
                  </w:tcBorders>
                  <w:noWrap w:val="0"/>
                  <w:vAlign w:val="center"/>
                </w:tcPr>
                <w:p w14:paraId="62B455F6">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金属材料（铁片、铜片等）</w:t>
                  </w:r>
                </w:p>
              </w:tc>
              <w:tc>
                <w:tcPr>
                  <w:tcW w:w="838" w:type="dxa"/>
                  <w:tcBorders>
                    <w:tl2br w:val="nil"/>
                    <w:tr2bl w:val="nil"/>
                  </w:tcBorders>
                  <w:shd w:val="clear" w:color="auto" w:fill="auto"/>
                  <w:noWrap w:val="0"/>
                  <w:vAlign w:val="center"/>
                </w:tcPr>
                <w:p w14:paraId="1C3F26AE">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铁片、铜片</w:t>
                  </w:r>
                </w:p>
              </w:tc>
              <w:tc>
                <w:tcPr>
                  <w:tcW w:w="750" w:type="dxa"/>
                  <w:tcBorders>
                    <w:tl2br w:val="nil"/>
                    <w:tr2bl w:val="nil"/>
                  </w:tcBorders>
                  <w:noWrap w:val="0"/>
                  <w:vAlign w:val="center"/>
                </w:tcPr>
                <w:p w14:paraId="53E968E4">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787" w:type="dxa"/>
                  <w:tcBorders>
                    <w:tl2br w:val="nil"/>
                    <w:tr2bl w:val="nil"/>
                  </w:tcBorders>
                  <w:noWrap w:val="0"/>
                  <w:vAlign w:val="center"/>
                </w:tcPr>
                <w:p w14:paraId="0D0C0719">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50</w:t>
                  </w:r>
                </w:p>
              </w:tc>
              <w:tc>
                <w:tcPr>
                  <w:tcW w:w="873" w:type="dxa"/>
                  <w:tcBorders>
                    <w:tl2br w:val="nil"/>
                    <w:tr2bl w:val="nil"/>
                  </w:tcBorders>
                  <w:shd w:val="clear" w:color="auto" w:fill="auto"/>
                  <w:noWrap w:val="0"/>
                  <w:vAlign w:val="center"/>
                </w:tcPr>
                <w:p w14:paraId="729E5343">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50</w:t>
                  </w:r>
                </w:p>
              </w:tc>
              <w:tc>
                <w:tcPr>
                  <w:tcW w:w="1077" w:type="dxa"/>
                  <w:tcBorders>
                    <w:tl2br w:val="nil"/>
                    <w:tr2bl w:val="nil"/>
                  </w:tcBorders>
                  <w:shd w:val="clear" w:color="auto" w:fill="auto"/>
                  <w:noWrap w:val="0"/>
                  <w:vAlign w:val="center"/>
                </w:tcPr>
                <w:p w14:paraId="195233D6">
                  <w:pPr>
                    <w:ind w:firstLine="0" w:firstLineChars="0"/>
                    <w:jc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73" w:type="dxa"/>
                  <w:tcBorders>
                    <w:tl2br w:val="nil"/>
                    <w:tr2bl w:val="nil"/>
                  </w:tcBorders>
                  <w:noWrap w:val="0"/>
                  <w:vAlign w:val="center"/>
                </w:tcPr>
                <w:p w14:paraId="3D469E9D">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50</w:t>
                  </w:r>
                </w:p>
              </w:tc>
              <w:tc>
                <w:tcPr>
                  <w:tcW w:w="1247" w:type="dxa"/>
                  <w:tcBorders>
                    <w:tl2br w:val="nil"/>
                    <w:tr2bl w:val="nil"/>
                  </w:tcBorders>
                  <w:noWrap w:val="0"/>
                  <w:vAlign w:val="center"/>
                </w:tcPr>
                <w:p w14:paraId="6AA67C85">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2D37E6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08" w:hRule="atLeast"/>
                <w:jc w:val="center"/>
              </w:trPr>
              <w:tc>
                <w:tcPr>
                  <w:tcW w:w="401" w:type="dxa"/>
                  <w:tcBorders>
                    <w:tl2br w:val="nil"/>
                    <w:tr2bl w:val="nil"/>
                  </w:tcBorders>
                  <w:noWrap w:val="0"/>
                  <w:vAlign w:val="center"/>
                </w:tcPr>
                <w:p w14:paraId="0A7BC5F2">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cs="Times New Roman"/>
                      <w:color w:val="auto"/>
                      <w:sz w:val="18"/>
                      <w:szCs w:val="18"/>
                      <w:lang w:val="en-US" w:eastAsia="zh-CN" w:bidi="zh-CN"/>
                    </w:rPr>
                  </w:pPr>
                  <w:r>
                    <w:rPr>
                      <w:rFonts w:hint="eastAsia" w:cs="Times New Roman"/>
                      <w:color w:val="auto"/>
                      <w:sz w:val="18"/>
                      <w:szCs w:val="18"/>
                      <w:lang w:val="en-US" w:eastAsia="zh-CN" w:bidi="zh-CN"/>
                    </w:rPr>
                    <w:t>14</w:t>
                  </w:r>
                </w:p>
              </w:tc>
              <w:tc>
                <w:tcPr>
                  <w:tcW w:w="1261" w:type="dxa"/>
                  <w:tcBorders>
                    <w:tl2br w:val="nil"/>
                    <w:tr2bl w:val="nil"/>
                  </w:tcBorders>
                  <w:noWrap w:val="0"/>
                  <w:vAlign w:val="center"/>
                </w:tcPr>
                <w:p w14:paraId="15B1C330">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聚碳酸酯（PC）</w:t>
                  </w:r>
                </w:p>
              </w:tc>
              <w:tc>
                <w:tcPr>
                  <w:tcW w:w="838" w:type="dxa"/>
                  <w:tcBorders>
                    <w:tl2br w:val="nil"/>
                    <w:tr2bl w:val="nil"/>
                  </w:tcBorders>
                  <w:shd w:val="clear" w:color="auto" w:fill="auto"/>
                  <w:noWrap w:val="0"/>
                  <w:vAlign w:val="center"/>
                </w:tcPr>
                <w:p w14:paraId="21E25D80">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聚碳酸酯</w:t>
                  </w:r>
                </w:p>
              </w:tc>
              <w:tc>
                <w:tcPr>
                  <w:tcW w:w="750" w:type="dxa"/>
                  <w:tcBorders>
                    <w:tl2br w:val="nil"/>
                    <w:tr2bl w:val="nil"/>
                  </w:tcBorders>
                  <w:noWrap w:val="0"/>
                  <w:vAlign w:val="center"/>
                </w:tcPr>
                <w:p w14:paraId="116535F4">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787" w:type="dxa"/>
                  <w:tcBorders>
                    <w:tl2br w:val="nil"/>
                    <w:tr2bl w:val="nil"/>
                  </w:tcBorders>
                  <w:noWrap w:val="0"/>
                  <w:vAlign w:val="center"/>
                </w:tcPr>
                <w:p w14:paraId="6E178AC9">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c>
                <w:tcPr>
                  <w:tcW w:w="873" w:type="dxa"/>
                  <w:tcBorders>
                    <w:tl2br w:val="nil"/>
                    <w:tr2bl w:val="nil"/>
                  </w:tcBorders>
                  <w:shd w:val="clear" w:color="auto" w:fill="auto"/>
                  <w:noWrap w:val="0"/>
                  <w:vAlign w:val="center"/>
                </w:tcPr>
                <w:p w14:paraId="1C20D567">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c>
                <w:tcPr>
                  <w:tcW w:w="1077" w:type="dxa"/>
                  <w:tcBorders>
                    <w:tl2br w:val="nil"/>
                    <w:tr2bl w:val="nil"/>
                  </w:tcBorders>
                  <w:shd w:val="clear" w:color="auto" w:fill="auto"/>
                  <w:noWrap w:val="0"/>
                  <w:vAlign w:val="center"/>
                </w:tcPr>
                <w:p w14:paraId="45ABF9A4">
                  <w:pPr>
                    <w:ind w:firstLine="0" w:firstLineChars="0"/>
                    <w:jc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73" w:type="dxa"/>
                  <w:tcBorders>
                    <w:tl2br w:val="nil"/>
                    <w:tr2bl w:val="nil"/>
                  </w:tcBorders>
                  <w:noWrap w:val="0"/>
                  <w:vAlign w:val="center"/>
                </w:tcPr>
                <w:p w14:paraId="559EE04F">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c>
                <w:tcPr>
                  <w:tcW w:w="1247" w:type="dxa"/>
                  <w:tcBorders>
                    <w:tl2br w:val="nil"/>
                    <w:tr2bl w:val="nil"/>
                  </w:tcBorders>
                  <w:noWrap w:val="0"/>
                  <w:vAlign w:val="center"/>
                </w:tcPr>
                <w:p w14:paraId="1B359B5D">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5E8688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08" w:hRule="atLeast"/>
                <w:jc w:val="center"/>
              </w:trPr>
              <w:tc>
                <w:tcPr>
                  <w:tcW w:w="401" w:type="dxa"/>
                  <w:tcBorders>
                    <w:tl2br w:val="nil"/>
                    <w:tr2bl w:val="nil"/>
                  </w:tcBorders>
                  <w:noWrap w:val="0"/>
                  <w:vAlign w:val="center"/>
                </w:tcPr>
                <w:p w14:paraId="3F02DC69">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cs="Times New Roman"/>
                      <w:color w:val="auto"/>
                      <w:sz w:val="18"/>
                      <w:szCs w:val="18"/>
                      <w:lang w:val="en-US" w:eastAsia="zh-CN" w:bidi="zh-CN"/>
                    </w:rPr>
                  </w:pPr>
                  <w:r>
                    <w:rPr>
                      <w:rFonts w:hint="eastAsia" w:cs="Times New Roman"/>
                      <w:color w:val="auto"/>
                      <w:sz w:val="18"/>
                      <w:szCs w:val="18"/>
                      <w:lang w:val="en-US" w:eastAsia="zh-CN" w:bidi="zh-CN"/>
                    </w:rPr>
                    <w:t>15</w:t>
                  </w:r>
                </w:p>
              </w:tc>
              <w:tc>
                <w:tcPr>
                  <w:tcW w:w="1261" w:type="dxa"/>
                  <w:tcBorders>
                    <w:tl2br w:val="nil"/>
                    <w:tr2bl w:val="nil"/>
                  </w:tcBorders>
                  <w:noWrap w:val="0"/>
                  <w:vAlign w:val="center"/>
                </w:tcPr>
                <w:p w14:paraId="1D2B5110">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塑料颗粒（PVC 、 ABS 、PC+ABS 等）</w:t>
                  </w:r>
                </w:p>
              </w:tc>
              <w:tc>
                <w:tcPr>
                  <w:tcW w:w="838" w:type="dxa"/>
                  <w:tcBorders>
                    <w:tl2br w:val="nil"/>
                    <w:tr2bl w:val="nil"/>
                  </w:tcBorders>
                  <w:shd w:val="clear" w:color="auto" w:fill="auto"/>
                  <w:noWrap w:val="0"/>
                  <w:vAlign w:val="center"/>
                </w:tcPr>
                <w:p w14:paraId="26019E6E">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PVC 、 ABS 、PC、ABS</w:t>
                  </w:r>
                </w:p>
              </w:tc>
              <w:tc>
                <w:tcPr>
                  <w:tcW w:w="750" w:type="dxa"/>
                  <w:tcBorders>
                    <w:tl2br w:val="nil"/>
                    <w:tr2bl w:val="nil"/>
                  </w:tcBorders>
                  <w:noWrap w:val="0"/>
                  <w:vAlign w:val="center"/>
                </w:tcPr>
                <w:p w14:paraId="544A93AB">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787" w:type="dxa"/>
                  <w:tcBorders>
                    <w:tl2br w:val="nil"/>
                    <w:tr2bl w:val="nil"/>
                  </w:tcBorders>
                  <w:noWrap w:val="0"/>
                  <w:vAlign w:val="center"/>
                </w:tcPr>
                <w:p w14:paraId="31F7D1D2">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130</w:t>
                  </w:r>
                </w:p>
              </w:tc>
              <w:tc>
                <w:tcPr>
                  <w:tcW w:w="873" w:type="dxa"/>
                  <w:tcBorders>
                    <w:tl2br w:val="nil"/>
                    <w:tr2bl w:val="nil"/>
                  </w:tcBorders>
                  <w:shd w:val="clear" w:color="auto" w:fill="auto"/>
                  <w:noWrap w:val="0"/>
                  <w:vAlign w:val="center"/>
                </w:tcPr>
                <w:p w14:paraId="138B71C6">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130</w:t>
                  </w:r>
                </w:p>
              </w:tc>
              <w:tc>
                <w:tcPr>
                  <w:tcW w:w="1077" w:type="dxa"/>
                  <w:tcBorders>
                    <w:tl2br w:val="nil"/>
                    <w:tr2bl w:val="nil"/>
                  </w:tcBorders>
                  <w:shd w:val="clear" w:color="auto" w:fill="auto"/>
                  <w:noWrap w:val="0"/>
                  <w:vAlign w:val="center"/>
                </w:tcPr>
                <w:p w14:paraId="14138CC6">
                  <w:pPr>
                    <w:ind w:firstLine="0" w:firstLineChars="0"/>
                    <w:jc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73" w:type="dxa"/>
                  <w:tcBorders>
                    <w:tl2br w:val="nil"/>
                    <w:tr2bl w:val="nil"/>
                  </w:tcBorders>
                  <w:noWrap w:val="0"/>
                  <w:vAlign w:val="center"/>
                </w:tcPr>
                <w:p w14:paraId="4BCA2519">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130</w:t>
                  </w:r>
                </w:p>
              </w:tc>
              <w:tc>
                <w:tcPr>
                  <w:tcW w:w="1247" w:type="dxa"/>
                  <w:tcBorders>
                    <w:tl2br w:val="nil"/>
                    <w:tr2bl w:val="nil"/>
                  </w:tcBorders>
                  <w:noWrap w:val="0"/>
                  <w:vAlign w:val="center"/>
                </w:tcPr>
                <w:p w14:paraId="6B0392C3">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3E63DC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08" w:hRule="atLeast"/>
                <w:jc w:val="center"/>
              </w:trPr>
              <w:tc>
                <w:tcPr>
                  <w:tcW w:w="401" w:type="dxa"/>
                  <w:tcBorders>
                    <w:tl2br w:val="nil"/>
                    <w:tr2bl w:val="nil"/>
                  </w:tcBorders>
                  <w:noWrap w:val="0"/>
                  <w:vAlign w:val="center"/>
                </w:tcPr>
                <w:p w14:paraId="0EC8860B">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cs="Times New Roman"/>
                      <w:color w:val="auto"/>
                      <w:sz w:val="18"/>
                      <w:szCs w:val="18"/>
                      <w:lang w:val="en-US" w:eastAsia="zh-CN" w:bidi="zh-CN"/>
                    </w:rPr>
                  </w:pPr>
                  <w:r>
                    <w:rPr>
                      <w:rFonts w:hint="eastAsia" w:cs="Times New Roman"/>
                      <w:color w:val="auto"/>
                      <w:sz w:val="18"/>
                      <w:szCs w:val="18"/>
                      <w:lang w:val="en-US" w:eastAsia="zh-CN" w:bidi="zh-CN"/>
                    </w:rPr>
                    <w:t>16</w:t>
                  </w:r>
                </w:p>
              </w:tc>
              <w:tc>
                <w:tcPr>
                  <w:tcW w:w="1261" w:type="dxa"/>
                  <w:tcBorders>
                    <w:tl2br w:val="nil"/>
                    <w:tr2bl w:val="nil"/>
                  </w:tcBorders>
                  <w:noWrap w:val="0"/>
                  <w:vAlign w:val="center"/>
                </w:tcPr>
                <w:p w14:paraId="61A67A1C">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TPS</w:t>
                  </w:r>
                </w:p>
              </w:tc>
              <w:tc>
                <w:tcPr>
                  <w:tcW w:w="838" w:type="dxa"/>
                  <w:tcBorders>
                    <w:tl2br w:val="nil"/>
                    <w:tr2bl w:val="nil"/>
                  </w:tcBorders>
                  <w:shd w:val="clear" w:color="auto" w:fill="auto"/>
                  <w:noWrap w:val="0"/>
                  <w:vAlign w:val="center"/>
                </w:tcPr>
                <w:p w14:paraId="424CEDFB">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TPS</w:t>
                  </w:r>
                </w:p>
              </w:tc>
              <w:tc>
                <w:tcPr>
                  <w:tcW w:w="750" w:type="dxa"/>
                  <w:tcBorders>
                    <w:tl2br w:val="nil"/>
                    <w:tr2bl w:val="nil"/>
                  </w:tcBorders>
                  <w:noWrap w:val="0"/>
                  <w:vAlign w:val="center"/>
                </w:tcPr>
                <w:p w14:paraId="31D24724">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787" w:type="dxa"/>
                  <w:tcBorders>
                    <w:tl2br w:val="nil"/>
                    <w:tr2bl w:val="nil"/>
                  </w:tcBorders>
                  <w:noWrap w:val="0"/>
                  <w:vAlign w:val="center"/>
                </w:tcPr>
                <w:p w14:paraId="0DDE1523">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24</w:t>
                  </w:r>
                </w:p>
              </w:tc>
              <w:tc>
                <w:tcPr>
                  <w:tcW w:w="873" w:type="dxa"/>
                  <w:tcBorders>
                    <w:tl2br w:val="nil"/>
                    <w:tr2bl w:val="nil"/>
                  </w:tcBorders>
                  <w:shd w:val="clear" w:color="auto" w:fill="auto"/>
                  <w:noWrap w:val="0"/>
                  <w:vAlign w:val="center"/>
                </w:tcPr>
                <w:p w14:paraId="0AF217B2">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24</w:t>
                  </w:r>
                </w:p>
              </w:tc>
              <w:tc>
                <w:tcPr>
                  <w:tcW w:w="1077" w:type="dxa"/>
                  <w:tcBorders>
                    <w:tl2br w:val="nil"/>
                    <w:tr2bl w:val="nil"/>
                  </w:tcBorders>
                  <w:shd w:val="clear" w:color="auto" w:fill="auto"/>
                  <w:noWrap w:val="0"/>
                  <w:vAlign w:val="center"/>
                </w:tcPr>
                <w:p w14:paraId="3C27D5DD">
                  <w:pPr>
                    <w:ind w:firstLine="0" w:firstLineChars="0"/>
                    <w:jc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73" w:type="dxa"/>
                  <w:tcBorders>
                    <w:tl2br w:val="nil"/>
                    <w:tr2bl w:val="nil"/>
                  </w:tcBorders>
                  <w:noWrap w:val="0"/>
                  <w:vAlign w:val="center"/>
                </w:tcPr>
                <w:p w14:paraId="6664DCFB">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24</w:t>
                  </w:r>
                </w:p>
              </w:tc>
              <w:tc>
                <w:tcPr>
                  <w:tcW w:w="1247" w:type="dxa"/>
                  <w:tcBorders>
                    <w:tl2br w:val="nil"/>
                    <w:tr2bl w:val="nil"/>
                  </w:tcBorders>
                  <w:noWrap w:val="0"/>
                  <w:vAlign w:val="center"/>
                </w:tcPr>
                <w:p w14:paraId="2348E0A2">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0B6B30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08" w:hRule="atLeast"/>
                <w:jc w:val="center"/>
              </w:trPr>
              <w:tc>
                <w:tcPr>
                  <w:tcW w:w="401" w:type="dxa"/>
                  <w:tcBorders>
                    <w:tl2br w:val="nil"/>
                    <w:tr2bl w:val="nil"/>
                  </w:tcBorders>
                  <w:noWrap w:val="0"/>
                  <w:vAlign w:val="center"/>
                </w:tcPr>
                <w:p w14:paraId="14830FCD">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cs="Times New Roman"/>
                      <w:color w:val="auto"/>
                      <w:sz w:val="18"/>
                      <w:szCs w:val="18"/>
                      <w:lang w:val="en-US" w:eastAsia="zh-CN" w:bidi="zh-CN"/>
                    </w:rPr>
                  </w:pPr>
                  <w:r>
                    <w:rPr>
                      <w:rFonts w:hint="eastAsia" w:cs="Times New Roman"/>
                      <w:color w:val="auto"/>
                      <w:sz w:val="18"/>
                      <w:szCs w:val="18"/>
                      <w:lang w:val="en-US" w:eastAsia="zh-CN" w:bidi="zh-CN"/>
                    </w:rPr>
                    <w:t>17</w:t>
                  </w:r>
                </w:p>
              </w:tc>
              <w:tc>
                <w:tcPr>
                  <w:tcW w:w="1261" w:type="dxa"/>
                  <w:tcBorders>
                    <w:tl2br w:val="nil"/>
                    <w:tr2bl w:val="nil"/>
                  </w:tcBorders>
                  <w:noWrap w:val="0"/>
                  <w:vAlign w:val="center"/>
                </w:tcPr>
                <w:p w14:paraId="224C0780">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PMMA</w:t>
                  </w:r>
                </w:p>
              </w:tc>
              <w:tc>
                <w:tcPr>
                  <w:tcW w:w="838" w:type="dxa"/>
                  <w:tcBorders>
                    <w:tl2br w:val="nil"/>
                    <w:tr2bl w:val="nil"/>
                  </w:tcBorders>
                  <w:shd w:val="clear" w:color="auto" w:fill="auto"/>
                  <w:noWrap w:val="0"/>
                  <w:vAlign w:val="center"/>
                </w:tcPr>
                <w:p w14:paraId="06B8C1E7">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PMMA</w:t>
                  </w:r>
                </w:p>
              </w:tc>
              <w:tc>
                <w:tcPr>
                  <w:tcW w:w="750" w:type="dxa"/>
                  <w:tcBorders>
                    <w:tl2br w:val="nil"/>
                    <w:tr2bl w:val="nil"/>
                  </w:tcBorders>
                  <w:noWrap w:val="0"/>
                  <w:vAlign w:val="center"/>
                </w:tcPr>
                <w:p w14:paraId="25BE3F2C">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787" w:type="dxa"/>
                  <w:tcBorders>
                    <w:tl2br w:val="nil"/>
                    <w:tr2bl w:val="nil"/>
                  </w:tcBorders>
                  <w:noWrap w:val="0"/>
                  <w:vAlign w:val="center"/>
                </w:tcPr>
                <w:p w14:paraId="33F75967">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75</w:t>
                  </w:r>
                </w:p>
              </w:tc>
              <w:tc>
                <w:tcPr>
                  <w:tcW w:w="873" w:type="dxa"/>
                  <w:tcBorders>
                    <w:tl2br w:val="nil"/>
                    <w:tr2bl w:val="nil"/>
                  </w:tcBorders>
                  <w:shd w:val="clear" w:color="auto" w:fill="auto"/>
                  <w:noWrap w:val="0"/>
                  <w:vAlign w:val="center"/>
                </w:tcPr>
                <w:p w14:paraId="1E828CAC">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75</w:t>
                  </w:r>
                </w:p>
              </w:tc>
              <w:tc>
                <w:tcPr>
                  <w:tcW w:w="1077" w:type="dxa"/>
                  <w:tcBorders>
                    <w:tl2br w:val="nil"/>
                    <w:tr2bl w:val="nil"/>
                  </w:tcBorders>
                  <w:shd w:val="clear" w:color="auto" w:fill="auto"/>
                  <w:noWrap w:val="0"/>
                  <w:vAlign w:val="center"/>
                </w:tcPr>
                <w:p w14:paraId="7C963EF9">
                  <w:pPr>
                    <w:ind w:firstLine="0" w:firstLineChars="0"/>
                    <w:jc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73" w:type="dxa"/>
                  <w:tcBorders>
                    <w:tl2br w:val="nil"/>
                    <w:tr2bl w:val="nil"/>
                  </w:tcBorders>
                  <w:noWrap w:val="0"/>
                  <w:vAlign w:val="center"/>
                </w:tcPr>
                <w:p w14:paraId="3D183D9F">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75</w:t>
                  </w:r>
                </w:p>
              </w:tc>
              <w:tc>
                <w:tcPr>
                  <w:tcW w:w="1247" w:type="dxa"/>
                  <w:tcBorders>
                    <w:tl2br w:val="nil"/>
                    <w:tr2bl w:val="nil"/>
                  </w:tcBorders>
                  <w:noWrap w:val="0"/>
                  <w:vAlign w:val="center"/>
                </w:tcPr>
                <w:p w14:paraId="60326EB6">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29ED1E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08" w:hRule="atLeast"/>
                <w:jc w:val="center"/>
              </w:trPr>
              <w:tc>
                <w:tcPr>
                  <w:tcW w:w="401" w:type="dxa"/>
                  <w:tcBorders>
                    <w:tl2br w:val="nil"/>
                    <w:tr2bl w:val="nil"/>
                  </w:tcBorders>
                  <w:noWrap w:val="0"/>
                  <w:vAlign w:val="center"/>
                </w:tcPr>
                <w:p w14:paraId="31F42DD8">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cs="Times New Roman"/>
                      <w:color w:val="auto"/>
                      <w:sz w:val="18"/>
                      <w:szCs w:val="18"/>
                      <w:lang w:val="en-US" w:eastAsia="zh-CN" w:bidi="zh-CN"/>
                    </w:rPr>
                  </w:pPr>
                  <w:r>
                    <w:rPr>
                      <w:rFonts w:hint="eastAsia" w:cs="Times New Roman"/>
                      <w:color w:val="auto"/>
                      <w:sz w:val="18"/>
                      <w:szCs w:val="18"/>
                      <w:lang w:val="en-US" w:eastAsia="zh-CN" w:bidi="zh-CN"/>
                    </w:rPr>
                    <w:t>18</w:t>
                  </w:r>
                </w:p>
              </w:tc>
              <w:tc>
                <w:tcPr>
                  <w:tcW w:w="1261" w:type="dxa"/>
                  <w:tcBorders>
                    <w:tl2br w:val="nil"/>
                    <w:tr2bl w:val="nil"/>
                  </w:tcBorders>
                  <w:noWrap w:val="0"/>
                  <w:vAlign w:val="center"/>
                </w:tcPr>
                <w:p w14:paraId="7E45D025">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胶水</w:t>
                  </w:r>
                </w:p>
              </w:tc>
              <w:tc>
                <w:tcPr>
                  <w:tcW w:w="838" w:type="dxa"/>
                  <w:tcBorders>
                    <w:tl2br w:val="nil"/>
                    <w:tr2bl w:val="nil"/>
                  </w:tcBorders>
                  <w:shd w:val="clear" w:color="auto" w:fill="auto"/>
                  <w:noWrap w:val="0"/>
                  <w:vAlign w:val="center"/>
                </w:tcPr>
                <w:p w14:paraId="343563AE">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胶水</w:t>
                  </w:r>
                </w:p>
              </w:tc>
              <w:tc>
                <w:tcPr>
                  <w:tcW w:w="750" w:type="dxa"/>
                  <w:tcBorders>
                    <w:tl2br w:val="nil"/>
                    <w:tr2bl w:val="nil"/>
                  </w:tcBorders>
                  <w:noWrap w:val="0"/>
                  <w:vAlign w:val="center"/>
                </w:tcPr>
                <w:p w14:paraId="23E78CA7">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787" w:type="dxa"/>
                  <w:tcBorders>
                    <w:tl2br w:val="nil"/>
                    <w:tr2bl w:val="nil"/>
                  </w:tcBorders>
                  <w:noWrap w:val="0"/>
                  <w:vAlign w:val="center"/>
                </w:tcPr>
                <w:p w14:paraId="229843D4">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12</w:t>
                  </w:r>
                </w:p>
              </w:tc>
              <w:tc>
                <w:tcPr>
                  <w:tcW w:w="873" w:type="dxa"/>
                  <w:tcBorders>
                    <w:tl2br w:val="nil"/>
                    <w:tr2bl w:val="nil"/>
                  </w:tcBorders>
                  <w:shd w:val="clear" w:color="auto" w:fill="auto"/>
                  <w:noWrap w:val="0"/>
                  <w:vAlign w:val="center"/>
                </w:tcPr>
                <w:p w14:paraId="3C500B5D">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12</w:t>
                  </w:r>
                </w:p>
              </w:tc>
              <w:tc>
                <w:tcPr>
                  <w:tcW w:w="1077" w:type="dxa"/>
                  <w:tcBorders>
                    <w:tl2br w:val="nil"/>
                    <w:tr2bl w:val="nil"/>
                  </w:tcBorders>
                  <w:shd w:val="clear" w:color="auto" w:fill="auto"/>
                  <w:noWrap w:val="0"/>
                  <w:vAlign w:val="center"/>
                </w:tcPr>
                <w:p w14:paraId="482AD8B2">
                  <w:pPr>
                    <w:ind w:firstLine="0" w:firstLineChars="0"/>
                    <w:jc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73" w:type="dxa"/>
                  <w:tcBorders>
                    <w:tl2br w:val="nil"/>
                    <w:tr2bl w:val="nil"/>
                  </w:tcBorders>
                  <w:noWrap w:val="0"/>
                  <w:vAlign w:val="center"/>
                </w:tcPr>
                <w:p w14:paraId="3DFDE643">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12</w:t>
                  </w:r>
                </w:p>
              </w:tc>
              <w:tc>
                <w:tcPr>
                  <w:tcW w:w="1247" w:type="dxa"/>
                  <w:tcBorders>
                    <w:tl2br w:val="nil"/>
                    <w:tr2bl w:val="nil"/>
                  </w:tcBorders>
                  <w:noWrap w:val="0"/>
                  <w:vAlign w:val="center"/>
                </w:tcPr>
                <w:p w14:paraId="7B7A0683">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199E66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08" w:hRule="atLeast"/>
                <w:jc w:val="center"/>
              </w:trPr>
              <w:tc>
                <w:tcPr>
                  <w:tcW w:w="401" w:type="dxa"/>
                  <w:tcBorders>
                    <w:tl2br w:val="nil"/>
                    <w:tr2bl w:val="nil"/>
                  </w:tcBorders>
                  <w:noWrap w:val="0"/>
                  <w:vAlign w:val="center"/>
                </w:tcPr>
                <w:p w14:paraId="17428B42">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cs="Times New Roman"/>
                      <w:color w:val="auto"/>
                      <w:sz w:val="18"/>
                      <w:szCs w:val="18"/>
                      <w:lang w:val="en-US" w:eastAsia="zh-CN" w:bidi="zh-CN"/>
                    </w:rPr>
                  </w:pPr>
                  <w:r>
                    <w:rPr>
                      <w:rFonts w:hint="eastAsia" w:cs="Times New Roman"/>
                      <w:color w:val="auto"/>
                      <w:sz w:val="18"/>
                      <w:szCs w:val="18"/>
                      <w:lang w:val="en-US" w:eastAsia="zh-CN" w:bidi="zh-CN"/>
                    </w:rPr>
                    <w:t>19</w:t>
                  </w:r>
                </w:p>
              </w:tc>
              <w:tc>
                <w:tcPr>
                  <w:tcW w:w="1261" w:type="dxa"/>
                  <w:tcBorders>
                    <w:tl2br w:val="nil"/>
                    <w:tr2bl w:val="nil"/>
                  </w:tcBorders>
                  <w:noWrap w:val="0"/>
                  <w:vAlign w:val="center"/>
                </w:tcPr>
                <w:p w14:paraId="2CCD5024">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卡扣/螺栓</w:t>
                  </w:r>
                </w:p>
              </w:tc>
              <w:tc>
                <w:tcPr>
                  <w:tcW w:w="838" w:type="dxa"/>
                  <w:tcBorders>
                    <w:tl2br w:val="nil"/>
                    <w:tr2bl w:val="nil"/>
                  </w:tcBorders>
                  <w:shd w:val="clear" w:color="auto" w:fill="auto"/>
                  <w:noWrap w:val="0"/>
                  <w:vAlign w:val="center"/>
                </w:tcPr>
                <w:p w14:paraId="1A3B7E84">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c>
                <w:tcPr>
                  <w:tcW w:w="750" w:type="dxa"/>
                  <w:tcBorders>
                    <w:tl2br w:val="nil"/>
                    <w:tr2bl w:val="nil"/>
                  </w:tcBorders>
                  <w:noWrap w:val="0"/>
                  <w:vAlign w:val="center"/>
                </w:tcPr>
                <w:p w14:paraId="56680EB3">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787" w:type="dxa"/>
                  <w:tcBorders>
                    <w:tl2br w:val="nil"/>
                    <w:tr2bl w:val="nil"/>
                  </w:tcBorders>
                  <w:noWrap w:val="0"/>
                  <w:vAlign w:val="center"/>
                </w:tcPr>
                <w:p w14:paraId="311284DB">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0.5</w:t>
                  </w:r>
                </w:p>
              </w:tc>
              <w:tc>
                <w:tcPr>
                  <w:tcW w:w="873" w:type="dxa"/>
                  <w:tcBorders>
                    <w:tl2br w:val="nil"/>
                    <w:tr2bl w:val="nil"/>
                  </w:tcBorders>
                  <w:shd w:val="clear" w:color="auto" w:fill="auto"/>
                  <w:noWrap w:val="0"/>
                  <w:vAlign w:val="center"/>
                </w:tcPr>
                <w:p w14:paraId="24BE8CB3">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0.5</w:t>
                  </w:r>
                </w:p>
              </w:tc>
              <w:tc>
                <w:tcPr>
                  <w:tcW w:w="1077" w:type="dxa"/>
                  <w:tcBorders>
                    <w:tl2br w:val="nil"/>
                    <w:tr2bl w:val="nil"/>
                  </w:tcBorders>
                  <w:shd w:val="clear" w:color="auto" w:fill="auto"/>
                  <w:noWrap w:val="0"/>
                  <w:vAlign w:val="center"/>
                </w:tcPr>
                <w:p w14:paraId="1CE69D1C">
                  <w:pPr>
                    <w:ind w:firstLine="0" w:firstLineChars="0"/>
                    <w:jc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73" w:type="dxa"/>
                  <w:tcBorders>
                    <w:tl2br w:val="nil"/>
                    <w:tr2bl w:val="nil"/>
                  </w:tcBorders>
                  <w:noWrap w:val="0"/>
                  <w:vAlign w:val="center"/>
                </w:tcPr>
                <w:p w14:paraId="3B6C962E">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0.5</w:t>
                  </w:r>
                </w:p>
              </w:tc>
              <w:tc>
                <w:tcPr>
                  <w:tcW w:w="1247" w:type="dxa"/>
                  <w:tcBorders>
                    <w:tl2br w:val="nil"/>
                    <w:tr2bl w:val="nil"/>
                  </w:tcBorders>
                  <w:noWrap w:val="0"/>
                  <w:vAlign w:val="center"/>
                </w:tcPr>
                <w:p w14:paraId="49CAE1B4">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168D3E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08" w:hRule="atLeast"/>
                <w:jc w:val="center"/>
              </w:trPr>
              <w:tc>
                <w:tcPr>
                  <w:tcW w:w="401" w:type="dxa"/>
                  <w:tcBorders>
                    <w:tl2br w:val="nil"/>
                    <w:tr2bl w:val="nil"/>
                  </w:tcBorders>
                  <w:noWrap w:val="0"/>
                  <w:vAlign w:val="center"/>
                </w:tcPr>
                <w:p w14:paraId="7D4BFC50">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cs="Times New Roman"/>
                      <w:color w:val="auto"/>
                      <w:sz w:val="18"/>
                      <w:szCs w:val="18"/>
                      <w:lang w:val="en-US" w:eastAsia="zh-CN" w:bidi="zh-CN"/>
                    </w:rPr>
                  </w:pPr>
                  <w:r>
                    <w:rPr>
                      <w:rFonts w:hint="eastAsia" w:cs="Times New Roman"/>
                      <w:color w:val="auto"/>
                      <w:sz w:val="18"/>
                      <w:szCs w:val="18"/>
                      <w:lang w:val="en-US" w:eastAsia="zh-CN" w:bidi="zh-CN"/>
                    </w:rPr>
                    <w:t>20</w:t>
                  </w:r>
                </w:p>
              </w:tc>
              <w:tc>
                <w:tcPr>
                  <w:tcW w:w="1261" w:type="dxa"/>
                  <w:tcBorders>
                    <w:tl2br w:val="nil"/>
                    <w:tr2bl w:val="nil"/>
                  </w:tcBorders>
                  <w:noWrap w:val="0"/>
                  <w:vAlign w:val="center"/>
                </w:tcPr>
                <w:p w14:paraId="18B95231">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开关手柄</w:t>
                  </w:r>
                </w:p>
              </w:tc>
              <w:tc>
                <w:tcPr>
                  <w:tcW w:w="838" w:type="dxa"/>
                  <w:tcBorders>
                    <w:tl2br w:val="nil"/>
                    <w:tr2bl w:val="nil"/>
                  </w:tcBorders>
                  <w:shd w:val="clear" w:color="auto" w:fill="auto"/>
                  <w:noWrap w:val="0"/>
                  <w:vAlign w:val="center"/>
                </w:tcPr>
                <w:p w14:paraId="1365735F">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c>
                <w:tcPr>
                  <w:tcW w:w="750" w:type="dxa"/>
                  <w:tcBorders>
                    <w:tl2br w:val="nil"/>
                    <w:tr2bl w:val="nil"/>
                  </w:tcBorders>
                  <w:noWrap w:val="0"/>
                  <w:vAlign w:val="center"/>
                </w:tcPr>
                <w:p w14:paraId="21D9066D">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787" w:type="dxa"/>
                  <w:tcBorders>
                    <w:tl2br w:val="nil"/>
                    <w:tr2bl w:val="nil"/>
                  </w:tcBorders>
                  <w:noWrap w:val="0"/>
                  <w:vAlign w:val="center"/>
                </w:tcPr>
                <w:p w14:paraId="550FDAEE">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0.5</w:t>
                  </w:r>
                </w:p>
              </w:tc>
              <w:tc>
                <w:tcPr>
                  <w:tcW w:w="873" w:type="dxa"/>
                  <w:tcBorders>
                    <w:tl2br w:val="nil"/>
                    <w:tr2bl w:val="nil"/>
                  </w:tcBorders>
                  <w:shd w:val="clear" w:color="auto" w:fill="auto"/>
                  <w:noWrap w:val="0"/>
                  <w:vAlign w:val="center"/>
                </w:tcPr>
                <w:p w14:paraId="5B404D50">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0.5</w:t>
                  </w:r>
                </w:p>
              </w:tc>
              <w:tc>
                <w:tcPr>
                  <w:tcW w:w="1077" w:type="dxa"/>
                  <w:tcBorders>
                    <w:tl2br w:val="nil"/>
                    <w:tr2bl w:val="nil"/>
                  </w:tcBorders>
                  <w:shd w:val="clear" w:color="auto" w:fill="auto"/>
                  <w:noWrap w:val="0"/>
                  <w:vAlign w:val="center"/>
                </w:tcPr>
                <w:p w14:paraId="74FE8141">
                  <w:pPr>
                    <w:ind w:firstLine="0" w:firstLineChars="0"/>
                    <w:jc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73" w:type="dxa"/>
                  <w:tcBorders>
                    <w:tl2br w:val="nil"/>
                    <w:tr2bl w:val="nil"/>
                  </w:tcBorders>
                  <w:noWrap w:val="0"/>
                  <w:vAlign w:val="center"/>
                </w:tcPr>
                <w:p w14:paraId="425973D8">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0.5</w:t>
                  </w:r>
                </w:p>
              </w:tc>
              <w:tc>
                <w:tcPr>
                  <w:tcW w:w="1247" w:type="dxa"/>
                  <w:tcBorders>
                    <w:tl2br w:val="nil"/>
                    <w:tr2bl w:val="nil"/>
                  </w:tcBorders>
                  <w:noWrap w:val="0"/>
                  <w:vAlign w:val="center"/>
                </w:tcPr>
                <w:p w14:paraId="63EAC56B">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1BC6F1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08" w:hRule="atLeast"/>
                <w:jc w:val="center"/>
              </w:trPr>
              <w:tc>
                <w:tcPr>
                  <w:tcW w:w="401" w:type="dxa"/>
                  <w:tcBorders>
                    <w:tl2br w:val="nil"/>
                    <w:tr2bl w:val="nil"/>
                  </w:tcBorders>
                  <w:noWrap w:val="0"/>
                  <w:vAlign w:val="center"/>
                </w:tcPr>
                <w:p w14:paraId="38BC09FD">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cs="Times New Roman"/>
                      <w:color w:val="auto"/>
                      <w:sz w:val="18"/>
                      <w:szCs w:val="18"/>
                      <w:lang w:val="en-US" w:eastAsia="zh-CN" w:bidi="zh-CN"/>
                    </w:rPr>
                  </w:pPr>
                  <w:r>
                    <w:rPr>
                      <w:rFonts w:hint="eastAsia" w:cs="Times New Roman"/>
                      <w:color w:val="auto"/>
                      <w:sz w:val="18"/>
                      <w:szCs w:val="18"/>
                      <w:lang w:val="en-US" w:eastAsia="zh-CN" w:bidi="zh-CN"/>
                    </w:rPr>
                    <w:t>21</w:t>
                  </w:r>
                </w:p>
              </w:tc>
              <w:tc>
                <w:tcPr>
                  <w:tcW w:w="1261" w:type="dxa"/>
                  <w:tcBorders>
                    <w:tl2br w:val="nil"/>
                    <w:tr2bl w:val="nil"/>
                  </w:tcBorders>
                  <w:noWrap w:val="0"/>
                  <w:vAlign w:val="center"/>
                </w:tcPr>
                <w:p w14:paraId="0E3A8278">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铝丝</w:t>
                  </w:r>
                </w:p>
              </w:tc>
              <w:tc>
                <w:tcPr>
                  <w:tcW w:w="838" w:type="dxa"/>
                  <w:tcBorders>
                    <w:tl2br w:val="nil"/>
                    <w:tr2bl w:val="nil"/>
                  </w:tcBorders>
                  <w:shd w:val="clear" w:color="auto" w:fill="auto"/>
                  <w:noWrap w:val="0"/>
                  <w:vAlign w:val="center"/>
                </w:tcPr>
                <w:p w14:paraId="4C699862">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铝</w:t>
                  </w:r>
                </w:p>
              </w:tc>
              <w:tc>
                <w:tcPr>
                  <w:tcW w:w="750" w:type="dxa"/>
                  <w:tcBorders>
                    <w:tl2br w:val="nil"/>
                    <w:tr2bl w:val="nil"/>
                  </w:tcBorders>
                  <w:noWrap w:val="0"/>
                  <w:vAlign w:val="center"/>
                </w:tcPr>
                <w:p w14:paraId="562E132E">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787" w:type="dxa"/>
                  <w:tcBorders>
                    <w:tl2br w:val="nil"/>
                    <w:tr2bl w:val="nil"/>
                  </w:tcBorders>
                  <w:noWrap w:val="0"/>
                  <w:vAlign w:val="center"/>
                </w:tcPr>
                <w:p w14:paraId="0A231913">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w:t>
                  </w:r>
                </w:p>
              </w:tc>
              <w:tc>
                <w:tcPr>
                  <w:tcW w:w="873" w:type="dxa"/>
                  <w:tcBorders>
                    <w:tl2br w:val="nil"/>
                    <w:tr2bl w:val="nil"/>
                  </w:tcBorders>
                  <w:shd w:val="clear" w:color="auto" w:fill="auto"/>
                  <w:noWrap w:val="0"/>
                  <w:vAlign w:val="center"/>
                </w:tcPr>
                <w:p w14:paraId="36FE6C59">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w:t>
                  </w:r>
                </w:p>
              </w:tc>
              <w:tc>
                <w:tcPr>
                  <w:tcW w:w="1077" w:type="dxa"/>
                  <w:tcBorders>
                    <w:tl2br w:val="nil"/>
                    <w:tr2bl w:val="nil"/>
                  </w:tcBorders>
                  <w:shd w:val="clear" w:color="auto" w:fill="auto"/>
                  <w:noWrap w:val="0"/>
                  <w:vAlign w:val="center"/>
                </w:tcPr>
                <w:p w14:paraId="2B4DB074">
                  <w:pPr>
                    <w:ind w:firstLine="0" w:firstLineChars="0"/>
                    <w:jc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73" w:type="dxa"/>
                  <w:tcBorders>
                    <w:tl2br w:val="nil"/>
                    <w:tr2bl w:val="nil"/>
                  </w:tcBorders>
                  <w:noWrap w:val="0"/>
                  <w:vAlign w:val="center"/>
                </w:tcPr>
                <w:p w14:paraId="3DC1AA3E">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w:t>
                  </w:r>
                </w:p>
              </w:tc>
              <w:tc>
                <w:tcPr>
                  <w:tcW w:w="1247" w:type="dxa"/>
                  <w:tcBorders>
                    <w:tl2br w:val="nil"/>
                    <w:tr2bl w:val="nil"/>
                  </w:tcBorders>
                  <w:noWrap w:val="0"/>
                  <w:vAlign w:val="center"/>
                </w:tcPr>
                <w:p w14:paraId="571D8023">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4B854E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08" w:hRule="atLeast"/>
                <w:jc w:val="center"/>
              </w:trPr>
              <w:tc>
                <w:tcPr>
                  <w:tcW w:w="401" w:type="dxa"/>
                  <w:tcBorders>
                    <w:tl2br w:val="nil"/>
                    <w:tr2bl w:val="nil"/>
                  </w:tcBorders>
                  <w:noWrap w:val="0"/>
                  <w:vAlign w:val="center"/>
                </w:tcPr>
                <w:p w14:paraId="4D319249">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cs="Times New Roman"/>
                      <w:color w:val="auto"/>
                      <w:sz w:val="18"/>
                      <w:szCs w:val="18"/>
                      <w:lang w:val="en-US" w:eastAsia="zh-CN" w:bidi="zh-CN"/>
                    </w:rPr>
                  </w:pPr>
                  <w:r>
                    <w:rPr>
                      <w:rFonts w:hint="eastAsia" w:cs="Times New Roman"/>
                      <w:color w:val="auto"/>
                      <w:sz w:val="18"/>
                      <w:szCs w:val="18"/>
                      <w:lang w:val="en-US" w:eastAsia="zh-CN" w:bidi="zh-CN"/>
                    </w:rPr>
                    <w:t>22</w:t>
                  </w:r>
                </w:p>
              </w:tc>
              <w:tc>
                <w:tcPr>
                  <w:tcW w:w="1261" w:type="dxa"/>
                  <w:tcBorders>
                    <w:tl2br w:val="nil"/>
                    <w:tr2bl w:val="nil"/>
                  </w:tcBorders>
                  <w:noWrap w:val="0"/>
                  <w:vAlign w:val="center"/>
                </w:tcPr>
                <w:p w14:paraId="5F7BA8D7">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钨丝</w:t>
                  </w:r>
                </w:p>
              </w:tc>
              <w:tc>
                <w:tcPr>
                  <w:tcW w:w="838" w:type="dxa"/>
                  <w:tcBorders>
                    <w:tl2br w:val="nil"/>
                    <w:tr2bl w:val="nil"/>
                  </w:tcBorders>
                  <w:shd w:val="clear" w:color="auto" w:fill="auto"/>
                  <w:noWrap w:val="0"/>
                  <w:vAlign w:val="center"/>
                </w:tcPr>
                <w:p w14:paraId="2A44224C">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钨</w:t>
                  </w:r>
                </w:p>
              </w:tc>
              <w:tc>
                <w:tcPr>
                  <w:tcW w:w="750" w:type="dxa"/>
                  <w:tcBorders>
                    <w:tl2br w:val="nil"/>
                    <w:tr2bl w:val="nil"/>
                  </w:tcBorders>
                  <w:noWrap w:val="0"/>
                  <w:vAlign w:val="center"/>
                </w:tcPr>
                <w:p w14:paraId="072DD41B">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787" w:type="dxa"/>
                  <w:tcBorders>
                    <w:tl2br w:val="nil"/>
                    <w:tr2bl w:val="nil"/>
                  </w:tcBorders>
                  <w:noWrap w:val="0"/>
                  <w:vAlign w:val="center"/>
                </w:tcPr>
                <w:p w14:paraId="468635BD">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1.5</w:t>
                  </w:r>
                </w:p>
              </w:tc>
              <w:tc>
                <w:tcPr>
                  <w:tcW w:w="873" w:type="dxa"/>
                  <w:tcBorders>
                    <w:tl2br w:val="nil"/>
                    <w:tr2bl w:val="nil"/>
                  </w:tcBorders>
                  <w:shd w:val="clear" w:color="auto" w:fill="auto"/>
                  <w:noWrap w:val="0"/>
                  <w:vAlign w:val="center"/>
                </w:tcPr>
                <w:p w14:paraId="4FC95F5D">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1.5</w:t>
                  </w:r>
                </w:p>
              </w:tc>
              <w:tc>
                <w:tcPr>
                  <w:tcW w:w="1077" w:type="dxa"/>
                  <w:tcBorders>
                    <w:tl2br w:val="nil"/>
                    <w:tr2bl w:val="nil"/>
                  </w:tcBorders>
                  <w:shd w:val="clear" w:color="auto" w:fill="auto"/>
                  <w:noWrap w:val="0"/>
                  <w:vAlign w:val="center"/>
                </w:tcPr>
                <w:p w14:paraId="6736C21E">
                  <w:pPr>
                    <w:ind w:firstLine="0" w:firstLineChars="0"/>
                    <w:jc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73" w:type="dxa"/>
                  <w:tcBorders>
                    <w:tl2br w:val="nil"/>
                    <w:tr2bl w:val="nil"/>
                  </w:tcBorders>
                  <w:noWrap w:val="0"/>
                  <w:vAlign w:val="center"/>
                </w:tcPr>
                <w:p w14:paraId="7A4FA6E8">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1.5</w:t>
                  </w:r>
                </w:p>
              </w:tc>
              <w:tc>
                <w:tcPr>
                  <w:tcW w:w="1247" w:type="dxa"/>
                  <w:tcBorders>
                    <w:tl2br w:val="nil"/>
                    <w:tr2bl w:val="nil"/>
                  </w:tcBorders>
                  <w:noWrap w:val="0"/>
                  <w:vAlign w:val="center"/>
                </w:tcPr>
                <w:p w14:paraId="50C035C2">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4A6D7D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08" w:hRule="atLeast"/>
                <w:jc w:val="center"/>
              </w:trPr>
              <w:tc>
                <w:tcPr>
                  <w:tcW w:w="401" w:type="dxa"/>
                  <w:tcBorders>
                    <w:tl2br w:val="nil"/>
                    <w:tr2bl w:val="nil"/>
                  </w:tcBorders>
                  <w:noWrap w:val="0"/>
                  <w:vAlign w:val="center"/>
                </w:tcPr>
                <w:p w14:paraId="16EA3EB7">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cs="Times New Roman"/>
                      <w:color w:val="auto"/>
                      <w:sz w:val="18"/>
                      <w:szCs w:val="18"/>
                      <w:lang w:val="en-US" w:eastAsia="zh-CN" w:bidi="zh-CN"/>
                    </w:rPr>
                  </w:pPr>
                  <w:r>
                    <w:rPr>
                      <w:rFonts w:hint="eastAsia" w:cs="Times New Roman"/>
                      <w:color w:val="auto"/>
                      <w:sz w:val="18"/>
                      <w:szCs w:val="18"/>
                      <w:lang w:val="en-US" w:eastAsia="zh-CN" w:bidi="zh-CN"/>
                    </w:rPr>
                    <w:t>23</w:t>
                  </w:r>
                </w:p>
              </w:tc>
              <w:tc>
                <w:tcPr>
                  <w:tcW w:w="1261" w:type="dxa"/>
                  <w:tcBorders>
                    <w:tl2br w:val="nil"/>
                    <w:tr2bl w:val="nil"/>
                  </w:tcBorders>
                  <w:noWrap w:val="0"/>
                  <w:vAlign w:val="center"/>
                </w:tcPr>
                <w:p w14:paraId="44F3E306">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铝箔</w:t>
                  </w:r>
                </w:p>
              </w:tc>
              <w:tc>
                <w:tcPr>
                  <w:tcW w:w="838" w:type="dxa"/>
                  <w:tcBorders>
                    <w:tl2br w:val="nil"/>
                    <w:tr2bl w:val="nil"/>
                  </w:tcBorders>
                  <w:shd w:val="clear" w:color="auto" w:fill="auto"/>
                  <w:noWrap w:val="0"/>
                  <w:vAlign w:val="center"/>
                </w:tcPr>
                <w:p w14:paraId="514C3DE9">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铝箔</w:t>
                  </w:r>
                </w:p>
              </w:tc>
              <w:tc>
                <w:tcPr>
                  <w:tcW w:w="750" w:type="dxa"/>
                  <w:tcBorders>
                    <w:tl2br w:val="nil"/>
                    <w:tr2bl w:val="nil"/>
                  </w:tcBorders>
                  <w:noWrap w:val="0"/>
                  <w:vAlign w:val="center"/>
                </w:tcPr>
                <w:p w14:paraId="66FD50B8">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787" w:type="dxa"/>
                  <w:tcBorders>
                    <w:tl2br w:val="nil"/>
                    <w:tr2bl w:val="nil"/>
                  </w:tcBorders>
                  <w:noWrap w:val="0"/>
                  <w:vAlign w:val="center"/>
                </w:tcPr>
                <w:p w14:paraId="66372F1D">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1.4</w:t>
                  </w:r>
                </w:p>
              </w:tc>
              <w:tc>
                <w:tcPr>
                  <w:tcW w:w="873" w:type="dxa"/>
                  <w:tcBorders>
                    <w:tl2br w:val="nil"/>
                    <w:tr2bl w:val="nil"/>
                  </w:tcBorders>
                  <w:shd w:val="clear" w:color="auto" w:fill="auto"/>
                  <w:noWrap w:val="0"/>
                  <w:vAlign w:val="center"/>
                </w:tcPr>
                <w:p w14:paraId="288622A1">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1.4</w:t>
                  </w:r>
                </w:p>
              </w:tc>
              <w:tc>
                <w:tcPr>
                  <w:tcW w:w="1077" w:type="dxa"/>
                  <w:tcBorders>
                    <w:tl2br w:val="nil"/>
                    <w:tr2bl w:val="nil"/>
                  </w:tcBorders>
                  <w:shd w:val="clear" w:color="auto" w:fill="auto"/>
                  <w:noWrap w:val="0"/>
                  <w:vAlign w:val="center"/>
                </w:tcPr>
                <w:p w14:paraId="182B4CB0">
                  <w:pPr>
                    <w:ind w:firstLine="0" w:firstLineChars="0"/>
                    <w:jc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73" w:type="dxa"/>
                  <w:tcBorders>
                    <w:tl2br w:val="nil"/>
                    <w:tr2bl w:val="nil"/>
                  </w:tcBorders>
                  <w:noWrap w:val="0"/>
                  <w:vAlign w:val="center"/>
                </w:tcPr>
                <w:p w14:paraId="3C21D6EE">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1.4</w:t>
                  </w:r>
                </w:p>
              </w:tc>
              <w:tc>
                <w:tcPr>
                  <w:tcW w:w="1247" w:type="dxa"/>
                  <w:tcBorders>
                    <w:tl2br w:val="nil"/>
                    <w:tr2bl w:val="nil"/>
                  </w:tcBorders>
                  <w:noWrap w:val="0"/>
                  <w:vAlign w:val="center"/>
                </w:tcPr>
                <w:p w14:paraId="7F467B22">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6E52F4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08" w:hRule="atLeast"/>
                <w:jc w:val="center"/>
              </w:trPr>
              <w:tc>
                <w:tcPr>
                  <w:tcW w:w="401" w:type="dxa"/>
                  <w:tcBorders>
                    <w:tl2br w:val="nil"/>
                    <w:tr2bl w:val="nil"/>
                  </w:tcBorders>
                  <w:noWrap w:val="0"/>
                  <w:vAlign w:val="center"/>
                </w:tcPr>
                <w:p w14:paraId="5A0D34DB">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cs="Times New Roman"/>
                      <w:color w:val="auto"/>
                      <w:sz w:val="18"/>
                      <w:szCs w:val="18"/>
                      <w:lang w:val="en-US" w:eastAsia="zh-CN" w:bidi="zh-CN"/>
                    </w:rPr>
                  </w:pPr>
                  <w:r>
                    <w:rPr>
                      <w:rFonts w:hint="eastAsia" w:cs="Times New Roman"/>
                      <w:color w:val="auto"/>
                      <w:sz w:val="18"/>
                      <w:szCs w:val="18"/>
                      <w:lang w:val="en-US" w:eastAsia="zh-CN" w:bidi="zh-CN"/>
                    </w:rPr>
                    <w:t>24</w:t>
                  </w:r>
                </w:p>
              </w:tc>
              <w:tc>
                <w:tcPr>
                  <w:tcW w:w="1261" w:type="dxa"/>
                  <w:tcBorders>
                    <w:tl2br w:val="nil"/>
                    <w:tr2bl w:val="nil"/>
                  </w:tcBorders>
                  <w:noWrap w:val="0"/>
                  <w:vAlign w:val="center"/>
                </w:tcPr>
                <w:p w14:paraId="3A55697C">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六甲基二硅氧烷</w:t>
                  </w:r>
                </w:p>
                <w:p w14:paraId="353FDA09">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（硅醚）</w:t>
                  </w:r>
                </w:p>
              </w:tc>
              <w:tc>
                <w:tcPr>
                  <w:tcW w:w="838" w:type="dxa"/>
                  <w:tcBorders>
                    <w:tl2br w:val="nil"/>
                    <w:tr2bl w:val="nil"/>
                  </w:tcBorders>
                  <w:shd w:val="clear" w:color="auto" w:fill="auto"/>
                  <w:noWrap w:val="0"/>
                  <w:vAlign w:val="center"/>
                </w:tcPr>
                <w:p w14:paraId="510708D9">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六甲基二硅氧烷</w:t>
                  </w:r>
                </w:p>
              </w:tc>
              <w:tc>
                <w:tcPr>
                  <w:tcW w:w="750" w:type="dxa"/>
                  <w:tcBorders>
                    <w:tl2br w:val="nil"/>
                    <w:tr2bl w:val="nil"/>
                  </w:tcBorders>
                  <w:noWrap w:val="0"/>
                  <w:vAlign w:val="center"/>
                </w:tcPr>
                <w:p w14:paraId="0DDB81C5">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787" w:type="dxa"/>
                  <w:tcBorders>
                    <w:tl2br w:val="nil"/>
                    <w:tr2bl w:val="nil"/>
                  </w:tcBorders>
                  <w:noWrap w:val="0"/>
                  <w:vAlign w:val="center"/>
                </w:tcPr>
                <w:p w14:paraId="5F2B24AC">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0.6</w:t>
                  </w:r>
                </w:p>
              </w:tc>
              <w:tc>
                <w:tcPr>
                  <w:tcW w:w="873" w:type="dxa"/>
                  <w:tcBorders>
                    <w:tl2br w:val="nil"/>
                    <w:tr2bl w:val="nil"/>
                  </w:tcBorders>
                  <w:shd w:val="clear" w:color="auto" w:fill="auto"/>
                  <w:noWrap w:val="0"/>
                  <w:vAlign w:val="center"/>
                </w:tcPr>
                <w:p w14:paraId="7745A206">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0.6</w:t>
                  </w:r>
                </w:p>
              </w:tc>
              <w:tc>
                <w:tcPr>
                  <w:tcW w:w="1077" w:type="dxa"/>
                  <w:tcBorders>
                    <w:tl2br w:val="nil"/>
                    <w:tr2bl w:val="nil"/>
                  </w:tcBorders>
                  <w:shd w:val="clear" w:color="auto" w:fill="auto"/>
                  <w:noWrap w:val="0"/>
                  <w:vAlign w:val="center"/>
                </w:tcPr>
                <w:p w14:paraId="312BAA57">
                  <w:pPr>
                    <w:ind w:firstLine="0" w:firstLineChars="0"/>
                    <w:jc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73" w:type="dxa"/>
                  <w:tcBorders>
                    <w:tl2br w:val="nil"/>
                    <w:tr2bl w:val="nil"/>
                  </w:tcBorders>
                  <w:noWrap w:val="0"/>
                  <w:vAlign w:val="center"/>
                </w:tcPr>
                <w:p w14:paraId="1D520F78">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0.6</w:t>
                  </w:r>
                </w:p>
              </w:tc>
              <w:tc>
                <w:tcPr>
                  <w:tcW w:w="1247" w:type="dxa"/>
                  <w:tcBorders>
                    <w:tl2br w:val="nil"/>
                    <w:tr2bl w:val="nil"/>
                  </w:tcBorders>
                  <w:noWrap w:val="0"/>
                  <w:vAlign w:val="center"/>
                </w:tcPr>
                <w:p w14:paraId="1965035F">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08B6B9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08" w:hRule="atLeast"/>
                <w:jc w:val="center"/>
              </w:trPr>
              <w:tc>
                <w:tcPr>
                  <w:tcW w:w="401" w:type="dxa"/>
                  <w:tcBorders>
                    <w:tl2br w:val="nil"/>
                    <w:tr2bl w:val="nil"/>
                  </w:tcBorders>
                  <w:noWrap w:val="0"/>
                  <w:vAlign w:val="center"/>
                </w:tcPr>
                <w:p w14:paraId="44C2168A">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cs="Times New Roman"/>
                      <w:color w:val="auto"/>
                      <w:sz w:val="18"/>
                      <w:szCs w:val="18"/>
                      <w:lang w:val="en-US" w:eastAsia="zh-CN" w:bidi="zh-CN"/>
                    </w:rPr>
                  </w:pPr>
                  <w:r>
                    <w:rPr>
                      <w:rFonts w:hint="eastAsia" w:cs="Times New Roman"/>
                      <w:color w:val="auto"/>
                      <w:sz w:val="18"/>
                      <w:szCs w:val="18"/>
                      <w:lang w:val="en-US" w:eastAsia="zh-CN" w:bidi="zh-CN"/>
                    </w:rPr>
                    <w:t>25</w:t>
                  </w:r>
                </w:p>
              </w:tc>
              <w:tc>
                <w:tcPr>
                  <w:tcW w:w="1261" w:type="dxa"/>
                  <w:tcBorders>
                    <w:tl2br w:val="nil"/>
                    <w:tr2bl w:val="nil"/>
                  </w:tcBorders>
                  <w:noWrap w:val="0"/>
                  <w:vAlign w:val="center"/>
                </w:tcPr>
                <w:p w14:paraId="526C6CCB">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UV光固化油墨</w:t>
                  </w:r>
                </w:p>
              </w:tc>
              <w:tc>
                <w:tcPr>
                  <w:tcW w:w="838" w:type="dxa"/>
                  <w:tcBorders>
                    <w:tl2br w:val="nil"/>
                    <w:tr2bl w:val="nil"/>
                  </w:tcBorders>
                  <w:shd w:val="clear" w:color="auto" w:fill="auto"/>
                  <w:noWrap w:val="0"/>
                  <w:vAlign w:val="center"/>
                </w:tcPr>
                <w:p w14:paraId="06A8D0CC">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UV光固化油墨</w:t>
                  </w:r>
                </w:p>
              </w:tc>
              <w:tc>
                <w:tcPr>
                  <w:tcW w:w="750" w:type="dxa"/>
                  <w:tcBorders>
                    <w:tl2br w:val="nil"/>
                    <w:tr2bl w:val="nil"/>
                  </w:tcBorders>
                  <w:noWrap w:val="0"/>
                  <w:vAlign w:val="center"/>
                </w:tcPr>
                <w:p w14:paraId="2FCE3685">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787" w:type="dxa"/>
                  <w:tcBorders>
                    <w:tl2br w:val="nil"/>
                    <w:tr2bl w:val="nil"/>
                  </w:tcBorders>
                  <w:noWrap w:val="0"/>
                  <w:vAlign w:val="center"/>
                </w:tcPr>
                <w:p w14:paraId="20313780">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0.5</w:t>
                  </w:r>
                </w:p>
              </w:tc>
              <w:tc>
                <w:tcPr>
                  <w:tcW w:w="873" w:type="dxa"/>
                  <w:tcBorders>
                    <w:tl2br w:val="nil"/>
                    <w:tr2bl w:val="nil"/>
                  </w:tcBorders>
                  <w:shd w:val="clear" w:color="auto" w:fill="auto"/>
                  <w:noWrap w:val="0"/>
                  <w:vAlign w:val="center"/>
                </w:tcPr>
                <w:p w14:paraId="61745E4C">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0.5</w:t>
                  </w:r>
                </w:p>
              </w:tc>
              <w:tc>
                <w:tcPr>
                  <w:tcW w:w="1077" w:type="dxa"/>
                  <w:tcBorders>
                    <w:tl2br w:val="nil"/>
                    <w:tr2bl w:val="nil"/>
                  </w:tcBorders>
                  <w:shd w:val="clear" w:color="auto" w:fill="auto"/>
                  <w:noWrap w:val="0"/>
                  <w:vAlign w:val="center"/>
                </w:tcPr>
                <w:p w14:paraId="71C6C8D3">
                  <w:pPr>
                    <w:ind w:firstLine="0" w:firstLineChars="0"/>
                    <w:jc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73" w:type="dxa"/>
                  <w:tcBorders>
                    <w:tl2br w:val="nil"/>
                    <w:tr2bl w:val="nil"/>
                  </w:tcBorders>
                  <w:noWrap w:val="0"/>
                  <w:vAlign w:val="center"/>
                </w:tcPr>
                <w:p w14:paraId="02D45D8C">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0.5</w:t>
                  </w:r>
                </w:p>
              </w:tc>
              <w:tc>
                <w:tcPr>
                  <w:tcW w:w="1247" w:type="dxa"/>
                  <w:tcBorders>
                    <w:tl2br w:val="nil"/>
                    <w:tr2bl w:val="nil"/>
                  </w:tcBorders>
                  <w:noWrap w:val="0"/>
                  <w:vAlign w:val="center"/>
                </w:tcPr>
                <w:p w14:paraId="2D308214">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1F98B7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08" w:hRule="atLeast"/>
                <w:jc w:val="center"/>
              </w:trPr>
              <w:tc>
                <w:tcPr>
                  <w:tcW w:w="401" w:type="dxa"/>
                  <w:tcBorders>
                    <w:tl2br w:val="nil"/>
                    <w:tr2bl w:val="nil"/>
                  </w:tcBorders>
                  <w:noWrap w:val="0"/>
                  <w:vAlign w:val="center"/>
                </w:tcPr>
                <w:p w14:paraId="60C56A6F">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cs="Times New Roman"/>
                      <w:color w:val="auto"/>
                      <w:sz w:val="18"/>
                      <w:szCs w:val="18"/>
                      <w:lang w:val="en-US" w:eastAsia="zh-CN" w:bidi="zh-CN"/>
                    </w:rPr>
                  </w:pPr>
                  <w:r>
                    <w:rPr>
                      <w:rFonts w:hint="eastAsia" w:cs="Times New Roman"/>
                      <w:color w:val="auto"/>
                      <w:sz w:val="18"/>
                      <w:szCs w:val="18"/>
                      <w:lang w:val="en-US" w:eastAsia="zh-CN" w:bidi="zh-CN"/>
                    </w:rPr>
                    <w:t>26</w:t>
                  </w:r>
                </w:p>
              </w:tc>
              <w:tc>
                <w:tcPr>
                  <w:tcW w:w="1261" w:type="dxa"/>
                  <w:tcBorders>
                    <w:tl2br w:val="nil"/>
                    <w:tr2bl w:val="nil"/>
                  </w:tcBorders>
                  <w:noWrap w:val="0"/>
                  <w:vAlign w:val="center"/>
                </w:tcPr>
                <w:p w14:paraId="73022F0D">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片状氢氧化钠</w:t>
                  </w:r>
                </w:p>
              </w:tc>
              <w:tc>
                <w:tcPr>
                  <w:tcW w:w="838" w:type="dxa"/>
                  <w:tcBorders>
                    <w:tl2br w:val="nil"/>
                    <w:tr2bl w:val="nil"/>
                  </w:tcBorders>
                  <w:shd w:val="clear" w:color="auto" w:fill="auto"/>
                  <w:noWrap w:val="0"/>
                  <w:vAlign w:val="center"/>
                </w:tcPr>
                <w:p w14:paraId="76813B0B">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氢氧化钠</w:t>
                  </w:r>
                </w:p>
              </w:tc>
              <w:tc>
                <w:tcPr>
                  <w:tcW w:w="750" w:type="dxa"/>
                  <w:tcBorders>
                    <w:tl2br w:val="nil"/>
                    <w:tr2bl w:val="nil"/>
                  </w:tcBorders>
                  <w:noWrap w:val="0"/>
                  <w:vAlign w:val="center"/>
                </w:tcPr>
                <w:p w14:paraId="4760DC8F">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787" w:type="dxa"/>
                  <w:tcBorders>
                    <w:tl2br w:val="nil"/>
                    <w:tr2bl w:val="nil"/>
                  </w:tcBorders>
                  <w:noWrap w:val="0"/>
                  <w:vAlign w:val="center"/>
                </w:tcPr>
                <w:p w14:paraId="5D9542C5">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w:t>
                  </w:r>
                </w:p>
              </w:tc>
              <w:tc>
                <w:tcPr>
                  <w:tcW w:w="873" w:type="dxa"/>
                  <w:tcBorders>
                    <w:tl2br w:val="nil"/>
                    <w:tr2bl w:val="nil"/>
                  </w:tcBorders>
                  <w:shd w:val="clear" w:color="auto" w:fill="auto"/>
                  <w:noWrap w:val="0"/>
                  <w:vAlign w:val="center"/>
                </w:tcPr>
                <w:p w14:paraId="257B3FF7">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w:t>
                  </w:r>
                </w:p>
              </w:tc>
              <w:tc>
                <w:tcPr>
                  <w:tcW w:w="1077" w:type="dxa"/>
                  <w:tcBorders>
                    <w:tl2br w:val="nil"/>
                    <w:tr2bl w:val="nil"/>
                  </w:tcBorders>
                  <w:shd w:val="clear" w:color="auto" w:fill="auto"/>
                  <w:noWrap w:val="0"/>
                  <w:vAlign w:val="center"/>
                </w:tcPr>
                <w:p w14:paraId="532947C5">
                  <w:pPr>
                    <w:ind w:firstLine="0" w:firstLineChars="0"/>
                    <w:jc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873" w:type="dxa"/>
                  <w:tcBorders>
                    <w:tl2br w:val="nil"/>
                    <w:tr2bl w:val="nil"/>
                  </w:tcBorders>
                  <w:noWrap w:val="0"/>
                  <w:vAlign w:val="center"/>
                </w:tcPr>
                <w:p w14:paraId="2E92FAA2">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w:t>
                  </w:r>
                </w:p>
              </w:tc>
              <w:tc>
                <w:tcPr>
                  <w:tcW w:w="1247" w:type="dxa"/>
                  <w:tcBorders>
                    <w:tl2br w:val="nil"/>
                    <w:tr2bl w:val="nil"/>
                  </w:tcBorders>
                  <w:noWrap w:val="0"/>
                  <w:vAlign w:val="center"/>
                </w:tcPr>
                <w:p w14:paraId="48DC5E1E">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bl>
          <w:p w14:paraId="1FF20836">
            <w:pPr>
              <w:bidi w:val="0"/>
              <w:spacing w:line="360" w:lineRule="auto"/>
              <w:jc w:val="left"/>
              <w:rPr>
                <w:rFonts w:hint="eastAsia"/>
                <w:b/>
                <w:bCs/>
                <w:color w:val="auto"/>
                <w:lang w:val="en-US" w:eastAsia="zh-CN"/>
              </w:rPr>
            </w:pPr>
            <w:r>
              <w:rPr>
                <w:rFonts w:hint="eastAsia"/>
                <w:b/>
                <w:bCs/>
                <w:color w:val="auto"/>
                <w:lang w:val="en-US" w:eastAsia="zh-CN"/>
              </w:rPr>
              <w:t>涂料用量合理性分析：</w:t>
            </w:r>
          </w:p>
          <w:p w14:paraId="341F7C45">
            <w:pPr>
              <w:bidi w:val="0"/>
              <w:spacing w:line="360" w:lineRule="auto"/>
              <w:ind w:firstLine="420"/>
              <w:jc w:val="left"/>
              <w:rPr>
                <w:rFonts w:hint="eastAsia"/>
                <w:color w:val="auto"/>
                <w:lang w:val="en-US" w:eastAsia="zh-CN"/>
              </w:rPr>
            </w:pPr>
            <w:r>
              <w:rPr>
                <w:rFonts w:hint="eastAsia"/>
                <w:color w:val="auto"/>
                <w:lang w:val="en-US" w:eastAsia="zh-CN"/>
              </w:rPr>
              <w:t>本项目需涂装的工件为</w:t>
            </w:r>
            <w:r>
              <w:rPr>
                <w:rFonts w:hint="eastAsia" w:eastAsia="宋体" w:cs="Times New Roman"/>
                <w:color w:val="auto"/>
                <w:sz w:val="21"/>
                <w:szCs w:val="21"/>
                <w:highlight w:val="none"/>
                <w:lang w:val="en-US" w:eastAsia="zh-CN"/>
              </w:rPr>
              <w:t>车灯</w:t>
            </w:r>
            <w:r>
              <w:rPr>
                <w:rFonts w:hint="eastAsia" w:ascii="Times New Roman" w:hAnsi="Times New Roman" w:eastAsia="宋体" w:cs="Times New Roman"/>
                <w:color w:val="auto"/>
                <w:sz w:val="21"/>
                <w:szCs w:val="21"/>
                <w:highlight w:val="none"/>
                <w:lang w:val="en-US" w:eastAsia="zh-CN"/>
              </w:rPr>
              <w:t>，</w:t>
            </w:r>
            <w:r>
              <w:rPr>
                <w:rFonts w:hint="eastAsia"/>
                <w:color w:val="auto"/>
                <w:lang w:val="en-US" w:eastAsia="zh-CN"/>
              </w:rPr>
              <w:t>需涂装防雾车灯85000套‬，使用防雾涂料进行涂装，涂装方式为自动喷涂，自动喷涂上漆率通常在30-70%，本项目取50%。防雾车灯规格为</w:t>
            </w:r>
            <w:r>
              <w:rPr>
                <w:rFonts w:hint="eastAsia" w:ascii="Times New Roman" w:hAnsi="Times New Roman" w:eastAsia="宋体" w:cs="Times New Roman"/>
                <w:color w:val="auto"/>
                <w:sz w:val="21"/>
                <w:szCs w:val="21"/>
                <w:highlight w:val="none"/>
                <w:lang w:val="en-US" w:eastAsia="zh-CN"/>
              </w:rPr>
              <w:t>839.9mm*297.4mm*509mm</w:t>
            </w:r>
            <w:r>
              <w:rPr>
                <w:rFonts w:hint="eastAsia" w:cs="Times New Roman"/>
                <w:color w:val="auto"/>
                <w:sz w:val="18"/>
                <w:szCs w:val="18"/>
                <w:lang w:val="en-US" w:eastAsia="zh-CN"/>
              </w:rPr>
              <w:t>，</w:t>
            </w:r>
            <w:r>
              <w:rPr>
                <w:rFonts w:hint="eastAsia" w:ascii="Times New Roman" w:hAnsi="Times New Roman" w:eastAsia="宋体" w:cs="Times New Roman"/>
                <w:color w:val="auto"/>
                <w:lang w:val="en-US" w:eastAsia="zh-CN"/>
              </w:rPr>
              <w:t>车灯内外各喷涂5个面（</w:t>
            </w:r>
            <w:r>
              <w:rPr>
                <w:rFonts w:hint="eastAsia" w:ascii="Times New Roman" w:hAnsi="Times New Roman" w:eastAsia="宋体" w:cs="Times New Roman"/>
                <w:color w:val="auto"/>
                <w:sz w:val="21"/>
                <w:szCs w:val="21"/>
                <w:highlight w:val="none"/>
                <w:lang w:val="en-US" w:eastAsia="zh-CN"/>
              </w:rPr>
              <w:t>839.9mm*509mm面不进行喷涂</w:t>
            </w:r>
            <w:r>
              <w:rPr>
                <w:rFonts w:hint="eastAsia" w:ascii="Times New Roman" w:hAnsi="Times New Roman" w:eastAsia="宋体" w:cs="Times New Roman"/>
                <w:color w:val="auto"/>
                <w:lang w:val="en-US" w:eastAsia="zh-CN"/>
              </w:rPr>
              <w:t>），则</w:t>
            </w:r>
            <w:r>
              <w:rPr>
                <w:rFonts w:hint="eastAsia"/>
                <w:color w:val="auto"/>
                <w:lang w:val="en-US" w:eastAsia="zh-CN"/>
              </w:rPr>
              <w:t>单套防雾车灯喷涂面积约为2.5</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，则</w:t>
            </w:r>
            <w:r>
              <w:rPr>
                <w:rFonts w:hint="eastAsia" w:eastAsia="宋体" w:cs="Times New Roman"/>
                <w:color w:val="auto"/>
                <w:sz w:val="21"/>
                <w:szCs w:val="21"/>
                <w:highlight w:val="none"/>
                <w:lang w:val="en-US" w:eastAsia="zh-CN"/>
              </w:rPr>
              <w:t>总</w:t>
            </w:r>
            <w:r>
              <w:rPr>
                <w:rFonts w:hint="eastAsia" w:ascii="Times New Roman" w:hAnsi="Times New Roman" w:eastAsia="宋体" w:cs="Times New Roman"/>
                <w:color w:val="auto"/>
                <w:sz w:val="21"/>
                <w:szCs w:val="21"/>
                <w:highlight w:val="none"/>
                <w:lang w:val="en-US" w:eastAsia="zh-CN"/>
              </w:rPr>
              <w:t>喷涂面积</w:t>
            </w:r>
            <w:r>
              <w:rPr>
                <w:rFonts w:hint="eastAsia" w:eastAsia="宋体" w:cs="Times New Roman"/>
                <w:color w:val="auto"/>
                <w:sz w:val="21"/>
                <w:szCs w:val="21"/>
                <w:highlight w:val="none"/>
                <w:lang w:val="en-US" w:eastAsia="zh-CN"/>
              </w:rPr>
              <w:t>约</w:t>
            </w:r>
            <w:r>
              <w:rPr>
                <w:rFonts w:hint="eastAsia" w:ascii="Times New Roman" w:hAnsi="Times New Roman" w:eastAsia="宋体" w:cs="Times New Roman"/>
                <w:color w:val="auto"/>
                <w:sz w:val="21"/>
                <w:szCs w:val="21"/>
                <w:highlight w:val="none"/>
                <w:lang w:val="en-US" w:eastAsia="zh-CN"/>
              </w:rPr>
              <w:t>为212500m</w:t>
            </w:r>
            <w:r>
              <w:rPr>
                <w:rFonts w:hint="eastAsia" w:ascii="Times New Roman" w:hAnsi="Times New Roman" w:eastAsia="宋体" w:cs="Times New Roman"/>
                <w:color w:val="auto"/>
                <w:sz w:val="21"/>
                <w:szCs w:val="21"/>
                <w:highlight w:val="none"/>
                <w:vertAlign w:val="superscript"/>
                <w:lang w:val="en-US" w:eastAsia="zh-CN"/>
              </w:rPr>
              <w:t>2</w:t>
            </w:r>
            <w:r>
              <w:rPr>
                <w:rFonts w:hint="eastAsia" w:cs="Times New Roman"/>
                <w:color w:val="auto"/>
                <w:sz w:val="21"/>
                <w:szCs w:val="21"/>
                <w:highlight w:val="none"/>
                <w:vertAlign w:val="baseline"/>
                <w:lang w:val="en-US" w:eastAsia="zh-CN"/>
              </w:rPr>
              <w:t>。</w:t>
            </w:r>
          </w:p>
          <w:p w14:paraId="481F87AB">
            <w:pPr>
              <w:bidi w:val="0"/>
              <w:spacing w:line="360" w:lineRule="auto"/>
              <w:ind w:firstLine="420"/>
              <w:jc w:val="left"/>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根据企业提供资料，防雾车灯漆膜厚度为2μm，漆膜干膜密度</w:t>
            </w:r>
            <w:r>
              <w:rPr>
                <w:rFonts w:hint="eastAsia" w:cs="Times New Roman"/>
                <w:color w:val="auto"/>
                <w:sz w:val="21"/>
                <w:szCs w:val="21"/>
                <w:highlight w:val="none"/>
                <w:lang w:val="en-US" w:eastAsia="zh-CN"/>
              </w:rPr>
              <w:t>约为</w:t>
            </w:r>
            <w:r>
              <w:rPr>
                <w:rFonts w:hint="default" w:ascii="Times New Roman" w:hAnsi="Times New Roman" w:cs="Times New Roman"/>
                <w:color w:val="auto"/>
                <w:sz w:val="21"/>
                <w:szCs w:val="21"/>
                <w:highlight w:val="none"/>
                <w:lang w:val="en-US" w:eastAsia="zh-CN"/>
              </w:rPr>
              <w:t>1.759t/m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，则漆膜</w:t>
            </w:r>
            <w:r>
              <w:rPr>
                <w:rFonts w:hint="eastAsia" w:cs="Times New Roman"/>
                <w:color w:val="auto"/>
                <w:sz w:val="21"/>
                <w:szCs w:val="21"/>
                <w:highlight w:val="none"/>
                <w:lang w:val="en-US" w:eastAsia="zh-CN"/>
              </w:rPr>
              <w:t>干膜</w:t>
            </w:r>
            <w:r>
              <w:rPr>
                <w:rFonts w:hint="default" w:ascii="Times New Roman" w:hAnsi="Times New Roman" w:cs="Times New Roman"/>
                <w:color w:val="auto"/>
                <w:sz w:val="21"/>
                <w:szCs w:val="21"/>
                <w:highlight w:val="none"/>
                <w:lang w:val="en-US" w:eastAsia="zh-CN"/>
              </w:rPr>
              <w:t>重量为212500×2×1.759÷1000000=0.7476‬t/a，根据施工状态下防雾涂料的VOC检测报告（附件8）可知，防雾涂料VOC含量为159g/L，根据防雾涂料的MSDS（附件11）可知，防雾涂料密度1.05g/cm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，则防雾涂料挥发份占比为159÷1000÷1.05=15.1%，根据防雾涂料的MSDS（附件11）可知，水分占比约20-30%（本次取中间值25%），则固份占比约59.9%</w:t>
            </w:r>
            <w:r>
              <w:rPr>
                <w:rFonts w:hint="eastAsia" w:cs="Times New Roman"/>
                <w:color w:val="auto"/>
                <w:sz w:val="21"/>
                <w:szCs w:val="21"/>
                <w:highlight w:val="none"/>
                <w:lang w:val="en-US" w:eastAsia="zh-CN"/>
              </w:rPr>
              <w:t>。本项目防雾涂料用量为0.7476</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50%</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59.9%=2.496</w:t>
            </w:r>
            <w:r>
              <w:rPr>
                <w:rFonts w:hint="default" w:ascii="Times New Roman" w:hAnsi="Times New Roman" w:cs="Times New Roman"/>
                <w:color w:val="auto"/>
                <w:sz w:val="21"/>
                <w:szCs w:val="21"/>
                <w:highlight w:val="none"/>
                <w:lang w:val="en-US" w:eastAsia="zh-CN"/>
              </w:rPr>
              <w:t>t/a</w:t>
            </w:r>
            <w:r>
              <w:rPr>
                <w:rFonts w:hint="eastAsia" w:cs="Times New Roman"/>
                <w:color w:val="auto"/>
                <w:sz w:val="21"/>
                <w:szCs w:val="21"/>
                <w:highlight w:val="none"/>
                <w:lang w:val="en-US" w:eastAsia="zh-CN"/>
              </w:rPr>
              <w:t>，与企业防雾涂料用量一致</w:t>
            </w:r>
            <w:r>
              <w:rPr>
                <w:rFonts w:hint="eastAsia"/>
                <w:color w:val="auto"/>
                <w:lang w:eastAsia="zh-CN"/>
              </w:rPr>
              <w:t>。</w:t>
            </w:r>
          </w:p>
          <w:p w14:paraId="534D76F6">
            <w:pPr>
              <w:bidi w:val="0"/>
              <w:spacing w:line="360" w:lineRule="auto"/>
              <w:ind w:firstLine="420"/>
              <w:jc w:val="left"/>
              <w:rPr>
                <w:rFonts w:hint="eastAsia"/>
                <w:color w:val="auto"/>
                <w:lang w:val="en-US" w:eastAsia="zh-CN"/>
              </w:rPr>
            </w:pPr>
            <w:r>
              <w:rPr>
                <w:rFonts w:hint="eastAsia"/>
                <w:color w:val="auto"/>
                <w:lang w:val="en-US" w:eastAsia="zh-CN"/>
              </w:rPr>
              <w:t>本项目需涂装HC车灯127000套‬，使用有机硅硬质涂层涂装，涂装方式为自动喷涂，自动喷涂上漆率通常在30-70%，本项目取50%。HC车灯规格为</w:t>
            </w:r>
            <w:r>
              <w:rPr>
                <w:rFonts w:hint="eastAsia" w:ascii="Times New Roman" w:hAnsi="Times New Roman" w:eastAsia="宋体" w:cs="Times New Roman"/>
                <w:color w:val="auto"/>
                <w:sz w:val="21"/>
                <w:szCs w:val="21"/>
                <w:highlight w:val="none"/>
                <w:lang w:val="en-US" w:eastAsia="zh-CN"/>
              </w:rPr>
              <w:t>839.9mm*297.4mm*509mm，</w:t>
            </w:r>
            <w:r>
              <w:rPr>
                <w:rFonts w:hint="eastAsia" w:ascii="Times New Roman" w:hAnsi="Times New Roman" w:eastAsia="宋体" w:cs="Times New Roman"/>
                <w:color w:val="auto"/>
                <w:lang w:val="en-US" w:eastAsia="zh-CN"/>
              </w:rPr>
              <w:t>车灯内外各喷涂5个面（</w:t>
            </w:r>
            <w:r>
              <w:rPr>
                <w:rFonts w:hint="eastAsia" w:ascii="Times New Roman" w:hAnsi="Times New Roman" w:eastAsia="宋体" w:cs="Times New Roman"/>
                <w:color w:val="auto"/>
                <w:sz w:val="21"/>
                <w:szCs w:val="21"/>
                <w:highlight w:val="none"/>
                <w:lang w:val="en-US" w:eastAsia="zh-CN"/>
              </w:rPr>
              <w:t>839.9mm*509mm面不进行喷涂</w:t>
            </w:r>
            <w:r>
              <w:rPr>
                <w:rFonts w:hint="eastAsia" w:ascii="Times New Roman" w:hAnsi="Times New Roman" w:eastAsia="宋体" w:cs="Times New Roman"/>
                <w:color w:val="auto"/>
                <w:lang w:val="en-US" w:eastAsia="zh-CN"/>
              </w:rPr>
              <w:t>），则</w:t>
            </w:r>
            <w:r>
              <w:rPr>
                <w:rFonts w:hint="eastAsia"/>
                <w:color w:val="auto"/>
                <w:lang w:val="en-US" w:eastAsia="zh-CN"/>
              </w:rPr>
              <w:t>单套HC车灯喷涂面积为2.5</w:t>
            </w:r>
            <w:r>
              <w:rPr>
                <w:rFonts w:hint="eastAsia" w:ascii="Times New Roman" w:hAnsi="Times New Roman" w:eastAsia="宋体" w:cs="Times New Roman"/>
                <w:color w:val="auto"/>
                <w:sz w:val="21"/>
                <w:szCs w:val="21"/>
                <w:highlight w:val="none"/>
                <w:lang w:val="en-US" w:eastAsia="zh-CN"/>
              </w:rPr>
              <w:t>m</w:t>
            </w:r>
            <w:r>
              <w:rPr>
                <w:rFonts w:hint="eastAsia"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eastAsia="宋体" w:cs="Times New Roman"/>
                <w:color w:val="auto"/>
                <w:sz w:val="21"/>
                <w:szCs w:val="21"/>
                <w:highlight w:val="none"/>
                <w:lang w:val="en-US" w:eastAsia="zh-CN"/>
              </w:rPr>
              <w:t>，则</w:t>
            </w:r>
            <w:r>
              <w:rPr>
                <w:rFonts w:hint="eastAsia" w:eastAsia="宋体" w:cs="Times New Roman"/>
                <w:color w:val="auto"/>
                <w:sz w:val="21"/>
                <w:szCs w:val="21"/>
                <w:highlight w:val="none"/>
                <w:lang w:val="en-US" w:eastAsia="zh-CN"/>
              </w:rPr>
              <w:t>总</w:t>
            </w:r>
            <w:r>
              <w:rPr>
                <w:rFonts w:hint="eastAsia" w:ascii="Times New Roman" w:hAnsi="Times New Roman" w:eastAsia="宋体" w:cs="Times New Roman"/>
                <w:color w:val="auto"/>
                <w:sz w:val="21"/>
                <w:szCs w:val="21"/>
                <w:highlight w:val="none"/>
                <w:lang w:val="en-US" w:eastAsia="zh-CN"/>
              </w:rPr>
              <w:t>喷涂面积</w:t>
            </w:r>
            <w:r>
              <w:rPr>
                <w:rFonts w:hint="eastAsia" w:eastAsia="宋体" w:cs="Times New Roman"/>
                <w:color w:val="auto"/>
                <w:sz w:val="21"/>
                <w:szCs w:val="21"/>
                <w:highlight w:val="none"/>
                <w:lang w:val="en-US" w:eastAsia="zh-CN"/>
              </w:rPr>
              <w:t>约</w:t>
            </w:r>
            <w:r>
              <w:rPr>
                <w:rFonts w:hint="eastAsia" w:ascii="Times New Roman" w:hAnsi="Times New Roman" w:eastAsia="宋体" w:cs="Times New Roman"/>
                <w:color w:val="auto"/>
                <w:sz w:val="21"/>
                <w:szCs w:val="21"/>
                <w:highlight w:val="none"/>
                <w:lang w:val="en-US" w:eastAsia="zh-CN"/>
              </w:rPr>
              <w:t>为317500‬m</w:t>
            </w:r>
            <w:r>
              <w:rPr>
                <w:rFonts w:hint="eastAsia" w:ascii="Times New Roman" w:hAnsi="Times New Roman" w:eastAsia="宋体" w:cs="Times New Roman"/>
                <w:color w:val="auto"/>
                <w:sz w:val="21"/>
                <w:szCs w:val="21"/>
                <w:highlight w:val="none"/>
                <w:vertAlign w:val="superscript"/>
                <w:lang w:val="en-US" w:eastAsia="zh-CN"/>
              </w:rPr>
              <w:t>2</w:t>
            </w:r>
            <w:r>
              <w:rPr>
                <w:rFonts w:hint="eastAsia" w:cs="Times New Roman"/>
                <w:color w:val="auto"/>
                <w:sz w:val="21"/>
                <w:szCs w:val="21"/>
                <w:highlight w:val="none"/>
                <w:vertAlign w:val="baseline"/>
                <w:lang w:val="en-US" w:eastAsia="zh-CN"/>
              </w:rPr>
              <w:t>。</w:t>
            </w:r>
          </w:p>
          <w:p w14:paraId="33C7C9BD">
            <w:pPr>
              <w:bidi w:val="0"/>
              <w:spacing w:line="360" w:lineRule="auto"/>
              <w:ind w:firstLine="420"/>
              <w:jc w:val="left"/>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根据企业提供资料，</w:t>
            </w:r>
            <w:r>
              <w:rPr>
                <w:rFonts w:hint="eastAsia" w:ascii="Times New Roman" w:hAnsi="Times New Roman" w:eastAsia="宋体" w:cs="Times New Roman"/>
                <w:color w:val="auto"/>
                <w:sz w:val="21"/>
                <w:szCs w:val="21"/>
                <w:highlight w:val="none"/>
                <w:lang w:val="en-US" w:eastAsia="zh-CN"/>
              </w:rPr>
              <w:t>HC车灯漆膜厚度为</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μ</w:t>
            </w:r>
            <w:r>
              <w:rPr>
                <w:rFonts w:hint="eastAsia" w:ascii="Times New Roman" w:hAnsi="Times New Roman" w:eastAsia="宋体" w:cs="Times New Roman"/>
                <w:color w:val="auto"/>
                <w:sz w:val="21"/>
                <w:szCs w:val="21"/>
                <w:highlight w:val="none"/>
                <w:lang w:val="en-US" w:eastAsia="zh-CN"/>
              </w:rPr>
              <w:t>m，</w:t>
            </w:r>
            <w:r>
              <w:rPr>
                <w:rFonts w:hint="default" w:ascii="Times New Roman" w:hAnsi="Times New Roman" w:cs="Times New Roman"/>
                <w:color w:val="auto"/>
                <w:sz w:val="21"/>
                <w:szCs w:val="21"/>
                <w:highlight w:val="none"/>
                <w:lang w:val="en-US" w:eastAsia="zh-CN"/>
              </w:rPr>
              <w:t>漆膜干膜密度</w:t>
            </w:r>
            <w:r>
              <w:rPr>
                <w:rFonts w:hint="eastAsia" w:cs="Times New Roman"/>
                <w:color w:val="auto"/>
                <w:sz w:val="21"/>
                <w:szCs w:val="21"/>
                <w:highlight w:val="none"/>
                <w:lang w:val="en-US" w:eastAsia="zh-CN"/>
              </w:rPr>
              <w:t>约为1.973</w:t>
            </w:r>
            <w:r>
              <w:rPr>
                <w:rFonts w:hint="default" w:ascii="Times New Roman" w:hAnsi="Times New Roman" w:cs="Times New Roman"/>
                <w:color w:val="auto"/>
                <w:sz w:val="21"/>
                <w:szCs w:val="21"/>
                <w:highlight w:val="none"/>
                <w:lang w:val="en-US" w:eastAsia="zh-CN"/>
              </w:rPr>
              <w:t>t/m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，则漆膜</w:t>
            </w:r>
            <w:r>
              <w:rPr>
                <w:rFonts w:hint="eastAsia" w:cs="Times New Roman"/>
                <w:color w:val="auto"/>
                <w:sz w:val="21"/>
                <w:szCs w:val="21"/>
                <w:highlight w:val="none"/>
                <w:lang w:val="en-US" w:eastAsia="zh-CN"/>
              </w:rPr>
              <w:t>干膜</w:t>
            </w:r>
            <w:r>
              <w:rPr>
                <w:rFonts w:hint="default" w:ascii="Times New Roman" w:hAnsi="Times New Roman" w:cs="Times New Roman"/>
                <w:color w:val="auto"/>
                <w:sz w:val="21"/>
                <w:szCs w:val="21"/>
                <w:highlight w:val="none"/>
                <w:lang w:val="en-US" w:eastAsia="zh-CN"/>
              </w:rPr>
              <w:t>重量为</w:t>
            </w:r>
            <w:r>
              <w:rPr>
                <w:rFonts w:hint="eastAsia" w:cs="Times New Roman"/>
                <w:color w:val="auto"/>
                <w:sz w:val="21"/>
                <w:szCs w:val="21"/>
                <w:highlight w:val="none"/>
                <w:lang w:val="en-US" w:eastAsia="zh-CN"/>
              </w:rPr>
              <w:t>3175</w:t>
            </w:r>
            <w:r>
              <w:rPr>
                <w:rFonts w:hint="eastAsia" w:ascii="Times New Roman" w:hAnsi="Times New Roman" w:cs="Times New Roman"/>
                <w:color w:val="auto"/>
                <w:sz w:val="21"/>
                <w:szCs w:val="21"/>
                <w:highlight w:val="none"/>
                <w:lang w:val="en-US" w:eastAsia="zh-CN"/>
              </w:rPr>
              <w:t>00</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1.973</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1000000=</w:t>
            </w:r>
            <w:r>
              <w:rPr>
                <w:rFonts w:hint="eastAsia" w:cs="Times New Roman"/>
                <w:color w:val="auto"/>
                <w:sz w:val="21"/>
                <w:szCs w:val="21"/>
                <w:highlight w:val="none"/>
                <w:lang w:val="en-US" w:eastAsia="zh-CN"/>
              </w:rPr>
              <w:t>1.2529</w:t>
            </w:r>
            <w:r>
              <w:rPr>
                <w:rFonts w:hint="default" w:ascii="Times New Roman" w:hAnsi="Times New Roman" w:cs="Times New Roman"/>
                <w:color w:val="auto"/>
                <w:sz w:val="21"/>
                <w:szCs w:val="21"/>
                <w:highlight w:val="none"/>
                <w:lang w:val="en-US" w:eastAsia="zh-CN"/>
              </w:rPr>
              <w:t>‬t</w:t>
            </w:r>
            <w:r>
              <w:rPr>
                <w:rFonts w:hint="eastAsia" w:ascii="Times New Roman" w:hAnsi="Times New Roman" w:cs="Times New Roman"/>
                <w:color w:val="auto"/>
                <w:sz w:val="21"/>
                <w:szCs w:val="21"/>
                <w:highlight w:val="none"/>
                <w:lang w:val="en-US" w:eastAsia="zh-CN"/>
              </w:rPr>
              <w:t>/a</w:t>
            </w:r>
            <w:r>
              <w:rPr>
                <w:rFonts w:hint="default" w:ascii="Times New Roman" w:hAnsi="Times New Roman"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根据</w:t>
            </w:r>
            <w:r>
              <w:rPr>
                <w:rFonts w:hint="eastAsia" w:cs="Times New Roman"/>
                <w:color w:val="auto"/>
                <w:sz w:val="21"/>
                <w:szCs w:val="21"/>
                <w:highlight w:val="none"/>
                <w:lang w:val="en-US" w:eastAsia="zh-CN"/>
              </w:rPr>
              <w:t>施工状态下有机硅硬质涂层</w:t>
            </w:r>
            <w:r>
              <w:rPr>
                <w:rFonts w:hint="eastAsia" w:ascii="Times New Roman" w:hAnsi="Times New Roman" w:eastAsia="宋体" w:cs="Times New Roman"/>
                <w:color w:val="auto"/>
                <w:sz w:val="21"/>
                <w:szCs w:val="21"/>
                <w:highlight w:val="none"/>
                <w:lang w:val="en-US" w:eastAsia="zh-CN"/>
              </w:rPr>
              <w:t>的VOC检测报告</w:t>
            </w:r>
            <w:r>
              <w:rPr>
                <w:rFonts w:hint="eastAsia" w:cs="Times New Roman"/>
                <w:color w:val="auto"/>
                <w:sz w:val="21"/>
                <w:szCs w:val="21"/>
                <w:highlight w:val="none"/>
                <w:lang w:val="en-US" w:eastAsia="zh-CN"/>
              </w:rPr>
              <w:t>（附件9）可知</w:t>
            </w:r>
            <w:r>
              <w:rPr>
                <w:rFonts w:hint="eastAsia" w:ascii="Times New Roman" w:hAnsi="Times New Roman" w:eastAsia="宋体" w:cs="Times New Roman"/>
                <w:color w:val="auto"/>
                <w:sz w:val="21"/>
                <w:szCs w:val="21"/>
                <w:highlight w:val="none"/>
                <w:lang w:val="en-US" w:eastAsia="zh-CN"/>
              </w:rPr>
              <w:t>，HC涂料VOC含量为</w:t>
            </w:r>
            <w:r>
              <w:rPr>
                <w:rFonts w:hint="eastAsia" w:cs="Times New Roman"/>
                <w:color w:val="auto"/>
                <w:sz w:val="21"/>
                <w:szCs w:val="21"/>
                <w:highlight w:val="none"/>
                <w:lang w:val="en-US" w:eastAsia="zh-CN"/>
              </w:rPr>
              <w:t>525</w:t>
            </w:r>
            <w:r>
              <w:rPr>
                <w:rFonts w:hint="eastAsia" w:ascii="Times New Roman" w:hAnsi="Times New Roman" w:eastAsia="宋体" w:cs="Times New Roman"/>
                <w:color w:val="auto"/>
                <w:sz w:val="21"/>
                <w:szCs w:val="21"/>
                <w:highlight w:val="none"/>
                <w:lang w:val="en-US" w:eastAsia="zh-CN"/>
              </w:rPr>
              <w:t>g/L，</w:t>
            </w:r>
            <w:r>
              <w:rPr>
                <w:rFonts w:hint="eastAsia" w:cs="Times New Roman"/>
                <w:color w:val="auto"/>
                <w:sz w:val="21"/>
                <w:szCs w:val="21"/>
                <w:highlight w:val="none"/>
                <w:lang w:val="en-US" w:eastAsia="zh-CN"/>
              </w:rPr>
              <w:t>根据有机硅硬质涂层的MSDS（附件12）可知，有机硅硬质涂层</w:t>
            </w:r>
            <w:r>
              <w:rPr>
                <w:rFonts w:hint="eastAsia" w:ascii="Times New Roman" w:hAnsi="Times New Roman" w:eastAsia="宋体" w:cs="Times New Roman"/>
                <w:color w:val="auto"/>
                <w:sz w:val="21"/>
                <w:szCs w:val="21"/>
                <w:highlight w:val="none"/>
                <w:lang w:val="en-US" w:eastAsia="zh-CN"/>
              </w:rPr>
              <w:t>密度</w:t>
            </w:r>
            <w:r>
              <w:rPr>
                <w:rFonts w:hint="eastAsia" w:cs="Times New Roman"/>
                <w:color w:val="auto"/>
                <w:sz w:val="21"/>
                <w:szCs w:val="21"/>
                <w:highlight w:val="none"/>
                <w:lang w:val="en-US" w:eastAsia="zh-CN"/>
              </w:rPr>
              <w:t>1.038</w:t>
            </w:r>
            <w:r>
              <w:rPr>
                <w:rFonts w:hint="eastAsia" w:ascii="Times New Roman" w:hAnsi="Times New Roman" w:eastAsia="宋体" w:cs="Times New Roman"/>
                <w:color w:val="auto"/>
                <w:sz w:val="21"/>
                <w:szCs w:val="21"/>
                <w:highlight w:val="none"/>
                <w:lang w:val="en-US" w:eastAsia="zh-CN"/>
              </w:rPr>
              <w:t>g/cm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则HC涂料挥发份占比为525</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1000</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1.038=50.6%，则固份占比约49.4%。本项目有机硅硬质涂层用量为1.2529</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50%</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49.4%=5.07</w:t>
            </w:r>
            <w:r>
              <w:rPr>
                <w:rFonts w:hint="default" w:ascii="Times New Roman" w:hAnsi="Times New Roman" w:cs="Times New Roman"/>
                <w:color w:val="auto"/>
                <w:sz w:val="21"/>
                <w:szCs w:val="21"/>
                <w:highlight w:val="none"/>
                <w:lang w:val="en-US" w:eastAsia="zh-CN"/>
              </w:rPr>
              <w:t>t/a</w:t>
            </w:r>
            <w:r>
              <w:rPr>
                <w:rFonts w:hint="eastAsia" w:cs="Times New Roman"/>
                <w:color w:val="auto"/>
                <w:sz w:val="21"/>
                <w:szCs w:val="21"/>
                <w:highlight w:val="none"/>
                <w:lang w:val="en-US" w:eastAsia="zh-CN"/>
              </w:rPr>
              <w:t>，与企业防雾涂料用量一致</w:t>
            </w:r>
            <w:r>
              <w:rPr>
                <w:rFonts w:hint="eastAsia" w:ascii="Times New Roman" w:hAnsi="Times New Roman" w:eastAsia="宋体" w:cs="Times New Roman"/>
                <w:color w:val="auto"/>
                <w:sz w:val="21"/>
                <w:szCs w:val="21"/>
                <w:highlight w:val="none"/>
                <w:lang w:val="en-US" w:eastAsia="zh-CN"/>
              </w:rPr>
              <w:t>。</w:t>
            </w:r>
          </w:p>
          <w:p w14:paraId="09368FDC">
            <w:pPr>
              <w:spacing w:line="360" w:lineRule="auto"/>
              <w:ind w:firstLine="420" w:firstLineChars="200"/>
              <w:jc w:val="left"/>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因此</w:t>
            </w:r>
            <w:r>
              <w:rPr>
                <w:rFonts w:hint="eastAsia"/>
                <w:color w:val="auto"/>
                <w:lang w:val="en-US" w:eastAsia="zh-CN"/>
              </w:rPr>
              <w:t>防雾涂料</w:t>
            </w:r>
            <w:r>
              <w:rPr>
                <w:rFonts w:hint="eastAsia" w:ascii="Times New Roman" w:hAnsi="Times New Roman" w:eastAsia="宋体" w:cs="Times New Roman"/>
                <w:color w:val="auto"/>
                <w:sz w:val="21"/>
                <w:szCs w:val="21"/>
                <w:highlight w:val="none"/>
                <w:lang w:val="en-US" w:eastAsia="zh-CN"/>
              </w:rPr>
              <w:t>年使用量2.496吨，能够满足8.5万套防雾车灯生产使用，</w:t>
            </w:r>
            <w:r>
              <w:rPr>
                <w:rFonts w:hint="eastAsia"/>
                <w:color w:val="auto"/>
                <w:lang w:val="en-US" w:eastAsia="zh-CN"/>
              </w:rPr>
              <w:t>有机硅硬质涂层</w:t>
            </w:r>
            <w:r>
              <w:rPr>
                <w:rFonts w:hint="eastAsia" w:ascii="Times New Roman" w:hAnsi="Times New Roman" w:eastAsia="宋体" w:cs="Times New Roman"/>
                <w:color w:val="auto"/>
                <w:sz w:val="21"/>
                <w:szCs w:val="21"/>
                <w:highlight w:val="none"/>
                <w:lang w:val="en-US" w:eastAsia="zh-CN"/>
              </w:rPr>
              <w:t>年使用量5.07吨，能够满足12.7万套HC车灯生产使用。</w:t>
            </w:r>
          </w:p>
          <w:p w14:paraId="6CB53C81">
            <w:pPr>
              <w:pStyle w:val="46"/>
              <w:spacing w:before="5" w:line="240" w:lineRule="auto"/>
              <w:ind w:right="-15"/>
              <w:jc w:val="center"/>
              <w:rPr>
                <w:rFonts w:hint="default" w:ascii="Times New Roman" w:hAnsi="Times New Roman" w:cs="Times New Roman"/>
                <w:b/>
                <w:bCs/>
                <w:color w:val="auto"/>
              </w:rPr>
            </w:pPr>
            <w:r>
              <w:rPr>
                <w:rFonts w:hint="default" w:ascii="Times New Roman" w:hAnsi="Times New Roman" w:cs="Times New Roman"/>
                <w:b/>
                <w:bCs/>
                <w:color w:val="auto"/>
              </w:rPr>
              <w:t>表2-</w:t>
            </w:r>
            <w:r>
              <w:rPr>
                <w:rFonts w:hint="eastAsia" w:ascii="Times New Roman" w:hAnsi="Times New Roman" w:cs="Times New Roman"/>
                <w:b/>
                <w:bCs/>
                <w:color w:val="auto"/>
                <w:lang w:val="en-US" w:eastAsia="zh-CN"/>
              </w:rPr>
              <w:t>4</w:t>
            </w:r>
            <w:r>
              <w:rPr>
                <w:rFonts w:hint="default" w:ascii="Times New Roman" w:hAnsi="Times New Roman" w:cs="Times New Roman"/>
                <w:b/>
                <w:bCs/>
                <w:color w:val="auto"/>
                <w:lang w:val="en-US" w:eastAsia="zh-CN"/>
              </w:rPr>
              <w:t xml:space="preserve">  </w:t>
            </w:r>
            <w:r>
              <w:rPr>
                <w:rFonts w:hint="default" w:ascii="Times New Roman" w:hAnsi="Times New Roman" w:cs="Times New Roman"/>
                <w:b/>
                <w:bCs/>
                <w:color w:val="auto"/>
              </w:rPr>
              <w:t>原辅材料理化性质表</w:t>
            </w:r>
          </w:p>
          <w:tbl>
            <w:tblPr>
              <w:tblStyle w:val="21"/>
              <w:tblW w:w="815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891"/>
              <w:gridCol w:w="3693"/>
              <w:gridCol w:w="1313"/>
              <w:gridCol w:w="1673"/>
            </w:tblGrid>
            <w:tr w14:paraId="43F2AA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587" w:type="dxa"/>
                  <w:tcBorders>
                    <w:tl2br w:val="nil"/>
                    <w:tr2bl w:val="nil"/>
                  </w:tcBorders>
                  <w:noWrap w:val="0"/>
                  <w:vAlign w:val="center"/>
                </w:tcPr>
                <w:p w14:paraId="3753299F">
                  <w:pPr>
                    <w:pStyle w:val="49"/>
                    <w:bidi w:val="0"/>
                    <w:rPr>
                      <w:rFonts w:hint="default"/>
                      <w:b/>
                      <w:bCs/>
                      <w:color w:val="auto"/>
                      <w:lang w:val="en-US" w:eastAsia="zh-CN"/>
                    </w:rPr>
                  </w:pPr>
                  <w:r>
                    <w:rPr>
                      <w:rFonts w:hint="default"/>
                      <w:b/>
                      <w:bCs/>
                      <w:color w:val="auto"/>
                      <w:lang w:val="en-US" w:eastAsia="zh-CN"/>
                    </w:rPr>
                    <w:t>序号</w:t>
                  </w:r>
                </w:p>
              </w:tc>
              <w:tc>
                <w:tcPr>
                  <w:tcW w:w="891" w:type="dxa"/>
                  <w:tcBorders>
                    <w:tl2br w:val="nil"/>
                    <w:tr2bl w:val="nil"/>
                  </w:tcBorders>
                  <w:noWrap w:val="0"/>
                  <w:vAlign w:val="center"/>
                </w:tcPr>
                <w:p w14:paraId="45A29701">
                  <w:pPr>
                    <w:pStyle w:val="49"/>
                    <w:bidi w:val="0"/>
                    <w:rPr>
                      <w:rFonts w:hint="default"/>
                      <w:b/>
                      <w:bCs/>
                      <w:color w:val="auto"/>
                      <w:lang w:val="en-US" w:eastAsia="zh-CN"/>
                    </w:rPr>
                  </w:pPr>
                  <w:r>
                    <w:rPr>
                      <w:rFonts w:hint="default"/>
                      <w:b/>
                      <w:bCs/>
                      <w:color w:val="auto"/>
                      <w:lang w:val="en-US" w:eastAsia="zh-CN"/>
                    </w:rPr>
                    <w:t>名称</w:t>
                  </w:r>
                </w:p>
              </w:tc>
              <w:tc>
                <w:tcPr>
                  <w:tcW w:w="3693" w:type="dxa"/>
                  <w:tcBorders>
                    <w:tl2br w:val="nil"/>
                    <w:tr2bl w:val="nil"/>
                  </w:tcBorders>
                  <w:noWrap w:val="0"/>
                  <w:vAlign w:val="center"/>
                </w:tcPr>
                <w:p w14:paraId="5730F5B8">
                  <w:pPr>
                    <w:pStyle w:val="49"/>
                    <w:bidi w:val="0"/>
                    <w:rPr>
                      <w:rFonts w:hint="default"/>
                      <w:b/>
                      <w:bCs/>
                      <w:color w:val="auto"/>
                      <w:lang w:val="en-US" w:eastAsia="zh-CN"/>
                    </w:rPr>
                  </w:pPr>
                  <w:r>
                    <w:rPr>
                      <w:rFonts w:hint="default"/>
                      <w:b/>
                      <w:bCs/>
                      <w:color w:val="auto"/>
                      <w:lang w:val="en-US" w:eastAsia="zh-CN"/>
                    </w:rPr>
                    <w:t>理化特性</w:t>
                  </w:r>
                </w:p>
              </w:tc>
              <w:tc>
                <w:tcPr>
                  <w:tcW w:w="1313" w:type="dxa"/>
                  <w:tcBorders>
                    <w:tl2br w:val="nil"/>
                    <w:tr2bl w:val="nil"/>
                  </w:tcBorders>
                  <w:noWrap w:val="0"/>
                  <w:vAlign w:val="center"/>
                </w:tcPr>
                <w:p w14:paraId="1C62C82C">
                  <w:pPr>
                    <w:pStyle w:val="49"/>
                    <w:bidi w:val="0"/>
                    <w:rPr>
                      <w:rFonts w:hint="default"/>
                      <w:b/>
                      <w:bCs/>
                      <w:color w:val="auto"/>
                      <w:lang w:val="en-US" w:eastAsia="zh-CN"/>
                    </w:rPr>
                  </w:pPr>
                  <w:r>
                    <w:rPr>
                      <w:rFonts w:hint="default"/>
                      <w:b/>
                      <w:bCs/>
                      <w:color w:val="auto"/>
                      <w:lang w:val="en-US" w:eastAsia="zh-CN"/>
                    </w:rPr>
                    <w:t>燃烧爆炸性</w:t>
                  </w:r>
                </w:p>
              </w:tc>
              <w:tc>
                <w:tcPr>
                  <w:tcW w:w="1673" w:type="dxa"/>
                  <w:tcBorders>
                    <w:tl2br w:val="nil"/>
                    <w:tr2bl w:val="nil"/>
                  </w:tcBorders>
                  <w:noWrap w:val="0"/>
                  <w:vAlign w:val="center"/>
                </w:tcPr>
                <w:p w14:paraId="0400F92C">
                  <w:pPr>
                    <w:pStyle w:val="49"/>
                    <w:bidi w:val="0"/>
                    <w:rPr>
                      <w:rFonts w:hint="default"/>
                      <w:b/>
                      <w:bCs/>
                      <w:color w:val="auto"/>
                      <w:lang w:val="en-US" w:eastAsia="zh-CN"/>
                    </w:rPr>
                  </w:pPr>
                  <w:r>
                    <w:rPr>
                      <w:rFonts w:hint="default"/>
                      <w:b/>
                      <w:bCs/>
                      <w:color w:val="auto"/>
                      <w:lang w:val="en-US" w:eastAsia="zh-CN"/>
                    </w:rPr>
                    <w:t>毒性</w:t>
                  </w:r>
                </w:p>
              </w:tc>
            </w:tr>
            <w:tr w14:paraId="5E4850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87" w:type="dxa"/>
                  <w:tcBorders>
                    <w:tl2br w:val="nil"/>
                    <w:tr2bl w:val="nil"/>
                  </w:tcBorders>
                  <w:noWrap w:val="0"/>
                  <w:vAlign w:val="center"/>
                </w:tcPr>
                <w:p w14:paraId="08DC66FF">
                  <w:pPr>
                    <w:pStyle w:val="49"/>
                    <w:bidi w:val="0"/>
                    <w:rPr>
                      <w:rFonts w:hint="default"/>
                      <w:color w:val="auto"/>
                      <w:lang w:val="en-US" w:eastAsia="zh-CN"/>
                    </w:rPr>
                  </w:pPr>
                  <w:r>
                    <w:rPr>
                      <w:rFonts w:hint="eastAsia"/>
                      <w:color w:val="auto"/>
                      <w:lang w:val="en-US" w:eastAsia="zh-CN"/>
                    </w:rPr>
                    <w:t>1</w:t>
                  </w:r>
                </w:p>
              </w:tc>
              <w:tc>
                <w:tcPr>
                  <w:tcW w:w="891" w:type="dxa"/>
                  <w:tcBorders>
                    <w:tl2br w:val="nil"/>
                    <w:tr2bl w:val="nil"/>
                  </w:tcBorders>
                  <w:noWrap w:val="0"/>
                  <w:vAlign w:val="center"/>
                </w:tcPr>
                <w:p w14:paraId="4AF2B495">
                  <w:pPr>
                    <w:pStyle w:val="49"/>
                    <w:bidi w:val="0"/>
                    <w:rPr>
                      <w:rFonts w:hint="default"/>
                      <w:color w:val="auto"/>
                      <w:lang w:val="zh-CN" w:eastAsia="zh-CN"/>
                    </w:rPr>
                  </w:pPr>
                  <w:r>
                    <w:rPr>
                      <w:rFonts w:hint="eastAsia" w:cs="Times New Roman"/>
                      <w:b w:val="0"/>
                      <w:bCs w:val="0"/>
                      <w:color w:val="auto"/>
                      <w:kern w:val="2"/>
                      <w:sz w:val="18"/>
                      <w:szCs w:val="18"/>
                      <w:lang w:val="en-US" w:eastAsia="zh-CN" w:bidi="ar-SA"/>
                    </w:rPr>
                    <w:t>聚碳酸酯</w:t>
                  </w:r>
                </w:p>
              </w:tc>
              <w:tc>
                <w:tcPr>
                  <w:tcW w:w="3693" w:type="dxa"/>
                  <w:tcBorders>
                    <w:tl2br w:val="nil"/>
                    <w:tr2bl w:val="nil"/>
                  </w:tcBorders>
                  <w:noWrap w:val="0"/>
                  <w:vAlign w:val="center"/>
                </w:tcPr>
                <w:p w14:paraId="58B22E18">
                  <w:pPr>
                    <w:pStyle w:val="49"/>
                    <w:bidi w:val="0"/>
                    <w:rPr>
                      <w:rFonts w:hint="default"/>
                      <w:color w:val="auto"/>
                      <w:lang w:eastAsia="zh-CN"/>
                    </w:rPr>
                  </w:pPr>
                  <w:r>
                    <w:rPr>
                      <w:rFonts w:hint="default"/>
                      <w:color w:val="auto"/>
                      <w:lang w:eastAsia="zh-CN"/>
                    </w:rPr>
                    <w:t>聚碳酸酯是一类分子主链中含有碳酸酯基团（–O–CO–O–）的热塑性工程塑料，根据酯基的结构可分为脂肪族、芳香族、脂肪族-芳香族等多种类型。由于兼具高透明性、优异的耐冲击性、耐热性、阻燃性和良好的电绝缘性，透光率接近玻璃，冲击强度远高于普通塑料，聚碳酸酯被誉为“透明塑料之王”，并列为“五大工程塑料”之一。凭借综合性能，聚碳酸酯广泛应用于光学器件、电子电气、建筑材料、汽车部件及医疗制品等领域，是现代工业与日常生活中重要的高分子材料。</w:t>
                  </w:r>
                </w:p>
              </w:tc>
              <w:tc>
                <w:tcPr>
                  <w:tcW w:w="1313" w:type="dxa"/>
                  <w:tcBorders>
                    <w:tl2br w:val="nil"/>
                    <w:tr2bl w:val="nil"/>
                  </w:tcBorders>
                  <w:noWrap w:val="0"/>
                  <w:vAlign w:val="center"/>
                </w:tcPr>
                <w:p w14:paraId="3F94CE34">
                  <w:pPr>
                    <w:pStyle w:val="49"/>
                    <w:bidi w:val="0"/>
                    <w:rPr>
                      <w:rFonts w:hint="default"/>
                      <w:color w:val="auto"/>
                      <w:lang w:val="en-US" w:eastAsia="zh-CN"/>
                    </w:rPr>
                  </w:pPr>
                  <w:r>
                    <w:rPr>
                      <w:rFonts w:hint="eastAsia"/>
                      <w:color w:val="auto"/>
                      <w:lang w:val="en-US" w:eastAsia="zh-CN"/>
                    </w:rPr>
                    <w:t>可燃</w:t>
                  </w:r>
                </w:p>
              </w:tc>
              <w:tc>
                <w:tcPr>
                  <w:tcW w:w="1673" w:type="dxa"/>
                  <w:tcBorders>
                    <w:tl2br w:val="nil"/>
                    <w:tr2bl w:val="nil"/>
                  </w:tcBorders>
                  <w:noWrap w:val="0"/>
                  <w:vAlign w:val="center"/>
                </w:tcPr>
                <w:p w14:paraId="75911531">
                  <w:pPr>
                    <w:pStyle w:val="49"/>
                    <w:bidi w:val="0"/>
                    <w:rPr>
                      <w:rFonts w:hint="default"/>
                      <w:color w:val="auto"/>
                      <w:lang w:val="en-US" w:eastAsia="zh-CN"/>
                    </w:rPr>
                  </w:pPr>
                  <w:r>
                    <w:rPr>
                      <w:rFonts w:hint="eastAsia"/>
                      <w:color w:val="auto"/>
                      <w:lang w:val="en-US" w:eastAsia="zh-CN"/>
                    </w:rPr>
                    <w:t>无毒</w:t>
                  </w:r>
                </w:p>
              </w:tc>
            </w:tr>
            <w:tr w14:paraId="21C5BA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587" w:type="dxa"/>
                  <w:tcBorders>
                    <w:tl2br w:val="nil"/>
                    <w:tr2bl w:val="nil"/>
                  </w:tcBorders>
                  <w:noWrap w:val="0"/>
                  <w:vAlign w:val="center"/>
                </w:tcPr>
                <w:p w14:paraId="69ECEC39">
                  <w:pPr>
                    <w:pStyle w:val="49"/>
                    <w:bidi w:val="0"/>
                    <w:rPr>
                      <w:rFonts w:hint="default"/>
                      <w:color w:val="auto"/>
                      <w:lang w:val="en-US" w:eastAsia="zh-CN"/>
                    </w:rPr>
                  </w:pPr>
                  <w:r>
                    <w:rPr>
                      <w:rFonts w:hint="eastAsia"/>
                      <w:color w:val="auto"/>
                      <w:lang w:val="en-US" w:eastAsia="zh-CN"/>
                    </w:rPr>
                    <w:t>2</w:t>
                  </w:r>
                </w:p>
              </w:tc>
              <w:tc>
                <w:tcPr>
                  <w:tcW w:w="891" w:type="dxa"/>
                  <w:tcBorders>
                    <w:tl2br w:val="nil"/>
                    <w:tr2bl w:val="nil"/>
                  </w:tcBorders>
                  <w:noWrap w:val="0"/>
                  <w:vAlign w:val="center"/>
                </w:tcPr>
                <w:p w14:paraId="605E9FD4">
                  <w:pPr>
                    <w:keepNext w:val="0"/>
                    <w:keepLines w:val="0"/>
                    <w:pageBreakBefore w:val="0"/>
                    <w:widowControl w:val="0"/>
                    <w:kinsoku/>
                    <w:wordWrap/>
                    <w:overflowPunct/>
                    <w:topLinePunct w:val="0"/>
                    <w:autoSpaceDE w:val="0"/>
                    <w:autoSpaceDN w:val="0"/>
                    <w:bidi w:val="0"/>
                    <w:adjustRightInd/>
                    <w:snapToGrid/>
                    <w:spacing w:after="0"/>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eastAsia" w:cs="Times New Roman"/>
                      <w:b w:val="0"/>
                      <w:bCs w:val="0"/>
                      <w:color w:val="auto"/>
                      <w:kern w:val="2"/>
                      <w:sz w:val="18"/>
                      <w:szCs w:val="18"/>
                      <w:lang w:val="en-US" w:eastAsia="zh-CN" w:bidi="ar-SA"/>
                    </w:rPr>
                    <w:t>聚甲基丙烯酸甲酯</w:t>
                  </w:r>
                </w:p>
              </w:tc>
              <w:tc>
                <w:tcPr>
                  <w:tcW w:w="3693" w:type="dxa"/>
                  <w:tcBorders>
                    <w:tl2br w:val="nil"/>
                    <w:tr2bl w:val="nil"/>
                  </w:tcBorders>
                  <w:noWrap w:val="0"/>
                  <w:vAlign w:val="center"/>
                </w:tcPr>
                <w:p w14:paraId="78994906">
                  <w:pPr>
                    <w:pStyle w:val="49"/>
                    <w:bidi w:val="0"/>
                    <w:rPr>
                      <w:rFonts w:hint="default"/>
                      <w:color w:val="auto"/>
                      <w:lang w:eastAsia="zh-CN"/>
                    </w:rPr>
                  </w:pPr>
                  <w:r>
                    <w:rPr>
                      <w:rFonts w:hint="default"/>
                      <w:color w:val="auto"/>
                      <w:lang w:eastAsia="zh-CN"/>
                    </w:rPr>
                    <w:t>聚甲基丙烯酸甲酯，是一种高分子聚合物，又称作亚克力或有机玻璃，其化学式为(C5O2H8)n，具有高透明度，低价格，易于机械加工等优点。</w:t>
                  </w:r>
                </w:p>
              </w:tc>
              <w:tc>
                <w:tcPr>
                  <w:tcW w:w="1313" w:type="dxa"/>
                  <w:tcBorders>
                    <w:tl2br w:val="nil"/>
                    <w:tr2bl w:val="nil"/>
                  </w:tcBorders>
                  <w:shd w:val="clear" w:color="auto" w:fill="auto"/>
                  <w:noWrap w:val="0"/>
                  <w:vAlign w:val="center"/>
                </w:tcPr>
                <w:p w14:paraId="6868F9F0">
                  <w:pPr>
                    <w:pStyle w:val="49"/>
                    <w:bidi w:val="0"/>
                    <w:rPr>
                      <w:rFonts w:hint="default" w:ascii="Times New Roman" w:hAnsi="Times New Roman" w:eastAsia="宋体" w:cs="Times New Roman"/>
                      <w:color w:val="auto"/>
                      <w:sz w:val="18"/>
                      <w:szCs w:val="21"/>
                      <w:lang w:val="en-US" w:eastAsia="zh-CN" w:bidi="ar-SA"/>
                    </w:rPr>
                  </w:pPr>
                  <w:r>
                    <w:rPr>
                      <w:rFonts w:hint="eastAsia"/>
                      <w:color w:val="auto"/>
                      <w:lang w:val="en-US" w:eastAsia="zh-CN"/>
                    </w:rPr>
                    <w:t>可燃</w:t>
                  </w:r>
                </w:p>
              </w:tc>
              <w:tc>
                <w:tcPr>
                  <w:tcW w:w="1673" w:type="dxa"/>
                  <w:tcBorders>
                    <w:tl2br w:val="nil"/>
                    <w:tr2bl w:val="nil"/>
                  </w:tcBorders>
                  <w:shd w:val="clear" w:color="auto" w:fill="auto"/>
                  <w:noWrap w:val="0"/>
                  <w:vAlign w:val="center"/>
                </w:tcPr>
                <w:p w14:paraId="440271E1">
                  <w:pPr>
                    <w:pStyle w:val="49"/>
                    <w:bidi w:val="0"/>
                    <w:rPr>
                      <w:rFonts w:hint="default" w:ascii="Times New Roman" w:hAnsi="Times New Roman" w:eastAsia="宋体" w:cs="Times New Roman"/>
                      <w:color w:val="auto"/>
                      <w:sz w:val="18"/>
                      <w:szCs w:val="21"/>
                      <w:lang w:val="en-US" w:eastAsia="zh-CN" w:bidi="ar-SA"/>
                    </w:rPr>
                  </w:pPr>
                  <w:r>
                    <w:rPr>
                      <w:rFonts w:hint="eastAsia"/>
                      <w:color w:val="auto"/>
                      <w:lang w:val="en-US" w:eastAsia="zh-CN"/>
                    </w:rPr>
                    <w:t>无毒</w:t>
                  </w:r>
                </w:p>
              </w:tc>
            </w:tr>
            <w:tr w14:paraId="4FFB67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dxa"/>
                  <w:tcBorders>
                    <w:tl2br w:val="nil"/>
                    <w:tr2bl w:val="nil"/>
                  </w:tcBorders>
                  <w:noWrap w:val="0"/>
                  <w:vAlign w:val="center"/>
                </w:tcPr>
                <w:p w14:paraId="4EAE31B9">
                  <w:pPr>
                    <w:pStyle w:val="49"/>
                    <w:bidi w:val="0"/>
                    <w:rPr>
                      <w:rFonts w:hint="default"/>
                      <w:color w:val="auto"/>
                      <w:lang w:val="en-US" w:eastAsia="zh-CN"/>
                    </w:rPr>
                  </w:pPr>
                  <w:r>
                    <w:rPr>
                      <w:rFonts w:hint="eastAsia"/>
                      <w:color w:val="auto"/>
                      <w:lang w:val="en-US" w:eastAsia="zh-CN"/>
                    </w:rPr>
                    <w:t>3</w:t>
                  </w:r>
                </w:p>
              </w:tc>
              <w:tc>
                <w:tcPr>
                  <w:tcW w:w="891" w:type="dxa"/>
                  <w:tcBorders>
                    <w:tl2br w:val="nil"/>
                    <w:tr2bl w:val="nil"/>
                  </w:tcBorders>
                  <w:noWrap w:val="0"/>
                  <w:vAlign w:val="center"/>
                </w:tcPr>
                <w:p w14:paraId="41F4D232">
                  <w:pPr>
                    <w:keepNext w:val="0"/>
                    <w:keepLines w:val="0"/>
                    <w:pageBreakBefore w:val="0"/>
                    <w:widowControl w:val="0"/>
                    <w:kinsoku/>
                    <w:wordWrap/>
                    <w:overflowPunct/>
                    <w:topLinePunct w:val="0"/>
                    <w:autoSpaceDE w:val="0"/>
                    <w:autoSpaceDN w:val="0"/>
                    <w:bidi w:val="0"/>
                    <w:adjustRightInd/>
                    <w:snapToGrid/>
                    <w:spacing w:after="0"/>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丙烯酸树脂</w:t>
                  </w:r>
                </w:p>
              </w:tc>
              <w:tc>
                <w:tcPr>
                  <w:tcW w:w="3693" w:type="dxa"/>
                  <w:tcBorders>
                    <w:tl2br w:val="nil"/>
                    <w:tr2bl w:val="nil"/>
                  </w:tcBorders>
                  <w:noWrap w:val="0"/>
                  <w:vAlign w:val="center"/>
                </w:tcPr>
                <w:p w14:paraId="7AE5ADDC">
                  <w:pPr>
                    <w:pStyle w:val="49"/>
                    <w:bidi w:val="0"/>
                    <w:rPr>
                      <w:rFonts w:hint="default"/>
                      <w:color w:val="auto"/>
                      <w:lang w:eastAsia="zh-CN"/>
                    </w:rPr>
                  </w:pPr>
                  <w:r>
                    <w:rPr>
                      <w:rFonts w:hint="default"/>
                      <w:color w:val="auto"/>
                      <w:lang w:eastAsia="zh-CN"/>
                    </w:rPr>
                    <w:t>丙烯酸树脂是以丙烯酸酯、甲基丙烯酸酯及苯乙烯等乙烯类单体为主要原料合成的共聚物的总称，是一种重要的高分子材料。丙烯酸树脂透明柔韧，保光、保色性优良，耐候性、耐化学腐蚀、 耐温性优异。</w:t>
                  </w:r>
                </w:p>
              </w:tc>
              <w:tc>
                <w:tcPr>
                  <w:tcW w:w="1313" w:type="dxa"/>
                  <w:tcBorders>
                    <w:tl2br w:val="nil"/>
                    <w:tr2bl w:val="nil"/>
                  </w:tcBorders>
                  <w:shd w:val="clear" w:color="auto" w:fill="auto"/>
                  <w:noWrap w:val="0"/>
                  <w:vAlign w:val="center"/>
                </w:tcPr>
                <w:p w14:paraId="4864BC6F">
                  <w:pPr>
                    <w:pStyle w:val="49"/>
                    <w:bidi w:val="0"/>
                    <w:rPr>
                      <w:rFonts w:hint="default" w:ascii="Times New Roman" w:hAnsi="Times New Roman" w:eastAsia="宋体" w:cs="Times New Roman"/>
                      <w:color w:val="auto"/>
                      <w:sz w:val="18"/>
                      <w:szCs w:val="21"/>
                      <w:lang w:val="en-US" w:eastAsia="zh-CN" w:bidi="ar-SA"/>
                    </w:rPr>
                  </w:pPr>
                  <w:r>
                    <w:rPr>
                      <w:rFonts w:hint="eastAsia"/>
                      <w:color w:val="auto"/>
                      <w:lang w:val="en-US" w:eastAsia="zh-CN"/>
                    </w:rPr>
                    <w:t>可燃</w:t>
                  </w:r>
                </w:p>
              </w:tc>
              <w:tc>
                <w:tcPr>
                  <w:tcW w:w="1673" w:type="dxa"/>
                  <w:tcBorders>
                    <w:tl2br w:val="nil"/>
                    <w:tr2bl w:val="nil"/>
                  </w:tcBorders>
                  <w:shd w:val="clear" w:color="auto" w:fill="auto"/>
                  <w:noWrap w:val="0"/>
                  <w:vAlign w:val="center"/>
                </w:tcPr>
                <w:p w14:paraId="3DE20DBE">
                  <w:pPr>
                    <w:pStyle w:val="49"/>
                    <w:bidi w:val="0"/>
                    <w:rPr>
                      <w:rFonts w:hint="default" w:ascii="Times New Roman" w:hAnsi="Times New Roman" w:eastAsia="宋体" w:cs="Times New Roman"/>
                      <w:color w:val="auto"/>
                      <w:sz w:val="18"/>
                      <w:szCs w:val="21"/>
                      <w:lang w:val="en-US" w:eastAsia="zh-CN" w:bidi="ar-SA"/>
                    </w:rPr>
                  </w:pPr>
                  <w:r>
                    <w:rPr>
                      <w:rFonts w:hint="eastAsia"/>
                      <w:color w:val="auto"/>
                      <w:lang w:val="en-US" w:eastAsia="zh-CN"/>
                    </w:rPr>
                    <w:t>无毒</w:t>
                  </w:r>
                </w:p>
              </w:tc>
            </w:tr>
            <w:tr w14:paraId="0BCD05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dxa"/>
                  <w:tcBorders>
                    <w:tl2br w:val="nil"/>
                    <w:tr2bl w:val="nil"/>
                  </w:tcBorders>
                  <w:noWrap w:val="0"/>
                  <w:vAlign w:val="center"/>
                </w:tcPr>
                <w:p w14:paraId="5E59E4B8">
                  <w:pPr>
                    <w:pStyle w:val="49"/>
                    <w:bidi w:val="0"/>
                    <w:rPr>
                      <w:rFonts w:hint="default"/>
                      <w:color w:val="auto"/>
                      <w:lang w:val="en-US" w:eastAsia="zh-CN"/>
                    </w:rPr>
                  </w:pPr>
                  <w:r>
                    <w:rPr>
                      <w:rFonts w:hint="eastAsia"/>
                      <w:color w:val="auto"/>
                      <w:lang w:val="en-US" w:eastAsia="zh-CN"/>
                    </w:rPr>
                    <w:t>4</w:t>
                  </w:r>
                </w:p>
              </w:tc>
              <w:tc>
                <w:tcPr>
                  <w:tcW w:w="891" w:type="dxa"/>
                  <w:tcBorders>
                    <w:tl2br w:val="nil"/>
                    <w:tr2bl w:val="nil"/>
                  </w:tcBorders>
                  <w:noWrap w:val="0"/>
                  <w:vAlign w:val="center"/>
                </w:tcPr>
                <w:p w14:paraId="4363D023">
                  <w:pPr>
                    <w:keepNext w:val="0"/>
                    <w:keepLines w:val="0"/>
                    <w:pageBreakBefore w:val="0"/>
                    <w:widowControl w:val="0"/>
                    <w:kinsoku/>
                    <w:wordWrap/>
                    <w:overflowPunct/>
                    <w:topLinePunct w:val="0"/>
                    <w:autoSpaceDE w:val="0"/>
                    <w:autoSpaceDN w:val="0"/>
                    <w:bidi w:val="0"/>
                    <w:adjustRightInd/>
                    <w:snapToGrid/>
                    <w:spacing w:after="0"/>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乙醇</w:t>
                  </w:r>
                </w:p>
              </w:tc>
              <w:tc>
                <w:tcPr>
                  <w:tcW w:w="3693" w:type="dxa"/>
                  <w:tcBorders>
                    <w:tl2br w:val="nil"/>
                    <w:tr2bl w:val="nil"/>
                  </w:tcBorders>
                  <w:noWrap w:val="0"/>
                  <w:vAlign w:val="center"/>
                </w:tcPr>
                <w:p w14:paraId="18ED8FB2">
                  <w:pPr>
                    <w:pStyle w:val="49"/>
                    <w:bidi w:val="0"/>
                    <w:rPr>
                      <w:rFonts w:hint="default"/>
                      <w:color w:val="auto"/>
                      <w:lang w:eastAsia="zh-CN"/>
                    </w:rPr>
                  </w:pPr>
                  <w:r>
                    <w:rPr>
                      <w:rFonts w:hint="default"/>
                      <w:color w:val="auto"/>
                      <w:lang w:eastAsia="zh-CN"/>
                    </w:rPr>
                    <w:t>乙醇，俗称酒精、火酒，是醇类化合物的一种，乙醇燃烧性很好，是常用的燃料、溶剂和消毒剂等，在有机合成中应用广泛。</w:t>
                  </w:r>
                </w:p>
                <w:p w14:paraId="75845693">
                  <w:pPr>
                    <w:pStyle w:val="49"/>
                    <w:bidi w:val="0"/>
                    <w:rPr>
                      <w:rFonts w:hint="default"/>
                      <w:color w:val="auto"/>
                      <w:lang w:eastAsia="zh-CN"/>
                    </w:rPr>
                  </w:pPr>
                  <w:r>
                    <w:rPr>
                      <w:rFonts w:hint="default"/>
                      <w:color w:val="auto"/>
                      <w:lang w:eastAsia="zh-CN"/>
                    </w:rPr>
                    <w:t>乙醇在常温常压下是一种易挥发的无色透明液体，毒性较低，可以与水以任意比互溶，溶液具有酒香味，略带刺激性，也可与多数有机溶剂混溶。乙醇蒸汽与空气混合可以形成爆炸性混合物。乙醇是一种基本有机化工原料，也用作有机溶剂、制饮料酒以及食品工业。</w:t>
                  </w:r>
                </w:p>
              </w:tc>
              <w:tc>
                <w:tcPr>
                  <w:tcW w:w="1313" w:type="dxa"/>
                  <w:tcBorders>
                    <w:tl2br w:val="nil"/>
                    <w:tr2bl w:val="nil"/>
                  </w:tcBorders>
                  <w:noWrap w:val="0"/>
                  <w:vAlign w:val="center"/>
                </w:tcPr>
                <w:p w14:paraId="38CFC5AA">
                  <w:pPr>
                    <w:pStyle w:val="49"/>
                    <w:bidi w:val="0"/>
                    <w:rPr>
                      <w:rFonts w:hint="default"/>
                      <w:color w:val="auto"/>
                      <w:lang w:val="en-US" w:eastAsia="zh-CN"/>
                    </w:rPr>
                  </w:pPr>
                  <w:r>
                    <w:rPr>
                      <w:rFonts w:hint="eastAsia"/>
                      <w:color w:val="auto"/>
                      <w:lang w:val="en-US" w:eastAsia="zh-CN"/>
                    </w:rPr>
                    <w:t>易燃</w:t>
                  </w:r>
                </w:p>
              </w:tc>
              <w:tc>
                <w:tcPr>
                  <w:tcW w:w="1673" w:type="dxa"/>
                  <w:tcBorders>
                    <w:tl2br w:val="nil"/>
                    <w:tr2bl w:val="nil"/>
                  </w:tcBorders>
                  <w:noWrap w:val="0"/>
                  <w:vAlign w:val="center"/>
                </w:tcPr>
                <w:p w14:paraId="76914637">
                  <w:pPr>
                    <w:pStyle w:val="49"/>
                    <w:bidi w:val="0"/>
                    <w:rPr>
                      <w:rFonts w:hint="default"/>
                      <w:color w:val="auto"/>
                      <w:lang w:val="en-US" w:eastAsia="zh-CN"/>
                    </w:rPr>
                  </w:pPr>
                  <w:r>
                    <w:rPr>
                      <w:rFonts w:hint="eastAsia"/>
                      <w:color w:val="auto"/>
                      <w:lang w:val="en-US" w:eastAsia="zh-CN"/>
                    </w:rPr>
                    <w:t>无毒</w:t>
                  </w:r>
                </w:p>
              </w:tc>
            </w:tr>
            <w:tr w14:paraId="3DFF8B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dxa"/>
                  <w:tcBorders>
                    <w:tl2br w:val="nil"/>
                    <w:tr2bl w:val="nil"/>
                  </w:tcBorders>
                  <w:noWrap w:val="0"/>
                  <w:vAlign w:val="center"/>
                </w:tcPr>
                <w:p w14:paraId="15F3EF9A">
                  <w:pPr>
                    <w:pStyle w:val="49"/>
                    <w:bidi w:val="0"/>
                    <w:rPr>
                      <w:rFonts w:hint="default"/>
                      <w:color w:val="auto"/>
                      <w:lang w:val="en-US" w:eastAsia="zh-CN"/>
                    </w:rPr>
                  </w:pPr>
                  <w:r>
                    <w:rPr>
                      <w:rFonts w:hint="eastAsia"/>
                      <w:color w:val="auto"/>
                      <w:lang w:val="en-US" w:eastAsia="zh-CN"/>
                    </w:rPr>
                    <w:t>5</w:t>
                  </w:r>
                </w:p>
              </w:tc>
              <w:tc>
                <w:tcPr>
                  <w:tcW w:w="891" w:type="dxa"/>
                  <w:tcBorders>
                    <w:tl2br w:val="nil"/>
                    <w:tr2bl w:val="nil"/>
                  </w:tcBorders>
                  <w:noWrap w:val="0"/>
                  <w:vAlign w:val="center"/>
                </w:tcPr>
                <w:p w14:paraId="5D2223D4">
                  <w:pPr>
                    <w:keepNext w:val="0"/>
                    <w:keepLines w:val="0"/>
                    <w:pageBreakBefore w:val="0"/>
                    <w:widowControl w:val="0"/>
                    <w:kinsoku/>
                    <w:wordWrap/>
                    <w:overflowPunct/>
                    <w:topLinePunct w:val="0"/>
                    <w:autoSpaceDE w:val="0"/>
                    <w:autoSpaceDN w:val="0"/>
                    <w:bidi w:val="0"/>
                    <w:adjustRightInd/>
                    <w:snapToGrid/>
                    <w:spacing w:after="0"/>
                    <w:ind w:firstLine="0" w:firstLineChars="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丙二醇甲醚</w:t>
                  </w:r>
                </w:p>
              </w:tc>
              <w:tc>
                <w:tcPr>
                  <w:tcW w:w="3693" w:type="dxa"/>
                  <w:tcBorders>
                    <w:tl2br w:val="nil"/>
                    <w:tr2bl w:val="nil"/>
                  </w:tcBorders>
                  <w:noWrap w:val="0"/>
                  <w:vAlign w:val="center"/>
                </w:tcPr>
                <w:p w14:paraId="48CA47CE">
                  <w:pPr>
                    <w:pStyle w:val="49"/>
                    <w:bidi w:val="0"/>
                    <w:rPr>
                      <w:rFonts w:hint="default"/>
                      <w:color w:val="auto"/>
                      <w:lang w:eastAsia="zh-CN"/>
                    </w:rPr>
                  </w:pPr>
                  <w:r>
                    <w:rPr>
                      <w:rFonts w:hint="default"/>
                      <w:color w:val="auto"/>
                      <w:lang w:eastAsia="zh-CN"/>
                    </w:rPr>
                    <w:t>丙二醇醚与乙二醇醚同属二元醇醚类溶剂，丙二醇醚对人体的毒性低于乙二醇醚类产品，属低毒醚类。丙二醇甲醚有微弱的醚味，但没有强刺激性气味，使其用途更加广泛安全。由于其分子结构中既有醚基又有羟基，因而它的溶解性能十分优异，又有合适的挥发速率以及反应活性等特点而获得广阔的应用。</w:t>
                  </w:r>
                </w:p>
              </w:tc>
              <w:tc>
                <w:tcPr>
                  <w:tcW w:w="1313" w:type="dxa"/>
                  <w:tcBorders>
                    <w:tl2br w:val="nil"/>
                    <w:tr2bl w:val="nil"/>
                  </w:tcBorders>
                  <w:noWrap w:val="0"/>
                  <w:vAlign w:val="center"/>
                </w:tcPr>
                <w:p w14:paraId="0863862F">
                  <w:pPr>
                    <w:pStyle w:val="49"/>
                    <w:bidi w:val="0"/>
                    <w:rPr>
                      <w:rFonts w:hint="default"/>
                      <w:color w:val="auto"/>
                      <w:lang w:val="en-US" w:eastAsia="zh-CN"/>
                    </w:rPr>
                  </w:pPr>
                  <w:r>
                    <w:rPr>
                      <w:rFonts w:hint="eastAsia"/>
                      <w:color w:val="auto"/>
                      <w:lang w:val="en-US" w:eastAsia="zh-CN"/>
                    </w:rPr>
                    <w:t>易燃</w:t>
                  </w:r>
                </w:p>
              </w:tc>
              <w:tc>
                <w:tcPr>
                  <w:tcW w:w="1673" w:type="dxa"/>
                  <w:tcBorders>
                    <w:tl2br w:val="nil"/>
                    <w:tr2bl w:val="nil"/>
                  </w:tcBorders>
                  <w:noWrap w:val="0"/>
                  <w:vAlign w:val="center"/>
                </w:tcPr>
                <w:p w14:paraId="07717DF6">
                  <w:pPr>
                    <w:pStyle w:val="49"/>
                    <w:bidi w:val="0"/>
                    <w:rPr>
                      <w:rFonts w:hint="default"/>
                      <w:color w:val="auto"/>
                      <w:lang w:val="en-US" w:eastAsia="zh-CN"/>
                    </w:rPr>
                  </w:pPr>
                  <w:r>
                    <w:rPr>
                      <w:rFonts w:hint="default"/>
                      <w:color w:val="auto"/>
                      <w:lang w:val="en-US" w:eastAsia="zh-CN"/>
                    </w:rPr>
                    <w:t>LD50：3739 mg/kg（大鼠经口）</w:t>
                  </w:r>
                </w:p>
              </w:tc>
            </w:tr>
            <w:tr w14:paraId="57CD1C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dxa"/>
                  <w:tcBorders>
                    <w:tl2br w:val="nil"/>
                    <w:tr2bl w:val="nil"/>
                  </w:tcBorders>
                  <w:noWrap w:val="0"/>
                  <w:vAlign w:val="center"/>
                </w:tcPr>
                <w:p w14:paraId="1B25EDC3">
                  <w:pPr>
                    <w:pStyle w:val="49"/>
                    <w:bidi w:val="0"/>
                    <w:rPr>
                      <w:rFonts w:hint="default"/>
                      <w:color w:val="auto"/>
                      <w:lang w:val="en-US" w:eastAsia="zh-CN"/>
                    </w:rPr>
                  </w:pPr>
                  <w:r>
                    <w:rPr>
                      <w:rFonts w:hint="eastAsia"/>
                      <w:color w:val="auto"/>
                      <w:lang w:val="en-US" w:eastAsia="zh-CN"/>
                    </w:rPr>
                    <w:t>6</w:t>
                  </w:r>
                </w:p>
              </w:tc>
              <w:tc>
                <w:tcPr>
                  <w:tcW w:w="891" w:type="dxa"/>
                  <w:tcBorders>
                    <w:tl2br w:val="nil"/>
                    <w:tr2bl w:val="nil"/>
                  </w:tcBorders>
                  <w:noWrap w:val="0"/>
                  <w:vAlign w:val="center"/>
                </w:tcPr>
                <w:p w14:paraId="6E08A309">
                  <w:pPr>
                    <w:keepNext w:val="0"/>
                    <w:keepLines w:val="0"/>
                    <w:pageBreakBefore w:val="0"/>
                    <w:widowControl w:val="0"/>
                    <w:kinsoku/>
                    <w:wordWrap/>
                    <w:overflowPunct/>
                    <w:topLinePunct w:val="0"/>
                    <w:autoSpaceDE w:val="0"/>
                    <w:autoSpaceDN w:val="0"/>
                    <w:bidi w:val="0"/>
                    <w:adjustRightInd/>
                    <w:snapToGrid/>
                    <w:spacing w:after="0"/>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甲醚化氨基树脂</w:t>
                  </w:r>
                </w:p>
              </w:tc>
              <w:tc>
                <w:tcPr>
                  <w:tcW w:w="3693" w:type="dxa"/>
                  <w:tcBorders>
                    <w:tl2br w:val="nil"/>
                    <w:tr2bl w:val="nil"/>
                  </w:tcBorders>
                  <w:noWrap w:val="0"/>
                  <w:vAlign w:val="center"/>
                </w:tcPr>
                <w:p w14:paraId="7091450A">
                  <w:pPr>
                    <w:pStyle w:val="49"/>
                    <w:bidi w:val="0"/>
                    <w:rPr>
                      <w:rFonts w:hint="default"/>
                      <w:color w:val="auto"/>
                      <w:lang w:eastAsia="zh-CN"/>
                    </w:rPr>
                  </w:pPr>
                  <w:r>
                    <w:rPr>
                      <w:rFonts w:hint="default"/>
                      <w:color w:val="auto"/>
                      <w:lang w:eastAsia="zh-CN"/>
                    </w:rPr>
                    <w:t>甲醚化氨基树脂（化学式C₁₅H₃₀N₆O₆），又称甲醚化密胺树脂，是一种经甲醇高度醚化的氨基树脂，常温下为透明粘稠液体，相对分子质量约390。其主要成分为含甲氧甲基官能团（N(CH₂OCH₃)₂）的化合物，固含量≥98%，游离甲醛含量≤0.5%，可溶于酮类、芳烃等有机溶剂，需酸催化固化。</w:t>
                  </w:r>
                </w:p>
              </w:tc>
              <w:tc>
                <w:tcPr>
                  <w:tcW w:w="1313" w:type="dxa"/>
                  <w:tcBorders>
                    <w:tl2br w:val="nil"/>
                    <w:tr2bl w:val="nil"/>
                  </w:tcBorders>
                  <w:noWrap w:val="0"/>
                  <w:vAlign w:val="center"/>
                </w:tcPr>
                <w:p w14:paraId="36B2902A">
                  <w:pPr>
                    <w:pStyle w:val="49"/>
                    <w:bidi w:val="0"/>
                    <w:rPr>
                      <w:rFonts w:hint="default"/>
                      <w:color w:val="auto"/>
                      <w:lang w:val="en-US" w:eastAsia="zh-CN"/>
                    </w:rPr>
                  </w:pPr>
                  <w:r>
                    <w:rPr>
                      <w:rFonts w:hint="eastAsia"/>
                      <w:color w:val="auto"/>
                      <w:lang w:val="en-US" w:eastAsia="zh-CN"/>
                    </w:rPr>
                    <w:t>易燃</w:t>
                  </w:r>
                </w:p>
              </w:tc>
              <w:tc>
                <w:tcPr>
                  <w:tcW w:w="1673" w:type="dxa"/>
                  <w:tcBorders>
                    <w:tl2br w:val="nil"/>
                    <w:tr2bl w:val="nil"/>
                  </w:tcBorders>
                  <w:noWrap w:val="0"/>
                  <w:vAlign w:val="center"/>
                </w:tcPr>
                <w:p w14:paraId="1ED2865E">
                  <w:pPr>
                    <w:pStyle w:val="49"/>
                    <w:bidi w:val="0"/>
                    <w:rPr>
                      <w:rFonts w:hint="default"/>
                      <w:color w:val="auto"/>
                      <w:lang w:val="en-US" w:eastAsia="zh-CN"/>
                    </w:rPr>
                  </w:pPr>
                  <w:r>
                    <w:rPr>
                      <w:rFonts w:hint="eastAsia"/>
                      <w:color w:val="auto"/>
                      <w:lang w:val="en-US" w:eastAsia="zh-CN"/>
                    </w:rPr>
                    <w:t>无毒</w:t>
                  </w:r>
                </w:p>
              </w:tc>
            </w:tr>
            <w:tr w14:paraId="60851C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dxa"/>
                  <w:tcBorders>
                    <w:tl2br w:val="nil"/>
                    <w:tr2bl w:val="nil"/>
                  </w:tcBorders>
                  <w:noWrap w:val="0"/>
                  <w:vAlign w:val="center"/>
                </w:tcPr>
                <w:p w14:paraId="4B300152">
                  <w:pPr>
                    <w:pStyle w:val="49"/>
                    <w:bidi w:val="0"/>
                    <w:rPr>
                      <w:rFonts w:hint="default"/>
                      <w:color w:val="auto"/>
                      <w:lang w:val="en-US" w:eastAsia="zh-CN"/>
                    </w:rPr>
                  </w:pPr>
                  <w:r>
                    <w:rPr>
                      <w:rFonts w:hint="eastAsia"/>
                      <w:color w:val="auto"/>
                      <w:lang w:val="en-US" w:eastAsia="zh-CN"/>
                    </w:rPr>
                    <w:t>7</w:t>
                  </w:r>
                </w:p>
              </w:tc>
              <w:tc>
                <w:tcPr>
                  <w:tcW w:w="891" w:type="dxa"/>
                  <w:tcBorders>
                    <w:tl2br w:val="nil"/>
                    <w:tr2bl w:val="nil"/>
                  </w:tcBorders>
                  <w:noWrap w:val="0"/>
                  <w:vAlign w:val="center"/>
                </w:tcPr>
                <w:p w14:paraId="4549390D">
                  <w:pPr>
                    <w:keepNext w:val="0"/>
                    <w:keepLines w:val="0"/>
                    <w:pageBreakBefore w:val="0"/>
                    <w:widowControl w:val="0"/>
                    <w:kinsoku/>
                    <w:wordWrap/>
                    <w:overflowPunct/>
                    <w:topLinePunct w:val="0"/>
                    <w:autoSpaceDE w:val="0"/>
                    <w:autoSpaceDN w:val="0"/>
                    <w:bidi w:val="0"/>
                    <w:adjustRightInd/>
                    <w:snapToGrid/>
                    <w:spacing w:after="0"/>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1-甲氧基-2-丙醇</w:t>
                  </w:r>
                </w:p>
              </w:tc>
              <w:tc>
                <w:tcPr>
                  <w:tcW w:w="3693" w:type="dxa"/>
                  <w:tcBorders>
                    <w:tl2br w:val="nil"/>
                    <w:tr2bl w:val="nil"/>
                  </w:tcBorders>
                  <w:noWrap w:val="0"/>
                  <w:vAlign w:val="center"/>
                </w:tcPr>
                <w:p w14:paraId="6CC0F02A">
                  <w:pPr>
                    <w:pStyle w:val="49"/>
                    <w:bidi w:val="0"/>
                    <w:rPr>
                      <w:rFonts w:hint="default"/>
                      <w:color w:val="auto"/>
                      <w:lang w:eastAsia="zh-CN"/>
                    </w:rPr>
                  </w:pPr>
                  <w:r>
                    <w:rPr>
                      <w:rFonts w:hint="default"/>
                      <w:color w:val="auto"/>
                      <w:lang w:eastAsia="zh-CN"/>
                    </w:rPr>
                    <w:t>1-甲氧基-2-丙醇（CAS号：107-98-2），属丙二醇甲醚类有机化合物，分子式C4H10O2，常温下为无色透明液体。其密度0.922g/mL（20℃），沸点118℃，闪点39℃，与水混溶且可溶解油脂、树脂等物质，对水环境有轻微危害，需避光储存于阴凉通风处</w:t>
                  </w:r>
                </w:p>
              </w:tc>
              <w:tc>
                <w:tcPr>
                  <w:tcW w:w="1313" w:type="dxa"/>
                  <w:tcBorders>
                    <w:tl2br w:val="nil"/>
                    <w:tr2bl w:val="nil"/>
                  </w:tcBorders>
                  <w:noWrap w:val="0"/>
                  <w:vAlign w:val="center"/>
                </w:tcPr>
                <w:p w14:paraId="75F22958">
                  <w:pPr>
                    <w:pStyle w:val="49"/>
                    <w:bidi w:val="0"/>
                    <w:rPr>
                      <w:rFonts w:hint="default"/>
                      <w:color w:val="auto"/>
                      <w:lang w:val="en-US" w:eastAsia="zh-CN"/>
                    </w:rPr>
                  </w:pPr>
                  <w:r>
                    <w:rPr>
                      <w:rFonts w:hint="eastAsia"/>
                      <w:color w:val="auto"/>
                      <w:lang w:val="en-US" w:eastAsia="zh-CN"/>
                    </w:rPr>
                    <w:t>易燃</w:t>
                  </w:r>
                </w:p>
              </w:tc>
              <w:tc>
                <w:tcPr>
                  <w:tcW w:w="1673" w:type="dxa"/>
                  <w:tcBorders>
                    <w:tl2br w:val="nil"/>
                    <w:tr2bl w:val="nil"/>
                  </w:tcBorders>
                  <w:noWrap w:val="0"/>
                  <w:vAlign w:val="center"/>
                </w:tcPr>
                <w:p w14:paraId="4F4C0230">
                  <w:pPr>
                    <w:pStyle w:val="49"/>
                    <w:bidi w:val="0"/>
                    <w:rPr>
                      <w:rFonts w:hint="eastAsia"/>
                      <w:color w:val="auto"/>
                      <w:lang w:val="en-US" w:eastAsia="zh-CN"/>
                    </w:rPr>
                  </w:pPr>
                  <w:r>
                    <w:rPr>
                      <w:rFonts w:hint="default"/>
                      <w:color w:val="auto"/>
                      <w:lang w:eastAsia="zh-CN"/>
                    </w:rPr>
                    <w:t>微毒类（大鼠经口LD50为6.6g/kg）</w:t>
                  </w:r>
                </w:p>
              </w:tc>
            </w:tr>
            <w:tr w14:paraId="512C9E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dxa"/>
                  <w:tcBorders>
                    <w:tl2br w:val="nil"/>
                    <w:tr2bl w:val="nil"/>
                  </w:tcBorders>
                  <w:noWrap w:val="0"/>
                  <w:vAlign w:val="center"/>
                </w:tcPr>
                <w:p w14:paraId="065FCCC2">
                  <w:pPr>
                    <w:pStyle w:val="49"/>
                    <w:bidi w:val="0"/>
                    <w:rPr>
                      <w:rFonts w:hint="default"/>
                      <w:color w:val="auto"/>
                      <w:lang w:val="en-US" w:eastAsia="zh-CN"/>
                    </w:rPr>
                  </w:pPr>
                  <w:r>
                    <w:rPr>
                      <w:rFonts w:hint="eastAsia"/>
                      <w:color w:val="auto"/>
                      <w:lang w:val="en-US" w:eastAsia="zh-CN"/>
                    </w:rPr>
                    <w:t>8</w:t>
                  </w:r>
                </w:p>
              </w:tc>
              <w:tc>
                <w:tcPr>
                  <w:tcW w:w="891" w:type="dxa"/>
                  <w:tcBorders>
                    <w:tl2br w:val="nil"/>
                    <w:tr2bl w:val="nil"/>
                  </w:tcBorders>
                  <w:noWrap w:val="0"/>
                  <w:vAlign w:val="center"/>
                </w:tcPr>
                <w:p w14:paraId="467F5466">
                  <w:pPr>
                    <w:keepNext w:val="0"/>
                    <w:keepLines w:val="0"/>
                    <w:pageBreakBefore w:val="0"/>
                    <w:widowControl w:val="0"/>
                    <w:kinsoku/>
                    <w:wordWrap/>
                    <w:overflowPunct/>
                    <w:topLinePunct w:val="0"/>
                    <w:autoSpaceDE w:val="0"/>
                    <w:autoSpaceDN w:val="0"/>
                    <w:bidi w:val="0"/>
                    <w:adjustRightInd/>
                    <w:snapToGrid/>
                    <w:spacing w:after="0"/>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脂肪族聚氨酯丙烯酸酯</w:t>
                  </w:r>
                </w:p>
              </w:tc>
              <w:tc>
                <w:tcPr>
                  <w:tcW w:w="3693" w:type="dxa"/>
                  <w:tcBorders>
                    <w:tl2br w:val="nil"/>
                    <w:tr2bl w:val="nil"/>
                  </w:tcBorders>
                  <w:noWrap w:val="0"/>
                  <w:vAlign w:val="center"/>
                </w:tcPr>
                <w:p w14:paraId="024B3573">
                  <w:pPr>
                    <w:pStyle w:val="49"/>
                    <w:bidi w:val="0"/>
                    <w:rPr>
                      <w:rFonts w:hint="default"/>
                      <w:color w:val="auto"/>
                      <w:lang w:eastAsia="zh-CN"/>
                    </w:rPr>
                  </w:pPr>
                  <w:r>
                    <w:rPr>
                      <w:rFonts w:hint="default"/>
                      <w:color w:val="auto"/>
                      <w:lang w:eastAsia="zh-CN"/>
                    </w:rPr>
                    <w:t>脂肪族聚氨酯漆是以脂肪族异氰酸酯与含羟基丙烯酸树脂为基料的双组分高性能防腐面漆，别名脂肪族聚氨酯面漆、防腐漆等。该漆适用于钢材、铝合金、混凝土、玻璃钢等已涂底涂层的表面，主要应用于船舶、桥梁、化工厂、储罐、工程机械等户外防腐场景</w:t>
                  </w:r>
                </w:p>
              </w:tc>
              <w:tc>
                <w:tcPr>
                  <w:tcW w:w="1313" w:type="dxa"/>
                  <w:tcBorders>
                    <w:tl2br w:val="nil"/>
                    <w:tr2bl w:val="nil"/>
                  </w:tcBorders>
                  <w:noWrap w:val="0"/>
                  <w:vAlign w:val="center"/>
                </w:tcPr>
                <w:p w14:paraId="57AC1DA3">
                  <w:pPr>
                    <w:pStyle w:val="49"/>
                    <w:bidi w:val="0"/>
                    <w:rPr>
                      <w:rFonts w:hint="eastAsia"/>
                      <w:color w:val="auto"/>
                      <w:lang w:val="en-US" w:eastAsia="zh-CN"/>
                    </w:rPr>
                  </w:pPr>
                  <w:r>
                    <w:rPr>
                      <w:rFonts w:hint="eastAsia"/>
                      <w:color w:val="auto"/>
                      <w:lang w:val="en-US" w:eastAsia="zh-CN"/>
                    </w:rPr>
                    <w:t>易燃</w:t>
                  </w:r>
                </w:p>
              </w:tc>
              <w:tc>
                <w:tcPr>
                  <w:tcW w:w="1673" w:type="dxa"/>
                  <w:tcBorders>
                    <w:tl2br w:val="nil"/>
                    <w:tr2bl w:val="nil"/>
                  </w:tcBorders>
                  <w:noWrap w:val="0"/>
                  <w:vAlign w:val="center"/>
                </w:tcPr>
                <w:p w14:paraId="566E1BC6">
                  <w:pPr>
                    <w:pStyle w:val="49"/>
                    <w:bidi w:val="0"/>
                    <w:rPr>
                      <w:rFonts w:hint="eastAsia"/>
                      <w:color w:val="auto"/>
                      <w:lang w:val="en-US" w:eastAsia="zh-CN"/>
                    </w:rPr>
                  </w:pPr>
                  <w:r>
                    <w:rPr>
                      <w:rFonts w:hint="eastAsia"/>
                      <w:color w:val="auto"/>
                      <w:lang w:val="en-US" w:eastAsia="zh-CN"/>
                    </w:rPr>
                    <w:t>无毒</w:t>
                  </w:r>
                </w:p>
              </w:tc>
            </w:tr>
            <w:tr w14:paraId="7D04B8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dxa"/>
                  <w:tcBorders>
                    <w:tl2br w:val="nil"/>
                    <w:tr2bl w:val="nil"/>
                  </w:tcBorders>
                  <w:noWrap w:val="0"/>
                  <w:vAlign w:val="center"/>
                </w:tcPr>
                <w:p w14:paraId="6DB2BFC5">
                  <w:pPr>
                    <w:pStyle w:val="49"/>
                    <w:bidi w:val="0"/>
                    <w:rPr>
                      <w:rFonts w:hint="default"/>
                      <w:color w:val="auto"/>
                      <w:lang w:val="en-US" w:eastAsia="zh-CN"/>
                    </w:rPr>
                  </w:pPr>
                  <w:r>
                    <w:rPr>
                      <w:rFonts w:hint="eastAsia"/>
                      <w:color w:val="auto"/>
                      <w:lang w:val="en-US" w:eastAsia="zh-CN"/>
                    </w:rPr>
                    <w:t>9</w:t>
                  </w:r>
                </w:p>
              </w:tc>
              <w:tc>
                <w:tcPr>
                  <w:tcW w:w="891" w:type="dxa"/>
                  <w:tcBorders>
                    <w:tl2br w:val="nil"/>
                    <w:tr2bl w:val="nil"/>
                  </w:tcBorders>
                  <w:noWrap w:val="0"/>
                  <w:vAlign w:val="center"/>
                </w:tcPr>
                <w:p w14:paraId="519C4676">
                  <w:pPr>
                    <w:keepNext w:val="0"/>
                    <w:keepLines w:val="0"/>
                    <w:pageBreakBefore w:val="0"/>
                    <w:widowControl w:val="0"/>
                    <w:kinsoku/>
                    <w:wordWrap/>
                    <w:overflowPunct/>
                    <w:topLinePunct w:val="0"/>
                    <w:autoSpaceDE w:val="0"/>
                    <w:autoSpaceDN w:val="0"/>
                    <w:bidi w:val="0"/>
                    <w:adjustRightInd/>
                    <w:snapToGrid/>
                    <w:spacing w:after="0"/>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季戊四醇三丙烯酸酯</w:t>
                  </w:r>
                </w:p>
              </w:tc>
              <w:tc>
                <w:tcPr>
                  <w:tcW w:w="3693" w:type="dxa"/>
                  <w:tcBorders>
                    <w:tl2br w:val="nil"/>
                    <w:tr2bl w:val="nil"/>
                  </w:tcBorders>
                  <w:noWrap w:val="0"/>
                  <w:vAlign w:val="center"/>
                </w:tcPr>
                <w:p w14:paraId="0491AE72">
                  <w:pPr>
                    <w:pStyle w:val="49"/>
                    <w:bidi w:val="0"/>
                    <w:rPr>
                      <w:rFonts w:hint="default"/>
                      <w:color w:val="auto"/>
                      <w:lang w:eastAsia="zh-CN"/>
                    </w:rPr>
                  </w:pPr>
                  <w:r>
                    <w:rPr>
                      <w:rFonts w:hint="default"/>
                      <w:color w:val="auto"/>
                      <w:lang w:eastAsia="zh-CN"/>
                    </w:rPr>
                    <w:t>季戊四醇三丙烯酸酯，又称PETA，是一种丙烯酸酯类单体，化学式C14H18O7，分子量298.289，CAS号3524-68-3。该物质为浓透明黄色液体，密度1.2±0.1 g/cm³，沸点427.9±45.0℃，闪点153.5±22.2℃，蒸汽压0.0±2.3 mmHg（25℃），需避光密封保存于2-8℃通风干燥处。其合成通常以季戊四醇与丙烯酸为原料，采用对甲苯磺酸作催化剂，通过控制酸醇摩尔比（优选3.3:1）并添加阻聚剂（如对苯二酚）进行酯化反应。季戊四醇三丙烯酸酯含侧链羟基，可作为聚合物单体用于感光膜制备及复合材料接枝反应。</w:t>
                  </w:r>
                </w:p>
              </w:tc>
              <w:tc>
                <w:tcPr>
                  <w:tcW w:w="1313" w:type="dxa"/>
                  <w:tcBorders>
                    <w:tl2br w:val="nil"/>
                    <w:tr2bl w:val="nil"/>
                  </w:tcBorders>
                  <w:noWrap w:val="0"/>
                  <w:vAlign w:val="center"/>
                </w:tcPr>
                <w:p w14:paraId="5E9DC5FC">
                  <w:pPr>
                    <w:pStyle w:val="49"/>
                    <w:bidi w:val="0"/>
                    <w:rPr>
                      <w:rFonts w:hint="eastAsia"/>
                      <w:color w:val="auto"/>
                      <w:lang w:val="en-US" w:eastAsia="zh-CN"/>
                    </w:rPr>
                  </w:pPr>
                  <w:r>
                    <w:rPr>
                      <w:rFonts w:hint="eastAsia"/>
                      <w:color w:val="auto"/>
                      <w:lang w:val="en-US" w:eastAsia="zh-CN"/>
                    </w:rPr>
                    <w:t>易燃</w:t>
                  </w:r>
                </w:p>
              </w:tc>
              <w:tc>
                <w:tcPr>
                  <w:tcW w:w="1673" w:type="dxa"/>
                  <w:tcBorders>
                    <w:tl2br w:val="nil"/>
                    <w:tr2bl w:val="nil"/>
                  </w:tcBorders>
                  <w:noWrap w:val="0"/>
                  <w:vAlign w:val="center"/>
                </w:tcPr>
                <w:p w14:paraId="34E1947E">
                  <w:pPr>
                    <w:pStyle w:val="49"/>
                    <w:bidi w:val="0"/>
                    <w:rPr>
                      <w:rFonts w:hint="eastAsia"/>
                      <w:color w:val="auto"/>
                      <w:lang w:val="en-US" w:eastAsia="zh-CN"/>
                    </w:rPr>
                  </w:pPr>
                  <w:r>
                    <w:rPr>
                      <w:rFonts w:hint="default"/>
                      <w:color w:val="auto"/>
                      <w:lang w:eastAsia="zh-CN"/>
                    </w:rPr>
                    <w:t>急性经口毒性（大鼠LD50 2460μL/kg）</w:t>
                  </w:r>
                </w:p>
              </w:tc>
            </w:tr>
            <w:tr w14:paraId="6DFF98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dxa"/>
                  <w:tcBorders>
                    <w:tl2br w:val="nil"/>
                    <w:tr2bl w:val="nil"/>
                  </w:tcBorders>
                  <w:noWrap w:val="0"/>
                  <w:vAlign w:val="center"/>
                </w:tcPr>
                <w:p w14:paraId="648A7EFC">
                  <w:pPr>
                    <w:pStyle w:val="49"/>
                    <w:bidi w:val="0"/>
                    <w:rPr>
                      <w:rFonts w:hint="default"/>
                      <w:color w:val="auto"/>
                      <w:lang w:val="en-US" w:eastAsia="zh-CN"/>
                    </w:rPr>
                  </w:pPr>
                  <w:r>
                    <w:rPr>
                      <w:rFonts w:hint="eastAsia"/>
                      <w:color w:val="auto"/>
                      <w:lang w:val="en-US" w:eastAsia="zh-CN"/>
                    </w:rPr>
                    <w:t>10</w:t>
                  </w:r>
                </w:p>
              </w:tc>
              <w:tc>
                <w:tcPr>
                  <w:tcW w:w="891" w:type="dxa"/>
                  <w:tcBorders>
                    <w:tl2br w:val="nil"/>
                    <w:tr2bl w:val="nil"/>
                  </w:tcBorders>
                  <w:noWrap w:val="0"/>
                  <w:vAlign w:val="center"/>
                </w:tcPr>
                <w:p w14:paraId="6C5496A7">
                  <w:pPr>
                    <w:keepNext w:val="0"/>
                    <w:keepLines w:val="0"/>
                    <w:pageBreakBefore w:val="0"/>
                    <w:widowControl w:val="0"/>
                    <w:kinsoku/>
                    <w:wordWrap/>
                    <w:overflowPunct/>
                    <w:topLinePunct w:val="0"/>
                    <w:autoSpaceDE w:val="0"/>
                    <w:autoSpaceDN w:val="0"/>
                    <w:bidi w:val="0"/>
                    <w:adjustRightInd/>
                    <w:snapToGrid/>
                    <w:spacing w:after="0"/>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1,6-己二醇二丙烯酸酯</w:t>
                  </w:r>
                </w:p>
              </w:tc>
              <w:tc>
                <w:tcPr>
                  <w:tcW w:w="3693" w:type="dxa"/>
                  <w:tcBorders>
                    <w:tl2br w:val="nil"/>
                    <w:tr2bl w:val="nil"/>
                  </w:tcBorders>
                  <w:noWrap w:val="0"/>
                  <w:vAlign w:val="center"/>
                </w:tcPr>
                <w:p w14:paraId="61678D30">
                  <w:pPr>
                    <w:pStyle w:val="49"/>
                    <w:bidi w:val="0"/>
                    <w:jc w:val="left"/>
                    <w:rPr>
                      <w:rFonts w:hint="default"/>
                      <w:color w:val="auto"/>
                      <w:lang w:eastAsia="zh-CN"/>
                    </w:rPr>
                  </w:pPr>
                  <w:r>
                    <w:rPr>
                      <w:rFonts w:hint="default"/>
                      <w:color w:val="auto"/>
                      <w:lang w:eastAsia="zh-CN"/>
                    </w:rPr>
                    <w:t>产品特性：低挥发、低粘度、低Tg、高沸点、快速固化、稀释性佳、附着力强粘度cps25℃：6-12</w:t>
                  </w:r>
                  <w:r>
                    <w:rPr>
                      <w:rFonts w:hint="eastAsia"/>
                      <w:color w:val="auto"/>
                      <w:lang w:eastAsia="zh-CN"/>
                    </w:rPr>
                    <w:t>；</w:t>
                  </w:r>
                  <w:r>
                    <w:rPr>
                      <w:rFonts w:hint="default"/>
                      <w:color w:val="auto"/>
                      <w:lang w:eastAsia="zh-CN"/>
                    </w:rPr>
                    <w:t>固含量%：≥97</w:t>
                  </w:r>
                  <w:r>
                    <w:rPr>
                      <w:rFonts w:hint="eastAsia"/>
                      <w:color w:val="auto"/>
                      <w:lang w:eastAsia="zh-CN"/>
                    </w:rPr>
                    <w:t>；</w:t>
                  </w:r>
                  <w:r>
                    <w:rPr>
                      <w:rFonts w:hint="default"/>
                      <w:color w:val="auto"/>
                      <w:lang w:eastAsia="zh-CN"/>
                    </w:rPr>
                    <w:t>酸值mgkoH/g：≤1</w:t>
                  </w:r>
                </w:p>
                <w:p w14:paraId="78F7E0BE">
                  <w:pPr>
                    <w:pStyle w:val="49"/>
                    <w:bidi w:val="0"/>
                    <w:jc w:val="left"/>
                    <w:rPr>
                      <w:rFonts w:hint="default"/>
                      <w:color w:val="auto"/>
                      <w:lang w:eastAsia="zh-CN"/>
                    </w:rPr>
                  </w:pPr>
                  <w:r>
                    <w:rPr>
                      <w:rFonts w:hint="default"/>
                      <w:color w:val="auto"/>
                      <w:lang w:eastAsia="zh-CN"/>
                    </w:rPr>
                    <w:t>色度APHA：≤60</w:t>
                  </w:r>
                  <w:r>
                    <w:rPr>
                      <w:rFonts w:hint="eastAsia"/>
                      <w:color w:val="auto"/>
                      <w:lang w:eastAsia="zh-CN"/>
                    </w:rPr>
                    <w:t>；</w:t>
                  </w:r>
                  <w:r>
                    <w:rPr>
                      <w:rFonts w:hint="default"/>
                      <w:color w:val="auto"/>
                      <w:lang w:eastAsia="zh-CN"/>
                    </w:rPr>
                    <w:t>外观：无色或浅黄色液体</w:t>
                  </w:r>
                </w:p>
                <w:p w14:paraId="468ED511">
                  <w:pPr>
                    <w:pStyle w:val="49"/>
                    <w:bidi w:val="0"/>
                    <w:jc w:val="left"/>
                    <w:rPr>
                      <w:rFonts w:hint="default"/>
                      <w:color w:val="auto"/>
                      <w:lang w:eastAsia="zh-CN"/>
                    </w:rPr>
                  </w:pPr>
                  <w:r>
                    <w:rPr>
                      <w:rFonts w:hint="default"/>
                      <w:color w:val="auto"/>
                      <w:lang w:eastAsia="zh-CN"/>
                    </w:rPr>
                    <w:t>特性及用途: 本品为双官能度功能单体，具有低皮肤刺激，低收缩率，高活性的特点。本品广泛应用于塑料；粘合剂；纺织品；橡胶；改性共聚物；注塑件；涂料、油墨、光聚合物、阻焊油墨。</w:t>
                  </w:r>
                </w:p>
              </w:tc>
              <w:tc>
                <w:tcPr>
                  <w:tcW w:w="1313" w:type="dxa"/>
                  <w:tcBorders>
                    <w:tl2br w:val="nil"/>
                    <w:tr2bl w:val="nil"/>
                  </w:tcBorders>
                  <w:noWrap w:val="0"/>
                  <w:vAlign w:val="center"/>
                </w:tcPr>
                <w:p w14:paraId="0D2F4976">
                  <w:pPr>
                    <w:pStyle w:val="49"/>
                    <w:bidi w:val="0"/>
                    <w:rPr>
                      <w:rFonts w:hint="eastAsia"/>
                      <w:color w:val="auto"/>
                      <w:lang w:val="en-US" w:eastAsia="zh-CN"/>
                    </w:rPr>
                  </w:pPr>
                  <w:r>
                    <w:rPr>
                      <w:rFonts w:hint="eastAsia"/>
                      <w:color w:val="auto"/>
                      <w:lang w:val="en-US" w:eastAsia="zh-CN"/>
                    </w:rPr>
                    <w:t>可燃</w:t>
                  </w:r>
                </w:p>
              </w:tc>
              <w:tc>
                <w:tcPr>
                  <w:tcW w:w="1673" w:type="dxa"/>
                  <w:tcBorders>
                    <w:tl2br w:val="nil"/>
                    <w:tr2bl w:val="nil"/>
                  </w:tcBorders>
                  <w:noWrap w:val="0"/>
                  <w:vAlign w:val="center"/>
                </w:tcPr>
                <w:p w14:paraId="6D00F674">
                  <w:pPr>
                    <w:pStyle w:val="49"/>
                    <w:bidi w:val="0"/>
                    <w:rPr>
                      <w:rFonts w:hint="eastAsia"/>
                      <w:color w:val="auto"/>
                      <w:lang w:val="en-US" w:eastAsia="zh-CN"/>
                    </w:rPr>
                  </w:pPr>
                  <w:r>
                    <w:rPr>
                      <w:rFonts w:hint="eastAsia"/>
                      <w:color w:val="auto"/>
                      <w:lang w:val="en-US" w:eastAsia="zh-CN"/>
                    </w:rPr>
                    <w:t>无毒</w:t>
                  </w:r>
                </w:p>
              </w:tc>
            </w:tr>
            <w:tr w14:paraId="23EED8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dxa"/>
                  <w:tcBorders>
                    <w:tl2br w:val="nil"/>
                    <w:tr2bl w:val="nil"/>
                  </w:tcBorders>
                  <w:noWrap w:val="0"/>
                  <w:vAlign w:val="center"/>
                </w:tcPr>
                <w:p w14:paraId="23A48E83">
                  <w:pPr>
                    <w:pStyle w:val="49"/>
                    <w:bidi w:val="0"/>
                    <w:rPr>
                      <w:rFonts w:hint="default"/>
                      <w:color w:val="auto"/>
                      <w:lang w:val="en-US" w:eastAsia="zh-CN"/>
                    </w:rPr>
                  </w:pPr>
                  <w:r>
                    <w:rPr>
                      <w:rFonts w:hint="eastAsia"/>
                      <w:color w:val="auto"/>
                      <w:lang w:val="en-US" w:eastAsia="zh-CN"/>
                    </w:rPr>
                    <w:t>11</w:t>
                  </w:r>
                </w:p>
              </w:tc>
              <w:tc>
                <w:tcPr>
                  <w:tcW w:w="891" w:type="dxa"/>
                  <w:tcBorders>
                    <w:tl2br w:val="nil"/>
                    <w:tr2bl w:val="nil"/>
                  </w:tcBorders>
                  <w:noWrap w:val="0"/>
                  <w:vAlign w:val="center"/>
                </w:tcPr>
                <w:p w14:paraId="6BC0538E">
                  <w:pPr>
                    <w:keepNext w:val="0"/>
                    <w:keepLines w:val="0"/>
                    <w:pageBreakBefore w:val="0"/>
                    <w:widowControl w:val="0"/>
                    <w:kinsoku/>
                    <w:wordWrap/>
                    <w:overflowPunct/>
                    <w:topLinePunct w:val="0"/>
                    <w:autoSpaceDE w:val="0"/>
                    <w:autoSpaceDN w:val="0"/>
                    <w:bidi w:val="0"/>
                    <w:adjustRightInd/>
                    <w:snapToGrid/>
                    <w:spacing w:after="0"/>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有机官能硅烷</w:t>
                  </w:r>
                </w:p>
              </w:tc>
              <w:tc>
                <w:tcPr>
                  <w:tcW w:w="3693" w:type="dxa"/>
                  <w:tcBorders>
                    <w:tl2br w:val="nil"/>
                    <w:tr2bl w:val="nil"/>
                  </w:tcBorders>
                  <w:noWrap w:val="0"/>
                  <w:vAlign w:val="center"/>
                </w:tcPr>
                <w:p w14:paraId="59FABF32">
                  <w:pPr>
                    <w:pStyle w:val="49"/>
                    <w:bidi w:val="0"/>
                    <w:rPr>
                      <w:rFonts w:hint="default"/>
                      <w:color w:val="auto"/>
                      <w:lang w:eastAsia="zh-CN"/>
                    </w:rPr>
                  </w:pPr>
                  <w:r>
                    <w:rPr>
                      <w:rFonts w:hint="default"/>
                      <w:color w:val="auto"/>
                      <w:lang w:eastAsia="zh-CN"/>
                    </w:rPr>
                    <w:t>有机硅，即有机硅化合物，是指含有Si-C键、且至少有一个有机基是直接与硅原子相连的化合物，习惯上也常把那些通过氧、硫、氮等使有机基与硅原子相连接的化合物也当作有机硅化合物。其中，以硅氧键（-Si-O-Si-）为骨架组成的聚硅氧烷，是有机硅化合物中为数最多，研究最深、应用最广的一类，约占总用量的90%以上。</w:t>
                  </w:r>
                </w:p>
              </w:tc>
              <w:tc>
                <w:tcPr>
                  <w:tcW w:w="1313" w:type="dxa"/>
                  <w:tcBorders>
                    <w:tl2br w:val="nil"/>
                    <w:tr2bl w:val="nil"/>
                  </w:tcBorders>
                  <w:noWrap w:val="0"/>
                  <w:vAlign w:val="center"/>
                </w:tcPr>
                <w:p w14:paraId="05260EEE">
                  <w:pPr>
                    <w:pStyle w:val="49"/>
                    <w:bidi w:val="0"/>
                    <w:rPr>
                      <w:rFonts w:hint="eastAsia"/>
                      <w:color w:val="auto"/>
                      <w:lang w:val="en-US" w:eastAsia="zh-CN"/>
                    </w:rPr>
                  </w:pPr>
                  <w:r>
                    <w:rPr>
                      <w:rFonts w:hint="eastAsia"/>
                      <w:color w:val="auto"/>
                      <w:lang w:val="en-US" w:eastAsia="zh-CN"/>
                    </w:rPr>
                    <w:t>可燃</w:t>
                  </w:r>
                </w:p>
              </w:tc>
              <w:tc>
                <w:tcPr>
                  <w:tcW w:w="1673" w:type="dxa"/>
                  <w:tcBorders>
                    <w:tl2br w:val="nil"/>
                    <w:tr2bl w:val="nil"/>
                  </w:tcBorders>
                  <w:noWrap w:val="0"/>
                  <w:vAlign w:val="center"/>
                </w:tcPr>
                <w:p w14:paraId="258CAD19">
                  <w:pPr>
                    <w:pStyle w:val="49"/>
                    <w:bidi w:val="0"/>
                    <w:rPr>
                      <w:rFonts w:hint="eastAsia"/>
                      <w:color w:val="auto"/>
                      <w:lang w:val="en-US" w:eastAsia="zh-CN"/>
                    </w:rPr>
                  </w:pPr>
                  <w:r>
                    <w:rPr>
                      <w:rFonts w:hint="eastAsia"/>
                      <w:color w:val="auto"/>
                      <w:lang w:val="en-US" w:eastAsia="zh-CN"/>
                    </w:rPr>
                    <w:t>无毒</w:t>
                  </w:r>
                </w:p>
              </w:tc>
            </w:tr>
            <w:tr w14:paraId="01C720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dxa"/>
                  <w:tcBorders>
                    <w:tl2br w:val="nil"/>
                    <w:tr2bl w:val="nil"/>
                  </w:tcBorders>
                  <w:noWrap w:val="0"/>
                  <w:vAlign w:val="center"/>
                </w:tcPr>
                <w:p w14:paraId="208D6E36">
                  <w:pPr>
                    <w:pStyle w:val="49"/>
                    <w:bidi w:val="0"/>
                    <w:rPr>
                      <w:rFonts w:hint="default"/>
                      <w:color w:val="auto"/>
                      <w:lang w:val="en-US" w:eastAsia="zh-CN"/>
                    </w:rPr>
                  </w:pPr>
                  <w:r>
                    <w:rPr>
                      <w:rFonts w:hint="eastAsia"/>
                      <w:color w:val="auto"/>
                      <w:lang w:val="en-US" w:eastAsia="zh-CN"/>
                    </w:rPr>
                    <w:t>12</w:t>
                  </w:r>
                </w:p>
              </w:tc>
              <w:tc>
                <w:tcPr>
                  <w:tcW w:w="891" w:type="dxa"/>
                  <w:tcBorders>
                    <w:tl2br w:val="nil"/>
                    <w:tr2bl w:val="nil"/>
                  </w:tcBorders>
                  <w:noWrap w:val="0"/>
                  <w:vAlign w:val="center"/>
                </w:tcPr>
                <w:p w14:paraId="77C04258">
                  <w:pPr>
                    <w:keepNext w:val="0"/>
                    <w:keepLines w:val="0"/>
                    <w:pageBreakBefore w:val="0"/>
                    <w:widowControl w:val="0"/>
                    <w:kinsoku/>
                    <w:wordWrap/>
                    <w:overflowPunct/>
                    <w:topLinePunct w:val="0"/>
                    <w:autoSpaceDE w:val="0"/>
                    <w:autoSpaceDN w:val="0"/>
                    <w:bidi w:val="0"/>
                    <w:adjustRightInd/>
                    <w:snapToGrid/>
                    <w:spacing w:after="0"/>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季戊四醇三丙烯酸酯</w:t>
                  </w:r>
                </w:p>
              </w:tc>
              <w:tc>
                <w:tcPr>
                  <w:tcW w:w="3693" w:type="dxa"/>
                  <w:tcBorders>
                    <w:tl2br w:val="nil"/>
                    <w:tr2bl w:val="nil"/>
                  </w:tcBorders>
                  <w:noWrap w:val="0"/>
                  <w:vAlign w:val="center"/>
                </w:tcPr>
                <w:p w14:paraId="3A938B9E">
                  <w:pPr>
                    <w:pStyle w:val="49"/>
                    <w:bidi w:val="0"/>
                    <w:rPr>
                      <w:rFonts w:hint="default"/>
                      <w:color w:val="auto"/>
                      <w:lang w:eastAsia="zh-CN"/>
                    </w:rPr>
                  </w:pPr>
                  <w:r>
                    <w:rPr>
                      <w:rFonts w:hint="default"/>
                      <w:color w:val="auto"/>
                      <w:lang w:eastAsia="zh-CN"/>
                    </w:rPr>
                    <w:t>季戊四醇三丙烯酸酯（Pentaerythritol triacrylate），又称PETA，是一种丙烯酸酯类单体，化学式C14H18O7，分子量298.289，CAS号3524-68-3。该物质为浓透明黄色液体，密度1.2±0.1 g/cm³，沸点427.9±45.0℃，闪点153.5±22.2℃，蒸汽压0.0±2.3 mmHg（25℃），需避光密封保存于2-8℃通风干燥处。其合成通常以季戊四醇与丙烯酸为原料，采用对甲苯磺酸作催化剂，通过控制酸醇摩尔比（优选3.3:1）并添加阻聚剂（如对苯二酚）进行酯化反应 [1-3]。季戊四醇三丙烯酸酯含侧链羟基，可作为聚合物单体用于感光膜制备及复合材料接枝反应</w:t>
                  </w:r>
                </w:p>
              </w:tc>
              <w:tc>
                <w:tcPr>
                  <w:tcW w:w="1313" w:type="dxa"/>
                  <w:tcBorders>
                    <w:tl2br w:val="nil"/>
                    <w:tr2bl w:val="nil"/>
                  </w:tcBorders>
                  <w:noWrap w:val="0"/>
                  <w:vAlign w:val="center"/>
                </w:tcPr>
                <w:p w14:paraId="1F4A8CDA">
                  <w:pPr>
                    <w:pStyle w:val="49"/>
                    <w:bidi w:val="0"/>
                    <w:rPr>
                      <w:rFonts w:hint="eastAsia"/>
                      <w:color w:val="auto"/>
                      <w:lang w:val="en-US" w:eastAsia="zh-CN"/>
                    </w:rPr>
                  </w:pPr>
                  <w:r>
                    <w:rPr>
                      <w:rFonts w:hint="eastAsia"/>
                      <w:color w:val="auto"/>
                      <w:lang w:val="en-US" w:eastAsia="zh-CN"/>
                    </w:rPr>
                    <w:t>可燃</w:t>
                  </w:r>
                </w:p>
              </w:tc>
              <w:tc>
                <w:tcPr>
                  <w:tcW w:w="1673" w:type="dxa"/>
                  <w:tcBorders>
                    <w:tl2br w:val="nil"/>
                    <w:tr2bl w:val="nil"/>
                  </w:tcBorders>
                  <w:noWrap w:val="0"/>
                  <w:vAlign w:val="center"/>
                </w:tcPr>
                <w:p w14:paraId="691E0C73">
                  <w:pPr>
                    <w:pStyle w:val="49"/>
                    <w:bidi w:val="0"/>
                    <w:rPr>
                      <w:rFonts w:hint="eastAsia"/>
                      <w:color w:val="auto"/>
                      <w:lang w:val="en-US" w:eastAsia="zh-CN"/>
                    </w:rPr>
                  </w:pPr>
                  <w:r>
                    <w:rPr>
                      <w:rFonts w:hint="eastAsia"/>
                      <w:color w:val="auto"/>
                      <w:lang w:val="en-US" w:eastAsia="zh-CN"/>
                    </w:rPr>
                    <w:t>急性经口毒性（大鼠LD50 2460μL/kg）</w:t>
                  </w:r>
                </w:p>
              </w:tc>
            </w:tr>
            <w:tr w14:paraId="6FE788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dxa"/>
                  <w:tcBorders>
                    <w:tl2br w:val="nil"/>
                    <w:tr2bl w:val="nil"/>
                  </w:tcBorders>
                  <w:noWrap w:val="0"/>
                  <w:vAlign w:val="center"/>
                </w:tcPr>
                <w:p w14:paraId="4A3015C4">
                  <w:pPr>
                    <w:pStyle w:val="49"/>
                    <w:bidi w:val="0"/>
                    <w:rPr>
                      <w:rFonts w:hint="default"/>
                      <w:color w:val="auto"/>
                      <w:lang w:val="en-US" w:eastAsia="zh-CN"/>
                    </w:rPr>
                  </w:pPr>
                  <w:r>
                    <w:rPr>
                      <w:rFonts w:hint="eastAsia"/>
                      <w:color w:val="auto"/>
                      <w:lang w:val="en-US" w:eastAsia="zh-CN"/>
                    </w:rPr>
                    <w:t>13</w:t>
                  </w:r>
                </w:p>
              </w:tc>
              <w:tc>
                <w:tcPr>
                  <w:tcW w:w="891" w:type="dxa"/>
                  <w:tcBorders>
                    <w:tl2br w:val="nil"/>
                    <w:tr2bl w:val="nil"/>
                  </w:tcBorders>
                  <w:noWrap w:val="0"/>
                  <w:vAlign w:val="center"/>
                </w:tcPr>
                <w:p w14:paraId="75BE98A0">
                  <w:pPr>
                    <w:keepNext w:val="0"/>
                    <w:keepLines w:val="0"/>
                    <w:pageBreakBefore w:val="0"/>
                    <w:widowControl w:val="0"/>
                    <w:kinsoku/>
                    <w:wordWrap/>
                    <w:overflowPunct/>
                    <w:topLinePunct w:val="0"/>
                    <w:autoSpaceDE w:val="0"/>
                    <w:autoSpaceDN w:val="0"/>
                    <w:bidi w:val="0"/>
                    <w:adjustRightInd/>
                    <w:snapToGrid/>
                    <w:spacing w:after="0"/>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酰基氧化物</w:t>
                  </w:r>
                </w:p>
              </w:tc>
              <w:tc>
                <w:tcPr>
                  <w:tcW w:w="3693" w:type="dxa"/>
                  <w:tcBorders>
                    <w:tl2br w:val="nil"/>
                    <w:tr2bl w:val="nil"/>
                  </w:tcBorders>
                  <w:noWrap w:val="0"/>
                  <w:vAlign w:val="center"/>
                </w:tcPr>
                <w:p w14:paraId="504677ED">
                  <w:pPr>
                    <w:pStyle w:val="49"/>
                    <w:bidi w:val="0"/>
                    <w:rPr>
                      <w:rFonts w:hint="default"/>
                      <w:color w:val="auto"/>
                      <w:lang w:eastAsia="zh-CN"/>
                    </w:rPr>
                  </w:pPr>
                  <w:r>
                    <w:rPr>
                      <w:rFonts w:hint="default"/>
                      <w:color w:val="auto"/>
                      <w:lang w:eastAsia="zh-CN"/>
                    </w:rPr>
                    <w:t>酰基（acyl group）是由有机或无机含氧酸脱去羟基后形成的一价原子团，通式为R-M(O)-，常见于醛、酮、羧酸及其衍生物中。与羰基不同，酰基一端已连接烃基，仅余另一端可结合其他基团。磺酰基作为酰基变体被广泛用于药物设计，通过调节溶解性、增加氢键作用及阻断代谢位点提升药效。咖啡酰基奎宁酸类化合物由奎宁酸与咖啡酸酯化形成，具有抗氧化、抗炎等活性。酰基氧化膦类光引发剂因其可见光吸收特性，可应用于含颜料紫外光固化涂料，解决传统引发剂的黄化问题。</w:t>
                  </w:r>
                </w:p>
              </w:tc>
              <w:tc>
                <w:tcPr>
                  <w:tcW w:w="1313" w:type="dxa"/>
                  <w:tcBorders>
                    <w:tl2br w:val="nil"/>
                    <w:tr2bl w:val="nil"/>
                  </w:tcBorders>
                  <w:noWrap w:val="0"/>
                  <w:vAlign w:val="center"/>
                </w:tcPr>
                <w:p w14:paraId="3F95A766">
                  <w:pPr>
                    <w:pStyle w:val="49"/>
                    <w:bidi w:val="0"/>
                    <w:rPr>
                      <w:rFonts w:hint="eastAsia"/>
                      <w:color w:val="auto"/>
                      <w:lang w:val="en-US" w:eastAsia="zh-CN"/>
                    </w:rPr>
                  </w:pPr>
                  <w:r>
                    <w:rPr>
                      <w:rFonts w:hint="eastAsia"/>
                      <w:color w:val="auto"/>
                      <w:lang w:val="en-US" w:eastAsia="zh-CN"/>
                    </w:rPr>
                    <w:t>可燃</w:t>
                  </w:r>
                </w:p>
              </w:tc>
              <w:tc>
                <w:tcPr>
                  <w:tcW w:w="1673" w:type="dxa"/>
                  <w:tcBorders>
                    <w:tl2br w:val="nil"/>
                    <w:tr2bl w:val="nil"/>
                  </w:tcBorders>
                  <w:noWrap w:val="0"/>
                  <w:vAlign w:val="center"/>
                </w:tcPr>
                <w:p w14:paraId="055B084C">
                  <w:pPr>
                    <w:pStyle w:val="49"/>
                    <w:bidi w:val="0"/>
                    <w:rPr>
                      <w:rFonts w:hint="eastAsia"/>
                      <w:color w:val="auto"/>
                      <w:lang w:val="en-US" w:eastAsia="zh-CN"/>
                    </w:rPr>
                  </w:pPr>
                  <w:r>
                    <w:rPr>
                      <w:rFonts w:hint="eastAsia"/>
                      <w:color w:val="auto"/>
                      <w:lang w:val="en-US" w:eastAsia="zh-CN"/>
                    </w:rPr>
                    <w:t>无毒</w:t>
                  </w:r>
                </w:p>
              </w:tc>
            </w:tr>
            <w:tr w14:paraId="0AF247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87" w:type="dxa"/>
                  <w:tcBorders>
                    <w:tl2br w:val="nil"/>
                    <w:tr2bl w:val="nil"/>
                  </w:tcBorders>
                  <w:noWrap w:val="0"/>
                  <w:vAlign w:val="center"/>
                </w:tcPr>
                <w:p w14:paraId="4C2C7FB4">
                  <w:pPr>
                    <w:pStyle w:val="49"/>
                    <w:bidi w:val="0"/>
                    <w:rPr>
                      <w:rFonts w:hint="default"/>
                      <w:color w:val="auto"/>
                      <w:lang w:val="en-US" w:eastAsia="zh-CN"/>
                    </w:rPr>
                  </w:pPr>
                  <w:r>
                    <w:rPr>
                      <w:rFonts w:hint="eastAsia"/>
                      <w:color w:val="auto"/>
                      <w:lang w:val="en-US" w:eastAsia="zh-CN"/>
                    </w:rPr>
                    <w:t>14</w:t>
                  </w:r>
                </w:p>
              </w:tc>
              <w:tc>
                <w:tcPr>
                  <w:tcW w:w="891" w:type="dxa"/>
                  <w:tcBorders>
                    <w:tl2br w:val="nil"/>
                    <w:tr2bl w:val="nil"/>
                  </w:tcBorders>
                  <w:noWrap w:val="0"/>
                  <w:vAlign w:val="center"/>
                </w:tcPr>
                <w:p w14:paraId="180EB54E">
                  <w:pPr>
                    <w:keepNext w:val="0"/>
                    <w:keepLines w:val="0"/>
                    <w:pageBreakBefore w:val="0"/>
                    <w:widowControl w:val="0"/>
                    <w:kinsoku/>
                    <w:wordWrap/>
                    <w:overflowPunct/>
                    <w:topLinePunct w:val="0"/>
                    <w:autoSpaceDE w:val="0"/>
                    <w:autoSpaceDN w:val="0"/>
                    <w:bidi w:val="0"/>
                    <w:adjustRightInd/>
                    <w:snapToGrid/>
                    <w:spacing w:after="0"/>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丁醇</w:t>
                  </w:r>
                </w:p>
              </w:tc>
              <w:tc>
                <w:tcPr>
                  <w:tcW w:w="3693" w:type="dxa"/>
                  <w:tcBorders>
                    <w:tl2br w:val="nil"/>
                    <w:tr2bl w:val="nil"/>
                  </w:tcBorders>
                  <w:noWrap w:val="0"/>
                  <w:vAlign w:val="center"/>
                </w:tcPr>
                <w:p w14:paraId="658B99C1">
                  <w:pPr>
                    <w:pStyle w:val="49"/>
                    <w:bidi w:val="0"/>
                    <w:rPr>
                      <w:rFonts w:hint="default"/>
                      <w:color w:val="auto"/>
                      <w:lang w:eastAsia="zh-CN"/>
                    </w:rPr>
                  </w:pPr>
                  <w:r>
                    <w:rPr>
                      <w:rFonts w:hint="default"/>
                      <w:color w:val="auto"/>
                      <w:lang w:eastAsia="zh-CN"/>
                    </w:rPr>
                    <w:t>正丁醇，又名1-丁醇，化学式为C</w:t>
                  </w:r>
                  <w:r>
                    <w:rPr>
                      <w:rFonts w:hint="default"/>
                      <w:color w:val="auto"/>
                      <w:vertAlign w:val="subscript"/>
                      <w:lang w:eastAsia="zh-CN"/>
                    </w:rPr>
                    <w:t>4</w:t>
                  </w:r>
                  <w:r>
                    <w:rPr>
                      <w:rFonts w:hint="default"/>
                      <w:color w:val="auto"/>
                      <w:lang w:eastAsia="zh-CN"/>
                    </w:rPr>
                    <w:t>H</w:t>
                  </w:r>
                  <w:r>
                    <w:rPr>
                      <w:rFonts w:hint="default"/>
                      <w:color w:val="auto"/>
                      <w:vertAlign w:val="subscript"/>
                      <w:lang w:eastAsia="zh-CN"/>
                    </w:rPr>
                    <w:t>10</w:t>
                  </w:r>
                  <w:r>
                    <w:rPr>
                      <w:rFonts w:hint="default"/>
                      <w:color w:val="auto"/>
                      <w:lang w:eastAsia="zh-CN"/>
                    </w:rPr>
                    <w:t>O，为无色透明的液体有机化合物，有酒味。</w:t>
                  </w:r>
                </w:p>
              </w:tc>
              <w:tc>
                <w:tcPr>
                  <w:tcW w:w="1313" w:type="dxa"/>
                  <w:tcBorders>
                    <w:tl2br w:val="nil"/>
                    <w:tr2bl w:val="nil"/>
                  </w:tcBorders>
                  <w:noWrap w:val="0"/>
                  <w:vAlign w:val="center"/>
                </w:tcPr>
                <w:p w14:paraId="64A6BF4D">
                  <w:pPr>
                    <w:pStyle w:val="49"/>
                    <w:bidi w:val="0"/>
                    <w:rPr>
                      <w:rFonts w:hint="default"/>
                      <w:color w:val="auto"/>
                      <w:lang w:val="en-US" w:eastAsia="zh-CN"/>
                    </w:rPr>
                  </w:pPr>
                  <w:r>
                    <w:rPr>
                      <w:rFonts w:hint="eastAsia"/>
                      <w:color w:val="auto"/>
                      <w:lang w:val="en-US" w:eastAsia="zh-CN"/>
                    </w:rPr>
                    <w:t>易燃</w:t>
                  </w:r>
                </w:p>
              </w:tc>
              <w:tc>
                <w:tcPr>
                  <w:tcW w:w="1673" w:type="dxa"/>
                  <w:tcBorders>
                    <w:tl2br w:val="nil"/>
                    <w:tr2bl w:val="nil"/>
                  </w:tcBorders>
                  <w:noWrap w:val="0"/>
                  <w:vAlign w:val="center"/>
                </w:tcPr>
                <w:p w14:paraId="2A1C84C6">
                  <w:pPr>
                    <w:pStyle w:val="49"/>
                    <w:bidi w:val="0"/>
                    <w:rPr>
                      <w:rFonts w:hint="eastAsia"/>
                      <w:color w:val="auto"/>
                      <w:lang w:val="en-US" w:eastAsia="zh-CN"/>
                    </w:rPr>
                  </w:pPr>
                  <w:r>
                    <w:rPr>
                      <w:rFonts w:hint="eastAsia"/>
                      <w:color w:val="auto"/>
                      <w:lang w:val="en-US" w:eastAsia="zh-CN"/>
                    </w:rPr>
                    <w:t>LD50：790 mg/kg（大鼠经口）；100 mg/kg（小鼠经口）；3484 mg/kg（兔经口）；3400 mg/kg（兔经皮）</w:t>
                  </w:r>
                </w:p>
                <w:p w14:paraId="46540432">
                  <w:pPr>
                    <w:pStyle w:val="49"/>
                    <w:bidi w:val="0"/>
                    <w:rPr>
                      <w:rFonts w:hint="default"/>
                      <w:color w:val="auto"/>
                      <w:lang w:val="en-US" w:eastAsia="zh-CN"/>
                    </w:rPr>
                  </w:pPr>
                  <w:r>
                    <w:rPr>
                      <w:rFonts w:hint="eastAsia"/>
                      <w:color w:val="auto"/>
                      <w:lang w:val="en-US" w:eastAsia="zh-CN"/>
                    </w:rPr>
                    <w:t>LC50：8000 ppm（大鼠吸入，4h）</w:t>
                  </w:r>
                </w:p>
              </w:tc>
            </w:tr>
          </w:tbl>
          <w:p w14:paraId="4D86D9F8">
            <w:pPr>
              <w:pStyle w:val="4"/>
              <w:bidi w:val="0"/>
              <w:rPr>
                <w:rFonts w:hint="default" w:ascii="Times New Roman" w:hAnsi="Times New Roman" w:cs="Times New Roman"/>
                <w:color w:val="auto"/>
              </w:rPr>
            </w:pPr>
            <w:r>
              <w:rPr>
                <w:rFonts w:hint="eastAsia" w:cs="Times New Roman"/>
                <w:color w:val="auto"/>
                <w:lang w:val="en-US" w:eastAsia="zh-CN"/>
              </w:rPr>
              <w:t>3</w:t>
            </w:r>
            <w:r>
              <w:rPr>
                <w:rFonts w:hint="default" w:ascii="Times New Roman" w:hAnsi="Times New Roman" w:cs="Times New Roman"/>
                <w:color w:val="auto"/>
                <w:lang w:val="en-US" w:eastAsia="zh-CN"/>
              </w:rPr>
              <w:t>、主要生产单元、设施设备</w:t>
            </w:r>
          </w:p>
          <w:p w14:paraId="4F0B557E">
            <w:pPr>
              <w:bidi w:val="0"/>
              <w:spacing w:line="240" w:lineRule="auto"/>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rPr>
              <w:t>表2-</w:t>
            </w:r>
            <w:r>
              <w:rPr>
                <w:rFonts w:hint="eastAsia" w:cs="Times New Roman"/>
                <w:b/>
                <w:bCs/>
                <w:color w:val="auto"/>
                <w:lang w:val="en-US" w:eastAsia="zh-CN"/>
              </w:rPr>
              <w:t xml:space="preserve">5 </w:t>
            </w:r>
            <w:r>
              <w:rPr>
                <w:rFonts w:hint="default" w:ascii="Times New Roman" w:hAnsi="Times New Roman" w:eastAsia="宋体" w:cs="Times New Roman"/>
                <w:b/>
                <w:bCs/>
                <w:color w:val="auto"/>
                <w:lang w:val="en-US" w:eastAsia="zh-CN"/>
              </w:rPr>
              <w:t>主要生产单元、设施设备名称一览</w:t>
            </w:r>
            <w:r>
              <w:rPr>
                <w:rFonts w:hint="default" w:ascii="Times New Roman" w:hAnsi="Times New Roman" w:eastAsia="宋体" w:cs="Times New Roman"/>
                <w:b/>
                <w:bCs/>
                <w:color w:val="auto"/>
              </w:rPr>
              <w:t>表</w:t>
            </w:r>
          </w:p>
          <w:tbl>
            <w:tblPr>
              <w:tblStyle w:val="20"/>
              <w:tblW w:w="492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06"/>
              <w:gridCol w:w="1386"/>
              <w:gridCol w:w="1414"/>
              <w:gridCol w:w="1156"/>
              <w:gridCol w:w="1156"/>
              <w:gridCol w:w="1160"/>
              <w:gridCol w:w="1472"/>
            </w:tblGrid>
            <w:tr w14:paraId="0ABA01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5" w:hRule="atLeast"/>
                <w:jc w:val="center"/>
              </w:trPr>
              <w:tc>
                <w:tcPr>
                  <w:tcW w:w="249" w:type="pct"/>
                  <w:vMerge w:val="restart"/>
                  <w:tcBorders>
                    <w:tl2br w:val="nil"/>
                    <w:tr2bl w:val="nil"/>
                  </w:tcBorders>
                  <w:noWrap w:val="0"/>
                  <w:vAlign w:val="center"/>
                </w:tcPr>
                <w:p w14:paraId="3F3A29F4">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序号</w:t>
                  </w:r>
                </w:p>
              </w:tc>
              <w:tc>
                <w:tcPr>
                  <w:tcW w:w="850" w:type="pct"/>
                  <w:vMerge w:val="restart"/>
                  <w:tcBorders>
                    <w:tl2br w:val="nil"/>
                    <w:tr2bl w:val="nil"/>
                  </w:tcBorders>
                  <w:noWrap w:val="0"/>
                  <w:vAlign w:val="center"/>
                </w:tcPr>
                <w:p w14:paraId="6F17A18B">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设备名称</w:t>
                  </w:r>
                </w:p>
              </w:tc>
              <w:tc>
                <w:tcPr>
                  <w:tcW w:w="867" w:type="pct"/>
                  <w:vMerge w:val="restart"/>
                  <w:tcBorders>
                    <w:tl2br w:val="nil"/>
                    <w:tr2bl w:val="nil"/>
                  </w:tcBorders>
                  <w:noWrap w:val="0"/>
                  <w:vAlign w:val="center"/>
                </w:tcPr>
                <w:p w14:paraId="7A03CBA2">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lang w:val="en-US" w:eastAsia="zh-CN"/>
                    </w:rPr>
                    <w:t>型号规格</w:t>
                  </w:r>
                </w:p>
              </w:tc>
              <w:tc>
                <w:tcPr>
                  <w:tcW w:w="2129" w:type="pct"/>
                  <w:gridSpan w:val="3"/>
                  <w:tcBorders>
                    <w:tl2br w:val="nil"/>
                    <w:tr2bl w:val="nil"/>
                  </w:tcBorders>
                  <w:noWrap w:val="0"/>
                  <w:vAlign w:val="center"/>
                </w:tcPr>
                <w:p w14:paraId="00E984D0">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数量</w:t>
                  </w:r>
                  <w:r>
                    <w:rPr>
                      <w:rFonts w:hint="default" w:ascii="Times New Roman" w:hAnsi="Times New Roman" w:cs="Times New Roman"/>
                      <w:b/>
                      <w:bCs/>
                      <w:color w:val="auto"/>
                      <w:sz w:val="18"/>
                      <w:szCs w:val="18"/>
                      <w:lang w:eastAsia="zh-CN"/>
                    </w:rPr>
                    <w:t>（</w:t>
                  </w:r>
                  <w:r>
                    <w:rPr>
                      <w:rFonts w:hint="default" w:ascii="Times New Roman" w:hAnsi="Times New Roman" w:cs="Times New Roman"/>
                      <w:b/>
                      <w:bCs/>
                      <w:color w:val="auto"/>
                      <w:sz w:val="18"/>
                      <w:szCs w:val="18"/>
                      <w:lang w:val="en-US" w:eastAsia="zh-CN"/>
                    </w:rPr>
                    <w:t>台</w:t>
                  </w:r>
                  <w:r>
                    <w:rPr>
                      <w:rFonts w:hint="default" w:ascii="Times New Roman" w:hAnsi="Times New Roman" w:cs="Times New Roman"/>
                      <w:b/>
                      <w:bCs/>
                      <w:color w:val="auto"/>
                      <w:sz w:val="18"/>
                      <w:szCs w:val="18"/>
                      <w:lang w:eastAsia="zh-CN"/>
                    </w:rPr>
                    <w:t>）</w:t>
                  </w:r>
                </w:p>
              </w:tc>
              <w:tc>
                <w:tcPr>
                  <w:tcW w:w="902" w:type="pct"/>
                  <w:vMerge w:val="restart"/>
                  <w:tcBorders>
                    <w:tl2br w:val="nil"/>
                    <w:tr2bl w:val="nil"/>
                  </w:tcBorders>
                  <w:noWrap w:val="0"/>
                  <w:vAlign w:val="center"/>
                </w:tcPr>
                <w:p w14:paraId="5FB3266B">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备注</w:t>
                  </w:r>
                </w:p>
              </w:tc>
            </w:tr>
            <w:tr w14:paraId="2BA06A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5" w:hRule="atLeast"/>
                <w:jc w:val="center"/>
              </w:trPr>
              <w:tc>
                <w:tcPr>
                  <w:tcW w:w="249" w:type="pct"/>
                  <w:vMerge w:val="continue"/>
                  <w:tcBorders>
                    <w:tl2br w:val="nil"/>
                    <w:tr2bl w:val="nil"/>
                  </w:tcBorders>
                  <w:noWrap w:val="0"/>
                  <w:vAlign w:val="center"/>
                </w:tcPr>
                <w:p w14:paraId="09352131">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cs="Times New Roman"/>
                      <w:color w:val="auto"/>
                      <w:sz w:val="18"/>
                      <w:szCs w:val="18"/>
                    </w:rPr>
                  </w:pPr>
                </w:p>
              </w:tc>
              <w:tc>
                <w:tcPr>
                  <w:tcW w:w="850" w:type="pct"/>
                  <w:vMerge w:val="continue"/>
                  <w:tcBorders>
                    <w:tl2br w:val="nil"/>
                    <w:tr2bl w:val="nil"/>
                  </w:tcBorders>
                  <w:noWrap w:val="0"/>
                  <w:vAlign w:val="center"/>
                </w:tcPr>
                <w:p w14:paraId="4E8A3D92">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cs="Times New Roman"/>
                      <w:color w:val="auto"/>
                      <w:sz w:val="18"/>
                      <w:szCs w:val="18"/>
                    </w:rPr>
                  </w:pPr>
                </w:p>
              </w:tc>
              <w:tc>
                <w:tcPr>
                  <w:tcW w:w="867" w:type="pct"/>
                  <w:vMerge w:val="continue"/>
                  <w:tcBorders>
                    <w:tl2br w:val="nil"/>
                    <w:tr2bl w:val="nil"/>
                  </w:tcBorders>
                  <w:noWrap w:val="0"/>
                  <w:vAlign w:val="center"/>
                </w:tcPr>
                <w:p w14:paraId="5D97CFCF">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cs="Times New Roman"/>
                      <w:color w:val="auto"/>
                      <w:sz w:val="18"/>
                      <w:szCs w:val="18"/>
                    </w:rPr>
                  </w:pPr>
                </w:p>
              </w:tc>
              <w:tc>
                <w:tcPr>
                  <w:tcW w:w="709" w:type="pct"/>
                  <w:tcBorders>
                    <w:tl2br w:val="nil"/>
                    <w:tr2bl w:val="nil"/>
                  </w:tcBorders>
                  <w:noWrap w:val="0"/>
                  <w:vAlign w:val="center"/>
                </w:tcPr>
                <w:p w14:paraId="0F5DAB6A">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bCs/>
                      <w:color w:val="auto"/>
                      <w:sz w:val="18"/>
                      <w:szCs w:val="18"/>
                      <w:lang w:eastAsia="zh-CN"/>
                    </w:rPr>
                  </w:pPr>
                  <w:r>
                    <w:rPr>
                      <w:rFonts w:hint="default" w:ascii="Times New Roman" w:hAnsi="Times New Roman" w:cs="Times New Roman"/>
                      <w:b/>
                      <w:bCs/>
                      <w:color w:val="auto"/>
                      <w:sz w:val="18"/>
                      <w:szCs w:val="18"/>
                      <w:lang w:eastAsia="zh-CN"/>
                    </w:rPr>
                    <w:t>技改前</w:t>
                  </w:r>
                </w:p>
              </w:tc>
              <w:tc>
                <w:tcPr>
                  <w:tcW w:w="709" w:type="pct"/>
                  <w:tcBorders>
                    <w:tl2br w:val="nil"/>
                    <w:tr2bl w:val="nil"/>
                  </w:tcBorders>
                  <w:noWrap w:val="0"/>
                  <w:vAlign w:val="center"/>
                </w:tcPr>
                <w:p w14:paraId="14ACA90F">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bCs/>
                      <w:color w:val="auto"/>
                      <w:sz w:val="18"/>
                      <w:szCs w:val="18"/>
                      <w:lang w:eastAsia="zh-CN"/>
                    </w:rPr>
                  </w:pPr>
                  <w:r>
                    <w:rPr>
                      <w:rFonts w:hint="default" w:ascii="Times New Roman" w:hAnsi="Times New Roman" w:cs="Times New Roman"/>
                      <w:b/>
                      <w:bCs/>
                      <w:color w:val="auto"/>
                      <w:sz w:val="18"/>
                      <w:szCs w:val="18"/>
                      <w:lang w:eastAsia="zh-CN"/>
                    </w:rPr>
                    <w:t>技改后</w:t>
                  </w:r>
                </w:p>
              </w:tc>
              <w:tc>
                <w:tcPr>
                  <w:tcW w:w="710" w:type="pct"/>
                  <w:tcBorders>
                    <w:tl2br w:val="nil"/>
                    <w:tr2bl w:val="nil"/>
                  </w:tcBorders>
                  <w:noWrap w:val="0"/>
                  <w:vAlign w:val="center"/>
                </w:tcPr>
                <w:p w14:paraId="34F9169E">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bCs/>
                      <w:color w:val="auto"/>
                      <w:sz w:val="18"/>
                      <w:szCs w:val="18"/>
                      <w:lang w:eastAsia="zh-CN"/>
                    </w:rPr>
                  </w:pPr>
                  <w:r>
                    <w:rPr>
                      <w:rFonts w:hint="default" w:ascii="Times New Roman" w:hAnsi="Times New Roman" w:cs="Times New Roman"/>
                      <w:b/>
                      <w:bCs/>
                      <w:color w:val="auto"/>
                      <w:sz w:val="18"/>
                      <w:szCs w:val="18"/>
                      <w:lang w:eastAsia="zh-CN"/>
                    </w:rPr>
                    <w:t>变化量</w:t>
                  </w:r>
                </w:p>
              </w:tc>
              <w:tc>
                <w:tcPr>
                  <w:tcW w:w="902" w:type="pct"/>
                  <w:vMerge w:val="continue"/>
                  <w:tcBorders>
                    <w:tl2br w:val="nil"/>
                    <w:tr2bl w:val="nil"/>
                  </w:tcBorders>
                  <w:noWrap w:val="0"/>
                  <w:vAlign w:val="center"/>
                </w:tcPr>
                <w:p w14:paraId="0CC3414A">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bCs/>
                      <w:color w:val="auto"/>
                      <w:sz w:val="18"/>
                      <w:szCs w:val="18"/>
                    </w:rPr>
                  </w:pPr>
                </w:p>
              </w:tc>
            </w:tr>
            <w:tr w14:paraId="7B785E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37" w:hRule="atLeast"/>
                <w:jc w:val="center"/>
              </w:trPr>
              <w:tc>
                <w:tcPr>
                  <w:tcW w:w="249" w:type="pct"/>
                  <w:tcBorders>
                    <w:tl2br w:val="nil"/>
                    <w:tr2bl w:val="nil"/>
                  </w:tcBorders>
                  <w:noWrap w:val="0"/>
                  <w:vAlign w:val="center"/>
                </w:tcPr>
                <w:p w14:paraId="24D14661">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w:t>
                  </w:r>
                </w:p>
              </w:tc>
              <w:tc>
                <w:tcPr>
                  <w:tcW w:w="850" w:type="pct"/>
                  <w:tcBorders>
                    <w:tl2br w:val="nil"/>
                    <w:tr2bl w:val="nil"/>
                  </w:tcBorders>
                  <w:noWrap w:val="0"/>
                  <w:vAlign w:val="center"/>
                </w:tcPr>
                <w:p w14:paraId="3BF9889A">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自动除尘（含除尘机器人）</w:t>
                  </w:r>
                </w:p>
              </w:tc>
              <w:tc>
                <w:tcPr>
                  <w:tcW w:w="867" w:type="pct"/>
                  <w:tcBorders>
                    <w:tl2br w:val="nil"/>
                    <w:tr2bl w:val="nil"/>
                  </w:tcBorders>
                  <w:noWrap w:val="0"/>
                  <w:vAlign w:val="center"/>
                </w:tcPr>
                <w:p w14:paraId="0EA9B358">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709" w:type="pct"/>
                  <w:tcBorders>
                    <w:tl2br w:val="nil"/>
                    <w:tr2bl w:val="nil"/>
                  </w:tcBorders>
                  <w:noWrap w:val="0"/>
                  <w:vAlign w:val="center"/>
                </w:tcPr>
                <w:p w14:paraId="6EEA9938">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709" w:type="pct"/>
                  <w:tcBorders>
                    <w:tl2br w:val="nil"/>
                    <w:tr2bl w:val="nil"/>
                  </w:tcBorders>
                  <w:noWrap w:val="0"/>
                  <w:vAlign w:val="center"/>
                </w:tcPr>
                <w:p w14:paraId="31F1CFD9">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710" w:type="pct"/>
                  <w:tcBorders>
                    <w:tl2br w:val="nil"/>
                    <w:tr2bl w:val="nil"/>
                  </w:tcBorders>
                  <w:noWrap w:val="0"/>
                  <w:vAlign w:val="center"/>
                </w:tcPr>
                <w:p w14:paraId="502298FE">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902" w:type="pct"/>
                  <w:vMerge w:val="restart"/>
                  <w:tcBorders>
                    <w:tl2br w:val="nil"/>
                    <w:tr2bl w:val="nil"/>
                  </w:tcBorders>
                  <w:noWrap w:val="0"/>
                  <w:vAlign w:val="center"/>
                </w:tcPr>
                <w:p w14:paraId="1C961CCC">
                  <w:pPr>
                    <w:pStyle w:val="55"/>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default" w:ascii="Times New Roman" w:hAnsi="Times New Roman" w:cs="Times New Roman"/>
                      <w:color w:val="auto"/>
                      <w:kern w:val="2"/>
                      <w:sz w:val="18"/>
                      <w:szCs w:val="18"/>
                      <w:lang w:val="en-US" w:eastAsia="zh-CN" w:bidi="ar-SA"/>
                    </w:rPr>
                  </w:pPr>
                  <w:r>
                    <w:rPr>
                      <w:rFonts w:hint="eastAsia" w:cs="Times New Roman"/>
                      <w:color w:val="auto"/>
                      <w:kern w:val="2"/>
                      <w:sz w:val="18"/>
                      <w:szCs w:val="18"/>
                      <w:lang w:val="en-US" w:eastAsia="zh-CN" w:bidi="ar-SA"/>
                    </w:rPr>
                    <w:t>HC线</w:t>
                  </w:r>
                </w:p>
              </w:tc>
            </w:tr>
            <w:tr w14:paraId="02D39F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5" w:hRule="atLeast"/>
                <w:jc w:val="center"/>
              </w:trPr>
              <w:tc>
                <w:tcPr>
                  <w:tcW w:w="249" w:type="pct"/>
                  <w:tcBorders>
                    <w:tl2br w:val="nil"/>
                    <w:tr2bl w:val="nil"/>
                  </w:tcBorders>
                  <w:noWrap w:val="0"/>
                  <w:vAlign w:val="center"/>
                </w:tcPr>
                <w:p w14:paraId="56BE724A">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w:t>
                  </w:r>
                </w:p>
              </w:tc>
              <w:tc>
                <w:tcPr>
                  <w:tcW w:w="850" w:type="pct"/>
                  <w:tcBorders>
                    <w:tl2br w:val="nil"/>
                    <w:tr2bl w:val="nil"/>
                  </w:tcBorders>
                  <w:noWrap w:val="0"/>
                  <w:vAlign w:val="center"/>
                </w:tcPr>
                <w:p w14:paraId="08127DA8">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上件区移送机械手</w:t>
                  </w:r>
                </w:p>
              </w:tc>
              <w:tc>
                <w:tcPr>
                  <w:tcW w:w="867" w:type="pct"/>
                  <w:tcBorders>
                    <w:tl2br w:val="nil"/>
                    <w:tr2bl w:val="nil"/>
                  </w:tcBorders>
                  <w:noWrap w:val="0"/>
                  <w:vAlign w:val="center"/>
                </w:tcPr>
                <w:p w14:paraId="4FA7BA1E">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709" w:type="pct"/>
                  <w:tcBorders>
                    <w:tl2br w:val="nil"/>
                    <w:tr2bl w:val="nil"/>
                  </w:tcBorders>
                  <w:noWrap w:val="0"/>
                  <w:vAlign w:val="center"/>
                </w:tcPr>
                <w:p w14:paraId="52C86561">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709" w:type="pct"/>
                  <w:tcBorders>
                    <w:tl2br w:val="nil"/>
                    <w:tr2bl w:val="nil"/>
                  </w:tcBorders>
                  <w:noWrap w:val="0"/>
                  <w:vAlign w:val="center"/>
                </w:tcPr>
                <w:p w14:paraId="71EABFD8">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710" w:type="pct"/>
                  <w:tcBorders>
                    <w:tl2br w:val="nil"/>
                    <w:tr2bl w:val="nil"/>
                  </w:tcBorders>
                  <w:noWrap w:val="0"/>
                  <w:vAlign w:val="center"/>
                </w:tcPr>
                <w:p w14:paraId="407B24D0">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902" w:type="pct"/>
                  <w:vMerge w:val="continue"/>
                  <w:tcBorders>
                    <w:tl2br w:val="nil"/>
                    <w:tr2bl w:val="nil"/>
                  </w:tcBorders>
                  <w:noWrap w:val="0"/>
                  <w:vAlign w:val="center"/>
                </w:tcPr>
                <w:p w14:paraId="1D5E3460">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default" w:ascii="Times New Roman" w:hAnsi="Times New Roman" w:cs="Times New Roman"/>
                      <w:color w:val="auto"/>
                      <w:kern w:val="2"/>
                      <w:sz w:val="18"/>
                      <w:szCs w:val="18"/>
                      <w:lang w:val="en-US" w:eastAsia="zh-CN" w:bidi="ar-SA"/>
                    </w:rPr>
                  </w:pPr>
                </w:p>
              </w:tc>
            </w:tr>
            <w:tr w14:paraId="3062FC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249" w:type="pct"/>
                  <w:tcBorders>
                    <w:tl2br w:val="nil"/>
                    <w:tr2bl w:val="nil"/>
                  </w:tcBorders>
                  <w:noWrap w:val="0"/>
                  <w:vAlign w:val="center"/>
                </w:tcPr>
                <w:p w14:paraId="65E5FF59">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3</w:t>
                  </w:r>
                </w:p>
              </w:tc>
              <w:tc>
                <w:tcPr>
                  <w:tcW w:w="850" w:type="pct"/>
                  <w:tcBorders>
                    <w:tl2br w:val="nil"/>
                    <w:tr2bl w:val="nil"/>
                  </w:tcBorders>
                  <w:noWrap w:val="0"/>
                  <w:vAlign w:val="center"/>
                </w:tcPr>
                <w:p w14:paraId="30C9AAF8">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HC干式喷房</w:t>
                  </w:r>
                </w:p>
              </w:tc>
              <w:tc>
                <w:tcPr>
                  <w:tcW w:w="867" w:type="pct"/>
                  <w:tcBorders>
                    <w:tl2br w:val="nil"/>
                    <w:tr2bl w:val="nil"/>
                  </w:tcBorders>
                  <w:noWrap w:val="0"/>
                  <w:vAlign w:val="center"/>
                </w:tcPr>
                <w:p w14:paraId="0BEC6EAA">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709" w:type="pct"/>
                  <w:tcBorders>
                    <w:tl2br w:val="nil"/>
                    <w:tr2bl w:val="nil"/>
                  </w:tcBorders>
                  <w:noWrap w:val="0"/>
                  <w:vAlign w:val="center"/>
                </w:tcPr>
                <w:p w14:paraId="63D3BB40">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709" w:type="pct"/>
                  <w:tcBorders>
                    <w:tl2br w:val="nil"/>
                    <w:tr2bl w:val="nil"/>
                  </w:tcBorders>
                  <w:noWrap w:val="0"/>
                  <w:vAlign w:val="center"/>
                </w:tcPr>
                <w:p w14:paraId="3AA71BAB">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710" w:type="pct"/>
                  <w:tcBorders>
                    <w:tl2br w:val="nil"/>
                    <w:tr2bl w:val="nil"/>
                  </w:tcBorders>
                  <w:noWrap w:val="0"/>
                  <w:vAlign w:val="center"/>
                </w:tcPr>
                <w:p w14:paraId="0A91AFB6">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902" w:type="pct"/>
                  <w:vMerge w:val="continue"/>
                  <w:tcBorders>
                    <w:tl2br w:val="nil"/>
                    <w:tr2bl w:val="nil"/>
                  </w:tcBorders>
                  <w:noWrap w:val="0"/>
                  <w:vAlign w:val="center"/>
                </w:tcPr>
                <w:p w14:paraId="0924C085">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default" w:ascii="Times New Roman" w:hAnsi="Times New Roman" w:cs="Times New Roman"/>
                      <w:color w:val="auto"/>
                      <w:kern w:val="2"/>
                      <w:sz w:val="18"/>
                      <w:szCs w:val="18"/>
                      <w:lang w:val="en-US" w:eastAsia="zh-CN" w:bidi="ar-SA"/>
                    </w:rPr>
                  </w:pPr>
                </w:p>
              </w:tc>
            </w:tr>
            <w:tr w14:paraId="4DA955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249" w:type="pct"/>
                  <w:tcBorders>
                    <w:tl2br w:val="nil"/>
                    <w:tr2bl w:val="nil"/>
                  </w:tcBorders>
                  <w:noWrap w:val="0"/>
                  <w:vAlign w:val="center"/>
                </w:tcPr>
                <w:p w14:paraId="3081085C">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w:t>
                  </w:r>
                </w:p>
              </w:tc>
              <w:tc>
                <w:tcPr>
                  <w:tcW w:w="850" w:type="pct"/>
                  <w:tcBorders>
                    <w:tl2br w:val="nil"/>
                    <w:tr2bl w:val="nil"/>
                  </w:tcBorders>
                  <w:noWrap w:val="0"/>
                  <w:vAlign w:val="center"/>
                </w:tcPr>
                <w:p w14:paraId="31F8F5D9">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HC两次过滤箱</w:t>
                  </w:r>
                </w:p>
              </w:tc>
              <w:tc>
                <w:tcPr>
                  <w:tcW w:w="867" w:type="pct"/>
                  <w:tcBorders>
                    <w:tl2br w:val="nil"/>
                    <w:tr2bl w:val="nil"/>
                  </w:tcBorders>
                  <w:noWrap w:val="0"/>
                  <w:vAlign w:val="center"/>
                </w:tcPr>
                <w:p w14:paraId="5C1FB52F">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709" w:type="pct"/>
                  <w:tcBorders>
                    <w:tl2br w:val="nil"/>
                    <w:tr2bl w:val="nil"/>
                  </w:tcBorders>
                  <w:noWrap w:val="0"/>
                  <w:vAlign w:val="center"/>
                </w:tcPr>
                <w:p w14:paraId="1361E3CA">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709" w:type="pct"/>
                  <w:tcBorders>
                    <w:tl2br w:val="nil"/>
                    <w:tr2bl w:val="nil"/>
                  </w:tcBorders>
                  <w:noWrap w:val="0"/>
                  <w:vAlign w:val="center"/>
                </w:tcPr>
                <w:p w14:paraId="1C6D2D08">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710" w:type="pct"/>
                  <w:tcBorders>
                    <w:tl2br w:val="nil"/>
                    <w:tr2bl w:val="nil"/>
                  </w:tcBorders>
                  <w:noWrap w:val="0"/>
                  <w:vAlign w:val="center"/>
                </w:tcPr>
                <w:p w14:paraId="38FADB38">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902" w:type="pct"/>
                  <w:vMerge w:val="continue"/>
                  <w:tcBorders>
                    <w:tl2br w:val="nil"/>
                    <w:tr2bl w:val="nil"/>
                  </w:tcBorders>
                  <w:noWrap w:val="0"/>
                  <w:vAlign w:val="center"/>
                </w:tcPr>
                <w:p w14:paraId="412DED94">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default" w:ascii="Times New Roman" w:hAnsi="Times New Roman" w:cs="Times New Roman"/>
                      <w:color w:val="auto"/>
                      <w:kern w:val="2"/>
                      <w:sz w:val="18"/>
                      <w:szCs w:val="18"/>
                      <w:lang w:val="en-US" w:eastAsia="zh-CN" w:bidi="ar-SA"/>
                    </w:rPr>
                  </w:pPr>
                </w:p>
              </w:tc>
            </w:tr>
            <w:tr w14:paraId="1C8E7C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249" w:type="pct"/>
                  <w:tcBorders>
                    <w:tl2br w:val="nil"/>
                    <w:tr2bl w:val="nil"/>
                  </w:tcBorders>
                  <w:noWrap w:val="0"/>
                  <w:vAlign w:val="center"/>
                </w:tcPr>
                <w:p w14:paraId="0DE238D4">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5</w:t>
                  </w:r>
                </w:p>
              </w:tc>
              <w:tc>
                <w:tcPr>
                  <w:tcW w:w="850" w:type="pct"/>
                  <w:tcBorders>
                    <w:tl2br w:val="nil"/>
                    <w:tr2bl w:val="nil"/>
                  </w:tcBorders>
                  <w:noWrap w:val="0"/>
                  <w:vAlign w:val="center"/>
                </w:tcPr>
                <w:p w14:paraId="3FFBCEC8">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HC喷涂系统</w:t>
                  </w:r>
                </w:p>
              </w:tc>
              <w:tc>
                <w:tcPr>
                  <w:tcW w:w="867" w:type="pct"/>
                  <w:tcBorders>
                    <w:tl2br w:val="nil"/>
                    <w:tr2bl w:val="nil"/>
                  </w:tcBorders>
                  <w:noWrap w:val="0"/>
                  <w:vAlign w:val="center"/>
                </w:tcPr>
                <w:p w14:paraId="7BED2255">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709" w:type="pct"/>
                  <w:tcBorders>
                    <w:tl2br w:val="nil"/>
                    <w:tr2bl w:val="nil"/>
                  </w:tcBorders>
                  <w:noWrap w:val="0"/>
                  <w:vAlign w:val="center"/>
                </w:tcPr>
                <w:p w14:paraId="413ED505">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709" w:type="pct"/>
                  <w:tcBorders>
                    <w:tl2br w:val="nil"/>
                    <w:tr2bl w:val="nil"/>
                  </w:tcBorders>
                  <w:noWrap w:val="0"/>
                  <w:vAlign w:val="center"/>
                </w:tcPr>
                <w:p w14:paraId="08D3B4B7">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710" w:type="pct"/>
                  <w:tcBorders>
                    <w:tl2br w:val="nil"/>
                    <w:tr2bl w:val="nil"/>
                  </w:tcBorders>
                  <w:noWrap w:val="0"/>
                  <w:vAlign w:val="center"/>
                </w:tcPr>
                <w:p w14:paraId="0C711A0A">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902" w:type="pct"/>
                  <w:vMerge w:val="continue"/>
                  <w:tcBorders>
                    <w:tl2br w:val="nil"/>
                    <w:tr2bl w:val="nil"/>
                  </w:tcBorders>
                  <w:noWrap w:val="0"/>
                  <w:vAlign w:val="center"/>
                </w:tcPr>
                <w:p w14:paraId="0AF286A0">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default" w:ascii="Times New Roman" w:hAnsi="Times New Roman" w:cs="Times New Roman"/>
                      <w:color w:val="auto"/>
                      <w:kern w:val="2"/>
                      <w:sz w:val="18"/>
                      <w:szCs w:val="18"/>
                      <w:lang w:val="en-US" w:eastAsia="zh-CN" w:bidi="ar-SA"/>
                    </w:rPr>
                  </w:pPr>
                </w:p>
              </w:tc>
            </w:tr>
            <w:tr w14:paraId="1C94AA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5" w:hRule="atLeast"/>
                <w:jc w:val="center"/>
              </w:trPr>
              <w:tc>
                <w:tcPr>
                  <w:tcW w:w="249" w:type="pct"/>
                  <w:tcBorders>
                    <w:tl2br w:val="nil"/>
                    <w:tr2bl w:val="nil"/>
                  </w:tcBorders>
                  <w:noWrap w:val="0"/>
                  <w:vAlign w:val="center"/>
                </w:tcPr>
                <w:p w14:paraId="06E922EF">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6</w:t>
                  </w:r>
                </w:p>
              </w:tc>
              <w:tc>
                <w:tcPr>
                  <w:tcW w:w="850" w:type="pct"/>
                  <w:tcBorders>
                    <w:tl2br w:val="nil"/>
                    <w:tr2bl w:val="nil"/>
                  </w:tcBorders>
                  <w:noWrap w:val="0"/>
                  <w:vAlign w:val="center"/>
                </w:tcPr>
                <w:p w14:paraId="742AC39F">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HC喷涂转固化炉机器人</w:t>
                  </w:r>
                </w:p>
              </w:tc>
              <w:tc>
                <w:tcPr>
                  <w:tcW w:w="867" w:type="pct"/>
                  <w:tcBorders>
                    <w:tl2br w:val="nil"/>
                    <w:tr2bl w:val="nil"/>
                  </w:tcBorders>
                  <w:noWrap w:val="0"/>
                  <w:vAlign w:val="center"/>
                </w:tcPr>
                <w:p w14:paraId="5E7E02A2">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709" w:type="pct"/>
                  <w:tcBorders>
                    <w:tl2br w:val="nil"/>
                    <w:tr2bl w:val="nil"/>
                  </w:tcBorders>
                  <w:noWrap w:val="0"/>
                  <w:vAlign w:val="center"/>
                </w:tcPr>
                <w:p w14:paraId="43A57569">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709" w:type="pct"/>
                  <w:tcBorders>
                    <w:tl2br w:val="nil"/>
                    <w:tr2bl w:val="nil"/>
                  </w:tcBorders>
                  <w:noWrap w:val="0"/>
                  <w:vAlign w:val="center"/>
                </w:tcPr>
                <w:p w14:paraId="75F5CBC7">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710" w:type="pct"/>
                  <w:tcBorders>
                    <w:tl2br w:val="nil"/>
                    <w:tr2bl w:val="nil"/>
                  </w:tcBorders>
                  <w:noWrap w:val="0"/>
                  <w:vAlign w:val="center"/>
                </w:tcPr>
                <w:p w14:paraId="73204C02">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902" w:type="pct"/>
                  <w:vMerge w:val="continue"/>
                  <w:tcBorders>
                    <w:tl2br w:val="nil"/>
                    <w:tr2bl w:val="nil"/>
                  </w:tcBorders>
                  <w:noWrap w:val="0"/>
                  <w:vAlign w:val="center"/>
                </w:tcPr>
                <w:p w14:paraId="3A99A8B1">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default" w:ascii="Times New Roman" w:hAnsi="Times New Roman" w:cs="Times New Roman"/>
                      <w:color w:val="auto"/>
                      <w:kern w:val="2"/>
                      <w:sz w:val="18"/>
                      <w:szCs w:val="18"/>
                      <w:lang w:val="en-US" w:eastAsia="zh-CN" w:bidi="ar-SA"/>
                    </w:rPr>
                  </w:pPr>
                </w:p>
              </w:tc>
            </w:tr>
            <w:tr w14:paraId="7621BF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249" w:type="pct"/>
                  <w:tcBorders>
                    <w:tl2br w:val="nil"/>
                    <w:tr2bl w:val="nil"/>
                  </w:tcBorders>
                  <w:noWrap w:val="0"/>
                  <w:vAlign w:val="center"/>
                </w:tcPr>
                <w:p w14:paraId="7918CD58">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7</w:t>
                  </w:r>
                </w:p>
              </w:tc>
              <w:tc>
                <w:tcPr>
                  <w:tcW w:w="850" w:type="pct"/>
                  <w:tcBorders>
                    <w:tl2br w:val="nil"/>
                    <w:tr2bl w:val="nil"/>
                  </w:tcBorders>
                  <w:noWrap w:val="0"/>
                  <w:vAlign w:val="center"/>
                </w:tcPr>
                <w:p w14:paraId="3F701372">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HC光固化炉</w:t>
                  </w:r>
                </w:p>
              </w:tc>
              <w:tc>
                <w:tcPr>
                  <w:tcW w:w="867" w:type="pct"/>
                  <w:tcBorders>
                    <w:tl2br w:val="nil"/>
                    <w:tr2bl w:val="nil"/>
                  </w:tcBorders>
                  <w:noWrap w:val="0"/>
                  <w:vAlign w:val="center"/>
                </w:tcPr>
                <w:p w14:paraId="37D471F4">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709" w:type="pct"/>
                  <w:tcBorders>
                    <w:tl2br w:val="nil"/>
                    <w:tr2bl w:val="nil"/>
                  </w:tcBorders>
                  <w:noWrap w:val="0"/>
                  <w:vAlign w:val="center"/>
                </w:tcPr>
                <w:p w14:paraId="60F0D4CC">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709" w:type="pct"/>
                  <w:tcBorders>
                    <w:tl2br w:val="nil"/>
                    <w:tr2bl w:val="nil"/>
                  </w:tcBorders>
                  <w:noWrap w:val="0"/>
                  <w:vAlign w:val="center"/>
                </w:tcPr>
                <w:p w14:paraId="479519B8">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710" w:type="pct"/>
                  <w:tcBorders>
                    <w:tl2br w:val="nil"/>
                    <w:tr2bl w:val="nil"/>
                  </w:tcBorders>
                  <w:noWrap w:val="0"/>
                  <w:vAlign w:val="center"/>
                </w:tcPr>
                <w:p w14:paraId="542F03FB">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902" w:type="pct"/>
                  <w:vMerge w:val="continue"/>
                  <w:tcBorders>
                    <w:tl2br w:val="nil"/>
                    <w:tr2bl w:val="nil"/>
                  </w:tcBorders>
                  <w:noWrap w:val="0"/>
                  <w:vAlign w:val="center"/>
                </w:tcPr>
                <w:p w14:paraId="0720BC2A">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default" w:ascii="Times New Roman" w:hAnsi="Times New Roman" w:cs="Times New Roman"/>
                      <w:color w:val="auto"/>
                      <w:kern w:val="2"/>
                      <w:sz w:val="18"/>
                      <w:szCs w:val="18"/>
                      <w:lang w:val="en-US" w:eastAsia="zh-CN" w:bidi="ar-SA"/>
                    </w:rPr>
                  </w:pPr>
                </w:p>
              </w:tc>
            </w:tr>
            <w:tr w14:paraId="0AB8B7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249" w:type="pct"/>
                  <w:tcBorders>
                    <w:tl2br w:val="nil"/>
                    <w:tr2bl w:val="nil"/>
                  </w:tcBorders>
                  <w:noWrap w:val="0"/>
                  <w:vAlign w:val="center"/>
                </w:tcPr>
                <w:p w14:paraId="31CF69E2">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8</w:t>
                  </w:r>
                </w:p>
              </w:tc>
              <w:tc>
                <w:tcPr>
                  <w:tcW w:w="850" w:type="pct"/>
                  <w:tcBorders>
                    <w:tl2br w:val="nil"/>
                    <w:tr2bl w:val="nil"/>
                  </w:tcBorders>
                  <w:noWrap w:val="0"/>
                  <w:vAlign w:val="center"/>
                </w:tcPr>
                <w:p w14:paraId="3AD6503A">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防雾自动除尘</w:t>
                  </w:r>
                </w:p>
              </w:tc>
              <w:tc>
                <w:tcPr>
                  <w:tcW w:w="867" w:type="pct"/>
                  <w:tcBorders>
                    <w:tl2br w:val="nil"/>
                    <w:tr2bl w:val="nil"/>
                  </w:tcBorders>
                  <w:noWrap w:val="0"/>
                  <w:vAlign w:val="center"/>
                </w:tcPr>
                <w:p w14:paraId="1ECB4125">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709" w:type="pct"/>
                  <w:tcBorders>
                    <w:tl2br w:val="nil"/>
                    <w:tr2bl w:val="nil"/>
                  </w:tcBorders>
                  <w:noWrap w:val="0"/>
                  <w:vAlign w:val="center"/>
                </w:tcPr>
                <w:p w14:paraId="01012C7B">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709" w:type="pct"/>
                  <w:tcBorders>
                    <w:tl2br w:val="nil"/>
                    <w:tr2bl w:val="nil"/>
                  </w:tcBorders>
                  <w:noWrap w:val="0"/>
                  <w:vAlign w:val="center"/>
                </w:tcPr>
                <w:p w14:paraId="0739F682">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710" w:type="pct"/>
                  <w:tcBorders>
                    <w:tl2br w:val="nil"/>
                    <w:tr2bl w:val="nil"/>
                  </w:tcBorders>
                  <w:noWrap w:val="0"/>
                  <w:vAlign w:val="center"/>
                </w:tcPr>
                <w:p w14:paraId="7EFE22CC">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902" w:type="pct"/>
                  <w:vMerge w:val="restart"/>
                  <w:tcBorders>
                    <w:tl2br w:val="nil"/>
                    <w:tr2bl w:val="nil"/>
                  </w:tcBorders>
                  <w:noWrap w:val="0"/>
                  <w:vAlign w:val="center"/>
                </w:tcPr>
                <w:p w14:paraId="2725BEF1">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default" w:ascii="Times New Roman" w:hAnsi="Times New Roman" w:cs="Times New Roman"/>
                      <w:color w:val="auto"/>
                      <w:kern w:val="2"/>
                      <w:sz w:val="18"/>
                      <w:szCs w:val="18"/>
                      <w:lang w:val="en-US" w:eastAsia="zh-CN" w:bidi="ar-SA"/>
                    </w:rPr>
                  </w:pPr>
                  <w:r>
                    <w:rPr>
                      <w:rFonts w:hint="eastAsia" w:cs="Times New Roman"/>
                      <w:color w:val="auto"/>
                      <w:kern w:val="2"/>
                      <w:sz w:val="18"/>
                      <w:szCs w:val="18"/>
                      <w:lang w:val="en-US" w:eastAsia="zh-CN" w:bidi="ar-SA"/>
                    </w:rPr>
                    <w:t>防雾线</w:t>
                  </w:r>
                </w:p>
              </w:tc>
            </w:tr>
            <w:tr w14:paraId="3B623D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249" w:type="pct"/>
                  <w:tcBorders>
                    <w:tl2br w:val="nil"/>
                    <w:tr2bl w:val="nil"/>
                  </w:tcBorders>
                  <w:noWrap w:val="0"/>
                  <w:vAlign w:val="center"/>
                </w:tcPr>
                <w:p w14:paraId="4FF6E6E5">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9</w:t>
                  </w:r>
                </w:p>
              </w:tc>
              <w:tc>
                <w:tcPr>
                  <w:tcW w:w="850" w:type="pct"/>
                  <w:tcBorders>
                    <w:tl2br w:val="nil"/>
                    <w:tr2bl w:val="nil"/>
                  </w:tcBorders>
                  <w:noWrap w:val="0"/>
                  <w:vAlign w:val="center"/>
                </w:tcPr>
                <w:p w14:paraId="3F16B382">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防雾干式喷房</w:t>
                  </w:r>
                </w:p>
              </w:tc>
              <w:tc>
                <w:tcPr>
                  <w:tcW w:w="867" w:type="pct"/>
                  <w:tcBorders>
                    <w:tl2br w:val="nil"/>
                    <w:tr2bl w:val="nil"/>
                  </w:tcBorders>
                  <w:noWrap w:val="0"/>
                  <w:vAlign w:val="center"/>
                </w:tcPr>
                <w:p w14:paraId="2A2D6B15">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709" w:type="pct"/>
                  <w:tcBorders>
                    <w:tl2br w:val="nil"/>
                    <w:tr2bl w:val="nil"/>
                  </w:tcBorders>
                  <w:noWrap w:val="0"/>
                  <w:vAlign w:val="center"/>
                </w:tcPr>
                <w:p w14:paraId="68698A39">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709" w:type="pct"/>
                  <w:tcBorders>
                    <w:tl2br w:val="nil"/>
                    <w:tr2bl w:val="nil"/>
                  </w:tcBorders>
                  <w:noWrap w:val="0"/>
                  <w:vAlign w:val="center"/>
                </w:tcPr>
                <w:p w14:paraId="2EF94F19">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710" w:type="pct"/>
                  <w:tcBorders>
                    <w:tl2br w:val="nil"/>
                    <w:tr2bl w:val="nil"/>
                  </w:tcBorders>
                  <w:noWrap w:val="0"/>
                  <w:vAlign w:val="center"/>
                </w:tcPr>
                <w:p w14:paraId="5947FC48">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902" w:type="pct"/>
                  <w:vMerge w:val="continue"/>
                  <w:tcBorders>
                    <w:tl2br w:val="nil"/>
                    <w:tr2bl w:val="nil"/>
                  </w:tcBorders>
                  <w:noWrap w:val="0"/>
                  <w:vAlign w:val="center"/>
                </w:tcPr>
                <w:p w14:paraId="15C7F5AA">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cs="Times New Roman"/>
                      <w:color w:val="auto"/>
                      <w:kern w:val="2"/>
                      <w:sz w:val="18"/>
                      <w:szCs w:val="18"/>
                      <w:lang w:val="en-US" w:eastAsia="zh-CN" w:bidi="ar-SA"/>
                    </w:rPr>
                  </w:pPr>
                </w:p>
              </w:tc>
            </w:tr>
            <w:tr w14:paraId="52B259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1" w:hRule="atLeast"/>
                <w:jc w:val="center"/>
              </w:trPr>
              <w:tc>
                <w:tcPr>
                  <w:tcW w:w="249" w:type="pct"/>
                  <w:vAlign w:val="center"/>
                </w:tcPr>
                <w:p w14:paraId="6B8A08D1">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10</w:t>
                  </w:r>
                </w:p>
              </w:tc>
              <w:tc>
                <w:tcPr>
                  <w:tcW w:w="850" w:type="pct"/>
                  <w:vAlign w:val="center"/>
                </w:tcPr>
                <w:p w14:paraId="3B5637C0">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AF两次过滤箱</w:t>
                  </w:r>
                </w:p>
              </w:tc>
              <w:tc>
                <w:tcPr>
                  <w:tcW w:w="867" w:type="pct"/>
                  <w:vAlign w:val="center"/>
                </w:tcPr>
                <w:p w14:paraId="3ED7BC0D">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709" w:type="pct"/>
                  <w:vAlign w:val="center"/>
                </w:tcPr>
                <w:p w14:paraId="30380328">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709" w:type="pct"/>
                  <w:vAlign w:val="center"/>
                </w:tcPr>
                <w:p w14:paraId="1C7D0FD8">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710" w:type="pct"/>
                  <w:vAlign w:val="center"/>
                </w:tcPr>
                <w:p w14:paraId="08E086B9">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902" w:type="pct"/>
                  <w:vMerge w:val="continue"/>
                  <w:vAlign w:val="center"/>
                </w:tcPr>
                <w:p w14:paraId="2D4CA61F">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cs="Times New Roman"/>
                      <w:color w:val="auto"/>
                      <w:kern w:val="2"/>
                      <w:sz w:val="18"/>
                      <w:szCs w:val="18"/>
                      <w:lang w:val="en-US" w:eastAsia="zh-CN" w:bidi="ar-SA"/>
                    </w:rPr>
                  </w:pPr>
                </w:p>
              </w:tc>
            </w:tr>
            <w:tr w14:paraId="16A5A6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249" w:type="pct"/>
                  <w:vAlign w:val="center"/>
                </w:tcPr>
                <w:p w14:paraId="3EBECACA">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11</w:t>
                  </w:r>
                </w:p>
              </w:tc>
              <w:tc>
                <w:tcPr>
                  <w:tcW w:w="850" w:type="pct"/>
                  <w:vAlign w:val="center"/>
                </w:tcPr>
                <w:p w14:paraId="0684B2E4">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防雾喷涂系统</w:t>
                  </w:r>
                </w:p>
              </w:tc>
              <w:tc>
                <w:tcPr>
                  <w:tcW w:w="867" w:type="pct"/>
                  <w:vAlign w:val="center"/>
                </w:tcPr>
                <w:p w14:paraId="63CEDEBF">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709" w:type="pct"/>
                  <w:vAlign w:val="center"/>
                </w:tcPr>
                <w:p w14:paraId="770DE18E">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709" w:type="pct"/>
                  <w:vAlign w:val="center"/>
                </w:tcPr>
                <w:p w14:paraId="00E1F4AC">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710" w:type="pct"/>
                  <w:vAlign w:val="center"/>
                </w:tcPr>
                <w:p w14:paraId="63F5BDF9">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902" w:type="pct"/>
                  <w:vMerge w:val="continue"/>
                  <w:vAlign w:val="center"/>
                </w:tcPr>
                <w:p w14:paraId="1FECCF8D">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cs="Times New Roman"/>
                      <w:color w:val="auto"/>
                      <w:kern w:val="2"/>
                      <w:sz w:val="18"/>
                      <w:szCs w:val="18"/>
                      <w:lang w:val="en-US" w:eastAsia="zh-CN" w:bidi="ar-SA"/>
                    </w:rPr>
                  </w:pPr>
                </w:p>
              </w:tc>
            </w:tr>
            <w:tr w14:paraId="4B23A6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249" w:type="pct"/>
                  <w:vAlign w:val="center"/>
                </w:tcPr>
                <w:p w14:paraId="67F41FE2">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12</w:t>
                  </w:r>
                </w:p>
              </w:tc>
              <w:tc>
                <w:tcPr>
                  <w:tcW w:w="850" w:type="pct"/>
                  <w:vAlign w:val="center"/>
                </w:tcPr>
                <w:p w14:paraId="110AE974">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防雾喷涂转烘炉机器人</w:t>
                  </w:r>
                </w:p>
              </w:tc>
              <w:tc>
                <w:tcPr>
                  <w:tcW w:w="867" w:type="pct"/>
                  <w:vAlign w:val="center"/>
                </w:tcPr>
                <w:p w14:paraId="3EB14135">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709" w:type="pct"/>
                  <w:vAlign w:val="center"/>
                </w:tcPr>
                <w:p w14:paraId="3893FCB0">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709" w:type="pct"/>
                  <w:vAlign w:val="center"/>
                </w:tcPr>
                <w:p w14:paraId="326DBAE6">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710" w:type="pct"/>
                  <w:vAlign w:val="center"/>
                </w:tcPr>
                <w:p w14:paraId="7F5BD964">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902" w:type="pct"/>
                  <w:vMerge w:val="continue"/>
                  <w:vAlign w:val="center"/>
                </w:tcPr>
                <w:p w14:paraId="723C91B7">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cs="Times New Roman"/>
                      <w:color w:val="auto"/>
                      <w:kern w:val="2"/>
                      <w:sz w:val="18"/>
                      <w:szCs w:val="18"/>
                      <w:lang w:val="en-US" w:eastAsia="zh-CN" w:bidi="ar-SA"/>
                    </w:rPr>
                  </w:pPr>
                </w:p>
              </w:tc>
            </w:tr>
            <w:tr w14:paraId="199515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249" w:type="pct"/>
                  <w:vAlign w:val="center"/>
                </w:tcPr>
                <w:p w14:paraId="567F4C85">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13</w:t>
                  </w:r>
                </w:p>
              </w:tc>
              <w:tc>
                <w:tcPr>
                  <w:tcW w:w="850" w:type="pct"/>
                  <w:vAlign w:val="center"/>
                </w:tcPr>
                <w:p w14:paraId="28F774F4">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防雾烘箱</w:t>
                  </w:r>
                </w:p>
              </w:tc>
              <w:tc>
                <w:tcPr>
                  <w:tcW w:w="867" w:type="pct"/>
                  <w:vAlign w:val="center"/>
                </w:tcPr>
                <w:p w14:paraId="69D184AA">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w:t>
                  </w:r>
                </w:p>
              </w:tc>
              <w:tc>
                <w:tcPr>
                  <w:tcW w:w="709" w:type="pct"/>
                  <w:vAlign w:val="center"/>
                </w:tcPr>
                <w:p w14:paraId="760CA975">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709" w:type="pct"/>
                  <w:vAlign w:val="center"/>
                </w:tcPr>
                <w:p w14:paraId="1FECB533">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710" w:type="pct"/>
                  <w:vAlign w:val="center"/>
                </w:tcPr>
                <w:p w14:paraId="399B225A">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902" w:type="pct"/>
                  <w:vMerge w:val="continue"/>
                  <w:vAlign w:val="center"/>
                </w:tcPr>
                <w:p w14:paraId="7C530844">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cs="Times New Roman"/>
                      <w:color w:val="auto"/>
                      <w:kern w:val="2"/>
                      <w:sz w:val="18"/>
                      <w:szCs w:val="18"/>
                      <w:lang w:val="en-US" w:eastAsia="zh-CN" w:bidi="ar-SA"/>
                    </w:rPr>
                  </w:pPr>
                </w:p>
              </w:tc>
            </w:tr>
            <w:tr w14:paraId="133DA8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49" w:type="pct"/>
                  <w:vAlign w:val="center"/>
                </w:tcPr>
                <w:p w14:paraId="26815375">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cs="Times New Roman"/>
                      <w:color w:val="auto"/>
                      <w:kern w:val="2"/>
                      <w:sz w:val="18"/>
                      <w:szCs w:val="18"/>
                      <w:lang w:val="en-US" w:eastAsia="zh-CN" w:bidi="ar-SA"/>
                    </w:rPr>
                  </w:pPr>
                  <w:r>
                    <w:rPr>
                      <w:rFonts w:hint="eastAsia" w:cs="Times New Roman"/>
                      <w:color w:val="auto"/>
                      <w:kern w:val="2"/>
                      <w:sz w:val="18"/>
                      <w:szCs w:val="18"/>
                      <w:lang w:val="en-US" w:eastAsia="zh-CN" w:bidi="ar-SA"/>
                    </w:rPr>
                    <w:t>14</w:t>
                  </w:r>
                </w:p>
              </w:tc>
              <w:tc>
                <w:tcPr>
                  <w:tcW w:w="850" w:type="pct"/>
                  <w:shd w:val="clear" w:color="auto" w:fill="auto"/>
                  <w:vAlign w:val="center"/>
                </w:tcPr>
                <w:p w14:paraId="20B30075">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注塑机</w:t>
                  </w:r>
                </w:p>
              </w:tc>
              <w:tc>
                <w:tcPr>
                  <w:tcW w:w="1394" w:type="dxa"/>
                  <w:vAlign w:val="center"/>
                </w:tcPr>
                <w:p w14:paraId="57C10416">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40T-850T 等</w:t>
                  </w:r>
                </w:p>
              </w:tc>
              <w:tc>
                <w:tcPr>
                  <w:tcW w:w="709" w:type="pct"/>
                  <w:vAlign w:val="center"/>
                </w:tcPr>
                <w:p w14:paraId="69565027">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150</w:t>
                  </w:r>
                </w:p>
              </w:tc>
              <w:tc>
                <w:tcPr>
                  <w:tcW w:w="709" w:type="pct"/>
                  <w:vAlign w:val="center"/>
                </w:tcPr>
                <w:p w14:paraId="23E2B79C">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150</w:t>
                  </w:r>
                </w:p>
              </w:tc>
              <w:tc>
                <w:tcPr>
                  <w:tcW w:w="710" w:type="pct"/>
                  <w:vAlign w:val="center"/>
                </w:tcPr>
                <w:p w14:paraId="00AE7A72">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w:t>
                  </w:r>
                </w:p>
              </w:tc>
              <w:tc>
                <w:tcPr>
                  <w:tcW w:w="902" w:type="pct"/>
                  <w:vMerge w:val="restart"/>
                  <w:vAlign w:val="center"/>
                </w:tcPr>
                <w:p w14:paraId="239C640F">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塑料件与模具生产线</w:t>
                  </w:r>
                </w:p>
              </w:tc>
            </w:tr>
            <w:tr w14:paraId="5E99E0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49" w:type="pct"/>
                  <w:vAlign w:val="center"/>
                </w:tcPr>
                <w:p w14:paraId="53421AF9">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cs="Times New Roman"/>
                      <w:color w:val="auto"/>
                      <w:kern w:val="2"/>
                      <w:sz w:val="18"/>
                      <w:szCs w:val="18"/>
                      <w:lang w:val="en-US" w:eastAsia="zh-CN" w:bidi="ar-SA"/>
                    </w:rPr>
                  </w:pPr>
                  <w:r>
                    <w:rPr>
                      <w:rFonts w:hint="eastAsia" w:cs="Times New Roman"/>
                      <w:color w:val="auto"/>
                      <w:kern w:val="2"/>
                      <w:sz w:val="18"/>
                      <w:szCs w:val="18"/>
                      <w:lang w:val="en-US" w:eastAsia="zh-CN" w:bidi="ar-SA"/>
                    </w:rPr>
                    <w:t>15</w:t>
                  </w:r>
                </w:p>
              </w:tc>
              <w:tc>
                <w:tcPr>
                  <w:tcW w:w="850" w:type="pct"/>
                  <w:shd w:val="clear" w:color="auto" w:fill="auto"/>
                  <w:vAlign w:val="center"/>
                </w:tcPr>
                <w:p w14:paraId="36CDD8B1">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注塑辅机</w:t>
                  </w:r>
                </w:p>
              </w:tc>
              <w:tc>
                <w:tcPr>
                  <w:tcW w:w="1394" w:type="dxa"/>
                  <w:vAlign w:val="center"/>
                </w:tcPr>
                <w:p w14:paraId="1C2FC2C6">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c>
                <w:tcPr>
                  <w:tcW w:w="709" w:type="pct"/>
                  <w:vAlign w:val="center"/>
                </w:tcPr>
                <w:p w14:paraId="6AD0D487">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750</w:t>
                  </w:r>
                </w:p>
              </w:tc>
              <w:tc>
                <w:tcPr>
                  <w:tcW w:w="709" w:type="pct"/>
                  <w:vAlign w:val="center"/>
                </w:tcPr>
                <w:p w14:paraId="16D2AE08">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750</w:t>
                  </w:r>
                </w:p>
              </w:tc>
              <w:tc>
                <w:tcPr>
                  <w:tcW w:w="710" w:type="pct"/>
                  <w:vAlign w:val="center"/>
                </w:tcPr>
                <w:p w14:paraId="7761E3B0">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w:t>
                  </w:r>
                </w:p>
              </w:tc>
              <w:tc>
                <w:tcPr>
                  <w:tcW w:w="902" w:type="pct"/>
                  <w:vMerge w:val="continue"/>
                  <w:vAlign w:val="center"/>
                </w:tcPr>
                <w:p w14:paraId="50CC2FE1">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default" w:ascii="Times New Roman" w:hAnsi="Times New Roman" w:eastAsia="宋体" w:cs="Times New Roman"/>
                      <w:color w:val="auto"/>
                      <w:kern w:val="2"/>
                      <w:sz w:val="18"/>
                      <w:szCs w:val="18"/>
                      <w:lang w:val="en-US" w:eastAsia="zh-CN" w:bidi="ar-SA"/>
                    </w:rPr>
                  </w:pPr>
                </w:p>
              </w:tc>
            </w:tr>
            <w:tr w14:paraId="6E13E6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49" w:type="pct"/>
                  <w:vAlign w:val="center"/>
                </w:tcPr>
                <w:p w14:paraId="2AD1A59C">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cs="Times New Roman"/>
                      <w:color w:val="auto"/>
                      <w:kern w:val="2"/>
                      <w:sz w:val="18"/>
                      <w:szCs w:val="18"/>
                      <w:lang w:val="en-US" w:eastAsia="zh-CN" w:bidi="ar-SA"/>
                    </w:rPr>
                  </w:pPr>
                  <w:r>
                    <w:rPr>
                      <w:rFonts w:hint="eastAsia" w:cs="Times New Roman"/>
                      <w:color w:val="auto"/>
                      <w:kern w:val="2"/>
                      <w:sz w:val="18"/>
                      <w:szCs w:val="18"/>
                      <w:lang w:val="en-US" w:eastAsia="zh-CN" w:bidi="ar-SA"/>
                    </w:rPr>
                    <w:t>16</w:t>
                  </w:r>
                </w:p>
              </w:tc>
              <w:tc>
                <w:tcPr>
                  <w:tcW w:w="850" w:type="pct"/>
                  <w:shd w:val="clear" w:color="auto" w:fill="auto"/>
                  <w:vAlign w:val="center"/>
                </w:tcPr>
                <w:p w14:paraId="6C19B6B4">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行车</w:t>
                  </w:r>
                </w:p>
              </w:tc>
              <w:tc>
                <w:tcPr>
                  <w:tcW w:w="1394" w:type="dxa"/>
                  <w:vAlign w:val="center"/>
                </w:tcPr>
                <w:p w14:paraId="293AAB2C">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c>
                <w:tcPr>
                  <w:tcW w:w="709" w:type="pct"/>
                  <w:vAlign w:val="center"/>
                </w:tcPr>
                <w:p w14:paraId="146C3F1D">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c>
                <w:tcPr>
                  <w:tcW w:w="709" w:type="pct"/>
                  <w:vAlign w:val="center"/>
                </w:tcPr>
                <w:p w14:paraId="4B047B85">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c>
                <w:tcPr>
                  <w:tcW w:w="710" w:type="pct"/>
                  <w:vAlign w:val="center"/>
                </w:tcPr>
                <w:p w14:paraId="1EB62C74">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w:t>
                  </w:r>
                </w:p>
              </w:tc>
              <w:tc>
                <w:tcPr>
                  <w:tcW w:w="902" w:type="pct"/>
                  <w:vMerge w:val="continue"/>
                  <w:vAlign w:val="center"/>
                </w:tcPr>
                <w:p w14:paraId="446F6A5D">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default" w:ascii="Times New Roman" w:hAnsi="Times New Roman" w:eastAsia="宋体" w:cs="Times New Roman"/>
                      <w:color w:val="auto"/>
                      <w:kern w:val="2"/>
                      <w:sz w:val="18"/>
                      <w:szCs w:val="18"/>
                      <w:lang w:val="en-US" w:eastAsia="zh-CN" w:bidi="ar-SA"/>
                    </w:rPr>
                  </w:pPr>
                </w:p>
              </w:tc>
            </w:tr>
            <w:tr w14:paraId="13CEC8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49" w:type="pct"/>
                  <w:vAlign w:val="center"/>
                </w:tcPr>
                <w:p w14:paraId="68D62393">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cs="Times New Roman"/>
                      <w:color w:val="auto"/>
                      <w:kern w:val="2"/>
                      <w:sz w:val="18"/>
                      <w:szCs w:val="18"/>
                      <w:lang w:val="en-US" w:eastAsia="zh-CN" w:bidi="ar-SA"/>
                    </w:rPr>
                  </w:pPr>
                  <w:r>
                    <w:rPr>
                      <w:rFonts w:hint="eastAsia" w:cs="Times New Roman"/>
                      <w:color w:val="auto"/>
                      <w:kern w:val="2"/>
                      <w:sz w:val="18"/>
                      <w:szCs w:val="18"/>
                      <w:lang w:val="en-US" w:eastAsia="zh-CN" w:bidi="ar-SA"/>
                    </w:rPr>
                    <w:t>17</w:t>
                  </w:r>
                </w:p>
              </w:tc>
              <w:tc>
                <w:tcPr>
                  <w:tcW w:w="850" w:type="pct"/>
                  <w:shd w:val="clear" w:color="auto" w:fill="auto"/>
                  <w:vAlign w:val="center"/>
                </w:tcPr>
                <w:p w14:paraId="5B54FA08">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模具制造设备</w:t>
                  </w:r>
                </w:p>
              </w:tc>
              <w:tc>
                <w:tcPr>
                  <w:tcW w:w="1394" w:type="dxa"/>
                  <w:vAlign w:val="center"/>
                </w:tcPr>
                <w:p w14:paraId="72D8E1BE">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c>
                <w:tcPr>
                  <w:tcW w:w="709" w:type="pct"/>
                  <w:vAlign w:val="center"/>
                </w:tcPr>
                <w:p w14:paraId="59C8DFF8">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70</w:t>
                  </w:r>
                </w:p>
              </w:tc>
              <w:tc>
                <w:tcPr>
                  <w:tcW w:w="709" w:type="pct"/>
                  <w:vAlign w:val="center"/>
                </w:tcPr>
                <w:p w14:paraId="7F8E3408">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70</w:t>
                  </w:r>
                </w:p>
              </w:tc>
              <w:tc>
                <w:tcPr>
                  <w:tcW w:w="710" w:type="pct"/>
                  <w:vAlign w:val="center"/>
                </w:tcPr>
                <w:p w14:paraId="16DE347D">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w:t>
                  </w:r>
                </w:p>
              </w:tc>
              <w:tc>
                <w:tcPr>
                  <w:tcW w:w="902" w:type="pct"/>
                  <w:vMerge w:val="continue"/>
                  <w:vAlign w:val="center"/>
                </w:tcPr>
                <w:p w14:paraId="496A0D73">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default" w:ascii="Times New Roman" w:hAnsi="Times New Roman" w:eastAsia="宋体" w:cs="Times New Roman"/>
                      <w:color w:val="auto"/>
                      <w:kern w:val="2"/>
                      <w:sz w:val="18"/>
                      <w:szCs w:val="18"/>
                      <w:lang w:val="en-US" w:eastAsia="zh-CN" w:bidi="ar-SA"/>
                    </w:rPr>
                  </w:pPr>
                </w:p>
              </w:tc>
            </w:tr>
            <w:tr w14:paraId="64643C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49" w:type="pct"/>
                  <w:vAlign w:val="center"/>
                </w:tcPr>
                <w:p w14:paraId="71C437B9">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cs="Times New Roman"/>
                      <w:color w:val="auto"/>
                      <w:kern w:val="2"/>
                      <w:sz w:val="18"/>
                      <w:szCs w:val="18"/>
                      <w:lang w:val="en-US" w:eastAsia="zh-CN" w:bidi="ar-SA"/>
                    </w:rPr>
                  </w:pPr>
                  <w:r>
                    <w:rPr>
                      <w:rFonts w:hint="eastAsia" w:cs="Times New Roman"/>
                      <w:color w:val="auto"/>
                      <w:kern w:val="2"/>
                      <w:sz w:val="18"/>
                      <w:szCs w:val="18"/>
                      <w:lang w:val="en-US" w:eastAsia="zh-CN" w:bidi="ar-SA"/>
                    </w:rPr>
                    <w:t>18</w:t>
                  </w:r>
                </w:p>
              </w:tc>
              <w:tc>
                <w:tcPr>
                  <w:tcW w:w="850" w:type="pct"/>
                  <w:shd w:val="clear" w:color="auto" w:fill="auto"/>
                  <w:vAlign w:val="center"/>
                </w:tcPr>
                <w:p w14:paraId="215AAC7E">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冷却水循环统</w:t>
                  </w:r>
                </w:p>
              </w:tc>
              <w:tc>
                <w:tcPr>
                  <w:tcW w:w="1394" w:type="dxa"/>
                  <w:vAlign w:val="center"/>
                </w:tcPr>
                <w:p w14:paraId="406E850F">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c>
                <w:tcPr>
                  <w:tcW w:w="709" w:type="pct"/>
                  <w:vAlign w:val="center"/>
                </w:tcPr>
                <w:p w14:paraId="5862B5D1">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w:t>
                  </w:r>
                </w:p>
              </w:tc>
              <w:tc>
                <w:tcPr>
                  <w:tcW w:w="709" w:type="pct"/>
                  <w:vAlign w:val="center"/>
                </w:tcPr>
                <w:p w14:paraId="3B9F4C7F">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w:t>
                  </w:r>
                </w:p>
              </w:tc>
              <w:tc>
                <w:tcPr>
                  <w:tcW w:w="710" w:type="pct"/>
                  <w:vAlign w:val="center"/>
                </w:tcPr>
                <w:p w14:paraId="22DAFAB8">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w:t>
                  </w:r>
                </w:p>
              </w:tc>
              <w:tc>
                <w:tcPr>
                  <w:tcW w:w="902" w:type="pct"/>
                  <w:vMerge w:val="continue"/>
                  <w:vAlign w:val="center"/>
                </w:tcPr>
                <w:p w14:paraId="32D6B967">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default" w:ascii="Times New Roman" w:hAnsi="Times New Roman" w:eastAsia="宋体" w:cs="Times New Roman"/>
                      <w:color w:val="auto"/>
                      <w:kern w:val="2"/>
                      <w:sz w:val="18"/>
                      <w:szCs w:val="18"/>
                      <w:lang w:val="en-US" w:eastAsia="zh-CN" w:bidi="ar-SA"/>
                    </w:rPr>
                  </w:pPr>
                </w:p>
              </w:tc>
            </w:tr>
            <w:tr w14:paraId="551E67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49" w:type="pct"/>
                  <w:vAlign w:val="center"/>
                </w:tcPr>
                <w:p w14:paraId="79FFE223">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cs="Times New Roman"/>
                      <w:color w:val="auto"/>
                      <w:kern w:val="2"/>
                      <w:sz w:val="18"/>
                      <w:szCs w:val="18"/>
                      <w:lang w:val="en-US" w:eastAsia="zh-CN" w:bidi="ar-SA"/>
                    </w:rPr>
                  </w:pPr>
                  <w:r>
                    <w:rPr>
                      <w:rFonts w:hint="eastAsia" w:cs="Times New Roman"/>
                      <w:color w:val="auto"/>
                      <w:kern w:val="2"/>
                      <w:sz w:val="18"/>
                      <w:szCs w:val="18"/>
                      <w:lang w:val="en-US" w:eastAsia="zh-CN" w:bidi="ar-SA"/>
                    </w:rPr>
                    <w:t>19</w:t>
                  </w:r>
                </w:p>
              </w:tc>
              <w:tc>
                <w:tcPr>
                  <w:tcW w:w="850" w:type="pct"/>
                  <w:shd w:val="clear" w:color="auto" w:fill="auto"/>
                  <w:vAlign w:val="center"/>
                </w:tcPr>
                <w:p w14:paraId="0F692172">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压缩空气机系统</w:t>
                  </w:r>
                </w:p>
              </w:tc>
              <w:tc>
                <w:tcPr>
                  <w:tcW w:w="1394" w:type="dxa"/>
                  <w:vAlign w:val="center"/>
                </w:tcPr>
                <w:p w14:paraId="0CC9545C">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c>
                <w:tcPr>
                  <w:tcW w:w="709" w:type="pct"/>
                  <w:vAlign w:val="center"/>
                </w:tcPr>
                <w:p w14:paraId="0DC4B487">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7</w:t>
                  </w:r>
                </w:p>
              </w:tc>
              <w:tc>
                <w:tcPr>
                  <w:tcW w:w="709" w:type="pct"/>
                  <w:vAlign w:val="center"/>
                </w:tcPr>
                <w:p w14:paraId="58F19CC0">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7</w:t>
                  </w:r>
                </w:p>
              </w:tc>
              <w:tc>
                <w:tcPr>
                  <w:tcW w:w="710" w:type="pct"/>
                  <w:vAlign w:val="center"/>
                </w:tcPr>
                <w:p w14:paraId="4E30774C">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w:t>
                  </w:r>
                </w:p>
              </w:tc>
              <w:tc>
                <w:tcPr>
                  <w:tcW w:w="902" w:type="pct"/>
                  <w:vMerge w:val="continue"/>
                  <w:vAlign w:val="center"/>
                </w:tcPr>
                <w:p w14:paraId="3355A60D">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default" w:ascii="Times New Roman" w:hAnsi="Times New Roman" w:eastAsia="宋体" w:cs="Times New Roman"/>
                      <w:color w:val="auto"/>
                      <w:kern w:val="2"/>
                      <w:sz w:val="18"/>
                      <w:szCs w:val="18"/>
                      <w:lang w:val="en-US" w:eastAsia="zh-CN" w:bidi="ar-SA"/>
                    </w:rPr>
                  </w:pPr>
                </w:p>
              </w:tc>
            </w:tr>
            <w:tr w14:paraId="21C152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49" w:type="pct"/>
                  <w:vAlign w:val="center"/>
                </w:tcPr>
                <w:p w14:paraId="61EC0440">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cs="Times New Roman"/>
                      <w:color w:val="auto"/>
                      <w:kern w:val="2"/>
                      <w:sz w:val="18"/>
                      <w:szCs w:val="18"/>
                      <w:lang w:val="en-US" w:eastAsia="zh-CN" w:bidi="ar-SA"/>
                    </w:rPr>
                  </w:pPr>
                  <w:r>
                    <w:rPr>
                      <w:rFonts w:hint="eastAsia" w:cs="Times New Roman"/>
                      <w:color w:val="auto"/>
                      <w:kern w:val="2"/>
                      <w:sz w:val="18"/>
                      <w:szCs w:val="18"/>
                      <w:lang w:val="en-US" w:eastAsia="zh-CN" w:bidi="ar-SA"/>
                    </w:rPr>
                    <w:t>20</w:t>
                  </w:r>
                </w:p>
              </w:tc>
              <w:tc>
                <w:tcPr>
                  <w:tcW w:w="850" w:type="pct"/>
                  <w:shd w:val="clear" w:color="auto" w:fill="auto"/>
                  <w:vAlign w:val="center"/>
                </w:tcPr>
                <w:p w14:paraId="467B0739">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布胶生产线</w:t>
                  </w:r>
                </w:p>
              </w:tc>
              <w:tc>
                <w:tcPr>
                  <w:tcW w:w="1394" w:type="dxa"/>
                  <w:vAlign w:val="center"/>
                </w:tcPr>
                <w:p w14:paraId="069D0F0D">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c>
                <w:tcPr>
                  <w:tcW w:w="709" w:type="pct"/>
                  <w:vAlign w:val="center"/>
                </w:tcPr>
                <w:p w14:paraId="6091989C">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w:t>
                  </w:r>
                </w:p>
              </w:tc>
              <w:tc>
                <w:tcPr>
                  <w:tcW w:w="709" w:type="pct"/>
                  <w:vAlign w:val="center"/>
                </w:tcPr>
                <w:p w14:paraId="6ECA73BB">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w:t>
                  </w:r>
                </w:p>
              </w:tc>
              <w:tc>
                <w:tcPr>
                  <w:tcW w:w="710" w:type="pct"/>
                  <w:vAlign w:val="center"/>
                </w:tcPr>
                <w:p w14:paraId="70AAFE2B">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w:t>
                  </w:r>
                </w:p>
              </w:tc>
              <w:tc>
                <w:tcPr>
                  <w:tcW w:w="902" w:type="pct"/>
                  <w:vAlign w:val="center"/>
                </w:tcPr>
                <w:p w14:paraId="47DFC1AF">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布胶生产线</w:t>
                  </w:r>
                </w:p>
              </w:tc>
            </w:tr>
            <w:tr w14:paraId="345B8D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49" w:type="pct"/>
                  <w:vAlign w:val="center"/>
                </w:tcPr>
                <w:p w14:paraId="477D7121">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cs="Times New Roman"/>
                      <w:color w:val="auto"/>
                      <w:kern w:val="2"/>
                      <w:sz w:val="18"/>
                      <w:szCs w:val="18"/>
                      <w:lang w:val="en-US" w:eastAsia="zh-CN" w:bidi="ar-SA"/>
                    </w:rPr>
                  </w:pPr>
                  <w:r>
                    <w:rPr>
                      <w:rFonts w:hint="eastAsia" w:cs="Times New Roman"/>
                      <w:color w:val="auto"/>
                      <w:kern w:val="2"/>
                      <w:sz w:val="18"/>
                      <w:szCs w:val="18"/>
                      <w:lang w:val="en-US" w:eastAsia="zh-CN" w:bidi="ar-SA"/>
                    </w:rPr>
                    <w:t>21</w:t>
                  </w:r>
                </w:p>
              </w:tc>
              <w:tc>
                <w:tcPr>
                  <w:tcW w:w="850" w:type="pct"/>
                  <w:shd w:val="clear" w:color="auto" w:fill="auto"/>
                  <w:vAlign w:val="center"/>
                </w:tcPr>
                <w:p w14:paraId="249CF0BF">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真空镀铝机</w:t>
                  </w:r>
                </w:p>
              </w:tc>
              <w:tc>
                <w:tcPr>
                  <w:tcW w:w="1394" w:type="dxa"/>
                  <w:vAlign w:val="center"/>
                </w:tcPr>
                <w:p w14:paraId="3D03C8E3">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JN-1600B 等</w:t>
                  </w:r>
                </w:p>
              </w:tc>
              <w:tc>
                <w:tcPr>
                  <w:tcW w:w="709" w:type="pct"/>
                  <w:vAlign w:val="center"/>
                </w:tcPr>
                <w:p w14:paraId="3D9D76F4">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15</w:t>
                  </w:r>
                </w:p>
              </w:tc>
              <w:tc>
                <w:tcPr>
                  <w:tcW w:w="709" w:type="pct"/>
                  <w:vAlign w:val="center"/>
                </w:tcPr>
                <w:p w14:paraId="0C9147FA">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15</w:t>
                  </w:r>
                </w:p>
              </w:tc>
              <w:tc>
                <w:tcPr>
                  <w:tcW w:w="710" w:type="pct"/>
                  <w:vAlign w:val="center"/>
                </w:tcPr>
                <w:p w14:paraId="2D56E72A">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w:t>
                  </w:r>
                </w:p>
              </w:tc>
              <w:tc>
                <w:tcPr>
                  <w:tcW w:w="902" w:type="pct"/>
                  <w:vMerge w:val="restart"/>
                  <w:vAlign w:val="center"/>
                </w:tcPr>
                <w:p w14:paraId="208362A9">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真空镀铝与油墨印刷生产线</w:t>
                  </w:r>
                </w:p>
              </w:tc>
            </w:tr>
            <w:tr w14:paraId="6F3EB4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49" w:type="pct"/>
                  <w:vAlign w:val="center"/>
                </w:tcPr>
                <w:p w14:paraId="4A6C0BC1">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cs="Times New Roman"/>
                      <w:color w:val="auto"/>
                      <w:kern w:val="2"/>
                      <w:sz w:val="18"/>
                      <w:szCs w:val="18"/>
                      <w:lang w:val="en-US" w:eastAsia="zh-CN" w:bidi="ar-SA"/>
                    </w:rPr>
                  </w:pPr>
                  <w:r>
                    <w:rPr>
                      <w:rFonts w:hint="eastAsia" w:cs="Times New Roman"/>
                      <w:color w:val="auto"/>
                      <w:kern w:val="2"/>
                      <w:sz w:val="18"/>
                      <w:szCs w:val="18"/>
                      <w:lang w:val="en-US" w:eastAsia="zh-CN" w:bidi="ar-SA"/>
                    </w:rPr>
                    <w:t>22</w:t>
                  </w:r>
                </w:p>
              </w:tc>
              <w:tc>
                <w:tcPr>
                  <w:tcW w:w="850" w:type="pct"/>
                  <w:shd w:val="clear" w:color="auto" w:fill="auto"/>
                  <w:vAlign w:val="center"/>
                </w:tcPr>
                <w:p w14:paraId="7E23363F">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C1UB 移动印刷工装</w:t>
                  </w:r>
                </w:p>
              </w:tc>
              <w:tc>
                <w:tcPr>
                  <w:tcW w:w="1394" w:type="dxa"/>
                  <w:vAlign w:val="center"/>
                </w:tcPr>
                <w:p w14:paraId="63339349">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c>
                <w:tcPr>
                  <w:tcW w:w="709" w:type="pct"/>
                  <w:vAlign w:val="center"/>
                </w:tcPr>
                <w:p w14:paraId="53B6350B">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w:t>
                  </w:r>
                </w:p>
              </w:tc>
              <w:tc>
                <w:tcPr>
                  <w:tcW w:w="709" w:type="pct"/>
                  <w:vAlign w:val="center"/>
                </w:tcPr>
                <w:p w14:paraId="52F29844">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w:t>
                  </w:r>
                </w:p>
              </w:tc>
              <w:tc>
                <w:tcPr>
                  <w:tcW w:w="710" w:type="pct"/>
                  <w:vAlign w:val="center"/>
                </w:tcPr>
                <w:p w14:paraId="2CA54375">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w:t>
                  </w:r>
                </w:p>
              </w:tc>
              <w:tc>
                <w:tcPr>
                  <w:tcW w:w="902" w:type="pct"/>
                  <w:vMerge w:val="continue"/>
                  <w:vAlign w:val="center"/>
                </w:tcPr>
                <w:p w14:paraId="659F3D06">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cs="Times New Roman"/>
                      <w:color w:val="auto"/>
                      <w:kern w:val="2"/>
                      <w:sz w:val="18"/>
                      <w:szCs w:val="18"/>
                      <w:lang w:val="en-US" w:eastAsia="zh-CN" w:bidi="ar-SA"/>
                    </w:rPr>
                  </w:pPr>
                </w:p>
              </w:tc>
            </w:tr>
            <w:tr w14:paraId="35EA93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49" w:type="pct"/>
                  <w:vAlign w:val="center"/>
                </w:tcPr>
                <w:p w14:paraId="28822629">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cs="Times New Roman"/>
                      <w:color w:val="auto"/>
                      <w:kern w:val="2"/>
                      <w:sz w:val="18"/>
                      <w:szCs w:val="18"/>
                      <w:lang w:val="en-US" w:eastAsia="zh-CN" w:bidi="ar-SA"/>
                    </w:rPr>
                  </w:pPr>
                  <w:r>
                    <w:rPr>
                      <w:rFonts w:hint="eastAsia" w:cs="Times New Roman"/>
                      <w:color w:val="auto"/>
                      <w:kern w:val="2"/>
                      <w:sz w:val="18"/>
                      <w:szCs w:val="18"/>
                      <w:lang w:val="en-US" w:eastAsia="zh-CN" w:bidi="ar-SA"/>
                    </w:rPr>
                    <w:t>23</w:t>
                  </w:r>
                </w:p>
              </w:tc>
              <w:tc>
                <w:tcPr>
                  <w:tcW w:w="850" w:type="pct"/>
                  <w:shd w:val="clear" w:color="auto" w:fill="auto"/>
                  <w:vAlign w:val="center"/>
                </w:tcPr>
                <w:p w14:paraId="05567BF1">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油墨印刷机</w:t>
                  </w:r>
                </w:p>
              </w:tc>
              <w:tc>
                <w:tcPr>
                  <w:tcW w:w="1394" w:type="dxa"/>
                  <w:vAlign w:val="center"/>
                </w:tcPr>
                <w:p w14:paraId="517864DF">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c>
                <w:tcPr>
                  <w:tcW w:w="709" w:type="pct"/>
                  <w:vAlign w:val="center"/>
                </w:tcPr>
                <w:p w14:paraId="498D194B">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w:t>
                  </w:r>
                </w:p>
              </w:tc>
              <w:tc>
                <w:tcPr>
                  <w:tcW w:w="709" w:type="pct"/>
                  <w:vAlign w:val="center"/>
                </w:tcPr>
                <w:p w14:paraId="55DCAB1F">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w:t>
                  </w:r>
                </w:p>
              </w:tc>
              <w:tc>
                <w:tcPr>
                  <w:tcW w:w="710" w:type="pct"/>
                  <w:vAlign w:val="center"/>
                </w:tcPr>
                <w:p w14:paraId="69071327">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w:t>
                  </w:r>
                </w:p>
              </w:tc>
              <w:tc>
                <w:tcPr>
                  <w:tcW w:w="902" w:type="pct"/>
                  <w:vMerge w:val="continue"/>
                  <w:vAlign w:val="center"/>
                </w:tcPr>
                <w:p w14:paraId="7AD80880">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cs="Times New Roman"/>
                      <w:color w:val="auto"/>
                      <w:kern w:val="2"/>
                      <w:sz w:val="18"/>
                      <w:szCs w:val="18"/>
                      <w:lang w:val="en-US" w:eastAsia="zh-CN" w:bidi="ar-SA"/>
                    </w:rPr>
                  </w:pPr>
                </w:p>
              </w:tc>
            </w:tr>
            <w:tr w14:paraId="56BA65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49" w:type="pct"/>
                  <w:vAlign w:val="center"/>
                </w:tcPr>
                <w:p w14:paraId="019D4D02">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cs="Times New Roman"/>
                      <w:color w:val="auto"/>
                      <w:kern w:val="2"/>
                      <w:sz w:val="18"/>
                      <w:szCs w:val="18"/>
                      <w:lang w:val="en-US" w:eastAsia="zh-CN" w:bidi="ar-SA"/>
                    </w:rPr>
                  </w:pPr>
                  <w:r>
                    <w:rPr>
                      <w:rFonts w:hint="eastAsia" w:cs="Times New Roman"/>
                      <w:color w:val="auto"/>
                      <w:kern w:val="2"/>
                      <w:sz w:val="18"/>
                      <w:szCs w:val="18"/>
                      <w:lang w:val="en-US" w:eastAsia="zh-CN" w:bidi="ar-SA"/>
                    </w:rPr>
                    <w:t>24</w:t>
                  </w:r>
                </w:p>
              </w:tc>
              <w:tc>
                <w:tcPr>
                  <w:tcW w:w="850" w:type="pct"/>
                  <w:shd w:val="clear" w:color="auto" w:fill="auto"/>
                  <w:vAlign w:val="center"/>
                </w:tcPr>
                <w:p w14:paraId="7E49E8D6">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机器人</w:t>
                  </w:r>
                </w:p>
              </w:tc>
              <w:tc>
                <w:tcPr>
                  <w:tcW w:w="1394" w:type="dxa"/>
                  <w:vAlign w:val="center"/>
                </w:tcPr>
                <w:p w14:paraId="1CE418B0">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c>
                <w:tcPr>
                  <w:tcW w:w="709" w:type="pct"/>
                  <w:vAlign w:val="center"/>
                </w:tcPr>
                <w:p w14:paraId="4BA14A8C">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w:t>
                  </w:r>
                </w:p>
              </w:tc>
              <w:tc>
                <w:tcPr>
                  <w:tcW w:w="709" w:type="pct"/>
                  <w:vAlign w:val="center"/>
                </w:tcPr>
                <w:p w14:paraId="70E03024">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w:t>
                  </w:r>
                </w:p>
              </w:tc>
              <w:tc>
                <w:tcPr>
                  <w:tcW w:w="710" w:type="pct"/>
                  <w:vAlign w:val="center"/>
                </w:tcPr>
                <w:p w14:paraId="17FCDCD4">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w:t>
                  </w:r>
                </w:p>
              </w:tc>
              <w:tc>
                <w:tcPr>
                  <w:tcW w:w="902" w:type="pct"/>
                  <w:vMerge w:val="continue"/>
                  <w:vAlign w:val="center"/>
                </w:tcPr>
                <w:p w14:paraId="481DB2C1">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cs="Times New Roman"/>
                      <w:color w:val="auto"/>
                      <w:kern w:val="2"/>
                      <w:sz w:val="18"/>
                      <w:szCs w:val="18"/>
                      <w:lang w:val="en-US" w:eastAsia="zh-CN" w:bidi="ar-SA"/>
                    </w:rPr>
                  </w:pPr>
                </w:p>
              </w:tc>
            </w:tr>
            <w:tr w14:paraId="49C82F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249" w:type="pct"/>
                  <w:vAlign w:val="center"/>
                </w:tcPr>
                <w:p w14:paraId="10D71378">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cs="Times New Roman"/>
                      <w:color w:val="auto"/>
                      <w:kern w:val="2"/>
                      <w:sz w:val="18"/>
                      <w:szCs w:val="18"/>
                      <w:lang w:val="en-US" w:eastAsia="zh-CN" w:bidi="ar-SA"/>
                    </w:rPr>
                  </w:pPr>
                  <w:r>
                    <w:rPr>
                      <w:rFonts w:hint="eastAsia" w:cs="Times New Roman"/>
                      <w:color w:val="auto"/>
                      <w:kern w:val="2"/>
                      <w:sz w:val="18"/>
                      <w:szCs w:val="18"/>
                      <w:lang w:val="en-US" w:eastAsia="zh-CN" w:bidi="ar-SA"/>
                    </w:rPr>
                    <w:t>25</w:t>
                  </w:r>
                </w:p>
              </w:tc>
              <w:tc>
                <w:tcPr>
                  <w:tcW w:w="850" w:type="pct"/>
                  <w:shd w:val="clear" w:color="auto" w:fill="auto"/>
                  <w:vAlign w:val="center"/>
                </w:tcPr>
                <w:p w14:paraId="74040A80">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装配工装</w:t>
                  </w:r>
                </w:p>
              </w:tc>
              <w:tc>
                <w:tcPr>
                  <w:tcW w:w="1394" w:type="dxa"/>
                  <w:vAlign w:val="center"/>
                </w:tcPr>
                <w:p w14:paraId="398C0A7D">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c>
                <w:tcPr>
                  <w:tcW w:w="709" w:type="pct"/>
                  <w:vAlign w:val="center"/>
                </w:tcPr>
                <w:p w14:paraId="455B6F6E">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w:t>
                  </w:r>
                </w:p>
              </w:tc>
              <w:tc>
                <w:tcPr>
                  <w:tcW w:w="709" w:type="pct"/>
                  <w:vAlign w:val="center"/>
                </w:tcPr>
                <w:p w14:paraId="51F58172">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w:t>
                  </w:r>
                </w:p>
              </w:tc>
              <w:tc>
                <w:tcPr>
                  <w:tcW w:w="710" w:type="pct"/>
                  <w:vAlign w:val="center"/>
                </w:tcPr>
                <w:p w14:paraId="29E4B90B">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w:t>
                  </w:r>
                </w:p>
              </w:tc>
              <w:tc>
                <w:tcPr>
                  <w:tcW w:w="902" w:type="pct"/>
                  <w:vMerge w:val="continue"/>
                  <w:vAlign w:val="center"/>
                </w:tcPr>
                <w:p w14:paraId="5D2DB412">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cs="Times New Roman"/>
                      <w:color w:val="auto"/>
                      <w:kern w:val="2"/>
                      <w:sz w:val="18"/>
                      <w:szCs w:val="18"/>
                      <w:lang w:val="en-US" w:eastAsia="zh-CN" w:bidi="ar-SA"/>
                    </w:rPr>
                  </w:pPr>
                </w:p>
              </w:tc>
            </w:tr>
          </w:tbl>
          <w:p w14:paraId="4BFBC462">
            <w:pPr>
              <w:keepNext w:val="0"/>
              <w:keepLines w:val="0"/>
              <w:suppressLineNumbers w:val="0"/>
              <w:bidi w:val="0"/>
              <w:spacing w:before="0" w:beforeAutospacing="0" w:after="0" w:afterAutospacing="0" w:line="360" w:lineRule="auto"/>
              <w:ind w:left="0" w:right="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表2-</w:t>
            </w:r>
            <w:r>
              <w:rPr>
                <w:rFonts w:hint="eastAsia" w:cs="Times New Roman"/>
                <w:b/>
                <w:bCs/>
                <w:color w:val="auto"/>
                <w:lang w:val="en-US" w:eastAsia="zh-CN"/>
              </w:rPr>
              <w:t>6</w:t>
            </w:r>
            <w:r>
              <w:rPr>
                <w:rFonts w:hint="default" w:ascii="Times New Roman" w:hAnsi="Times New Roman" w:eastAsia="宋体" w:cs="Times New Roman"/>
                <w:b/>
                <w:bCs/>
                <w:color w:val="auto"/>
              </w:rPr>
              <w:t>生产设备与产能匹配性</w:t>
            </w:r>
          </w:p>
          <w:tbl>
            <w:tblPr>
              <w:tblStyle w:val="20"/>
              <w:tblW w:w="815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165"/>
              <w:gridCol w:w="1165"/>
              <w:gridCol w:w="1165"/>
              <w:gridCol w:w="1165"/>
              <w:gridCol w:w="1165"/>
              <w:gridCol w:w="1165"/>
              <w:gridCol w:w="1165"/>
            </w:tblGrid>
            <w:tr w14:paraId="0E73EA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04" w:hRule="atLeast"/>
                <w:jc w:val="center"/>
              </w:trPr>
              <w:tc>
                <w:tcPr>
                  <w:tcW w:w="1165" w:type="dxa"/>
                  <w:tcBorders>
                    <w:tl2br w:val="nil"/>
                    <w:tr2bl w:val="nil"/>
                  </w:tcBorders>
                  <w:shd w:val="clear" w:color="auto" w:fill="auto"/>
                  <w:vAlign w:val="center"/>
                </w:tcPr>
                <w:p w14:paraId="30182F1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产品类别</w:t>
                  </w:r>
                </w:p>
              </w:tc>
              <w:tc>
                <w:tcPr>
                  <w:tcW w:w="1165" w:type="dxa"/>
                  <w:tcBorders>
                    <w:tl2br w:val="nil"/>
                    <w:tr2bl w:val="nil"/>
                  </w:tcBorders>
                  <w:shd w:val="clear" w:color="auto" w:fill="auto"/>
                  <w:vAlign w:val="center"/>
                </w:tcPr>
                <w:p w14:paraId="33D55C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设备名称</w:t>
                  </w:r>
                </w:p>
              </w:tc>
              <w:tc>
                <w:tcPr>
                  <w:tcW w:w="1165" w:type="dxa"/>
                  <w:tcBorders>
                    <w:tl2br w:val="nil"/>
                    <w:tr2bl w:val="nil"/>
                  </w:tcBorders>
                  <w:shd w:val="clear" w:color="auto" w:fill="auto"/>
                  <w:vAlign w:val="center"/>
                </w:tcPr>
                <w:p w14:paraId="15E880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设备台数</w:t>
                  </w:r>
                </w:p>
              </w:tc>
              <w:tc>
                <w:tcPr>
                  <w:tcW w:w="1165" w:type="dxa"/>
                  <w:tcBorders>
                    <w:tl2br w:val="nil"/>
                    <w:tr2bl w:val="nil"/>
                  </w:tcBorders>
                  <w:shd w:val="clear" w:color="auto" w:fill="auto"/>
                  <w:vAlign w:val="center"/>
                </w:tcPr>
                <w:p w14:paraId="2B1CF5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运行时间</w:t>
                  </w:r>
                </w:p>
              </w:tc>
              <w:tc>
                <w:tcPr>
                  <w:tcW w:w="1165" w:type="dxa"/>
                  <w:tcBorders>
                    <w:tl2br w:val="nil"/>
                    <w:tr2bl w:val="nil"/>
                  </w:tcBorders>
                  <w:shd w:val="clear" w:color="auto" w:fill="auto"/>
                  <w:vAlign w:val="center"/>
                </w:tcPr>
                <w:p w14:paraId="054F9D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单台最大工作能力（套/h）</w:t>
                  </w:r>
                </w:p>
              </w:tc>
              <w:tc>
                <w:tcPr>
                  <w:tcW w:w="1165" w:type="dxa"/>
                  <w:tcBorders>
                    <w:tl2br w:val="nil"/>
                    <w:tr2bl w:val="nil"/>
                  </w:tcBorders>
                  <w:shd w:val="clear" w:color="auto" w:fill="auto"/>
                  <w:vAlign w:val="center"/>
                </w:tcPr>
                <w:p w14:paraId="3A616D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最大产能（套/a）</w:t>
                  </w:r>
                </w:p>
              </w:tc>
              <w:tc>
                <w:tcPr>
                  <w:tcW w:w="1165" w:type="dxa"/>
                  <w:tcBorders>
                    <w:tl2br w:val="nil"/>
                    <w:tr2bl w:val="nil"/>
                  </w:tcBorders>
                  <w:shd w:val="clear" w:color="auto" w:fill="auto"/>
                  <w:vAlign w:val="center"/>
                </w:tcPr>
                <w:p w14:paraId="432F61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本项目年设计处理能力（套）</w:t>
                  </w:r>
                </w:p>
              </w:tc>
            </w:tr>
            <w:tr w14:paraId="48E3E9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1165" w:type="dxa"/>
                  <w:vMerge w:val="restart"/>
                  <w:tcBorders>
                    <w:tl2br w:val="nil"/>
                    <w:tr2bl w:val="nil"/>
                  </w:tcBorders>
                  <w:shd w:val="clear" w:color="auto" w:fill="auto"/>
                  <w:noWrap/>
                  <w:vAlign w:val="center"/>
                </w:tcPr>
                <w:p w14:paraId="756488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HC车灯</w:t>
                  </w:r>
                </w:p>
              </w:tc>
              <w:tc>
                <w:tcPr>
                  <w:tcW w:w="1165" w:type="dxa"/>
                  <w:tcBorders>
                    <w:tl2br w:val="nil"/>
                    <w:tr2bl w:val="nil"/>
                  </w:tcBorders>
                  <w:shd w:val="clear" w:color="auto" w:fill="auto"/>
                  <w:noWrap/>
                  <w:vAlign w:val="center"/>
                </w:tcPr>
                <w:p w14:paraId="3DCD510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自动除尘（含除尘机器人）</w:t>
                  </w:r>
                </w:p>
              </w:tc>
              <w:tc>
                <w:tcPr>
                  <w:tcW w:w="1165" w:type="dxa"/>
                  <w:tcBorders>
                    <w:tl2br w:val="nil"/>
                    <w:tr2bl w:val="nil"/>
                  </w:tcBorders>
                  <w:shd w:val="clear" w:color="auto" w:fill="auto"/>
                  <w:vAlign w:val="center"/>
                </w:tcPr>
                <w:p w14:paraId="39BA3A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kern w:val="0"/>
                      <w:sz w:val="18"/>
                      <w:szCs w:val="18"/>
                      <w:u w:val="none"/>
                      <w:lang w:val="en-US" w:eastAsia="zh-CN" w:bidi="ar"/>
                    </w:rPr>
                    <w:t>1</w:t>
                  </w:r>
                </w:p>
              </w:tc>
              <w:tc>
                <w:tcPr>
                  <w:tcW w:w="1165" w:type="dxa"/>
                  <w:tcBorders>
                    <w:tl2br w:val="nil"/>
                    <w:tr2bl w:val="nil"/>
                  </w:tcBorders>
                  <w:shd w:val="clear" w:color="auto" w:fill="auto"/>
                  <w:vAlign w:val="center"/>
                </w:tcPr>
                <w:p w14:paraId="6D3838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kern w:val="0"/>
                      <w:sz w:val="18"/>
                      <w:szCs w:val="18"/>
                      <w:u w:val="none"/>
                      <w:lang w:val="en-US" w:eastAsia="zh-CN" w:bidi="ar"/>
                    </w:rPr>
                    <w:t>2112</w:t>
                  </w:r>
                  <w:r>
                    <w:rPr>
                      <w:rFonts w:hint="default" w:ascii="Times New Roman" w:hAnsi="Times New Roman" w:eastAsia="宋体" w:cs="Times New Roman"/>
                      <w:i w:val="0"/>
                      <w:iCs w:val="0"/>
                      <w:color w:val="auto"/>
                      <w:kern w:val="0"/>
                      <w:sz w:val="18"/>
                      <w:szCs w:val="18"/>
                      <w:u w:val="none"/>
                      <w:lang w:val="en-US" w:eastAsia="zh-CN" w:bidi="ar"/>
                    </w:rPr>
                    <w:t>h</w:t>
                  </w:r>
                </w:p>
              </w:tc>
              <w:tc>
                <w:tcPr>
                  <w:tcW w:w="1165" w:type="dxa"/>
                  <w:tcBorders>
                    <w:tl2br w:val="nil"/>
                    <w:tr2bl w:val="nil"/>
                  </w:tcBorders>
                  <w:shd w:val="clear" w:color="auto" w:fill="auto"/>
                  <w:vAlign w:val="center"/>
                </w:tcPr>
                <w:p w14:paraId="4E0D26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eastAsia" w:eastAsia="宋体" w:cs="Times New Roman"/>
                      <w:i w:val="0"/>
                      <w:iCs w:val="0"/>
                      <w:color w:val="auto"/>
                      <w:sz w:val="18"/>
                      <w:szCs w:val="18"/>
                      <w:u w:val="none"/>
                      <w:lang w:val="en-US" w:eastAsia="zh-CN"/>
                    </w:rPr>
                    <w:t>65</w:t>
                  </w:r>
                </w:p>
              </w:tc>
              <w:tc>
                <w:tcPr>
                  <w:tcW w:w="1165" w:type="dxa"/>
                  <w:tcBorders>
                    <w:tl2br w:val="nil"/>
                    <w:tr2bl w:val="nil"/>
                  </w:tcBorders>
                  <w:shd w:val="clear" w:color="auto" w:fill="auto"/>
                  <w:vAlign w:val="center"/>
                </w:tcPr>
                <w:p w14:paraId="6E6846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137280</w:t>
                  </w:r>
                </w:p>
              </w:tc>
              <w:tc>
                <w:tcPr>
                  <w:tcW w:w="1165" w:type="dxa"/>
                  <w:tcBorders>
                    <w:tl2br w:val="nil"/>
                    <w:tr2bl w:val="nil"/>
                  </w:tcBorders>
                  <w:shd w:val="clear" w:color="auto" w:fill="auto"/>
                  <w:vAlign w:val="center"/>
                </w:tcPr>
                <w:p w14:paraId="4819B1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lang w:val="en-US"/>
                    </w:rPr>
                  </w:pPr>
                  <w:r>
                    <w:rPr>
                      <w:rFonts w:hint="eastAsia" w:eastAsia="宋体" w:cs="Times New Roman"/>
                      <w:i w:val="0"/>
                      <w:iCs w:val="0"/>
                      <w:color w:val="auto"/>
                      <w:kern w:val="0"/>
                      <w:sz w:val="18"/>
                      <w:szCs w:val="18"/>
                      <w:u w:val="none"/>
                      <w:lang w:val="en-US" w:eastAsia="zh-CN" w:bidi="ar"/>
                    </w:rPr>
                    <w:t>127000</w:t>
                  </w:r>
                </w:p>
              </w:tc>
            </w:tr>
            <w:tr w14:paraId="0B2036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0" w:hRule="atLeast"/>
                <w:jc w:val="center"/>
              </w:trPr>
              <w:tc>
                <w:tcPr>
                  <w:tcW w:w="1165" w:type="dxa"/>
                  <w:vMerge w:val="continue"/>
                  <w:tcBorders>
                    <w:tl2br w:val="nil"/>
                    <w:tr2bl w:val="nil"/>
                  </w:tcBorders>
                  <w:shd w:val="clear" w:color="auto" w:fill="auto"/>
                  <w:noWrap/>
                  <w:vAlign w:val="center"/>
                </w:tcPr>
                <w:p w14:paraId="25D2034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p>
              </w:tc>
              <w:tc>
                <w:tcPr>
                  <w:tcW w:w="1165" w:type="dxa"/>
                  <w:tcBorders>
                    <w:tl2br w:val="nil"/>
                    <w:tr2bl w:val="nil"/>
                  </w:tcBorders>
                  <w:shd w:val="clear" w:color="auto" w:fill="auto"/>
                  <w:noWrap/>
                  <w:vAlign w:val="center"/>
                </w:tcPr>
                <w:p w14:paraId="78D6D1F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上件区移送机械手</w:t>
                  </w:r>
                </w:p>
              </w:tc>
              <w:tc>
                <w:tcPr>
                  <w:tcW w:w="1165" w:type="dxa"/>
                  <w:tcBorders>
                    <w:tl2br w:val="nil"/>
                    <w:tr2bl w:val="nil"/>
                  </w:tcBorders>
                  <w:shd w:val="clear" w:color="auto" w:fill="auto"/>
                  <w:vAlign w:val="center"/>
                </w:tcPr>
                <w:p w14:paraId="57DECD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kern w:val="0"/>
                      <w:sz w:val="18"/>
                      <w:szCs w:val="18"/>
                      <w:u w:val="none"/>
                      <w:lang w:val="en-US" w:eastAsia="zh-CN" w:bidi="ar"/>
                    </w:rPr>
                    <w:t>1</w:t>
                  </w:r>
                </w:p>
              </w:tc>
              <w:tc>
                <w:tcPr>
                  <w:tcW w:w="1165" w:type="dxa"/>
                  <w:tcBorders>
                    <w:tl2br w:val="nil"/>
                    <w:tr2bl w:val="nil"/>
                  </w:tcBorders>
                  <w:shd w:val="clear" w:color="auto" w:fill="auto"/>
                  <w:vAlign w:val="center"/>
                </w:tcPr>
                <w:p w14:paraId="61950F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kern w:val="0"/>
                      <w:sz w:val="18"/>
                      <w:szCs w:val="18"/>
                      <w:u w:val="none"/>
                      <w:lang w:val="en-US" w:eastAsia="zh-CN" w:bidi="ar"/>
                    </w:rPr>
                    <w:t>2112</w:t>
                  </w:r>
                  <w:r>
                    <w:rPr>
                      <w:rFonts w:hint="default" w:ascii="Times New Roman" w:hAnsi="Times New Roman" w:eastAsia="宋体" w:cs="Times New Roman"/>
                      <w:i w:val="0"/>
                      <w:iCs w:val="0"/>
                      <w:color w:val="auto"/>
                      <w:kern w:val="0"/>
                      <w:sz w:val="18"/>
                      <w:szCs w:val="18"/>
                      <w:u w:val="none"/>
                      <w:lang w:val="en-US" w:eastAsia="zh-CN" w:bidi="ar"/>
                    </w:rPr>
                    <w:t>h</w:t>
                  </w:r>
                </w:p>
              </w:tc>
              <w:tc>
                <w:tcPr>
                  <w:tcW w:w="1165" w:type="dxa"/>
                  <w:tcBorders>
                    <w:tl2br w:val="nil"/>
                    <w:tr2bl w:val="nil"/>
                  </w:tcBorders>
                  <w:shd w:val="clear" w:color="auto" w:fill="auto"/>
                  <w:vAlign w:val="center"/>
                </w:tcPr>
                <w:p w14:paraId="5FE1334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sz w:val="18"/>
                      <w:szCs w:val="18"/>
                      <w:u w:val="none"/>
                      <w:lang w:val="en-US" w:eastAsia="zh-CN"/>
                    </w:rPr>
                    <w:t>65</w:t>
                  </w:r>
                </w:p>
              </w:tc>
              <w:tc>
                <w:tcPr>
                  <w:tcW w:w="1165" w:type="dxa"/>
                  <w:tcBorders>
                    <w:tl2br w:val="nil"/>
                    <w:tr2bl w:val="nil"/>
                  </w:tcBorders>
                  <w:shd w:val="clear" w:color="auto" w:fill="auto"/>
                  <w:vAlign w:val="center"/>
                </w:tcPr>
                <w:p w14:paraId="24DBAD6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137280</w:t>
                  </w:r>
                </w:p>
              </w:tc>
              <w:tc>
                <w:tcPr>
                  <w:tcW w:w="1165" w:type="dxa"/>
                  <w:tcBorders>
                    <w:tl2br w:val="nil"/>
                    <w:tr2bl w:val="nil"/>
                  </w:tcBorders>
                  <w:shd w:val="clear" w:color="auto" w:fill="auto"/>
                  <w:vAlign w:val="center"/>
                </w:tcPr>
                <w:p w14:paraId="27FE2C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kern w:val="0"/>
                      <w:sz w:val="18"/>
                      <w:szCs w:val="18"/>
                      <w:u w:val="none"/>
                      <w:lang w:val="en-US" w:eastAsia="zh-CN" w:bidi="ar"/>
                    </w:rPr>
                    <w:t>127000</w:t>
                  </w:r>
                </w:p>
              </w:tc>
            </w:tr>
            <w:tr w14:paraId="3750B0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0" w:hRule="atLeast"/>
                <w:jc w:val="center"/>
              </w:trPr>
              <w:tc>
                <w:tcPr>
                  <w:tcW w:w="1165" w:type="dxa"/>
                  <w:vMerge w:val="continue"/>
                  <w:tcBorders>
                    <w:tl2br w:val="nil"/>
                    <w:tr2bl w:val="nil"/>
                  </w:tcBorders>
                  <w:shd w:val="clear" w:color="auto" w:fill="auto"/>
                  <w:noWrap/>
                  <w:vAlign w:val="center"/>
                </w:tcPr>
                <w:p w14:paraId="7FBD708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p>
              </w:tc>
              <w:tc>
                <w:tcPr>
                  <w:tcW w:w="1165" w:type="dxa"/>
                  <w:tcBorders>
                    <w:tl2br w:val="nil"/>
                    <w:tr2bl w:val="nil"/>
                  </w:tcBorders>
                  <w:shd w:val="clear" w:color="auto" w:fill="auto"/>
                  <w:noWrap/>
                  <w:vAlign w:val="center"/>
                </w:tcPr>
                <w:p w14:paraId="0A8C2AF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HC喷涂系统</w:t>
                  </w:r>
                </w:p>
              </w:tc>
              <w:tc>
                <w:tcPr>
                  <w:tcW w:w="1165" w:type="dxa"/>
                  <w:tcBorders>
                    <w:tl2br w:val="nil"/>
                    <w:tr2bl w:val="nil"/>
                  </w:tcBorders>
                  <w:shd w:val="clear" w:color="auto" w:fill="auto"/>
                  <w:vAlign w:val="center"/>
                </w:tcPr>
                <w:p w14:paraId="281AAA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kern w:val="0"/>
                      <w:sz w:val="18"/>
                      <w:szCs w:val="18"/>
                      <w:u w:val="none"/>
                      <w:lang w:val="en-US" w:eastAsia="zh-CN" w:bidi="ar"/>
                    </w:rPr>
                    <w:t>1</w:t>
                  </w:r>
                </w:p>
              </w:tc>
              <w:tc>
                <w:tcPr>
                  <w:tcW w:w="1165" w:type="dxa"/>
                  <w:tcBorders>
                    <w:tl2br w:val="nil"/>
                    <w:tr2bl w:val="nil"/>
                  </w:tcBorders>
                  <w:shd w:val="clear" w:color="auto" w:fill="auto"/>
                  <w:vAlign w:val="center"/>
                </w:tcPr>
                <w:p w14:paraId="30FA88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kern w:val="0"/>
                      <w:sz w:val="18"/>
                      <w:szCs w:val="18"/>
                      <w:u w:val="none"/>
                      <w:lang w:val="en-US" w:eastAsia="zh-CN" w:bidi="ar"/>
                    </w:rPr>
                    <w:t>2112</w:t>
                  </w:r>
                  <w:r>
                    <w:rPr>
                      <w:rFonts w:hint="default" w:ascii="Times New Roman" w:hAnsi="Times New Roman" w:eastAsia="宋体" w:cs="Times New Roman"/>
                      <w:i w:val="0"/>
                      <w:iCs w:val="0"/>
                      <w:color w:val="auto"/>
                      <w:kern w:val="0"/>
                      <w:sz w:val="18"/>
                      <w:szCs w:val="18"/>
                      <w:u w:val="none"/>
                      <w:lang w:val="en-US" w:eastAsia="zh-CN" w:bidi="ar"/>
                    </w:rPr>
                    <w:t>h</w:t>
                  </w:r>
                </w:p>
              </w:tc>
              <w:tc>
                <w:tcPr>
                  <w:tcW w:w="1165" w:type="dxa"/>
                  <w:tcBorders>
                    <w:tl2br w:val="nil"/>
                    <w:tr2bl w:val="nil"/>
                  </w:tcBorders>
                  <w:shd w:val="clear" w:color="auto" w:fill="auto"/>
                  <w:vAlign w:val="center"/>
                </w:tcPr>
                <w:p w14:paraId="3C0732A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sz w:val="18"/>
                      <w:szCs w:val="18"/>
                      <w:u w:val="none"/>
                      <w:lang w:val="en-US" w:eastAsia="zh-CN"/>
                    </w:rPr>
                    <w:t>65</w:t>
                  </w:r>
                </w:p>
              </w:tc>
              <w:tc>
                <w:tcPr>
                  <w:tcW w:w="1165" w:type="dxa"/>
                  <w:tcBorders>
                    <w:tl2br w:val="nil"/>
                    <w:tr2bl w:val="nil"/>
                  </w:tcBorders>
                  <w:shd w:val="clear" w:color="auto" w:fill="auto"/>
                  <w:vAlign w:val="center"/>
                </w:tcPr>
                <w:p w14:paraId="11BDB04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137280</w:t>
                  </w:r>
                </w:p>
              </w:tc>
              <w:tc>
                <w:tcPr>
                  <w:tcW w:w="1165" w:type="dxa"/>
                  <w:tcBorders>
                    <w:tl2br w:val="nil"/>
                    <w:tr2bl w:val="nil"/>
                  </w:tcBorders>
                  <w:shd w:val="clear" w:color="auto" w:fill="auto"/>
                  <w:vAlign w:val="center"/>
                </w:tcPr>
                <w:p w14:paraId="40C0CF5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kern w:val="0"/>
                      <w:sz w:val="18"/>
                      <w:szCs w:val="18"/>
                      <w:u w:val="none"/>
                      <w:lang w:val="en-US" w:eastAsia="zh-CN" w:bidi="ar"/>
                    </w:rPr>
                    <w:t>127000</w:t>
                  </w:r>
                </w:p>
              </w:tc>
            </w:tr>
            <w:tr w14:paraId="6E5445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0" w:hRule="atLeast"/>
                <w:jc w:val="center"/>
              </w:trPr>
              <w:tc>
                <w:tcPr>
                  <w:tcW w:w="1165" w:type="dxa"/>
                  <w:vMerge w:val="continue"/>
                  <w:tcBorders>
                    <w:tl2br w:val="nil"/>
                    <w:tr2bl w:val="nil"/>
                  </w:tcBorders>
                  <w:shd w:val="clear" w:color="auto" w:fill="auto"/>
                  <w:noWrap/>
                  <w:vAlign w:val="center"/>
                </w:tcPr>
                <w:p w14:paraId="3CB90C7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p>
              </w:tc>
              <w:tc>
                <w:tcPr>
                  <w:tcW w:w="1165" w:type="dxa"/>
                  <w:tcBorders>
                    <w:tl2br w:val="nil"/>
                    <w:tr2bl w:val="nil"/>
                  </w:tcBorders>
                  <w:shd w:val="clear" w:color="auto" w:fill="auto"/>
                  <w:noWrap/>
                  <w:vAlign w:val="center"/>
                </w:tcPr>
                <w:p w14:paraId="7BAF49A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HC喷涂转固化炉机器人</w:t>
                  </w:r>
                </w:p>
              </w:tc>
              <w:tc>
                <w:tcPr>
                  <w:tcW w:w="1165" w:type="dxa"/>
                  <w:tcBorders>
                    <w:tl2br w:val="nil"/>
                    <w:tr2bl w:val="nil"/>
                  </w:tcBorders>
                  <w:shd w:val="clear" w:color="auto" w:fill="auto"/>
                  <w:vAlign w:val="center"/>
                </w:tcPr>
                <w:p w14:paraId="1B1117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kern w:val="0"/>
                      <w:sz w:val="18"/>
                      <w:szCs w:val="18"/>
                      <w:u w:val="none"/>
                      <w:lang w:val="en-US" w:eastAsia="zh-CN" w:bidi="ar"/>
                    </w:rPr>
                    <w:t>1</w:t>
                  </w:r>
                </w:p>
              </w:tc>
              <w:tc>
                <w:tcPr>
                  <w:tcW w:w="1165" w:type="dxa"/>
                  <w:tcBorders>
                    <w:tl2br w:val="nil"/>
                    <w:tr2bl w:val="nil"/>
                  </w:tcBorders>
                  <w:shd w:val="clear" w:color="auto" w:fill="auto"/>
                  <w:vAlign w:val="center"/>
                </w:tcPr>
                <w:p w14:paraId="1E0703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kern w:val="0"/>
                      <w:sz w:val="18"/>
                      <w:szCs w:val="18"/>
                      <w:u w:val="none"/>
                      <w:lang w:val="en-US" w:eastAsia="zh-CN" w:bidi="ar"/>
                    </w:rPr>
                    <w:t>2112</w:t>
                  </w:r>
                  <w:r>
                    <w:rPr>
                      <w:rFonts w:hint="default" w:ascii="Times New Roman" w:hAnsi="Times New Roman" w:eastAsia="宋体" w:cs="Times New Roman"/>
                      <w:i w:val="0"/>
                      <w:iCs w:val="0"/>
                      <w:color w:val="auto"/>
                      <w:kern w:val="0"/>
                      <w:sz w:val="18"/>
                      <w:szCs w:val="18"/>
                      <w:u w:val="none"/>
                      <w:lang w:val="en-US" w:eastAsia="zh-CN" w:bidi="ar"/>
                    </w:rPr>
                    <w:t>h</w:t>
                  </w:r>
                </w:p>
              </w:tc>
              <w:tc>
                <w:tcPr>
                  <w:tcW w:w="1165" w:type="dxa"/>
                  <w:tcBorders>
                    <w:tl2br w:val="nil"/>
                    <w:tr2bl w:val="nil"/>
                  </w:tcBorders>
                  <w:shd w:val="clear" w:color="auto" w:fill="auto"/>
                  <w:vAlign w:val="center"/>
                </w:tcPr>
                <w:p w14:paraId="318FB10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sz w:val="18"/>
                      <w:szCs w:val="18"/>
                      <w:u w:val="none"/>
                      <w:lang w:val="en-US" w:eastAsia="zh-CN"/>
                    </w:rPr>
                    <w:t>65</w:t>
                  </w:r>
                </w:p>
              </w:tc>
              <w:tc>
                <w:tcPr>
                  <w:tcW w:w="1165" w:type="dxa"/>
                  <w:tcBorders>
                    <w:tl2br w:val="nil"/>
                    <w:tr2bl w:val="nil"/>
                  </w:tcBorders>
                  <w:shd w:val="clear" w:color="auto" w:fill="auto"/>
                  <w:vAlign w:val="center"/>
                </w:tcPr>
                <w:p w14:paraId="232DC35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137280</w:t>
                  </w:r>
                </w:p>
              </w:tc>
              <w:tc>
                <w:tcPr>
                  <w:tcW w:w="1165" w:type="dxa"/>
                  <w:tcBorders>
                    <w:tl2br w:val="nil"/>
                    <w:tr2bl w:val="nil"/>
                  </w:tcBorders>
                  <w:shd w:val="clear" w:color="auto" w:fill="auto"/>
                  <w:vAlign w:val="center"/>
                </w:tcPr>
                <w:p w14:paraId="7BE78C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kern w:val="0"/>
                      <w:sz w:val="18"/>
                      <w:szCs w:val="18"/>
                      <w:u w:val="none"/>
                      <w:lang w:val="en-US" w:eastAsia="zh-CN" w:bidi="ar"/>
                    </w:rPr>
                    <w:t>127000</w:t>
                  </w:r>
                </w:p>
              </w:tc>
            </w:tr>
            <w:tr w14:paraId="6141B4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1" w:hRule="atLeast"/>
                <w:jc w:val="center"/>
              </w:trPr>
              <w:tc>
                <w:tcPr>
                  <w:tcW w:w="1165" w:type="dxa"/>
                  <w:vMerge w:val="continue"/>
                  <w:tcBorders>
                    <w:tl2br w:val="nil"/>
                    <w:tr2bl w:val="nil"/>
                  </w:tcBorders>
                  <w:shd w:val="clear" w:color="auto" w:fill="auto"/>
                  <w:noWrap/>
                  <w:vAlign w:val="center"/>
                </w:tcPr>
                <w:p w14:paraId="52C3DCD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1165" w:type="dxa"/>
                  <w:tcBorders>
                    <w:tl2br w:val="nil"/>
                    <w:tr2bl w:val="nil"/>
                  </w:tcBorders>
                  <w:shd w:val="clear" w:color="auto" w:fill="auto"/>
                  <w:noWrap/>
                  <w:vAlign w:val="center"/>
                </w:tcPr>
                <w:p w14:paraId="77C780EA">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HC光固化炉</w:t>
                  </w:r>
                </w:p>
              </w:tc>
              <w:tc>
                <w:tcPr>
                  <w:tcW w:w="1165" w:type="dxa"/>
                  <w:tcBorders>
                    <w:tl2br w:val="nil"/>
                    <w:tr2bl w:val="nil"/>
                  </w:tcBorders>
                  <w:shd w:val="clear" w:color="auto" w:fill="auto"/>
                  <w:vAlign w:val="center"/>
                </w:tcPr>
                <w:p w14:paraId="59557A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kern w:val="0"/>
                      <w:sz w:val="18"/>
                      <w:szCs w:val="18"/>
                      <w:u w:val="none"/>
                      <w:lang w:val="en-US" w:eastAsia="zh-CN" w:bidi="ar"/>
                    </w:rPr>
                    <w:t>1</w:t>
                  </w:r>
                </w:p>
              </w:tc>
              <w:tc>
                <w:tcPr>
                  <w:tcW w:w="1165" w:type="dxa"/>
                  <w:tcBorders>
                    <w:tl2br w:val="nil"/>
                    <w:tr2bl w:val="nil"/>
                  </w:tcBorders>
                  <w:shd w:val="clear" w:color="auto" w:fill="auto"/>
                  <w:vAlign w:val="center"/>
                </w:tcPr>
                <w:p w14:paraId="747CAD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kern w:val="0"/>
                      <w:sz w:val="18"/>
                      <w:szCs w:val="18"/>
                      <w:u w:val="none"/>
                      <w:lang w:val="en-US" w:eastAsia="zh-CN" w:bidi="ar"/>
                    </w:rPr>
                    <w:t>2112</w:t>
                  </w:r>
                  <w:r>
                    <w:rPr>
                      <w:rFonts w:hint="default" w:ascii="Times New Roman" w:hAnsi="Times New Roman" w:eastAsia="宋体" w:cs="Times New Roman"/>
                      <w:i w:val="0"/>
                      <w:iCs w:val="0"/>
                      <w:color w:val="auto"/>
                      <w:kern w:val="0"/>
                      <w:sz w:val="18"/>
                      <w:szCs w:val="18"/>
                      <w:u w:val="none"/>
                      <w:lang w:val="en-US" w:eastAsia="zh-CN" w:bidi="ar"/>
                    </w:rPr>
                    <w:t>h</w:t>
                  </w:r>
                </w:p>
              </w:tc>
              <w:tc>
                <w:tcPr>
                  <w:tcW w:w="1165" w:type="dxa"/>
                  <w:tcBorders>
                    <w:tl2br w:val="nil"/>
                    <w:tr2bl w:val="nil"/>
                  </w:tcBorders>
                  <w:shd w:val="clear" w:color="auto" w:fill="auto"/>
                  <w:vAlign w:val="center"/>
                </w:tcPr>
                <w:p w14:paraId="5571677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sz w:val="18"/>
                      <w:szCs w:val="18"/>
                      <w:u w:val="none"/>
                      <w:lang w:val="en-US" w:eastAsia="zh-CN"/>
                    </w:rPr>
                    <w:t>65</w:t>
                  </w:r>
                </w:p>
              </w:tc>
              <w:tc>
                <w:tcPr>
                  <w:tcW w:w="1165" w:type="dxa"/>
                  <w:tcBorders>
                    <w:tl2br w:val="nil"/>
                    <w:tr2bl w:val="nil"/>
                  </w:tcBorders>
                  <w:shd w:val="clear" w:color="auto" w:fill="auto"/>
                  <w:vAlign w:val="center"/>
                </w:tcPr>
                <w:p w14:paraId="02DF1BB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137280</w:t>
                  </w:r>
                </w:p>
              </w:tc>
              <w:tc>
                <w:tcPr>
                  <w:tcW w:w="1165" w:type="dxa"/>
                  <w:tcBorders>
                    <w:tl2br w:val="nil"/>
                    <w:tr2bl w:val="nil"/>
                  </w:tcBorders>
                  <w:shd w:val="clear" w:color="auto" w:fill="auto"/>
                  <w:vAlign w:val="center"/>
                </w:tcPr>
                <w:p w14:paraId="72080A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kern w:val="0"/>
                      <w:sz w:val="18"/>
                      <w:szCs w:val="18"/>
                      <w:u w:val="none"/>
                      <w:lang w:val="en-US" w:eastAsia="zh-CN" w:bidi="ar"/>
                    </w:rPr>
                    <w:t>127000</w:t>
                  </w:r>
                </w:p>
              </w:tc>
            </w:tr>
            <w:tr w14:paraId="1113C5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0" w:hRule="atLeast"/>
                <w:jc w:val="center"/>
              </w:trPr>
              <w:tc>
                <w:tcPr>
                  <w:tcW w:w="1165" w:type="dxa"/>
                  <w:vMerge w:val="restart"/>
                  <w:tcBorders>
                    <w:tl2br w:val="nil"/>
                    <w:tr2bl w:val="nil"/>
                  </w:tcBorders>
                  <w:shd w:val="clear" w:color="auto" w:fill="auto"/>
                  <w:noWrap/>
                  <w:vAlign w:val="center"/>
                </w:tcPr>
                <w:p w14:paraId="2D388B82">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sz w:val="18"/>
                      <w:szCs w:val="18"/>
                      <w:u w:val="none"/>
                      <w:lang w:val="en-US"/>
                    </w:rPr>
                  </w:pPr>
                  <w:r>
                    <w:rPr>
                      <w:rFonts w:hint="eastAsia" w:ascii="宋体" w:hAnsi="宋体" w:eastAsia="宋体" w:cs="宋体"/>
                      <w:i w:val="0"/>
                      <w:iCs w:val="0"/>
                      <w:color w:val="auto"/>
                      <w:kern w:val="0"/>
                      <w:sz w:val="18"/>
                      <w:szCs w:val="18"/>
                      <w:u w:val="none"/>
                      <w:lang w:val="en-US" w:eastAsia="zh-CN" w:bidi="ar"/>
                    </w:rPr>
                    <w:t>防雾车灯</w:t>
                  </w:r>
                </w:p>
              </w:tc>
              <w:tc>
                <w:tcPr>
                  <w:tcW w:w="1165" w:type="dxa"/>
                  <w:tcBorders>
                    <w:tl2br w:val="nil"/>
                    <w:tr2bl w:val="nil"/>
                  </w:tcBorders>
                  <w:shd w:val="clear" w:color="auto" w:fill="auto"/>
                  <w:noWrap/>
                  <w:vAlign w:val="center"/>
                </w:tcPr>
                <w:p w14:paraId="2142476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z w:val="18"/>
                      <w:szCs w:val="18"/>
                      <w:u w:val="none"/>
                    </w:rPr>
                  </w:pPr>
                  <w:r>
                    <w:rPr>
                      <w:rFonts w:hint="default" w:ascii="Times New Roman" w:hAnsi="Times New Roman" w:eastAsia="宋体" w:cs="Times New Roman"/>
                      <w:color w:val="auto"/>
                      <w:kern w:val="2"/>
                      <w:sz w:val="18"/>
                      <w:szCs w:val="18"/>
                      <w:lang w:val="en-US" w:eastAsia="zh-CN" w:bidi="ar-SA"/>
                    </w:rPr>
                    <w:t>防雾自动除尘</w:t>
                  </w:r>
                </w:p>
              </w:tc>
              <w:tc>
                <w:tcPr>
                  <w:tcW w:w="1165" w:type="dxa"/>
                  <w:tcBorders>
                    <w:tl2br w:val="nil"/>
                    <w:tr2bl w:val="nil"/>
                  </w:tcBorders>
                  <w:shd w:val="clear" w:color="auto" w:fill="auto"/>
                  <w:vAlign w:val="center"/>
                </w:tcPr>
                <w:p w14:paraId="36ED39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kern w:val="0"/>
                      <w:sz w:val="18"/>
                      <w:szCs w:val="18"/>
                      <w:u w:val="none"/>
                      <w:lang w:val="en-US" w:eastAsia="zh-CN" w:bidi="ar"/>
                    </w:rPr>
                    <w:t>1</w:t>
                  </w:r>
                </w:p>
              </w:tc>
              <w:tc>
                <w:tcPr>
                  <w:tcW w:w="1165" w:type="dxa"/>
                  <w:tcBorders>
                    <w:tl2br w:val="nil"/>
                    <w:tr2bl w:val="nil"/>
                  </w:tcBorders>
                  <w:shd w:val="clear" w:color="auto" w:fill="auto"/>
                  <w:vAlign w:val="center"/>
                </w:tcPr>
                <w:p w14:paraId="23F74B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kern w:val="0"/>
                      <w:sz w:val="18"/>
                      <w:szCs w:val="18"/>
                      <w:u w:val="none"/>
                      <w:lang w:val="en-US" w:eastAsia="zh-CN" w:bidi="ar"/>
                    </w:rPr>
                    <w:t>2112</w:t>
                  </w:r>
                  <w:r>
                    <w:rPr>
                      <w:rFonts w:hint="default" w:ascii="Times New Roman" w:hAnsi="Times New Roman" w:eastAsia="宋体" w:cs="Times New Roman"/>
                      <w:i w:val="0"/>
                      <w:iCs w:val="0"/>
                      <w:color w:val="auto"/>
                      <w:kern w:val="0"/>
                      <w:sz w:val="18"/>
                      <w:szCs w:val="18"/>
                      <w:u w:val="none"/>
                      <w:lang w:val="en-US" w:eastAsia="zh-CN" w:bidi="ar"/>
                    </w:rPr>
                    <w:t>h</w:t>
                  </w:r>
                </w:p>
              </w:tc>
              <w:tc>
                <w:tcPr>
                  <w:tcW w:w="1165" w:type="dxa"/>
                  <w:tcBorders>
                    <w:tl2br w:val="nil"/>
                    <w:tr2bl w:val="nil"/>
                  </w:tcBorders>
                  <w:shd w:val="clear" w:color="auto" w:fill="auto"/>
                  <w:vAlign w:val="center"/>
                </w:tcPr>
                <w:p w14:paraId="34ACF3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kern w:val="0"/>
                      <w:sz w:val="18"/>
                      <w:szCs w:val="18"/>
                      <w:u w:val="none"/>
                      <w:lang w:val="en-US" w:eastAsia="zh-CN" w:bidi="ar"/>
                    </w:rPr>
                    <w:t>4</w:t>
                  </w:r>
                  <w:r>
                    <w:rPr>
                      <w:rFonts w:hint="default" w:ascii="Times New Roman" w:hAnsi="Times New Roman" w:eastAsia="宋体" w:cs="Times New Roman"/>
                      <w:i w:val="0"/>
                      <w:iCs w:val="0"/>
                      <w:color w:val="auto"/>
                      <w:kern w:val="0"/>
                      <w:sz w:val="18"/>
                      <w:szCs w:val="18"/>
                      <w:u w:val="none"/>
                      <w:lang w:val="en-US" w:eastAsia="zh-CN" w:bidi="ar"/>
                    </w:rPr>
                    <w:t>5</w:t>
                  </w:r>
                </w:p>
              </w:tc>
              <w:tc>
                <w:tcPr>
                  <w:tcW w:w="1165" w:type="dxa"/>
                  <w:tcBorders>
                    <w:tl2br w:val="nil"/>
                    <w:tr2bl w:val="nil"/>
                  </w:tcBorders>
                  <w:shd w:val="clear" w:color="auto" w:fill="auto"/>
                  <w:vAlign w:val="center"/>
                </w:tcPr>
                <w:p w14:paraId="72F53E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95040</w:t>
                  </w:r>
                </w:p>
              </w:tc>
              <w:tc>
                <w:tcPr>
                  <w:tcW w:w="1165" w:type="dxa"/>
                  <w:tcBorders>
                    <w:tl2br w:val="nil"/>
                    <w:tr2bl w:val="nil"/>
                  </w:tcBorders>
                  <w:shd w:val="clear" w:color="auto" w:fill="auto"/>
                  <w:vAlign w:val="center"/>
                </w:tcPr>
                <w:p w14:paraId="4D7670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eastAsia" w:eastAsia="宋体" w:cs="Times New Roman"/>
                      <w:i w:val="0"/>
                      <w:iCs w:val="0"/>
                      <w:color w:val="auto"/>
                      <w:sz w:val="18"/>
                      <w:szCs w:val="18"/>
                      <w:u w:val="none"/>
                      <w:lang w:val="en-US" w:eastAsia="zh-CN"/>
                    </w:rPr>
                    <w:t>85000</w:t>
                  </w:r>
                </w:p>
              </w:tc>
            </w:tr>
            <w:tr w14:paraId="07D132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0" w:hRule="atLeast"/>
                <w:jc w:val="center"/>
              </w:trPr>
              <w:tc>
                <w:tcPr>
                  <w:tcW w:w="1165" w:type="dxa"/>
                  <w:vMerge w:val="continue"/>
                  <w:tcBorders>
                    <w:tl2br w:val="nil"/>
                    <w:tr2bl w:val="nil"/>
                  </w:tcBorders>
                  <w:shd w:val="clear" w:color="auto" w:fill="auto"/>
                  <w:noWrap/>
                  <w:vAlign w:val="center"/>
                </w:tcPr>
                <w:p w14:paraId="2BF12B1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1165" w:type="dxa"/>
                  <w:tcBorders>
                    <w:tl2br w:val="nil"/>
                    <w:tr2bl w:val="nil"/>
                  </w:tcBorders>
                  <w:shd w:val="clear" w:color="auto" w:fill="auto"/>
                  <w:noWrap/>
                  <w:vAlign w:val="center"/>
                </w:tcPr>
                <w:p w14:paraId="714EAFB9">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防雾喷涂系统</w:t>
                  </w:r>
                </w:p>
              </w:tc>
              <w:tc>
                <w:tcPr>
                  <w:tcW w:w="1165" w:type="dxa"/>
                  <w:tcBorders>
                    <w:tl2br w:val="nil"/>
                    <w:tr2bl w:val="nil"/>
                  </w:tcBorders>
                  <w:shd w:val="clear" w:color="auto" w:fill="auto"/>
                  <w:vAlign w:val="center"/>
                </w:tcPr>
                <w:p w14:paraId="2DE5E44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kern w:val="0"/>
                      <w:sz w:val="18"/>
                      <w:szCs w:val="18"/>
                      <w:u w:val="none"/>
                      <w:lang w:val="en-US" w:eastAsia="zh-CN" w:bidi="ar"/>
                    </w:rPr>
                    <w:t>1</w:t>
                  </w:r>
                </w:p>
              </w:tc>
              <w:tc>
                <w:tcPr>
                  <w:tcW w:w="1165" w:type="dxa"/>
                  <w:tcBorders>
                    <w:tl2br w:val="nil"/>
                    <w:tr2bl w:val="nil"/>
                  </w:tcBorders>
                  <w:shd w:val="clear" w:color="auto" w:fill="auto"/>
                  <w:vAlign w:val="center"/>
                </w:tcPr>
                <w:p w14:paraId="761C16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kern w:val="0"/>
                      <w:sz w:val="18"/>
                      <w:szCs w:val="18"/>
                      <w:u w:val="none"/>
                      <w:lang w:val="en-US" w:eastAsia="zh-CN" w:bidi="ar"/>
                    </w:rPr>
                    <w:t>2112</w:t>
                  </w:r>
                  <w:r>
                    <w:rPr>
                      <w:rFonts w:hint="default" w:ascii="Times New Roman" w:hAnsi="Times New Roman" w:eastAsia="宋体" w:cs="Times New Roman"/>
                      <w:i w:val="0"/>
                      <w:iCs w:val="0"/>
                      <w:color w:val="auto"/>
                      <w:kern w:val="0"/>
                      <w:sz w:val="18"/>
                      <w:szCs w:val="18"/>
                      <w:u w:val="none"/>
                      <w:lang w:val="en-US" w:eastAsia="zh-CN" w:bidi="ar"/>
                    </w:rPr>
                    <w:t>h</w:t>
                  </w:r>
                </w:p>
              </w:tc>
              <w:tc>
                <w:tcPr>
                  <w:tcW w:w="1165" w:type="dxa"/>
                  <w:tcBorders>
                    <w:tl2br w:val="nil"/>
                    <w:tr2bl w:val="nil"/>
                  </w:tcBorders>
                  <w:shd w:val="clear" w:color="auto" w:fill="auto"/>
                  <w:vAlign w:val="center"/>
                </w:tcPr>
                <w:p w14:paraId="46F5AB1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kern w:val="0"/>
                      <w:sz w:val="18"/>
                      <w:szCs w:val="18"/>
                      <w:u w:val="none"/>
                      <w:lang w:val="en-US" w:eastAsia="zh-CN" w:bidi="ar"/>
                    </w:rPr>
                    <w:t>4</w:t>
                  </w:r>
                  <w:r>
                    <w:rPr>
                      <w:rFonts w:hint="default" w:ascii="Times New Roman" w:hAnsi="Times New Roman" w:eastAsia="宋体" w:cs="Times New Roman"/>
                      <w:i w:val="0"/>
                      <w:iCs w:val="0"/>
                      <w:color w:val="auto"/>
                      <w:kern w:val="0"/>
                      <w:sz w:val="18"/>
                      <w:szCs w:val="18"/>
                      <w:u w:val="none"/>
                      <w:lang w:val="en-US" w:eastAsia="zh-CN" w:bidi="ar"/>
                    </w:rPr>
                    <w:t>5</w:t>
                  </w:r>
                </w:p>
              </w:tc>
              <w:tc>
                <w:tcPr>
                  <w:tcW w:w="1165" w:type="dxa"/>
                  <w:tcBorders>
                    <w:tl2br w:val="nil"/>
                    <w:tr2bl w:val="nil"/>
                  </w:tcBorders>
                  <w:shd w:val="clear" w:color="auto" w:fill="auto"/>
                  <w:vAlign w:val="center"/>
                </w:tcPr>
                <w:p w14:paraId="1C4F6A0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95040</w:t>
                  </w:r>
                </w:p>
              </w:tc>
              <w:tc>
                <w:tcPr>
                  <w:tcW w:w="1165" w:type="dxa"/>
                  <w:tcBorders>
                    <w:tl2br w:val="nil"/>
                    <w:tr2bl w:val="nil"/>
                  </w:tcBorders>
                  <w:shd w:val="clear" w:color="auto" w:fill="auto"/>
                  <w:vAlign w:val="center"/>
                </w:tcPr>
                <w:p w14:paraId="6A0E9A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sz w:val="18"/>
                      <w:szCs w:val="18"/>
                      <w:u w:val="none"/>
                      <w:lang w:val="en-US" w:eastAsia="zh-CN"/>
                    </w:rPr>
                    <w:t>85000</w:t>
                  </w:r>
                </w:p>
              </w:tc>
            </w:tr>
            <w:tr w14:paraId="75BA5D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0" w:hRule="atLeast"/>
                <w:jc w:val="center"/>
              </w:trPr>
              <w:tc>
                <w:tcPr>
                  <w:tcW w:w="1165" w:type="dxa"/>
                  <w:vMerge w:val="continue"/>
                  <w:tcBorders>
                    <w:tl2br w:val="nil"/>
                    <w:tr2bl w:val="nil"/>
                  </w:tcBorders>
                  <w:shd w:val="clear" w:color="auto" w:fill="auto"/>
                  <w:noWrap/>
                  <w:vAlign w:val="center"/>
                </w:tcPr>
                <w:p w14:paraId="3293385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1165" w:type="dxa"/>
                  <w:tcBorders>
                    <w:tl2br w:val="nil"/>
                    <w:tr2bl w:val="nil"/>
                  </w:tcBorders>
                  <w:shd w:val="clear" w:color="auto" w:fill="auto"/>
                  <w:noWrap/>
                  <w:vAlign w:val="center"/>
                </w:tcPr>
                <w:p w14:paraId="5B014617">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防雾喷涂转烘炉机器人</w:t>
                  </w:r>
                </w:p>
              </w:tc>
              <w:tc>
                <w:tcPr>
                  <w:tcW w:w="1165" w:type="dxa"/>
                  <w:tcBorders>
                    <w:tl2br w:val="nil"/>
                    <w:tr2bl w:val="nil"/>
                  </w:tcBorders>
                  <w:shd w:val="clear" w:color="auto" w:fill="auto"/>
                  <w:vAlign w:val="center"/>
                </w:tcPr>
                <w:p w14:paraId="0E8B8B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kern w:val="0"/>
                      <w:sz w:val="18"/>
                      <w:szCs w:val="18"/>
                      <w:u w:val="none"/>
                      <w:lang w:val="en-US" w:eastAsia="zh-CN" w:bidi="ar"/>
                    </w:rPr>
                    <w:t>1</w:t>
                  </w:r>
                </w:p>
              </w:tc>
              <w:tc>
                <w:tcPr>
                  <w:tcW w:w="1165" w:type="dxa"/>
                  <w:tcBorders>
                    <w:tl2br w:val="nil"/>
                    <w:tr2bl w:val="nil"/>
                  </w:tcBorders>
                  <w:shd w:val="clear" w:color="auto" w:fill="auto"/>
                  <w:vAlign w:val="center"/>
                </w:tcPr>
                <w:p w14:paraId="2FC074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kern w:val="0"/>
                      <w:sz w:val="18"/>
                      <w:szCs w:val="18"/>
                      <w:u w:val="none"/>
                      <w:lang w:val="en-US" w:eastAsia="zh-CN" w:bidi="ar"/>
                    </w:rPr>
                    <w:t>2112</w:t>
                  </w:r>
                  <w:r>
                    <w:rPr>
                      <w:rFonts w:hint="default" w:ascii="Times New Roman" w:hAnsi="Times New Roman" w:eastAsia="宋体" w:cs="Times New Roman"/>
                      <w:i w:val="0"/>
                      <w:iCs w:val="0"/>
                      <w:color w:val="auto"/>
                      <w:kern w:val="0"/>
                      <w:sz w:val="18"/>
                      <w:szCs w:val="18"/>
                      <w:u w:val="none"/>
                      <w:lang w:val="en-US" w:eastAsia="zh-CN" w:bidi="ar"/>
                    </w:rPr>
                    <w:t>h</w:t>
                  </w:r>
                </w:p>
              </w:tc>
              <w:tc>
                <w:tcPr>
                  <w:tcW w:w="1165" w:type="dxa"/>
                  <w:tcBorders>
                    <w:tl2br w:val="nil"/>
                    <w:tr2bl w:val="nil"/>
                  </w:tcBorders>
                  <w:shd w:val="clear" w:color="auto" w:fill="auto"/>
                  <w:vAlign w:val="center"/>
                </w:tcPr>
                <w:p w14:paraId="598D787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kern w:val="0"/>
                      <w:sz w:val="18"/>
                      <w:szCs w:val="18"/>
                      <w:u w:val="none"/>
                      <w:lang w:val="en-US" w:eastAsia="zh-CN" w:bidi="ar"/>
                    </w:rPr>
                    <w:t>4</w:t>
                  </w:r>
                  <w:r>
                    <w:rPr>
                      <w:rFonts w:hint="default" w:ascii="Times New Roman" w:hAnsi="Times New Roman" w:eastAsia="宋体" w:cs="Times New Roman"/>
                      <w:i w:val="0"/>
                      <w:iCs w:val="0"/>
                      <w:color w:val="auto"/>
                      <w:kern w:val="0"/>
                      <w:sz w:val="18"/>
                      <w:szCs w:val="18"/>
                      <w:u w:val="none"/>
                      <w:lang w:val="en-US" w:eastAsia="zh-CN" w:bidi="ar"/>
                    </w:rPr>
                    <w:t>5</w:t>
                  </w:r>
                </w:p>
              </w:tc>
              <w:tc>
                <w:tcPr>
                  <w:tcW w:w="1165" w:type="dxa"/>
                  <w:tcBorders>
                    <w:tl2br w:val="nil"/>
                    <w:tr2bl w:val="nil"/>
                  </w:tcBorders>
                  <w:shd w:val="clear" w:color="auto" w:fill="auto"/>
                  <w:vAlign w:val="center"/>
                </w:tcPr>
                <w:p w14:paraId="295B31F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95040</w:t>
                  </w:r>
                </w:p>
              </w:tc>
              <w:tc>
                <w:tcPr>
                  <w:tcW w:w="1165" w:type="dxa"/>
                  <w:tcBorders>
                    <w:tl2br w:val="nil"/>
                    <w:tr2bl w:val="nil"/>
                  </w:tcBorders>
                  <w:shd w:val="clear" w:color="auto" w:fill="auto"/>
                  <w:vAlign w:val="center"/>
                </w:tcPr>
                <w:p w14:paraId="1D220D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sz w:val="18"/>
                      <w:szCs w:val="18"/>
                      <w:u w:val="none"/>
                      <w:lang w:val="en-US" w:eastAsia="zh-CN"/>
                    </w:rPr>
                    <w:t>85000</w:t>
                  </w:r>
                </w:p>
              </w:tc>
            </w:tr>
            <w:tr w14:paraId="7BB9AD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0" w:hRule="atLeast"/>
                <w:jc w:val="center"/>
              </w:trPr>
              <w:tc>
                <w:tcPr>
                  <w:tcW w:w="1165" w:type="dxa"/>
                  <w:vMerge w:val="continue"/>
                  <w:tcBorders>
                    <w:tl2br w:val="nil"/>
                    <w:tr2bl w:val="nil"/>
                  </w:tcBorders>
                  <w:shd w:val="clear" w:color="auto" w:fill="auto"/>
                  <w:noWrap/>
                  <w:vAlign w:val="center"/>
                </w:tcPr>
                <w:p w14:paraId="15C2C7B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z w:val="18"/>
                      <w:szCs w:val="18"/>
                      <w:u w:val="none"/>
                    </w:rPr>
                  </w:pPr>
                </w:p>
              </w:tc>
              <w:tc>
                <w:tcPr>
                  <w:tcW w:w="1165" w:type="dxa"/>
                  <w:tcBorders>
                    <w:tl2br w:val="nil"/>
                    <w:tr2bl w:val="nil"/>
                  </w:tcBorders>
                  <w:shd w:val="clear" w:color="auto" w:fill="auto"/>
                  <w:noWrap/>
                  <w:vAlign w:val="center"/>
                </w:tcPr>
                <w:p w14:paraId="2B86C5D9">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防雾烘箱</w:t>
                  </w:r>
                </w:p>
              </w:tc>
              <w:tc>
                <w:tcPr>
                  <w:tcW w:w="1165" w:type="dxa"/>
                  <w:tcBorders>
                    <w:tl2br w:val="nil"/>
                    <w:tr2bl w:val="nil"/>
                  </w:tcBorders>
                  <w:shd w:val="clear" w:color="auto" w:fill="auto"/>
                  <w:vAlign w:val="center"/>
                </w:tcPr>
                <w:p w14:paraId="0E59CE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kern w:val="0"/>
                      <w:sz w:val="18"/>
                      <w:szCs w:val="18"/>
                      <w:u w:val="none"/>
                      <w:lang w:val="en-US" w:eastAsia="zh-CN" w:bidi="ar"/>
                    </w:rPr>
                    <w:t>1</w:t>
                  </w:r>
                </w:p>
              </w:tc>
              <w:tc>
                <w:tcPr>
                  <w:tcW w:w="1165" w:type="dxa"/>
                  <w:tcBorders>
                    <w:tl2br w:val="nil"/>
                    <w:tr2bl w:val="nil"/>
                  </w:tcBorders>
                  <w:shd w:val="clear" w:color="auto" w:fill="auto"/>
                  <w:vAlign w:val="center"/>
                </w:tcPr>
                <w:p w14:paraId="3B1C41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kern w:val="0"/>
                      <w:sz w:val="18"/>
                      <w:szCs w:val="18"/>
                      <w:u w:val="none"/>
                      <w:lang w:val="en-US" w:eastAsia="zh-CN" w:bidi="ar"/>
                    </w:rPr>
                    <w:t>2112</w:t>
                  </w:r>
                  <w:r>
                    <w:rPr>
                      <w:rFonts w:hint="default" w:ascii="Times New Roman" w:hAnsi="Times New Roman" w:eastAsia="宋体" w:cs="Times New Roman"/>
                      <w:i w:val="0"/>
                      <w:iCs w:val="0"/>
                      <w:color w:val="auto"/>
                      <w:kern w:val="0"/>
                      <w:sz w:val="18"/>
                      <w:szCs w:val="18"/>
                      <w:u w:val="none"/>
                      <w:lang w:val="en-US" w:eastAsia="zh-CN" w:bidi="ar"/>
                    </w:rPr>
                    <w:t>h</w:t>
                  </w:r>
                </w:p>
              </w:tc>
              <w:tc>
                <w:tcPr>
                  <w:tcW w:w="1165" w:type="dxa"/>
                  <w:tcBorders>
                    <w:tl2br w:val="nil"/>
                    <w:tr2bl w:val="nil"/>
                  </w:tcBorders>
                  <w:shd w:val="clear" w:color="auto" w:fill="auto"/>
                  <w:vAlign w:val="center"/>
                </w:tcPr>
                <w:p w14:paraId="352303D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kern w:val="0"/>
                      <w:sz w:val="18"/>
                      <w:szCs w:val="18"/>
                      <w:u w:val="none"/>
                      <w:lang w:val="en-US" w:eastAsia="zh-CN" w:bidi="ar"/>
                    </w:rPr>
                    <w:t>4</w:t>
                  </w:r>
                  <w:r>
                    <w:rPr>
                      <w:rFonts w:hint="default" w:ascii="Times New Roman" w:hAnsi="Times New Roman" w:eastAsia="宋体" w:cs="Times New Roman"/>
                      <w:i w:val="0"/>
                      <w:iCs w:val="0"/>
                      <w:color w:val="auto"/>
                      <w:kern w:val="0"/>
                      <w:sz w:val="18"/>
                      <w:szCs w:val="18"/>
                      <w:u w:val="none"/>
                      <w:lang w:val="en-US" w:eastAsia="zh-CN" w:bidi="ar"/>
                    </w:rPr>
                    <w:t>5</w:t>
                  </w:r>
                </w:p>
              </w:tc>
              <w:tc>
                <w:tcPr>
                  <w:tcW w:w="1165" w:type="dxa"/>
                  <w:tcBorders>
                    <w:tl2br w:val="nil"/>
                    <w:tr2bl w:val="nil"/>
                  </w:tcBorders>
                  <w:shd w:val="clear" w:color="auto" w:fill="auto"/>
                  <w:vAlign w:val="center"/>
                </w:tcPr>
                <w:p w14:paraId="6C2C02B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95040</w:t>
                  </w:r>
                </w:p>
              </w:tc>
              <w:tc>
                <w:tcPr>
                  <w:tcW w:w="1165" w:type="dxa"/>
                  <w:tcBorders>
                    <w:tl2br w:val="nil"/>
                    <w:tr2bl w:val="nil"/>
                  </w:tcBorders>
                  <w:shd w:val="clear" w:color="auto" w:fill="auto"/>
                  <w:vAlign w:val="center"/>
                </w:tcPr>
                <w:p w14:paraId="197DCE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sz w:val="18"/>
                      <w:szCs w:val="18"/>
                      <w:u w:val="none"/>
                    </w:rPr>
                  </w:pPr>
                  <w:r>
                    <w:rPr>
                      <w:rFonts w:hint="eastAsia" w:eastAsia="宋体" w:cs="Times New Roman"/>
                      <w:i w:val="0"/>
                      <w:iCs w:val="0"/>
                      <w:color w:val="auto"/>
                      <w:sz w:val="18"/>
                      <w:szCs w:val="18"/>
                      <w:u w:val="none"/>
                      <w:lang w:val="en-US" w:eastAsia="zh-CN"/>
                    </w:rPr>
                    <w:t>85000</w:t>
                  </w:r>
                </w:p>
              </w:tc>
            </w:tr>
          </w:tbl>
          <w:p w14:paraId="18E7895B">
            <w:pPr>
              <w:keepNext w:val="0"/>
              <w:keepLines w:val="0"/>
              <w:suppressLineNumbers w:val="0"/>
              <w:adjustRightInd w:val="0"/>
              <w:snapToGrid w:val="0"/>
              <w:spacing w:before="0" w:beforeAutospacing="0" w:after="0" w:afterAutospacing="0" w:line="360" w:lineRule="auto"/>
              <w:ind w:left="0" w:right="0" w:firstLine="420"/>
              <w:jc w:val="left"/>
              <w:rPr>
                <w:rFonts w:hint="default" w:ascii="Times New Roman" w:hAnsi="Times New Roman" w:eastAsia="宋体" w:cs="Times New Roman"/>
                <w:color w:val="auto"/>
                <w:kern w:val="0"/>
                <w:sz w:val="21"/>
                <w:szCs w:val="21"/>
                <w:u w:val="none"/>
                <w:lang w:val="en-US" w:eastAsia="zh-CN" w:bidi="ar"/>
              </w:rPr>
            </w:pPr>
            <w:r>
              <w:rPr>
                <w:rFonts w:hint="eastAsia" w:ascii="Times New Roman" w:hAnsi="Times New Roman" w:eastAsia="宋体" w:cs="Times New Roman"/>
                <w:color w:val="auto"/>
                <w:kern w:val="0"/>
                <w:sz w:val="21"/>
                <w:szCs w:val="21"/>
                <w:u w:val="none"/>
                <w:lang w:val="en-US" w:eastAsia="zh-CN" w:bidi="ar"/>
              </w:rPr>
              <w:t>由上</w:t>
            </w:r>
            <w:r>
              <w:rPr>
                <w:rFonts w:hint="eastAsia" w:eastAsia="宋体" w:cs="Times New Roman"/>
                <w:color w:val="auto"/>
                <w:kern w:val="0"/>
                <w:sz w:val="21"/>
                <w:szCs w:val="21"/>
                <w:u w:val="none"/>
                <w:lang w:val="en-US" w:eastAsia="zh-CN" w:bidi="ar"/>
              </w:rPr>
              <w:t>表</w:t>
            </w:r>
            <w:r>
              <w:rPr>
                <w:rFonts w:hint="eastAsia" w:ascii="Times New Roman" w:hAnsi="Times New Roman" w:eastAsia="宋体" w:cs="Times New Roman"/>
                <w:color w:val="auto"/>
                <w:kern w:val="0"/>
                <w:sz w:val="21"/>
                <w:szCs w:val="21"/>
                <w:u w:val="none"/>
                <w:lang w:val="en-US" w:eastAsia="zh-CN" w:bidi="ar"/>
              </w:rPr>
              <w:t>可知</w:t>
            </w:r>
            <w:r>
              <w:rPr>
                <w:rFonts w:hint="default" w:ascii="Times New Roman" w:hAnsi="Times New Roman" w:eastAsia="宋体" w:cs="Times New Roman"/>
                <w:color w:val="auto"/>
                <w:kern w:val="0"/>
                <w:sz w:val="21"/>
                <w:szCs w:val="21"/>
                <w:u w:val="none"/>
                <w:lang w:val="en-US" w:eastAsia="zh-CN" w:bidi="ar"/>
              </w:rPr>
              <w:t>，</w:t>
            </w:r>
            <w:r>
              <w:rPr>
                <w:rFonts w:hint="eastAsia" w:ascii="Times New Roman" w:hAnsi="Times New Roman" w:eastAsia="宋体" w:cs="Times New Roman"/>
                <w:color w:val="auto"/>
                <w:kern w:val="0"/>
                <w:sz w:val="21"/>
                <w:szCs w:val="21"/>
                <w:u w:val="none"/>
                <w:lang w:val="en-US" w:eastAsia="zh-CN" w:bidi="ar"/>
              </w:rPr>
              <w:t>本项目生产设备数量</w:t>
            </w:r>
            <w:r>
              <w:rPr>
                <w:rFonts w:hint="default" w:ascii="Times New Roman" w:hAnsi="Times New Roman" w:eastAsia="宋体" w:cs="Times New Roman"/>
                <w:color w:val="auto"/>
                <w:kern w:val="0"/>
                <w:sz w:val="21"/>
                <w:szCs w:val="21"/>
                <w:u w:val="none"/>
                <w:lang w:val="en-US" w:eastAsia="zh-CN" w:bidi="ar"/>
              </w:rPr>
              <w:t>可满足本项目的生产所需。</w:t>
            </w:r>
          </w:p>
          <w:p w14:paraId="25A8BC94">
            <w:pPr>
              <w:pStyle w:val="3"/>
              <w:bidi w:val="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四</w:t>
            </w:r>
            <w:r>
              <w:rPr>
                <w:rFonts w:hint="default" w:ascii="Times New Roman" w:hAnsi="Times New Roman" w:cs="Times New Roman"/>
                <w:color w:val="auto"/>
              </w:rPr>
              <w:t>）水平衡</w:t>
            </w:r>
          </w:p>
          <w:p w14:paraId="4447BCDA">
            <w:pPr>
              <w:pStyle w:val="3"/>
              <w:tabs>
                <w:tab w:val="left" w:pos="4078"/>
              </w:tabs>
              <w:spacing w:before="82" w:line="360" w:lineRule="auto"/>
              <w:ind w:left="0" w:leftChars="0" w:firstLine="420" w:firstLineChars="200"/>
              <w:jc w:val="both"/>
              <w:rPr>
                <w:rFonts w:hint="default" w:ascii="Times New Roman" w:hAnsi="Times New Roman" w:cs="Times New Roman"/>
                <w:b w:val="0"/>
                <w:bCs w:val="0"/>
                <w:color w:val="auto"/>
                <w:lang w:eastAsia="zh-CN"/>
              </w:rPr>
            </w:pPr>
            <w:r>
              <w:rPr>
                <w:rFonts w:hint="eastAsia" w:ascii="Times New Roman" w:hAnsi="Times New Roman" w:eastAsia="宋体" w:cs="Times New Roman"/>
                <w:b w:val="0"/>
                <w:bCs w:val="0"/>
                <w:color w:val="auto"/>
                <w:lang w:val="en-US" w:eastAsia="zh-CN"/>
              </w:rPr>
              <w:t>本次技改，不涉及用水和排水，</w:t>
            </w:r>
            <w:r>
              <w:rPr>
                <w:rFonts w:hint="default" w:ascii="Times New Roman" w:hAnsi="Times New Roman" w:eastAsia="宋体" w:cs="Times New Roman"/>
                <w:b w:val="0"/>
                <w:bCs w:val="0"/>
                <w:color w:val="auto"/>
              </w:rPr>
              <w:t>项</w:t>
            </w:r>
            <w:r>
              <w:rPr>
                <w:rFonts w:hint="default" w:ascii="Times New Roman" w:hAnsi="Times New Roman" w:cs="Times New Roman"/>
                <w:b w:val="0"/>
                <w:bCs w:val="0"/>
                <w:color w:val="auto"/>
              </w:rPr>
              <w:t>目</w:t>
            </w:r>
            <w:r>
              <w:rPr>
                <w:rFonts w:hint="eastAsia" w:ascii="Times New Roman" w:hAnsi="Times New Roman" w:cs="Times New Roman"/>
                <w:b w:val="0"/>
                <w:bCs w:val="0"/>
                <w:color w:val="auto"/>
                <w:lang w:val="en-US" w:eastAsia="zh-CN"/>
              </w:rPr>
              <w:t>全厂</w:t>
            </w:r>
            <w:r>
              <w:rPr>
                <w:rFonts w:hint="default" w:ascii="Times New Roman" w:hAnsi="Times New Roman" w:cs="Times New Roman"/>
                <w:b w:val="0"/>
                <w:bCs w:val="0"/>
                <w:color w:val="auto"/>
                <w:lang w:val="en-US" w:eastAsia="zh-CN"/>
              </w:rPr>
              <w:t>水</w:t>
            </w:r>
            <w:r>
              <w:rPr>
                <w:rFonts w:hint="default" w:ascii="Times New Roman" w:hAnsi="Times New Roman" w:cs="Times New Roman"/>
                <w:b w:val="0"/>
                <w:bCs w:val="0"/>
                <w:color w:val="auto"/>
              </w:rPr>
              <w:t>平衡图见图 2-1</w:t>
            </w:r>
            <w:r>
              <w:rPr>
                <w:rFonts w:hint="default" w:ascii="Times New Roman" w:hAnsi="Times New Roman" w:cs="Times New Roman"/>
                <w:b w:val="0"/>
                <w:bCs w:val="0"/>
                <w:color w:val="auto"/>
                <w:lang w:eastAsia="zh-CN"/>
              </w:rPr>
              <w:t>。</w:t>
            </w:r>
          </w:p>
          <w:p w14:paraId="7376B1F0">
            <w:pPr>
              <w:pStyle w:val="3"/>
              <w:bidi w:val="0"/>
              <w:ind w:left="0" w:leftChars="0" w:firstLine="0" w:firstLineChars="0"/>
              <w:rPr>
                <w:rFonts w:hint="default"/>
                <w:color w:val="auto"/>
                <w:lang w:val="en-US" w:eastAsia="zh-CN"/>
              </w:rPr>
            </w:pPr>
            <w:r>
              <w:rPr>
                <w:rFonts w:hint="default"/>
                <w:color w:val="auto"/>
                <w:lang w:val="en-US" w:eastAsia="zh-CN"/>
              </w:rPr>
              <w:drawing>
                <wp:inline distT="0" distB="0" distL="114300" distR="114300">
                  <wp:extent cx="5173345" cy="2536190"/>
                  <wp:effectExtent l="0" t="0" r="8255" b="16510"/>
                  <wp:docPr id="9" name="图片 9" descr="冠东全厂水平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冠东全厂水平衡"/>
                          <pic:cNvPicPr>
                            <a:picLocks noChangeAspect="1"/>
                          </pic:cNvPicPr>
                        </pic:nvPicPr>
                        <pic:blipFill>
                          <a:blip r:embed="rId10"/>
                          <a:stretch>
                            <a:fillRect/>
                          </a:stretch>
                        </pic:blipFill>
                        <pic:spPr>
                          <a:xfrm>
                            <a:off x="0" y="0"/>
                            <a:ext cx="5173345" cy="2536190"/>
                          </a:xfrm>
                          <a:prstGeom prst="rect">
                            <a:avLst/>
                          </a:prstGeom>
                        </pic:spPr>
                      </pic:pic>
                    </a:graphicData>
                  </a:graphic>
                </wp:inline>
              </w:drawing>
            </w:r>
          </w:p>
          <w:p w14:paraId="60B88F6D">
            <w:pPr>
              <w:pStyle w:val="3"/>
              <w:bidi w:val="0"/>
              <w:ind w:left="0" w:leftChars="0"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图2-</w:t>
            </w: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全厂水平衡图</w:t>
            </w:r>
          </w:p>
          <w:p w14:paraId="50510D82">
            <w:pPr>
              <w:pStyle w:val="3"/>
              <w:tabs>
                <w:tab w:val="left" w:pos="4078"/>
              </w:tabs>
              <w:spacing w:before="82" w:line="360" w:lineRule="auto"/>
              <w:jc w:val="both"/>
              <w:rPr>
                <w:rFonts w:hint="eastAsia" w:ascii="Times New Roman" w:hAnsi="Times New Roman" w:cs="Times New Roman"/>
                <w:b/>
                <w:bCs/>
                <w:color w:val="auto"/>
                <w:highlight w:val="none"/>
                <w:lang w:val="en-US" w:eastAsia="zh-CN"/>
              </w:rPr>
            </w:pPr>
            <w:r>
              <w:rPr>
                <w:rFonts w:hint="eastAsia" w:ascii="Times New Roman" w:hAnsi="Times New Roman" w:cs="Times New Roman"/>
                <w:b/>
                <w:bCs/>
                <w:color w:val="auto"/>
                <w:highlight w:val="none"/>
                <w:lang w:val="en-US" w:eastAsia="zh-CN"/>
              </w:rPr>
              <w:t>（五）本项目VOCs平衡</w:t>
            </w:r>
          </w:p>
          <w:p w14:paraId="5DC27D09">
            <w:pPr>
              <w:jc w:val="center"/>
              <w:rPr>
                <w:rFonts w:hint="eastAsia"/>
                <w:b/>
                <w:bCs/>
                <w:color w:val="auto"/>
                <w:highlight w:val="none"/>
                <w:lang w:val="en-US" w:eastAsia="zh-CN"/>
              </w:rPr>
            </w:pPr>
            <w:r>
              <w:rPr>
                <w:rFonts w:hint="eastAsia"/>
                <w:b/>
                <w:bCs/>
                <w:color w:val="auto"/>
                <w:highlight w:val="none"/>
                <w:lang w:val="en-US" w:eastAsia="zh-CN"/>
              </w:rPr>
              <w:t>表2-7涂料物料平衡表</w:t>
            </w:r>
          </w:p>
          <w:tbl>
            <w:tblPr>
              <w:tblStyle w:val="20"/>
              <w:tblW w:w="799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shd w:val="clear" w:color="auto" w:fill="auto"/>
              <w:tblLayout w:type="autofit"/>
              <w:tblCellMar>
                <w:top w:w="0" w:type="dxa"/>
                <w:left w:w="108" w:type="dxa"/>
                <w:bottom w:w="0" w:type="dxa"/>
                <w:right w:w="108" w:type="dxa"/>
              </w:tblCellMar>
            </w:tblPr>
            <w:tblGrid>
              <w:gridCol w:w="999"/>
              <w:gridCol w:w="1000"/>
              <w:gridCol w:w="1999"/>
              <w:gridCol w:w="666"/>
              <w:gridCol w:w="666"/>
              <w:gridCol w:w="667"/>
              <w:gridCol w:w="2002"/>
            </w:tblGrid>
            <w:tr w14:paraId="4F776FAD">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shd w:val="clear" w:color="auto" w:fill="auto"/>
                <w:tblCellMar>
                  <w:top w:w="0" w:type="dxa"/>
                  <w:left w:w="108" w:type="dxa"/>
                  <w:bottom w:w="0" w:type="dxa"/>
                  <w:right w:w="108" w:type="dxa"/>
                </w:tblCellMar>
              </w:tblPrEx>
              <w:trPr>
                <w:trHeight w:val="259" w:hRule="atLeast"/>
                <w:jc w:val="center"/>
              </w:trPr>
              <w:tc>
                <w:tcPr>
                  <w:tcW w:w="3998" w:type="dxa"/>
                  <w:gridSpan w:val="3"/>
                  <w:tcBorders>
                    <w:tl2br w:val="nil"/>
                    <w:tr2bl w:val="nil"/>
                  </w:tcBorders>
                  <w:shd w:val="clear" w:color="auto" w:fill="auto"/>
                  <w:vAlign w:val="center"/>
                </w:tcPr>
                <w:p w14:paraId="7EFF8E0A">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投入</w:t>
                  </w:r>
                </w:p>
              </w:tc>
              <w:tc>
                <w:tcPr>
                  <w:tcW w:w="4001" w:type="dxa"/>
                  <w:gridSpan w:val="4"/>
                  <w:tcBorders>
                    <w:tl2br w:val="nil"/>
                    <w:tr2bl w:val="nil"/>
                  </w:tcBorders>
                  <w:shd w:val="clear" w:color="auto" w:fill="auto"/>
                  <w:vAlign w:val="center"/>
                </w:tcPr>
                <w:p w14:paraId="64B74652">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产出</w:t>
                  </w:r>
                </w:p>
              </w:tc>
            </w:tr>
            <w:tr w14:paraId="41E59094">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35" w:hRule="atLeast"/>
                <w:jc w:val="center"/>
              </w:trPr>
              <w:tc>
                <w:tcPr>
                  <w:tcW w:w="1999" w:type="dxa"/>
                  <w:gridSpan w:val="2"/>
                  <w:tcBorders>
                    <w:tl2br w:val="nil"/>
                    <w:tr2bl w:val="nil"/>
                  </w:tcBorders>
                  <w:shd w:val="clear" w:color="auto" w:fill="auto"/>
                  <w:vAlign w:val="center"/>
                </w:tcPr>
                <w:p w14:paraId="184AF65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物料</w:t>
                  </w:r>
                </w:p>
              </w:tc>
              <w:tc>
                <w:tcPr>
                  <w:tcW w:w="1999" w:type="dxa"/>
                  <w:tcBorders>
                    <w:tl2br w:val="nil"/>
                    <w:tr2bl w:val="nil"/>
                  </w:tcBorders>
                  <w:shd w:val="clear" w:color="auto" w:fill="auto"/>
                  <w:vAlign w:val="center"/>
                </w:tcPr>
                <w:p w14:paraId="3C6C302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用量</w:t>
                  </w:r>
                  <w:r>
                    <w:rPr>
                      <w:rFonts w:hint="default" w:ascii="Times New Roman" w:hAnsi="Times New Roman" w:eastAsia="宋体" w:cs="Times New Roman"/>
                      <w:i w:val="0"/>
                      <w:iCs w:val="0"/>
                      <w:color w:val="auto"/>
                      <w:kern w:val="0"/>
                      <w:sz w:val="18"/>
                      <w:szCs w:val="18"/>
                      <w:u w:val="none"/>
                      <w:lang w:val="en-US" w:eastAsia="zh-CN" w:bidi="ar"/>
                    </w:rPr>
                    <w:t>(t/a</w:t>
                  </w:r>
                  <w:r>
                    <w:rPr>
                      <w:rFonts w:hint="eastAsia" w:ascii="宋体" w:hAnsi="宋体" w:eastAsia="宋体" w:cs="宋体"/>
                      <w:i w:val="0"/>
                      <w:iCs w:val="0"/>
                      <w:color w:val="auto"/>
                      <w:kern w:val="0"/>
                      <w:sz w:val="18"/>
                      <w:szCs w:val="18"/>
                      <w:u w:val="none"/>
                      <w:lang w:val="en-US" w:eastAsia="zh-CN" w:bidi="ar"/>
                    </w:rPr>
                    <w:t>）</w:t>
                  </w:r>
                </w:p>
              </w:tc>
              <w:tc>
                <w:tcPr>
                  <w:tcW w:w="1999" w:type="dxa"/>
                  <w:gridSpan w:val="3"/>
                  <w:tcBorders>
                    <w:tl2br w:val="nil"/>
                    <w:tr2bl w:val="nil"/>
                  </w:tcBorders>
                  <w:shd w:val="clear" w:color="auto" w:fill="auto"/>
                  <w:vAlign w:val="center"/>
                </w:tcPr>
                <w:p w14:paraId="5E2870A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去向</w:t>
                  </w:r>
                </w:p>
              </w:tc>
              <w:tc>
                <w:tcPr>
                  <w:tcW w:w="2002" w:type="dxa"/>
                  <w:tcBorders>
                    <w:tl2br w:val="nil"/>
                    <w:tr2bl w:val="nil"/>
                  </w:tcBorders>
                  <w:shd w:val="clear" w:color="auto" w:fill="auto"/>
                  <w:vAlign w:val="center"/>
                </w:tcPr>
                <w:p w14:paraId="106668C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VOCs</w:t>
                  </w:r>
                  <w:r>
                    <w:rPr>
                      <w:rFonts w:hint="eastAsia" w:ascii="宋体" w:hAnsi="宋体" w:eastAsia="宋体" w:cs="宋体"/>
                      <w:i w:val="0"/>
                      <w:iCs w:val="0"/>
                      <w:color w:val="auto"/>
                      <w:kern w:val="0"/>
                      <w:sz w:val="18"/>
                      <w:szCs w:val="18"/>
                      <w:u w:val="none"/>
                      <w:lang w:val="en-US" w:eastAsia="zh-CN" w:bidi="ar"/>
                    </w:rPr>
                    <w:t>量（</w:t>
                  </w:r>
                  <w:r>
                    <w:rPr>
                      <w:rFonts w:hint="default" w:ascii="Times New Roman" w:hAnsi="Times New Roman" w:eastAsia="宋体" w:cs="Times New Roman"/>
                      <w:i w:val="0"/>
                      <w:iCs w:val="0"/>
                      <w:color w:val="auto"/>
                      <w:kern w:val="0"/>
                      <w:sz w:val="18"/>
                      <w:szCs w:val="18"/>
                      <w:u w:val="none"/>
                      <w:lang w:val="en-US" w:eastAsia="zh-CN" w:bidi="ar"/>
                    </w:rPr>
                    <w:t>t/a</w:t>
                  </w:r>
                  <w:r>
                    <w:rPr>
                      <w:rFonts w:hint="eastAsia" w:ascii="宋体" w:hAnsi="宋体" w:eastAsia="宋体" w:cs="宋体"/>
                      <w:i w:val="0"/>
                      <w:iCs w:val="0"/>
                      <w:color w:val="auto"/>
                      <w:kern w:val="0"/>
                      <w:sz w:val="18"/>
                      <w:szCs w:val="18"/>
                      <w:u w:val="none"/>
                      <w:lang w:val="en-US" w:eastAsia="zh-CN" w:bidi="ar"/>
                    </w:rPr>
                    <w:t>）</w:t>
                  </w:r>
                </w:p>
              </w:tc>
            </w:tr>
            <w:tr w14:paraId="3E019950">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35" w:hRule="atLeast"/>
                <w:jc w:val="center"/>
              </w:trPr>
              <w:tc>
                <w:tcPr>
                  <w:tcW w:w="999" w:type="dxa"/>
                  <w:vMerge w:val="restart"/>
                  <w:tcBorders>
                    <w:tl2br w:val="nil"/>
                    <w:tr2bl w:val="nil"/>
                  </w:tcBorders>
                  <w:shd w:val="clear" w:color="auto" w:fill="auto"/>
                  <w:vAlign w:val="center"/>
                </w:tcPr>
                <w:p w14:paraId="1B9D389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防雾涂料</w:t>
                  </w:r>
                </w:p>
              </w:tc>
              <w:tc>
                <w:tcPr>
                  <w:tcW w:w="1000" w:type="dxa"/>
                  <w:vMerge w:val="restart"/>
                  <w:tcBorders>
                    <w:tl2br w:val="nil"/>
                    <w:tr2bl w:val="nil"/>
                  </w:tcBorders>
                  <w:shd w:val="clear" w:color="auto" w:fill="auto"/>
                  <w:vAlign w:val="center"/>
                </w:tcPr>
                <w:p w14:paraId="7BFFBA8E">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固体份</w:t>
                  </w:r>
                </w:p>
              </w:tc>
              <w:tc>
                <w:tcPr>
                  <w:tcW w:w="1999" w:type="dxa"/>
                  <w:vMerge w:val="restart"/>
                  <w:tcBorders>
                    <w:tl2br w:val="nil"/>
                    <w:tr2bl w:val="nil"/>
                  </w:tcBorders>
                  <w:shd w:val="clear" w:color="auto" w:fill="auto"/>
                  <w:vAlign w:val="center"/>
                </w:tcPr>
                <w:p w14:paraId="1F667CA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1.4941</w:t>
                  </w:r>
                </w:p>
              </w:tc>
              <w:tc>
                <w:tcPr>
                  <w:tcW w:w="1999" w:type="dxa"/>
                  <w:gridSpan w:val="3"/>
                  <w:tcBorders>
                    <w:tl2br w:val="nil"/>
                    <w:tr2bl w:val="nil"/>
                  </w:tcBorders>
                  <w:shd w:val="clear" w:color="auto" w:fill="auto"/>
                  <w:vAlign w:val="center"/>
                </w:tcPr>
                <w:p w14:paraId="7505076C">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进入产品</w:t>
                  </w:r>
                </w:p>
              </w:tc>
              <w:tc>
                <w:tcPr>
                  <w:tcW w:w="2002" w:type="dxa"/>
                  <w:tcBorders>
                    <w:tl2br w:val="nil"/>
                    <w:tr2bl w:val="nil"/>
                  </w:tcBorders>
                  <w:shd w:val="clear" w:color="auto" w:fill="auto"/>
                  <w:vAlign w:val="center"/>
                </w:tcPr>
                <w:p w14:paraId="2F93A95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0.7476</w:t>
                  </w:r>
                </w:p>
              </w:tc>
            </w:tr>
            <w:tr w14:paraId="3FA95230">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35" w:hRule="atLeast"/>
                <w:jc w:val="center"/>
              </w:trPr>
              <w:tc>
                <w:tcPr>
                  <w:tcW w:w="999" w:type="dxa"/>
                  <w:vMerge w:val="continue"/>
                  <w:tcBorders>
                    <w:tl2br w:val="nil"/>
                    <w:tr2bl w:val="nil"/>
                  </w:tcBorders>
                  <w:shd w:val="clear" w:color="auto" w:fill="auto"/>
                  <w:vAlign w:val="center"/>
                </w:tcPr>
                <w:p w14:paraId="65A7D17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000" w:type="dxa"/>
                  <w:vMerge w:val="continue"/>
                  <w:tcBorders>
                    <w:tl2br w:val="nil"/>
                    <w:tr2bl w:val="nil"/>
                  </w:tcBorders>
                  <w:shd w:val="clear" w:color="auto" w:fill="auto"/>
                  <w:vAlign w:val="center"/>
                </w:tcPr>
                <w:p w14:paraId="10E2E8E7">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p>
              </w:tc>
              <w:tc>
                <w:tcPr>
                  <w:tcW w:w="1999" w:type="dxa"/>
                  <w:vMerge w:val="continue"/>
                  <w:tcBorders>
                    <w:tl2br w:val="nil"/>
                    <w:tr2bl w:val="nil"/>
                  </w:tcBorders>
                  <w:shd w:val="clear" w:color="auto" w:fill="auto"/>
                  <w:vAlign w:val="center"/>
                </w:tcPr>
                <w:p w14:paraId="1F5273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p>
              </w:tc>
              <w:tc>
                <w:tcPr>
                  <w:tcW w:w="1999" w:type="dxa"/>
                  <w:gridSpan w:val="3"/>
                  <w:tcBorders>
                    <w:tl2br w:val="nil"/>
                    <w:tr2bl w:val="nil"/>
                  </w:tcBorders>
                  <w:shd w:val="clear" w:color="auto" w:fill="auto"/>
                  <w:vAlign w:val="center"/>
                </w:tcPr>
                <w:p w14:paraId="6483C8D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漆渣</w:t>
                  </w:r>
                </w:p>
              </w:tc>
              <w:tc>
                <w:tcPr>
                  <w:tcW w:w="2002" w:type="dxa"/>
                  <w:tcBorders>
                    <w:tl2br w:val="nil"/>
                    <w:tr2bl w:val="nil"/>
                  </w:tcBorders>
                  <w:shd w:val="clear" w:color="auto" w:fill="auto"/>
                  <w:vAlign w:val="center"/>
                </w:tcPr>
                <w:p w14:paraId="3806448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0.3732</w:t>
                  </w:r>
                </w:p>
              </w:tc>
            </w:tr>
            <w:tr w14:paraId="160D15BE">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214" w:hRule="atLeast"/>
                <w:jc w:val="center"/>
              </w:trPr>
              <w:tc>
                <w:tcPr>
                  <w:tcW w:w="999" w:type="dxa"/>
                  <w:vMerge w:val="continue"/>
                  <w:tcBorders>
                    <w:tl2br w:val="nil"/>
                    <w:tr2bl w:val="nil"/>
                  </w:tcBorders>
                  <w:shd w:val="clear" w:color="auto" w:fill="auto"/>
                  <w:vAlign w:val="center"/>
                </w:tcPr>
                <w:p w14:paraId="0F76C0AD">
                  <w:pPr>
                    <w:jc w:val="center"/>
                    <w:rPr>
                      <w:rFonts w:hint="eastAsia" w:ascii="宋体" w:hAnsi="宋体" w:eastAsia="宋体" w:cs="宋体"/>
                      <w:i w:val="0"/>
                      <w:iCs w:val="0"/>
                      <w:color w:val="auto"/>
                      <w:sz w:val="18"/>
                      <w:szCs w:val="18"/>
                      <w:u w:val="none"/>
                    </w:rPr>
                  </w:pPr>
                </w:p>
              </w:tc>
              <w:tc>
                <w:tcPr>
                  <w:tcW w:w="1000" w:type="dxa"/>
                  <w:vMerge w:val="continue"/>
                  <w:tcBorders>
                    <w:tl2br w:val="nil"/>
                    <w:tr2bl w:val="nil"/>
                  </w:tcBorders>
                  <w:shd w:val="clear" w:color="auto" w:fill="auto"/>
                  <w:vAlign w:val="center"/>
                </w:tcPr>
                <w:p w14:paraId="001763A3">
                  <w:pPr>
                    <w:jc w:val="center"/>
                    <w:rPr>
                      <w:rFonts w:hint="eastAsia" w:ascii="宋体" w:hAnsi="宋体" w:eastAsia="宋体" w:cs="宋体"/>
                      <w:i w:val="0"/>
                      <w:iCs w:val="0"/>
                      <w:color w:val="auto"/>
                      <w:sz w:val="18"/>
                      <w:szCs w:val="18"/>
                      <w:u w:val="none"/>
                    </w:rPr>
                  </w:pPr>
                </w:p>
              </w:tc>
              <w:tc>
                <w:tcPr>
                  <w:tcW w:w="1999" w:type="dxa"/>
                  <w:vMerge w:val="continue"/>
                  <w:tcBorders>
                    <w:tl2br w:val="nil"/>
                    <w:tr2bl w:val="nil"/>
                  </w:tcBorders>
                  <w:shd w:val="clear" w:color="auto" w:fill="auto"/>
                  <w:vAlign w:val="center"/>
                </w:tcPr>
                <w:p w14:paraId="47039C21">
                  <w:pPr>
                    <w:jc w:val="center"/>
                    <w:rPr>
                      <w:rFonts w:hint="default" w:ascii="Times New Roman" w:hAnsi="Times New Roman" w:eastAsia="宋体" w:cs="Times New Roman"/>
                      <w:i w:val="0"/>
                      <w:iCs w:val="0"/>
                      <w:color w:val="auto"/>
                      <w:sz w:val="18"/>
                      <w:szCs w:val="18"/>
                      <w:u w:val="none"/>
                    </w:rPr>
                  </w:pPr>
                </w:p>
              </w:tc>
              <w:tc>
                <w:tcPr>
                  <w:tcW w:w="666" w:type="dxa"/>
                  <w:vMerge w:val="restart"/>
                  <w:tcBorders>
                    <w:tl2br w:val="nil"/>
                    <w:tr2bl w:val="nil"/>
                  </w:tcBorders>
                  <w:shd w:val="clear" w:color="auto" w:fill="auto"/>
                  <w:vAlign w:val="center"/>
                </w:tcPr>
                <w:p w14:paraId="270D658A">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eastAsia="zh-CN"/>
                    </w:rPr>
                  </w:pPr>
                  <w:r>
                    <w:rPr>
                      <w:rFonts w:hint="eastAsia" w:ascii="宋体" w:hAnsi="宋体" w:cs="宋体"/>
                      <w:i w:val="0"/>
                      <w:iCs w:val="0"/>
                      <w:color w:val="auto"/>
                      <w:sz w:val="18"/>
                      <w:szCs w:val="18"/>
                      <w:u w:val="none"/>
                      <w:lang w:val="en-US" w:eastAsia="zh-CN"/>
                    </w:rPr>
                    <w:t>进入大气</w:t>
                  </w:r>
                </w:p>
              </w:tc>
              <w:tc>
                <w:tcPr>
                  <w:tcW w:w="666" w:type="dxa"/>
                  <w:vMerge w:val="restart"/>
                  <w:tcBorders>
                    <w:tl2br w:val="nil"/>
                    <w:tr2bl w:val="nil"/>
                  </w:tcBorders>
                  <w:shd w:val="clear" w:color="auto" w:fill="auto"/>
                  <w:vAlign w:val="center"/>
                </w:tcPr>
                <w:p w14:paraId="484FBA7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颗粒物</w:t>
                  </w:r>
                </w:p>
              </w:tc>
              <w:tc>
                <w:tcPr>
                  <w:tcW w:w="667" w:type="dxa"/>
                  <w:tcBorders>
                    <w:tl2br w:val="nil"/>
                    <w:tr2bl w:val="nil"/>
                  </w:tcBorders>
                  <w:shd w:val="clear" w:color="auto" w:fill="auto"/>
                  <w:vAlign w:val="center"/>
                </w:tcPr>
                <w:p w14:paraId="794C37BC">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有组织排放</w:t>
                  </w:r>
                </w:p>
              </w:tc>
              <w:tc>
                <w:tcPr>
                  <w:tcW w:w="2002" w:type="dxa"/>
                  <w:tcBorders>
                    <w:tl2br w:val="nil"/>
                    <w:tr2bl w:val="nil"/>
                  </w:tcBorders>
                  <w:shd w:val="clear" w:color="auto" w:fill="auto"/>
                  <w:vAlign w:val="center"/>
                </w:tcPr>
                <w:p w14:paraId="7D1B783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lang w:val="en-US"/>
                    </w:rPr>
                  </w:pPr>
                  <w:r>
                    <w:rPr>
                      <w:rFonts w:hint="eastAsia" w:cs="Times New Roman"/>
                      <w:i w:val="0"/>
                      <w:iCs w:val="0"/>
                      <w:color w:val="auto"/>
                      <w:kern w:val="0"/>
                      <w:sz w:val="18"/>
                      <w:szCs w:val="18"/>
                      <w:u w:val="none"/>
                      <w:lang w:val="en-US" w:eastAsia="zh-CN" w:bidi="ar"/>
                    </w:rPr>
                    <w:t>0.0034</w:t>
                  </w:r>
                </w:p>
              </w:tc>
            </w:tr>
            <w:tr w14:paraId="4347CB7B">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214" w:hRule="atLeast"/>
                <w:jc w:val="center"/>
              </w:trPr>
              <w:tc>
                <w:tcPr>
                  <w:tcW w:w="999" w:type="dxa"/>
                  <w:vMerge w:val="continue"/>
                  <w:tcBorders>
                    <w:tl2br w:val="nil"/>
                    <w:tr2bl w:val="nil"/>
                  </w:tcBorders>
                  <w:shd w:val="clear" w:color="auto" w:fill="auto"/>
                  <w:vAlign w:val="center"/>
                </w:tcPr>
                <w:p w14:paraId="3E98153B">
                  <w:pPr>
                    <w:jc w:val="center"/>
                    <w:rPr>
                      <w:rFonts w:hint="eastAsia" w:ascii="宋体" w:hAnsi="宋体" w:eastAsia="宋体" w:cs="宋体"/>
                      <w:i w:val="0"/>
                      <w:iCs w:val="0"/>
                      <w:color w:val="auto"/>
                      <w:sz w:val="18"/>
                      <w:szCs w:val="18"/>
                      <w:u w:val="none"/>
                    </w:rPr>
                  </w:pPr>
                </w:p>
              </w:tc>
              <w:tc>
                <w:tcPr>
                  <w:tcW w:w="1000" w:type="dxa"/>
                  <w:vMerge w:val="continue"/>
                  <w:tcBorders>
                    <w:tl2br w:val="nil"/>
                    <w:tr2bl w:val="nil"/>
                  </w:tcBorders>
                  <w:shd w:val="clear" w:color="auto" w:fill="auto"/>
                  <w:vAlign w:val="center"/>
                </w:tcPr>
                <w:p w14:paraId="0ECADF46">
                  <w:pPr>
                    <w:jc w:val="center"/>
                    <w:rPr>
                      <w:rFonts w:hint="eastAsia" w:ascii="宋体" w:hAnsi="宋体" w:eastAsia="宋体" w:cs="宋体"/>
                      <w:i w:val="0"/>
                      <w:iCs w:val="0"/>
                      <w:color w:val="auto"/>
                      <w:sz w:val="18"/>
                      <w:szCs w:val="18"/>
                      <w:u w:val="none"/>
                    </w:rPr>
                  </w:pPr>
                </w:p>
              </w:tc>
              <w:tc>
                <w:tcPr>
                  <w:tcW w:w="1999" w:type="dxa"/>
                  <w:vMerge w:val="continue"/>
                  <w:tcBorders>
                    <w:tl2br w:val="nil"/>
                    <w:tr2bl w:val="nil"/>
                  </w:tcBorders>
                  <w:shd w:val="clear" w:color="auto" w:fill="auto"/>
                  <w:vAlign w:val="center"/>
                </w:tcPr>
                <w:p w14:paraId="45B083F3">
                  <w:pPr>
                    <w:jc w:val="center"/>
                    <w:rPr>
                      <w:rFonts w:hint="default" w:ascii="Times New Roman" w:hAnsi="Times New Roman" w:eastAsia="宋体" w:cs="Times New Roman"/>
                      <w:i w:val="0"/>
                      <w:iCs w:val="0"/>
                      <w:color w:val="auto"/>
                      <w:sz w:val="18"/>
                      <w:szCs w:val="18"/>
                      <w:u w:val="none"/>
                    </w:rPr>
                  </w:pPr>
                </w:p>
              </w:tc>
              <w:tc>
                <w:tcPr>
                  <w:tcW w:w="666" w:type="dxa"/>
                  <w:vMerge w:val="continue"/>
                  <w:tcBorders>
                    <w:tl2br w:val="nil"/>
                    <w:tr2bl w:val="nil"/>
                  </w:tcBorders>
                  <w:shd w:val="clear" w:color="auto" w:fill="auto"/>
                  <w:vAlign w:val="center"/>
                </w:tcPr>
                <w:p w14:paraId="3119A761">
                  <w:pPr>
                    <w:keepNext w:val="0"/>
                    <w:keepLines w:val="0"/>
                    <w:widowControl/>
                    <w:suppressLineNumbers w:val="0"/>
                    <w:jc w:val="center"/>
                    <w:textAlignment w:val="center"/>
                    <w:rPr>
                      <w:rFonts w:hint="eastAsia" w:ascii="宋体" w:hAnsi="宋体" w:cs="宋体"/>
                      <w:i w:val="0"/>
                      <w:iCs w:val="0"/>
                      <w:color w:val="auto"/>
                      <w:sz w:val="18"/>
                      <w:szCs w:val="18"/>
                      <w:u w:val="none"/>
                      <w:lang w:val="en-US" w:eastAsia="zh-CN"/>
                    </w:rPr>
                  </w:pPr>
                </w:p>
              </w:tc>
              <w:tc>
                <w:tcPr>
                  <w:tcW w:w="666" w:type="dxa"/>
                  <w:vMerge w:val="continue"/>
                  <w:tcBorders>
                    <w:tl2br w:val="nil"/>
                    <w:tr2bl w:val="nil"/>
                  </w:tcBorders>
                  <w:shd w:val="clear" w:color="auto" w:fill="auto"/>
                  <w:vAlign w:val="center"/>
                </w:tcPr>
                <w:p w14:paraId="5AE958F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667" w:type="dxa"/>
                  <w:tcBorders>
                    <w:tl2br w:val="nil"/>
                    <w:tr2bl w:val="nil"/>
                  </w:tcBorders>
                  <w:shd w:val="clear" w:color="auto" w:fill="auto"/>
                  <w:vAlign w:val="center"/>
                </w:tcPr>
                <w:p w14:paraId="3618BD3A">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cs="宋体"/>
                      <w:i w:val="0"/>
                      <w:iCs w:val="0"/>
                      <w:color w:val="auto"/>
                      <w:kern w:val="2"/>
                      <w:sz w:val="18"/>
                      <w:szCs w:val="18"/>
                      <w:u w:val="none"/>
                      <w:lang w:val="en-US" w:eastAsia="zh-CN" w:bidi="ar-SA"/>
                    </w:rPr>
                    <w:t>无组织排放</w:t>
                  </w:r>
                </w:p>
              </w:tc>
              <w:tc>
                <w:tcPr>
                  <w:tcW w:w="2002" w:type="dxa"/>
                  <w:tcBorders>
                    <w:tl2br w:val="nil"/>
                    <w:tr2bl w:val="nil"/>
                  </w:tcBorders>
                  <w:shd w:val="clear" w:color="auto" w:fill="auto"/>
                  <w:vAlign w:val="center"/>
                </w:tcPr>
                <w:p w14:paraId="4D22133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eastAsia" w:ascii="Times New Roman" w:hAnsi="Times New Roman" w:cs="Times New Roman"/>
                      <w:i w:val="0"/>
                      <w:iCs w:val="0"/>
                      <w:color w:val="auto"/>
                      <w:kern w:val="2"/>
                      <w:sz w:val="18"/>
                      <w:szCs w:val="18"/>
                      <w:u w:val="none"/>
                      <w:lang w:val="en-US" w:eastAsia="zh-CN" w:bidi="ar-SA"/>
                    </w:rPr>
                    <w:t>0.0373</w:t>
                  </w:r>
                </w:p>
              </w:tc>
            </w:tr>
            <w:tr w14:paraId="06CB6125">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214" w:hRule="atLeast"/>
                <w:jc w:val="center"/>
              </w:trPr>
              <w:tc>
                <w:tcPr>
                  <w:tcW w:w="999" w:type="dxa"/>
                  <w:vMerge w:val="continue"/>
                  <w:tcBorders>
                    <w:tl2br w:val="nil"/>
                    <w:tr2bl w:val="nil"/>
                  </w:tcBorders>
                  <w:shd w:val="clear" w:color="auto" w:fill="auto"/>
                  <w:vAlign w:val="center"/>
                </w:tcPr>
                <w:p w14:paraId="11E07099">
                  <w:pPr>
                    <w:jc w:val="center"/>
                    <w:rPr>
                      <w:rFonts w:hint="eastAsia" w:ascii="宋体" w:hAnsi="宋体" w:eastAsia="宋体" w:cs="宋体"/>
                      <w:i w:val="0"/>
                      <w:iCs w:val="0"/>
                      <w:color w:val="auto"/>
                      <w:sz w:val="18"/>
                      <w:szCs w:val="18"/>
                      <w:u w:val="none"/>
                    </w:rPr>
                  </w:pPr>
                </w:p>
              </w:tc>
              <w:tc>
                <w:tcPr>
                  <w:tcW w:w="1000" w:type="dxa"/>
                  <w:vMerge w:val="continue"/>
                  <w:tcBorders>
                    <w:tl2br w:val="nil"/>
                    <w:tr2bl w:val="nil"/>
                  </w:tcBorders>
                  <w:shd w:val="clear" w:color="auto" w:fill="auto"/>
                  <w:vAlign w:val="center"/>
                </w:tcPr>
                <w:p w14:paraId="54000D62">
                  <w:pPr>
                    <w:jc w:val="center"/>
                    <w:rPr>
                      <w:rFonts w:hint="eastAsia" w:ascii="宋体" w:hAnsi="宋体" w:eastAsia="宋体" w:cs="宋体"/>
                      <w:i w:val="0"/>
                      <w:iCs w:val="0"/>
                      <w:color w:val="auto"/>
                      <w:sz w:val="18"/>
                      <w:szCs w:val="18"/>
                      <w:u w:val="none"/>
                    </w:rPr>
                  </w:pPr>
                </w:p>
              </w:tc>
              <w:tc>
                <w:tcPr>
                  <w:tcW w:w="1999" w:type="dxa"/>
                  <w:vMerge w:val="continue"/>
                  <w:tcBorders>
                    <w:tl2br w:val="nil"/>
                    <w:tr2bl w:val="nil"/>
                  </w:tcBorders>
                  <w:shd w:val="clear" w:color="auto" w:fill="auto"/>
                  <w:vAlign w:val="center"/>
                </w:tcPr>
                <w:p w14:paraId="57CA2DFA">
                  <w:pPr>
                    <w:jc w:val="center"/>
                    <w:rPr>
                      <w:rFonts w:hint="default" w:ascii="Times New Roman" w:hAnsi="Times New Roman" w:eastAsia="宋体" w:cs="Times New Roman"/>
                      <w:i w:val="0"/>
                      <w:iCs w:val="0"/>
                      <w:color w:val="auto"/>
                      <w:sz w:val="18"/>
                      <w:szCs w:val="18"/>
                      <w:u w:val="none"/>
                    </w:rPr>
                  </w:pPr>
                </w:p>
              </w:tc>
              <w:tc>
                <w:tcPr>
                  <w:tcW w:w="666" w:type="dxa"/>
                  <w:vMerge w:val="continue"/>
                  <w:tcBorders>
                    <w:tl2br w:val="nil"/>
                    <w:tr2bl w:val="nil"/>
                  </w:tcBorders>
                  <w:shd w:val="clear" w:color="auto" w:fill="auto"/>
                  <w:vAlign w:val="center"/>
                </w:tcPr>
                <w:p w14:paraId="150472DD">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c>
                <w:tcPr>
                  <w:tcW w:w="666" w:type="dxa"/>
                  <w:vMerge w:val="continue"/>
                  <w:tcBorders>
                    <w:tl2br w:val="nil"/>
                    <w:tr2bl w:val="nil"/>
                  </w:tcBorders>
                  <w:shd w:val="clear" w:color="auto" w:fill="auto"/>
                  <w:vAlign w:val="center"/>
                </w:tcPr>
                <w:p w14:paraId="4160DA6C">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p>
              </w:tc>
              <w:tc>
                <w:tcPr>
                  <w:tcW w:w="667" w:type="dxa"/>
                  <w:tcBorders>
                    <w:tl2br w:val="nil"/>
                    <w:tr2bl w:val="nil"/>
                  </w:tcBorders>
                  <w:shd w:val="clear" w:color="auto" w:fill="auto"/>
                  <w:vAlign w:val="center"/>
                </w:tcPr>
                <w:p w14:paraId="7D04FF84">
                  <w:pPr>
                    <w:keepNext w:val="0"/>
                    <w:keepLines w:val="0"/>
                    <w:widowControl/>
                    <w:suppressLineNumbers w:val="0"/>
                    <w:jc w:val="center"/>
                    <w:textAlignment w:val="center"/>
                    <w:rPr>
                      <w:rFonts w:hint="default" w:ascii="宋体" w:hAnsi="宋体" w:eastAsia="宋体" w:cs="宋体"/>
                      <w:i w:val="0"/>
                      <w:iCs w:val="0"/>
                      <w:color w:val="auto"/>
                      <w:kern w:val="2"/>
                      <w:sz w:val="18"/>
                      <w:szCs w:val="18"/>
                      <w:u w:val="none"/>
                      <w:lang w:val="en-US" w:eastAsia="zh-CN" w:bidi="ar-SA"/>
                    </w:rPr>
                  </w:pPr>
                  <w:r>
                    <w:rPr>
                      <w:rFonts w:hint="eastAsia" w:ascii="宋体" w:hAnsi="宋体" w:cs="宋体"/>
                      <w:i w:val="0"/>
                      <w:iCs w:val="0"/>
                      <w:color w:val="auto"/>
                      <w:kern w:val="2"/>
                      <w:sz w:val="18"/>
                      <w:szCs w:val="18"/>
                      <w:u w:val="none"/>
                      <w:lang w:val="en-US" w:eastAsia="zh-CN" w:bidi="ar-SA"/>
                    </w:rPr>
                    <w:t>净化处理削减量</w:t>
                  </w:r>
                </w:p>
              </w:tc>
              <w:tc>
                <w:tcPr>
                  <w:tcW w:w="2002" w:type="dxa"/>
                  <w:tcBorders>
                    <w:tl2br w:val="nil"/>
                    <w:tr2bl w:val="nil"/>
                  </w:tcBorders>
                  <w:shd w:val="clear" w:color="auto" w:fill="auto"/>
                  <w:vAlign w:val="center"/>
                </w:tcPr>
                <w:p w14:paraId="4B0B473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eastAsia" w:ascii="Times New Roman" w:hAnsi="Times New Roman" w:cs="Times New Roman"/>
                      <w:i w:val="0"/>
                      <w:iCs w:val="0"/>
                      <w:color w:val="auto"/>
                      <w:kern w:val="2"/>
                      <w:sz w:val="18"/>
                      <w:szCs w:val="18"/>
                      <w:u w:val="none"/>
                      <w:lang w:val="en-US" w:eastAsia="zh-CN" w:bidi="ar-SA"/>
                    </w:rPr>
                    <w:t>0.3326</w:t>
                  </w:r>
                </w:p>
              </w:tc>
            </w:tr>
            <w:tr w14:paraId="6092C122">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214" w:hRule="atLeast"/>
                <w:jc w:val="center"/>
              </w:trPr>
              <w:tc>
                <w:tcPr>
                  <w:tcW w:w="999" w:type="dxa"/>
                  <w:vMerge w:val="continue"/>
                  <w:tcBorders>
                    <w:tl2br w:val="nil"/>
                    <w:tr2bl w:val="nil"/>
                  </w:tcBorders>
                  <w:shd w:val="clear" w:color="auto" w:fill="auto"/>
                  <w:vAlign w:val="center"/>
                </w:tcPr>
                <w:p w14:paraId="1BB3A532">
                  <w:pPr>
                    <w:jc w:val="center"/>
                    <w:rPr>
                      <w:rFonts w:hint="eastAsia" w:ascii="宋体" w:hAnsi="宋体" w:eastAsia="宋体" w:cs="宋体"/>
                      <w:i w:val="0"/>
                      <w:iCs w:val="0"/>
                      <w:color w:val="auto"/>
                      <w:sz w:val="18"/>
                      <w:szCs w:val="18"/>
                      <w:u w:val="none"/>
                    </w:rPr>
                  </w:pPr>
                </w:p>
              </w:tc>
              <w:tc>
                <w:tcPr>
                  <w:tcW w:w="1000" w:type="dxa"/>
                  <w:tcBorders>
                    <w:tl2br w:val="nil"/>
                    <w:tr2bl w:val="nil"/>
                  </w:tcBorders>
                  <w:shd w:val="clear" w:color="auto" w:fill="auto"/>
                  <w:vAlign w:val="center"/>
                </w:tcPr>
                <w:p w14:paraId="0F89F215">
                  <w:pPr>
                    <w:jc w:val="center"/>
                    <w:rPr>
                      <w:rFonts w:hint="eastAsia" w:ascii="宋体" w:hAnsi="宋体" w:eastAsia="宋体" w:cs="宋体"/>
                      <w:i w:val="0"/>
                      <w:iCs w:val="0"/>
                      <w:color w:val="auto"/>
                      <w:sz w:val="18"/>
                      <w:szCs w:val="18"/>
                      <w:u w:val="none"/>
                      <w:lang w:val="en-US" w:eastAsia="zh-CN"/>
                    </w:rPr>
                  </w:pPr>
                  <w:r>
                    <w:rPr>
                      <w:rFonts w:hint="eastAsia" w:ascii="宋体" w:hAnsi="宋体" w:cs="宋体"/>
                      <w:i w:val="0"/>
                      <w:iCs w:val="0"/>
                      <w:color w:val="auto"/>
                      <w:sz w:val="18"/>
                      <w:szCs w:val="18"/>
                      <w:u w:val="none"/>
                      <w:lang w:val="en-US" w:eastAsia="zh-CN"/>
                    </w:rPr>
                    <w:t>水分</w:t>
                  </w:r>
                </w:p>
              </w:tc>
              <w:tc>
                <w:tcPr>
                  <w:tcW w:w="1999" w:type="dxa"/>
                  <w:tcBorders>
                    <w:tl2br w:val="nil"/>
                    <w:tr2bl w:val="nil"/>
                  </w:tcBorders>
                  <w:shd w:val="clear" w:color="auto" w:fill="auto"/>
                  <w:vAlign w:val="center"/>
                </w:tcPr>
                <w:p w14:paraId="290F0C41">
                  <w:pPr>
                    <w:jc w:val="center"/>
                    <w:rPr>
                      <w:rFonts w:hint="default" w:ascii="Times New Roman" w:hAnsi="Times New Roman" w:eastAsia="宋体" w:cs="Times New Roman"/>
                      <w:i w:val="0"/>
                      <w:iCs w:val="0"/>
                      <w:color w:val="auto"/>
                      <w:sz w:val="18"/>
                      <w:szCs w:val="18"/>
                      <w:u w:val="none"/>
                      <w:lang w:val="en-US" w:eastAsia="zh-CN"/>
                    </w:rPr>
                  </w:pPr>
                  <w:r>
                    <w:rPr>
                      <w:rFonts w:hint="eastAsia" w:cs="Times New Roman"/>
                      <w:i w:val="0"/>
                      <w:iCs w:val="0"/>
                      <w:color w:val="auto"/>
                      <w:sz w:val="18"/>
                      <w:szCs w:val="18"/>
                      <w:u w:val="none"/>
                      <w:lang w:val="en-US" w:eastAsia="zh-CN"/>
                    </w:rPr>
                    <w:t>0.624</w:t>
                  </w:r>
                </w:p>
              </w:tc>
              <w:tc>
                <w:tcPr>
                  <w:tcW w:w="666" w:type="dxa"/>
                  <w:vMerge w:val="continue"/>
                  <w:tcBorders>
                    <w:tl2br w:val="nil"/>
                    <w:tr2bl w:val="nil"/>
                  </w:tcBorders>
                  <w:shd w:val="clear" w:color="auto" w:fill="auto"/>
                  <w:vAlign w:val="center"/>
                </w:tcPr>
                <w:p w14:paraId="14CDA624">
                  <w:pPr>
                    <w:keepNext w:val="0"/>
                    <w:keepLines w:val="0"/>
                    <w:widowControl/>
                    <w:suppressLineNumbers w:val="0"/>
                    <w:jc w:val="center"/>
                    <w:textAlignment w:val="center"/>
                    <w:rPr>
                      <w:rFonts w:hint="eastAsia" w:ascii="宋体" w:hAnsi="宋体" w:eastAsia="宋体" w:cs="宋体"/>
                      <w:i w:val="0"/>
                      <w:iCs w:val="0"/>
                      <w:color w:val="auto"/>
                      <w:sz w:val="18"/>
                      <w:szCs w:val="18"/>
                      <w:u w:val="none"/>
                      <w:lang w:eastAsia="zh-CN"/>
                    </w:rPr>
                  </w:pPr>
                </w:p>
              </w:tc>
              <w:tc>
                <w:tcPr>
                  <w:tcW w:w="1333" w:type="dxa"/>
                  <w:gridSpan w:val="2"/>
                  <w:tcBorders>
                    <w:tl2br w:val="nil"/>
                    <w:tr2bl w:val="nil"/>
                  </w:tcBorders>
                  <w:shd w:val="clear" w:color="auto" w:fill="auto"/>
                  <w:vAlign w:val="center"/>
                </w:tcPr>
                <w:p w14:paraId="2F7C02D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水（蒸发）</w:t>
                  </w:r>
                </w:p>
              </w:tc>
              <w:tc>
                <w:tcPr>
                  <w:tcW w:w="2002" w:type="dxa"/>
                  <w:tcBorders>
                    <w:tl2br w:val="nil"/>
                    <w:tr2bl w:val="nil"/>
                  </w:tcBorders>
                  <w:shd w:val="clear" w:color="auto" w:fill="auto"/>
                  <w:vAlign w:val="center"/>
                </w:tcPr>
                <w:p w14:paraId="5FE7425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0.624</w:t>
                  </w:r>
                </w:p>
              </w:tc>
            </w:tr>
            <w:tr w14:paraId="095BB788">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214" w:hRule="atLeast"/>
                <w:jc w:val="center"/>
              </w:trPr>
              <w:tc>
                <w:tcPr>
                  <w:tcW w:w="999" w:type="dxa"/>
                  <w:vMerge w:val="continue"/>
                  <w:tcBorders>
                    <w:tl2br w:val="nil"/>
                    <w:tr2bl w:val="nil"/>
                  </w:tcBorders>
                  <w:shd w:val="clear" w:color="auto" w:fill="auto"/>
                  <w:vAlign w:val="center"/>
                </w:tcPr>
                <w:p w14:paraId="3C0EFD09">
                  <w:pPr>
                    <w:jc w:val="center"/>
                    <w:rPr>
                      <w:rFonts w:hint="eastAsia" w:ascii="宋体" w:hAnsi="宋体" w:eastAsia="宋体" w:cs="宋体"/>
                      <w:i w:val="0"/>
                      <w:iCs w:val="0"/>
                      <w:color w:val="auto"/>
                      <w:sz w:val="18"/>
                      <w:szCs w:val="18"/>
                      <w:u w:val="none"/>
                    </w:rPr>
                  </w:pPr>
                </w:p>
              </w:tc>
              <w:tc>
                <w:tcPr>
                  <w:tcW w:w="1000" w:type="dxa"/>
                  <w:vMerge w:val="restart"/>
                  <w:tcBorders>
                    <w:tl2br w:val="nil"/>
                    <w:tr2bl w:val="nil"/>
                  </w:tcBorders>
                  <w:shd w:val="clear" w:color="auto" w:fill="auto"/>
                  <w:vAlign w:val="center"/>
                </w:tcPr>
                <w:p w14:paraId="0CEB2A6C">
                  <w:pPr>
                    <w:jc w:val="center"/>
                    <w:rPr>
                      <w:rFonts w:hint="default" w:ascii="宋体" w:hAnsi="宋体" w:eastAsia="宋体" w:cs="宋体"/>
                      <w:i w:val="0"/>
                      <w:iCs w:val="0"/>
                      <w:color w:val="auto"/>
                      <w:sz w:val="18"/>
                      <w:szCs w:val="18"/>
                      <w:u w:val="none"/>
                      <w:lang w:val="en-US" w:eastAsia="zh-CN"/>
                    </w:rPr>
                  </w:pPr>
                  <w:r>
                    <w:rPr>
                      <w:rFonts w:hint="eastAsia" w:ascii="宋体" w:hAnsi="宋体" w:cs="宋体"/>
                      <w:i w:val="0"/>
                      <w:iCs w:val="0"/>
                      <w:color w:val="auto"/>
                      <w:sz w:val="18"/>
                      <w:szCs w:val="18"/>
                      <w:u w:val="none"/>
                      <w:lang w:val="en-US" w:eastAsia="zh-CN"/>
                    </w:rPr>
                    <w:t>VOCs含量（以非甲烷总烃计）</w:t>
                  </w:r>
                </w:p>
              </w:tc>
              <w:tc>
                <w:tcPr>
                  <w:tcW w:w="1999" w:type="dxa"/>
                  <w:vMerge w:val="restart"/>
                  <w:tcBorders>
                    <w:tl2br w:val="nil"/>
                    <w:tr2bl w:val="nil"/>
                  </w:tcBorders>
                  <w:shd w:val="clear" w:color="auto" w:fill="auto"/>
                  <w:vAlign w:val="center"/>
                </w:tcPr>
                <w:p w14:paraId="65DBC017">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0.3779</w:t>
                  </w:r>
                </w:p>
              </w:tc>
              <w:tc>
                <w:tcPr>
                  <w:tcW w:w="666" w:type="dxa"/>
                  <w:vMerge w:val="continue"/>
                  <w:tcBorders>
                    <w:tl2br w:val="nil"/>
                    <w:tr2bl w:val="nil"/>
                  </w:tcBorders>
                  <w:shd w:val="clear" w:color="auto" w:fill="auto"/>
                  <w:vAlign w:val="center"/>
                </w:tcPr>
                <w:p w14:paraId="56BE592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p>
              </w:tc>
              <w:tc>
                <w:tcPr>
                  <w:tcW w:w="666" w:type="dxa"/>
                  <w:vMerge w:val="restart"/>
                  <w:tcBorders>
                    <w:tl2br w:val="nil"/>
                    <w:tr2bl w:val="nil"/>
                  </w:tcBorders>
                  <w:shd w:val="clear" w:color="auto" w:fill="auto"/>
                  <w:vAlign w:val="center"/>
                </w:tcPr>
                <w:p w14:paraId="7D78B5F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非甲烷总烃</w:t>
                  </w:r>
                </w:p>
              </w:tc>
              <w:tc>
                <w:tcPr>
                  <w:tcW w:w="667" w:type="dxa"/>
                  <w:tcBorders>
                    <w:tl2br w:val="nil"/>
                    <w:tr2bl w:val="nil"/>
                  </w:tcBorders>
                  <w:shd w:val="clear" w:color="auto" w:fill="auto"/>
                  <w:vAlign w:val="center"/>
                </w:tcPr>
                <w:p w14:paraId="5107471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有组织排放</w:t>
                  </w:r>
                </w:p>
              </w:tc>
              <w:tc>
                <w:tcPr>
                  <w:tcW w:w="2002" w:type="dxa"/>
                  <w:tcBorders>
                    <w:tl2br w:val="nil"/>
                    <w:tr2bl w:val="nil"/>
                  </w:tcBorders>
                  <w:shd w:val="clear" w:color="auto" w:fill="auto"/>
                  <w:vAlign w:val="center"/>
                </w:tcPr>
                <w:p w14:paraId="445FC04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eastAsia" w:cs="Times New Roman"/>
                      <w:i w:val="0"/>
                      <w:iCs w:val="0"/>
                      <w:color w:val="auto"/>
                      <w:sz w:val="18"/>
                      <w:szCs w:val="18"/>
                      <w:u w:val="none"/>
                      <w:lang w:val="en-US" w:eastAsia="zh-CN"/>
                    </w:rPr>
                    <w:t>0.0340</w:t>
                  </w:r>
                </w:p>
              </w:tc>
            </w:tr>
            <w:tr w14:paraId="43233AFE">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214" w:hRule="atLeast"/>
                <w:jc w:val="center"/>
              </w:trPr>
              <w:tc>
                <w:tcPr>
                  <w:tcW w:w="999" w:type="dxa"/>
                  <w:vMerge w:val="continue"/>
                  <w:tcBorders>
                    <w:tl2br w:val="nil"/>
                    <w:tr2bl w:val="nil"/>
                  </w:tcBorders>
                  <w:shd w:val="clear" w:color="auto" w:fill="auto"/>
                  <w:vAlign w:val="center"/>
                </w:tcPr>
                <w:p w14:paraId="06EC3B5B">
                  <w:pPr>
                    <w:jc w:val="center"/>
                    <w:rPr>
                      <w:rFonts w:hint="eastAsia" w:ascii="宋体" w:hAnsi="宋体" w:eastAsia="宋体" w:cs="宋体"/>
                      <w:i w:val="0"/>
                      <w:iCs w:val="0"/>
                      <w:color w:val="auto"/>
                      <w:sz w:val="18"/>
                      <w:szCs w:val="18"/>
                      <w:u w:val="none"/>
                    </w:rPr>
                  </w:pPr>
                </w:p>
              </w:tc>
              <w:tc>
                <w:tcPr>
                  <w:tcW w:w="1000" w:type="dxa"/>
                  <w:vMerge w:val="continue"/>
                  <w:tcBorders>
                    <w:tl2br w:val="nil"/>
                    <w:tr2bl w:val="nil"/>
                  </w:tcBorders>
                  <w:shd w:val="clear" w:color="auto" w:fill="auto"/>
                  <w:vAlign w:val="center"/>
                </w:tcPr>
                <w:p w14:paraId="3A40E25A">
                  <w:pPr>
                    <w:jc w:val="center"/>
                    <w:rPr>
                      <w:rFonts w:hint="eastAsia" w:ascii="宋体" w:hAnsi="宋体" w:cs="宋体"/>
                      <w:i w:val="0"/>
                      <w:iCs w:val="0"/>
                      <w:color w:val="auto"/>
                      <w:sz w:val="18"/>
                      <w:szCs w:val="18"/>
                      <w:u w:val="none"/>
                      <w:lang w:val="en-US" w:eastAsia="zh-CN"/>
                    </w:rPr>
                  </w:pPr>
                </w:p>
              </w:tc>
              <w:tc>
                <w:tcPr>
                  <w:tcW w:w="1999" w:type="dxa"/>
                  <w:vMerge w:val="continue"/>
                  <w:tcBorders>
                    <w:tl2br w:val="nil"/>
                    <w:tr2bl w:val="nil"/>
                  </w:tcBorders>
                  <w:shd w:val="clear" w:color="auto" w:fill="auto"/>
                  <w:vAlign w:val="center"/>
                </w:tcPr>
                <w:p w14:paraId="23879EA2">
                  <w:pPr>
                    <w:jc w:val="center"/>
                    <w:rPr>
                      <w:rFonts w:hint="default" w:ascii="Times New Roman" w:hAnsi="Times New Roman" w:eastAsia="宋体" w:cs="Times New Roman"/>
                      <w:i w:val="0"/>
                      <w:iCs w:val="0"/>
                      <w:color w:val="auto"/>
                      <w:kern w:val="0"/>
                      <w:sz w:val="18"/>
                      <w:szCs w:val="18"/>
                      <w:u w:val="none"/>
                      <w:lang w:val="en-US" w:eastAsia="zh-CN" w:bidi="ar"/>
                    </w:rPr>
                  </w:pPr>
                </w:p>
              </w:tc>
              <w:tc>
                <w:tcPr>
                  <w:tcW w:w="666" w:type="dxa"/>
                  <w:vMerge w:val="continue"/>
                  <w:tcBorders>
                    <w:tl2br w:val="nil"/>
                    <w:tr2bl w:val="nil"/>
                  </w:tcBorders>
                  <w:shd w:val="clear" w:color="auto" w:fill="auto"/>
                  <w:vAlign w:val="center"/>
                </w:tcPr>
                <w:p w14:paraId="25977B3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p>
              </w:tc>
              <w:tc>
                <w:tcPr>
                  <w:tcW w:w="666" w:type="dxa"/>
                  <w:vMerge w:val="continue"/>
                  <w:tcBorders>
                    <w:tl2br w:val="nil"/>
                    <w:tr2bl w:val="nil"/>
                  </w:tcBorders>
                  <w:shd w:val="clear" w:color="auto" w:fill="auto"/>
                  <w:vAlign w:val="center"/>
                </w:tcPr>
                <w:p w14:paraId="22EB434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667" w:type="dxa"/>
                  <w:tcBorders>
                    <w:tl2br w:val="nil"/>
                    <w:tr2bl w:val="nil"/>
                  </w:tcBorders>
                  <w:shd w:val="clear" w:color="auto" w:fill="auto"/>
                  <w:vAlign w:val="center"/>
                </w:tcPr>
                <w:p w14:paraId="1E16E32D">
                  <w:pPr>
                    <w:keepNext w:val="0"/>
                    <w:keepLines w:val="0"/>
                    <w:widowControl/>
                    <w:suppressLineNumbers w:val="0"/>
                    <w:jc w:val="center"/>
                    <w:textAlignment w:val="center"/>
                    <w:rPr>
                      <w:rFonts w:hint="eastAsia" w:ascii="宋体" w:hAnsi="宋体" w:cs="宋体"/>
                      <w:i w:val="0"/>
                      <w:iCs w:val="0"/>
                      <w:color w:val="auto"/>
                      <w:kern w:val="0"/>
                      <w:sz w:val="18"/>
                      <w:szCs w:val="18"/>
                      <w:u w:val="none"/>
                      <w:lang w:val="en-US" w:eastAsia="zh-CN" w:bidi="ar"/>
                    </w:rPr>
                  </w:pPr>
                  <w:r>
                    <w:rPr>
                      <w:rFonts w:hint="eastAsia" w:ascii="宋体" w:hAnsi="宋体" w:cs="宋体"/>
                      <w:i w:val="0"/>
                      <w:iCs w:val="0"/>
                      <w:color w:val="auto"/>
                      <w:kern w:val="2"/>
                      <w:sz w:val="18"/>
                      <w:szCs w:val="18"/>
                      <w:u w:val="none"/>
                      <w:lang w:val="en-US" w:eastAsia="zh-CN" w:bidi="ar-SA"/>
                    </w:rPr>
                    <w:t>无组织排放</w:t>
                  </w:r>
                </w:p>
              </w:tc>
              <w:tc>
                <w:tcPr>
                  <w:tcW w:w="2002" w:type="dxa"/>
                  <w:tcBorders>
                    <w:tl2br w:val="nil"/>
                    <w:tr2bl w:val="nil"/>
                  </w:tcBorders>
                  <w:shd w:val="clear" w:color="auto" w:fill="auto"/>
                  <w:vAlign w:val="center"/>
                </w:tcPr>
                <w:p w14:paraId="5E45FA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w:t>
                  </w:r>
                  <w:r>
                    <w:rPr>
                      <w:rFonts w:hint="eastAsia" w:ascii="Times New Roman" w:hAnsi="Times New Roman" w:cs="Times New Roman"/>
                      <w:i w:val="0"/>
                      <w:iCs w:val="0"/>
                      <w:color w:val="auto"/>
                      <w:kern w:val="0"/>
                      <w:sz w:val="18"/>
                      <w:szCs w:val="18"/>
                      <w:u w:val="none"/>
                      <w:lang w:val="en-US" w:eastAsia="zh-CN" w:bidi="ar"/>
                    </w:rPr>
                    <w:t>.0</w:t>
                  </w:r>
                  <w:r>
                    <w:rPr>
                      <w:rFonts w:hint="default" w:ascii="Times New Roman" w:hAnsi="Times New Roman" w:eastAsia="宋体" w:cs="Times New Roman"/>
                      <w:i w:val="0"/>
                      <w:iCs w:val="0"/>
                      <w:color w:val="auto"/>
                      <w:kern w:val="0"/>
                      <w:sz w:val="18"/>
                      <w:szCs w:val="18"/>
                      <w:u w:val="none"/>
                      <w:lang w:val="en-US" w:eastAsia="zh-CN" w:bidi="ar"/>
                    </w:rPr>
                    <w:t>37</w:t>
                  </w:r>
                  <w:r>
                    <w:rPr>
                      <w:rFonts w:hint="eastAsia" w:ascii="Times New Roman" w:hAnsi="Times New Roman" w:cs="Times New Roman"/>
                      <w:i w:val="0"/>
                      <w:iCs w:val="0"/>
                      <w:color w:val="auto"/>
                      <w:kern w:val="0"/>
                      <w:sz w:val="18"/>
                      <w:szCs w:val="18"/>
                      <w:u w:val="none"/>
                      <w:lang w:val="en-US" w:eastAsia="zh-CN" w:bidi="ar"/>
                    </w:rPr>
                    <w:t>8</w:t>
                  </w:r>
                </w:p>
              </w:tc>
            </w:tr>
            <w:tr w14:paraId="4A15A5B3">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214" w:hRule="atLeast"/>
                <w:jc w:val="center"/>
              </w:trPr>
              <w:tc>
                <w:tcPr>
                  <w:tcW w:w="999" w:type="dxa"/>
                  <w:vMerge w:val="continue"/>
                  <w:tcBorders>
                    <w:tl2br w:val="nil"/>
                    <w:tr2bl w:val="nil"/>
                  </w:tcBorders>
                  <w:shd w:val="clear" w:color="auto" w:fill="auto"/>
                  <w:vAlign w:val="center"/>
                </w:tcPr>
                <w:p w14:paraId="7AD29E5E">
                  <w:pPr>
                    <w:jc w:val="center"/>
                    <w:rPr>
                      <w:rFonts w:hint="eastAsia" w:ascii="宋体" w:hAnsi="宋体" w:eastAsia="宋体" w:cs="宋体"/>
                      <w:i w:val="0"/>
                      <w:iCs w:val="0"/>
                      <w:color w:val="auto"/>
                      <w:sz w:val="18"/>
                      <w:szCs w:val="18"/>
                      <w:u w:val="none"/>
                    </w:rPr>
                  </w:pPr>
                </w:p>
              </w:tc>
              <w:tc>
                <w:tcPr>
                  <w:tcW w:w="1000" w:type="dxa"/>
                  <w:vMerge w:val="continue"/>
                  <w:tcBorders>
                    <w:tl2br w:val="nil"/>
                    <w:tr2bl w:val="nil"/>
                  </w:tcBorders>
                  <w:shd w:val="clear" w:color="auto" w:fill="auto"/>
                  <w:vAlign w:val="center"/>
                </w:tcPr>
                <w:p w14:paraId="676321DB">
                  <w:pPr>
                    <w:jc w:val="center"/>
                    <w:rPr>
                      <w:rFonts w:hint="eastAsia" w:ascii="宋体" w:hAnsi="宋体" w:eastAsia="宋体" w:cs="宋体"/>
                      <w:i w:val="0"/>
                      <w:iCs w:val="0"/>
                      <w:color w:val="auto"/>
                      <w:sz w:val="18"/>
                      <w:szCs w:val="18"/>
                      <w:u w:val="none"/>
                    </w:rPr>
                  </w:pPr>
                </w:p>
              </w:tc>
              <w:tc>
                <w:tcPr>
                  <w:tcW w:w="1999" w:type="dxa"/>
                  <w:vMerge w:val="continue"/>
                  <w:tcBorders>
                    <w:tl2br w:val="nil"/>
                    <w:tr2bl w:val="nil"/>
                  </w:tcBorders>
                  <w:shd w:val="clear" w:color="auto" w:fill="auto"/>
                  <w:vAlign w:val="center"/>
                </w:tcPr>
                <w:p w14:paraId="7624460A">
                  <w:pPr>
                    <w:jc w:val="center"/>
                    <w:rPr>
                      <w:rFonts w:hint="default" w:ascii="Times New Roman" w:hAnsi="Times New Roman" w:eastAsia="宋体" w:cs="Times New Roman"/>
                      <w:i w:val="0"/>
                      <w:iCs w:val="0"/>
                      <w:color w:val="auto"/>
                      <w:sz w:val="18"/>
                      <w:szCs w:val="18"/>
                      <w:u w:val="none"/>
                    </w:rPr>
                  </w:pPr>
                </w:p>
              </w:tc>
              <w:tc>
                <w:tcPr>
                  <w:tcW w:w="666" w:type="dxa"/>
                  <w:vMerge w:val="continue"/>
                  <w:tcBorders>
                    <w:tl2br w:val="nil"/>
                    <w:tr2bl w:val="nil"/>
                  </w:tcBorders>
                  <w:shd w:val="clear" w:color="auto" w:fill="auto"/>
                  <w:vAlign w:val="center"/>
                </w:tcPr>
                <w:p w14:paraId="6A2EFD1D">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p>
              </w:tc>
              <w:tc>
                <w:tcPr>
                  <w:tcW w:w="666" w:type="dxa"/>
                  <w:vMerge w:val="continue"/>
                  <w:tcBorders>
                    <w:tl2br w:val="nil"/>
                    <w:tr2bl w:val="nil"/>
                  </w:tcBorders>
                  <w:shd w:val="clear" w:color="auto" w:fill="auto"/>
                  <w:vAlign w:val="center"/>
                </w:tcPr>
                <w:p w14:paraId="2C5A538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p>
              </w:tc>
              <w:tc>
                <w:tcPr>
                  <w:tcW w:w="667" w:type="dxa"/>
                  <w:tcBorders>
                    <w:tl2br w:val="nil"/>
                    <w:tr2bl w:val="nil"/>
                  </w:tcBorders>
                  <w:shd w:val="clear" w:color="auto" w:fill="auto"/>
                  <w:vAlign w:val="center"/>
                </w:tcPr>
                <w:p w14:paraId="7AEA0DF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2"/>
                      <w:sz w:val="18"/>
                      <w:szCs w:val="18"/>
                      <w:u w:val="none"/>
                      <w:lang w:val="en-US" w:eastAsia="zh-CN" w:bidi="ar-SA"/>
                    </w:rPr>
                    <w:t>净化处理削减量</w:t>
                  </w:r>
                </w:p>
              </w:tc>
              <w:tc>
                <w:tcPr>
                  <w:tcW w:w="2002" w:type="dxa"/>
                  <w:tcBorders>
                    <w:tl2br w:val="nil"/>
                    <w:tr2bl w:val="nil"/>
                  </w:tcBorders>
                  <w:shd w:val="clear" w:color="auto" w:fill="auto"/>
                  <w:vAlign w:val="center"/>
                </w:tcPr>
                <w:p w14:paraId="5A14374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lang w:val="en-US" w:eastAsia="zh-CN"/>
                    </w:rPr>
                  </w:pPr>
                  <w:r>
                    <w:rPr>
                      <w:rFonts w:hint="eastAsia" w:cs="Times New Roman"/>
                      <w:i w:val="0"/>
                      <w:iCs w:val="0"/>
                      <w:color w:val="auto"/>
                      <w:sz w:val="18"/>
                      <w:szCs w:val="18"/>
                      <w:u w:val="none"/>
                      <w:lang w:val="en-US" w:eastAsia="zh-CN"/>
                    </w:rPr>
                    <w:t>0.3061</w:t>
                  </w:r>
                </w:p>
              </w:tc>
            </w:tr>
            <w:tr w14:paraId="2F340954">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07" w:hRule="atLeast"/>
                <w:jc w:val="center"/>
              </w:trPr>
              <w:tc>
                <w:tcPr>
                  <w:tcW w:w="999" w:type="dxa"/>
                  <w:vMerge w:val="restart"/>
                  <w:tcBorders>
                    <w:tl2br w:val="nil"/>
                    <w:tr2bl w:val="nil"/>
                  </w:tcBorders>
                  <w:shd w:val="clear" w:color="auto" w:fill="auto"/>
                  <w:vAlign w:val="center"/>
                </w:tcPr>
                <w:p w14:paraId="3EE2582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有机硅硬质涂层</w:t>
                  </w:r>
                </w:p>
              </w:tc>
              <w:tc>
                <w:tcPr>
                  <w:tcW w:w="1000" w:type="dxa"/>
                  <w:vMerge w:val="restart"/>
                  <w:tcBorders>
                    <w:tl2br w:val="nil"/>
                    <w:tr2bl w:val="nil"/>
                  </w:tcBorders>
                  <w:shd w:val="clear" w:color="auto" w:fill="auto"/>
                  <w:vAlign w:val="center"/>
                </w:tcPr>
                <w:p w14:paraId="0B7BBD7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sz w:val="18"/>
                      <w:szCs w:val="18"/>
                      <w:u w:val="none"/>
                      <w:lang w:val="en-US" w:eastAsia="zh-CN"/>
                    </w:rPr>
                    <w:t>VOCs含量（以非甲烷总烃计）</w:t>
                  </w:r>
                </w:p>
              </w:tc>
              <w:tc>
                <w:tcPr>
                  <w:tcW w:w="1999" w:type="dxa"/>
                  <w:vMerge w:val="restart"/>
                  <w:tcBorders>
                    <w:tl2br w:val="nil"/>
                    <w:tr2bl w:val="nil"/>
                  </w:tcBorders>
                  <w:shd w:val="clear" w:color="auto" w:fill="auto"/>
                  <w:vAlign w:val="center"/>
                </w:tcPr>
                <w:p w14:paraId="1172FF4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2.5641</w:t>
                  </w:r>
                </w:p>
              </w:tc>
              <w:tc>
                <w:tcPr>
                  <w:tcW w:w="666" w:type="dxa"/>
                  <w:vMerge w:val="restart"/>
                  <w:tcBorders>
                    <w:tl2br w:val="nil"/>
                    <w:tr2bl w:val="nil"/>
                  </w:tcBorders>
                  <w:shd w:val="clear" w:color="auto" w:fill="auto"/>
                  <w:vAlign w:val="center"/>
                </w:tcPr>
                <w:p w14:paraId="2B1CD8D6">
                  <w:pPr>
                    <w:keepNext w:val="0"/>
                    <w:keepLines w:val="0"/>
                    <w:widowControl/>
                    <w:suppressLineNumbers w:val="0"/>
                    <w:jc w:val="center"/>
                    <w:textAlignment w:val="center"/>
                    <w:rPr>
                      <w:rFonts w:hint="default" w:ascii="宋体" w:hAnsi="宋体" w:eastAsia="宋体" w:cs="宋体"/>
                      <w:i w:val="0"/>
                      <w:iCs w:val="0"/>
                      <w:color w:val="auto"/>
                      <w:sz w:val="18"/>
                      <w:szCs w:val="18"/>
                      <w:u w:val="none"/>
                      <w:lang w:val="en-US" w:eastAsia="zh-CN"/>
                    </w:rPr>
                  </w:pPr>
                  <w:r>
                    <w:rPr>
                      <w:rFonts w:hint="eastAsia" w:ascii="宋体" w:hAnsi="宋体" w:cs="宋体"/>
                      <w:i w:val="0"/>
                      <w:iCs w:val="0"/>
                      <w:color w:val="auto"/>
                      <w:sz w:val="18"/>
                      <w:szCs w:val="18"/>
                      <w:u w:val="none"/>
                      <w:lang w:val="en-US" w:eastAsia="zh-CN"/>
                    </w:rPr>
                    <w:t>进入大气</w:t>
                  </w:r>
                </w:p>
              </w:tc>
              <w:tc>
                <w:tcPr>
                  <w:tcW w:w="666" w:type="dxa"/>
                  <w:vMerge w:val="restart"/>
                  <w:tcBorders>
                    <w:tl2br w:val="nil"/>
                    <w:tr2bl w:val="nil"/>
                  </w:tcBorders>
                  <w:shd w:val="clear" w:color="auto" w:fill="auto"/>
                  <w:vAlign w:val="center"/>
                </w:tcPr>
                <w:p w14:paraId="2B2D66C0">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非甲烷总烃</w:t>
                  </w:r>
                </w:p>
              </w:tc>
              <w:tc>
                <w:tcPr>
                  <w:tcW w:w="667" w:type="dxa"/>
                  <w:tcBorders>
                    <w:tl2br w:val="nil"/>
                    <w:tr2bl w:val="nil"/>
                  </w:tcBorders>
                  <w:shd w:val="clear" w:color="auto" w:fill="auto"/>
                  <w:vAlign w:val="center"/>
                </w:tcPr>
                <w:p w14:paraId="62FCB15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有组织排放</w:t>
                  </w:r>
                </w:p>
              </w:tc>
              <w:tc>
                <w:tcPr>
                  <w:tcW w:w="2002" w:type="dxa"/>
                  <w:tcBorders>
                    <w:tl2br w:val="nil"/>
                    <w:tr2bl w:val="nil"/>
                  </w:tcBorders>
                  <w:shd w:val="clear" w:color="auto" w:fill="auto"/>
                  <w:vAlign w:val="center"/>
                </w:tcPr>
                <w:p w14:paraId="053F1EA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lang w:val="en-US"/>
                    </w:rPr>
                  </w:pPr>
                  <w:r>
                    <w:rPr>
                      <w:rFonts w:hint="eastAsia" w:cs="Times New Roman"/>
                      <w:i w:val="0"/>
                      <w:iCs w:val="0"/>
                      <w:color w:val="auto"/>
                      <w:kern w:val="0"/>
                      <w:sz w:val="18"/>
                      <w:szCs w:val="18"/>
                      <w:u w:val="none"/>
                      <w:lang w:val="en-US" w:eastAsia="zh-CN" w:bidi="ar"/>
                    </w:rPr>
                    <w:t>0.2308</w:t>
                  </w:r>
                </w:p>
              </w:tc>
            </w:tr>
            <w:tr w14:paraId="4C3F9DA5">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07" w:hRule="atLeast"/>
                <w:jc w:val="center"/>
              </w:trPr>
              <w:tc>
                <w:tcPr>
                  <w:tcW w:w="999" w:type="dxa"/>
                  <w:vMerge w:val="continue"/>
                  <w:tcBorders>
                    <w:tl2br w:val="nil"/>
                    <w:tr2bl w:val="nil"/>
                  </w:tcBorders>
                  <w:shd w:val="clear" w:color="auto" w:fill="auto"/>
                  <w:vAlign w:val="center"/>
                </w:tcPr>
                <w:p w14:paraId="45964F50">
                  <w:pPr>
                    <w:keepNext w:val="0"/>
                    <w:keepLines w:val="0"/>
                    <w:widowControl/>
                    <w:suppressLineNumbers w:val="0"/>
                    <w:jc w:val="center"/>
                    <w:textAlignment w:val="center"/>
                    <w:rPr>
                      <w:color w:val="auto"/>
                    </w:rPr>
                  </w:pPr>
                </w:p>
              </w:tc>
              <w:tc>
                <w:tcPr>
                  <w:tcW w:w="1000" w:type="dxa"/>
                  <w:vMerge w:val="continue"/>
                  <w:tcBorders>
                    <w:tl2br w:val="nil"/>
                    <w:tr2bl w:val="nil"/>
                  </w:tcBorders>
                  <w:shd w:val="clear" w:color="auto" w:fill="auto"/>
                  <w:vAlign w:val="center"/>
                </w:tcPr>
                <w:p w14:paraId="57100AB8">
                  <w:pPr>
                    <w:keepNext w:val="0"/>
                    <w:keepLines w:val="0"/>
                    <w:widowControl/>
                    <w:suppressLineNumbers w:val="0"/>
                    <w:jc w:val="center"/>
                    <w:textAlignment w:val="center"/>
                    <w:rPr>
                      <w:color w:val="auto"/>
                    </w:rPr>
                  </w:pPr>
                </w:p>
              </w:tc>
              <w:tc>
                <w:tcPr>
                  <w:tcW w:w="1999" w:type="dxa"/>
                  <w:vMerge w:val="continue"/>
                  <w:tcBorders>
                    <w:tl2br w:val="nil"/>
                    <w:tr2bl w:val="nil"/>
                  </w:tcBorders>
                  <w:shd w:val="clear" w:color="auto" w:fill="auto"/>
                  <w:vAlign w:val="center"/>
                </w:tcPr>
                <w:p w14:paraId="2AA836E7">
                  <w:pPr>
                    <w:keepNext w:val="0"/>
                    <w:keepLines w:val="0"/>
                    <w:widowControl/>
                    <w:suppressLineNumbers w:val="0"/>
                    <w:jc w:val="center"/>
                    <w:textAlignment w:val="center"/>
                    <w:rPr>
                      <w:color w:val="auto"/>
                    </w:rPr>
                  </w:pPr>
                </w:p>
              </w:tc>
              <w:tc>
                <w:tcPr>
                  <w:tcW w:w="666" w:type="dxa"/>
                  <w:vMerge w:val="continue"/>
                  <w:tcBorders>
                    <w:tl2br w:val="nil"/>
                    <w:tr2bl w:val="nil"/>
                  </w:tcBorders>
                  <w:shd w:val="clear" w:color="auto" w:fill="auto"/>
                  <w:vAlign w:val="center"/>
                </w:tcPr>
                <w:p w14:paraId="215890F1">
                  <w:pPr>
                    <w:keepNext w:val="0"/>
                    <w:keepLines w:val="0"/>
                    <w:widowControl/>
                    <w:suppressLineNumbers w:val="0"/>
                    <w:jc w:val="center"/>
                    <w:textAlignment w:val="center"/>
                    <w:rPr>
                      <w:color w:val="auto"/>
                    </w:rPr>
                  </w:pPr>
                </w:p>
              </w:tc>
              <w:tc>
                <w:tcPr>
                  <w:tcW w:w="666" w:type="dxa"/>
                  <w:vMerge w:val="continue"/>
                  <w:tcBorders>
                    <w:tl2br w:val="nil"/>
                    <w:tr2bl w:val="nil"/>
                  </w:tcBorders>
                  <w:shd w:val="clear" w:color="auto" w:fill="auto"/>
                  <w:vAlign w:val="center"/>
                </w:tcPr>
                <w:p w14:paraId="71D2F3C5">
                  <w:pPr>
                    <w:keepNext w:val="0"/>
                    <w:keepLines w:val="0"/>
                    <w:widowControl/>
                    <w:suppressLineNumbers w:val="0"/>
                    <w:jc w:val="center"/>
                    <w:textAlignment w:val="center"/>
                    <w:rPr>
                      <w:color w:val="auto"/>
                    </w:rPr>
                  </w:pPr>
                </w:p>
              </w:tc>
              <w:tc>
                <w:tcPr>
                  <w:tcW w:w="667" w:type="dxa"/>
                  <w:tcBorders>
                    <w:tl2br w:val="nil"/>
                    <w:tr2bl w:val="nil"/>
                  </w:tcBorders>
                  <w:shd w:val="clear" w:color="auto" w:fill="auto"/>
                  <w:vAlign w:val="center"/>
                </w:tcPr>
                <w:p w14:paraId="2129037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2"/>
                      <w:sz w:val="18"/>
                      <w:szCs w:val="18"/>
                      <w:u w:val="none"/>
                      <w:lang w:val="en-US" w:eastAsia="zh-CN" w:bidi="ar-SA"/>
                    </w:rPr>
                    <w:t>无组织排放</w:t>
                  </w:r>
                </w:p>
              </w:tc>
              <w:tc>
                <w:tcPr>
                  <w:tcW w:w="2002" w:type="dxa"/>
                  <w:tcBorders>
                    <w:tl2br w:val="nil"/>
                    <w:tr2bl w:val="nil"/>
                  </w:tcBorders>
                  <w:shd w:val="clear" w:color="auto" w:fill="auto"/>
                  <w:vAlign w:val="center"/>
                </w:tcPr>
                <w:p w14:paraId="35AD4863">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0.2564</w:t>
                  </w:r>
                </w:p>
              </w:tc>
            </w:tr>
            <w:tr w14:paraId="1F131302">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307" w:hRule="atLeast"/>
                <w:jc w:val="center"/>
              </w:trPr>
              <w:tc>
                <w:tcPr>
                  <w:tcW w:w="999" w:type="dxa"/>
                  <w:vMerge w:val="continue"/>
                  <w:tcBorders>
                    <w:tl2br w:val="nil"/>
                    <w:tr2bl w:val="nil"/>
                  </w:tcBorders>
                  <w:shd w:val="clear" w:color="auto" w:fill="auto"/>
                  <w:vAlign w:val="center"/>
                </w:tcPr>
                <w:p w14:paraId="5CCB876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000" w:type="dxa"/>
                  <w:vMerge w:val="continue"/>
                  <w:tcBorders>
                    <w:tl2br w:val="nil"/>
                    <w:tr2bl w:val="nil"/>
                  </w:tcBorders>
                  <w:shd w:val="clear" w:color="auto" w:fill="auto"/>
                  <w:vAlign w:val="center"/>
                </w:tcPr>
                <w:p w14:paraId="4F30AC6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999" w:type="dxa"/>
                  <w:vMerge w:val="continue"/>
                  <w:tcBorders>
                    <w:tl2br w:val="nil"/>
                    <w:tr2bl w:val="nil"/>
                  </w:tcBorders>
                  <w:shd w:val="clear" w:color="auto" w:fill="auto"/>
                  <w:vAlign w:val="center"/>
                </w:tcPr>
                <w:p w14:paraId="0C3ADB6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666" w:type="dxa"/>
                  <w:vMerge w:val="continue"/>
                  <w:tcBorders>
                    <w:tl2br w:val="nil"/>
                    <w:tr2bl w:val="nil"/>
                  </w:tcBorders>
                  <w:shd w:val="clear" w:color="auto" w:fill="auto"/>
                  <w:vAlign w:val="center"/>
                </w:tcPr>
                <w:p w14:paraId="75D1C35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666" w:type="dxa"/>
                  <w:vMerge w:val="continue"/>
                  <w:tcBorders>
                    <w:tl2br w:val="nil"/>
                    <w:tr2bl w:val="nil"/>
                  </w:tcBorders>
                  <w:shd w:val="clear" w:color="auto" w:fill="auto"/>
                  <w:vAlign w:val="center"/>
                </w:tcPr>
                <w:p w14:paraId="5DA0709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667" w:type="dxa"/>
                  <w:tcBorders>
                    <w:tl2br w:val="nil"/>
                    <w:tr2bl w:val="nil"/>
                  </w:tcBorders>
                  <w:shd w:val="clear" w:color="auto" w:fill="auto"/>
                  <w:vAlign w:val="center"/>
                </w:tcPr>
                <w:p w14:paraId="0C623CA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2"/>
                      <w:sz w:val="18"/>
                      <w:szCs w:val="18"/>
                      <w:u w:val="none"/>
                      <w:lang w:val="en-US" w:eastAsia="zh-CN" w:bidi="ar-SA"/>
                    </w:rPr>
                    <w:t>净化处理削减量</w:t>
                  </w:r>
                </w:p>
              </w:tc>
              <w:tc>
                <w:tcPr>
                  <w:tcW w:w="2002" w:type="dxa"/>
                  <w:tcBorders>
                    <w:tl2br w:val="nil"/>
                    <w:tr2bl w:val="nil"/>
                  </w:tcBorders>
                  <w:shd w:val="clear" w:color="auto" w:fill="auto"/>
                  <w:vAlign w:val="center"/>
                </w:tcPr>
                <w:p w14:paraId="292D1F4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2.0769</w:t>
                  </w:r>
                </w:p>
              </w:tc>
            </w:tr>
            <w:tr w14:paraId="1D88451C">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74" w:hRule="atLeast"/>
                <w:jc w:val="center"/>
              </w:trPr>
              <w:tc>
                <w:tcPr>
                  <w:tcW w:w="999" w:type="dxa"/>
                  <w:vMerge w:val="continue"/>
                  <w:tcBorders>
                    <w:tl2br w:val="nil"/>
                    <w:tr2bl w:val="nil"/>
                  </w:tcBorders>
                  <w:shd w:val="clear" w:color="auto" w:fill="auto"/>
                  <w:vAlign w:val="center"/>
                </w:tcPr>
                <w:p w14:paraId="3FF26562">
                  <w:pPr>
                    <w:jc w:val="center"/>
                    <w:rPr>
                      <w:rFonts w:hint="eastAsia" w:ascii="宋体" w:hAnsi="宋体" w:eastAsia="宋体" w:cs="宋体"/>
                      <w:i w:val="0"/>
                      <w:iCs w:val="0"/>
                      <w:color w:val="auto"/>
                      <w:sz w:val="18"/>
                      <w:szCs w:val="18"/>
                      <w:u w:val="none"/>
                    </w:rPr>
                  </w:pPr>
                </w:p>
              </w:tc>
              <w:tc>
                <w:tcPr>
                  <w:tcW w:w="1000" w:type="dxa"/>
                  <w:vMerge w:val="restart"/>
                  <w:tcBorders>
                    <w:tl2br w:val="nil"/>
                    <w:tr2bl w:val="nil"/>
                  </w:tcBorders>
                  <w:shd w:val="clear" w:color="auto" w:fill="auto"/>
                  <w:vAlign w:val="center"/>
                </w:tcPr>
                <w:p w14:paraId="6FBF1ED6">
                  <w:pPr>
                    <w:jc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固体份</w:t>
                  </w:r>
                </w:p>
              </w:tc>
              <w:tc>
                <w:tcPr>
                  <w:tcW w:w="1999" w:type="dxa"/>
                  <w:vMerge w:val="restart"/>
                  <w:tcBorders>
                    <w:tl2br w:val="nil"/>
                    <w:tr2bl w:val="nil"/>
                  </w:tcBorders>
                  <w:shd w:val="clear" w:color="auto" w:fill="auto"/>
                  <w:vAlign w:val="center"/>
                </w:tcPr>
                <w:p w14:paraId="2E65D252">
                  <w:pPr>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rPr>
                    <w:t>2.5059‬</w:t>
                  </w:r>
                </w:p>
              </w:tc>
              <w:tc>
                <w:tcPr>
                  <w:tcW w:w="666" w:type="dxa"/>
                  <w:vMerge w:val="continue"/>
                  <w:tcBorders>
                    <w:tl2br w:val="nil"/>
                    <w:tr2bl w:val="nil"/>
                  </w:tcBorders>
                  <w:shd w:val="clear" w:color="auto" w:fill="auto"/>
                  <w:vAlign w:val="center"/>
                </w:tcPr>
                <w:p w14:paraId="09F832B7">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p>
              </w:tc>
              <w:tc>
                <w:tcPr>
                  <w:tcW w:w="666" w:type="dxa"/>
                  <w:vMerge w:val="restart"/>
                  <w:tcBorders>
                    <w:tl2br w:val="nil"/>
                    <w:tr2bl w:val="nil"/>
                  </w:tcBorders>
                  <w:shd w:val="clear" w:color="auto" w:fill="auto"/>
                  <w:vAlign w:val="center"/>
                </w:tcPr>
                <w:p w14:paraId="4D7E415A">
                  <w:pPr>
                    <w:keepNext w:val="0"/>
                    <w:keepLines w:val="0"/>
                    <w:widowControl/>
                    <w:suppressLineNumbers w:val="0"/>
                    <w:jc w:val="center"/>
                    <w:textAlignment w:val="center"/>
                    <w:rPr>
                      <w:rFonts w:hint="eastAsia" w:ascii="宋体" w:hAnsi="宋体" w:eastAsia="宋体" w:cs="宋体"/>
                      <w:i w:val="0"/>
                      <w:iCs w:val="0"/>
                      <w:color w:val="auto"/>
                      <w:kern w:val="2"/>
                      <w:sz w:val="18"/>
                      <w:szCs w:val="18"/>
                      <w:u w:val="none"/>
                      <w:lang w:val="en-US" w:eastAsia="zh-CN" w:bidi="ar-SA"/>
                    </w:rPr>
                  </w:pPr>
                  <w:r>
                    <w:rPr>
                      <w:rFonts w:hint="eastAsia" w:ascii="宋体" w:hAnsi="宋体" w:eastAsia="宋体" w:cs="宋体"/>
                      <w:i w:val="0"/>
                      <w:iCs w:val="0"/>
                      <w:color w:val="auto"/>
                      <w:kern w:val="0"/>
                      <w:sz w:val="18"/>
                      <w:szCs w:val="18"/>
                      <w:u w:val="none"/>
                      <w:lang w:val="en-US" w:eastAsia="zh-CN" w:bidi="ar"/>
                    </w:rPr>
                    <w:t>颗粒物</w:t>
                  </w:r>
                </w:p>
              </w:tc>
              <w:tc>
                <w:tcPr>
                  <w:tcW w:w="667" w:type="dxa"/>
                  <w:tcBorders>
                    <w:tl2br w:val="nil"/>
                    <w:tr2bl w:val="nil"/>
                  </w:tcBorders>
                  <w:shd w:val="clear" w:color="auto" w:fill="auto"/>
                  <w:vAlign w:val="center"/>
                </w:tcPr>
                <w:p w14:paraId="182B1ED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0"/>
                      <w:sz w:val="18"/>
                      <w:szCs w:val="18"/>
                      <w:u w:val="none"/>
                      <w:lang w:val="en-US" w:eastAsia="zh-CN" w:bidi="ar"/>
                    </w:rPr>
                    <w:t>有组织排放</w:t>
                  </w:r>
                </w:p>
              </w:tc>
              <w:tc>
                <w:tcPr>
                  <w:tcW w:w="2002" w:type="dxa"/>
                  <w:tcBorders>
                    <w:tl2br w:val="nil"/>
                    <w:tr2bl w:val="nil"/>
                  </w:tcBorders>
                  <w:shd w:val="clear" w:color="auto" w:fill="auto"/>
                  <w:vAlign w:val="center"/>
                </w:tcPr>
                <w:p w14:paraId="6906AD2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lang w:val="en-US"/>
                    </w:rPr>
                  </w:pPr>
                  <w:r>
                    <w:rPr>
                      <w:rFonts w:hint="default" w:ascii="Times New Roman" w:hAnsi="Times New Roman" w:eastAsia="宋体" w:cs="Times New Roman"/>
                      <w:i w:val="0"/>
                      <w:iCs w:val="0"/>
                      <w:color w:val="auto"/>
                      <w:kern w:val="0"/>
                      <w:sz w:val="18"/>
                      <w:szCs w:val="18"/>
                      <w:u w:val="none"/>
                      <w:lang w:val="en-US" w:eastAsia="zh-CN" w:bidi="ar"/>
                    </w:rPr>
                    <w:t>0.</w:t>
                  </w:r>
                  <w:r>
                    <w:rPr>
                      <w:rFonts w:hint="eastAsia" w:cs="Times New Roman"/>
                      <w:i w:val="0"/>
                      <w:iCs w:val="0"/>
                      <w:color w:val="auto"/>
                      <w:kern w:val="0"/>
                      <w:sz w:val="18"/>
                      <w:szCs w:val="18"/>
                      <w:u w:val="none"/>
                      <w:lang w:val="en-US" w:eastAsia="zh-CN" w:bidi="ar"/>
                    </w:rPr>
                    <w:t>0056</w:t>
                  </w:r>
                </w:p>
              </w:tc>
            </w:tr>
            <w:tr w14:paraId="7E1A47FB">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74" w:hRule="atLeast"/>
                <w:jc w:val="center"/>
              </w:trPr>
              <w:tc>
                <w:tcPr>
                  <w:tcW w:w="999" w:type="dxa"/>
                  <w:vMerge w:val="continue"/>
                  <w:tcBorders>
                    <w:tl2br w:val="nil"/>
                    <w:tr2bl w:val="nil"/>
                  </w:tcBorders>
                  <w:shd w:val="clear" w:color="auto" w:fill="auto"/>
                  <w:vAlign w:val="center"/>
                </w:tcPr>
                <w:p w14:paraId="40CF4C78">
                  <w:pPr>
                    <w:keepNext w:val="0"/>
                    <w:keepLines w:val="0"/>
                    <w:widowControl/>
                    <w:suppressLineNumbers w:val="0"/>
                    <w:jc w:val="center"/>
                    <w:textAlignment w:val="center"/>
                    <w:rPr>
                      <w:color w:val="auto"/>
                    </w:rPr>
                  </w:pPr>
                </w:p>
              </w:tc>
              <w:tc>
                <w:tcPr>
                  <w:tcW w:w="1000" w:type="dxa"/>
                  <w:vMerge w:val="continue"/>
                  <w:tcBorders>
                    <w:tl2br w:val="nil"/>
                    <w:tr2bl w:val="nil"/>
                  </w:tcBorders>
                  <w:shd w:val="clear" w:color="auto" w:fill="auto"/>
                  <w:vAlign w:val="center"/>
                </w:tcPr>
                <w:p w14:paraId="6975EBF4">
                  <w:pPr>
                    <w:keepNext w:val="0"/>
                    <w:keepLines w:val="0"/>
                    <w:widowControl/>
                    <w:suppressLineNumbers w:val="0"/>
                    <w:jc w:val="center"/>
                    <w:textAlignment w:val="center"/>
                    <w:rPr>
                      <w:color w:val="auto"/>
                    </w:rPr>
                  </w:pPr>
                </w:p>
              </w:tc>
              <w:tc>
                <w:tcPr>
                  <w:tcW w:w="1999" w:type="dxa"/>
                  <w:vMerge w:val="continue"/>
                  <w:tcBorders>
                    <w:tl2br w:val="nil"/>
                    <w:tr2bl w:val="nil"/>
                  </w:tcBorders>
                  <w:shd w:val="clear" w:color="auto" w:fill="auto"/>
                  <w:vAlign w:val="center"/>
                </w:tcPr>
                <w:p w14:paraId="42BB4DF4">
                  <w:pPr>
                    <w:keepNext w:val="0"/>
                    <w:keepLines w:val="0"/>
                    <w:widowControl/>
                    <w:suppressLineNumbers w:val="0"/>
                    <w:jc w:val="center"/>
                    <w:textAlignment w:val="center"/>
                    <w:rPr>
                      <w:color w:val="auto"/>
                    </w:rPr>
                  </w:pPr>
                </w:p>
              </w:tc>
              <w:tc>
                <w:tcPr>
                  <w:tcW w:w="666" w:type="dxa"/>
                  <w:vMerge w:val="continue"/>
                  <w:tcBorders>
                    <w:tl2br w:val="nil"/>
                    <w:tr2bl w:val="nil"/>
                  </w:tcBorders>
                  <w:shd w:val="clear" w:color="auto" w:fill="auto"/>
                  <w:vAlign w:val="center"/>
                </w:tcPr>
                <w:p w14:paraId="549142FE">
                  <w:pPr>
                    <w:keepNext w:val="0"/>
                    <w:keepLines w:val="0"/>
                    <w:widowControl/>
                    <w:suppressLineNumbers w:val="0"/>
                    <w:jc w:val="center"/>
                    <w:textAlignment w:val="center"/>
                    <w:rPr>
                      <w:color w:val="auto"/>
                    </w:rPr>
                  </w:pPr>
                </w:p>
              </w:tc>
              <w:tc>
                <w:tcPr>
                  <w:tcW w:w="666" w:type="dxa"/>
                  <w:vMerge w:val="continue"/>
                  <w:tcBorders>
                    <w:tl2br w:val="nil"/>
                    <w:tr2bl w:val="nil"/>
                  </w:tcBorders>
                  <w:shd w:val="clear" w:color="auto" w:fill="auto"/>
                  <w:vAlign w:val="center"/>
                </w:tcPr>
                <w:p w14:paraId="20C4AB60">
                  <w:pPr>
                    <w:keepNext w:val="0"/>
                    <w:keepLines w:val="0"/>
                    <w:widowControl/>
                    <w:suppressLineNumbers w:val="0"/>
                    <w:jc w:val="center"/>
                    <w:textAlignment w:val="center"/>
                    <w:rPr>
                      <w:color w:val="auto"/>
                    </w:rPr>
                  </w:pPr>
                </w:p>
              </w:tc>
              <w:tc>
                <w:tcPr>
                  <w:tcW w:w="667" w:type="dxa"/>
                  <w:tcBorders>
                    <w:tl2br w:val="nil"/>
                    <w:tr2bl w:val="nil"/>
                  </w:tcBorders>
                  <w:shd w:val="clear" w:color="auto" w:fill="auto"/>
                  <w:vAlign w:val="center"/>
                </w:tcPr>
                <w:p w14:paraId="39FAF8F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2"/>
                      <w:sz w:val="18"/>
                      <w:szCs w:val="18"/>
                      <w:u w:val="none"/>
                      <w:lang w:val="en-US" w:eastAsia="zh-CN" w:bidi="ar-SA"/>
                    </w:rPr>
                    <w:t>无组织排放</w:t>
                  </w:r>
                </w:p>
              </w:tc>
              <w:tc>
                <w:tcPr>
                  <w:tcW w:w="2002" w:type="dxa"/>
                  <w:tcBorders>
                    <w:tl2br w:val="nil"/>
                    <w:tr2bl w:val="nil"/>
                  </w:tcBorders>
                  <w:shd w:val="clear" w:color="auto" w:fill="auto"/>
                  <w:vAlign w:val="center"/>
                </w:tcPr>
                <w:p w14:paraId="10431883">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0.0627</w:t>
                  </w:r>
                </w:p>
              </w:tc>
            </w:tr>
            <w:tr w14:paraId="35E64705">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74" w:hRule="atLeast"/>
                <w:jc w:val="center"/>
              </w:trPr>
              <w:tc>
                <w:tcPr>
                  <w:tcW w:w="999" w:type="dxa"/>
                  <w:vMerge w:val="continue"/>
                  <w:tcBorders>
                    <w:tl2br w:val="nil"/>
                    <w:tr2bl w:val="nil"/>
                  </w:tcBorders>
                  <w:shd w:val="clear" w:color="auto" w:fill="auto"/>
                  <w:vAlign w:val="center"/>
                </w:tcPr>
                <w:p w14:paraId="1CA0FC7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000" w:type="dxa"/>
                  <w:vMerge w:val="continue"/>
                  <w:tcBorders>
                    <w:tl2br w:val="nil"/>
                    <w:tr2bl w:val="nil"/>
                  </w:tcBorders>
                  <w:shd w:val="clear" w:color="auto" w:fill="auto"/>
                  <w:vAlign w:val="center"/>
                </w:tcPr>
                <w:p w14:paraId="54B80C7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1999" w:type="dxa"/>
                  <w:vMerge w:val="continue"/>
                  <w:tcBorders>
                    <w:tl2br w:val="nil"/>
                    <w:tr2bl w:val="nil"/>
                  </w:tcBorders>
                  <w:shd w:val="clear" w:color="auto" w:fill="auto"/>
                  <w:vAlign w:val="center"/>
                </w:tcPr>
                <w:p w14:paraId="2FA696E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666" w:type="dxa"/>
                  <w:vMerge w:val="continue"/>
                  <w:tcBorders>
                    <w:tl2br w:val="nil"/>
                    <w:tr2bl w:val="nil"/>
                  </w:tcBorders>
                  <w:shd w:val="clear" w:color="auto" w:fill="auto"/>
                  <w:vAlign w:val="center"/>
                </w:tcPr>
                <w:p w14:paraId="600C80D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666" w:type="dxa"/>
                  <w:vMerge w:val="continue"/>
                  <w:tcBorders>
                    <w:tl2br w:val="nil"/>
                    <w:tr2bl w:val="nil"/>
                  </w:tcBorders>
                  <w:shd w:val="clear" w:color="auto" w:fill="auto"/>
                  <w:vAlign w:val="center"/>
                </w:tcPr>
                <w:p w14:paraId="16E8633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p>
              </w:tc>
              <w:tc>
                <w:tcPr>
                  <w:tcW w:w="667" w:type="dxa"/>
                  <w:tcBorders>
                    <w:tl2br w:val="nil"/>
                    <w:tr2bl w:val="nil"/>
                  </w:tcBorders>
                  <w:shd w:val="clear" w:color="auto" w:fill="auto"/>
                  <w:vAlign w:val="center"/>
                </w:tcPr>
                <w:p w14:paraId="735EC38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cs="宋体"/>
                      <w:i w:val="0"/>
                      <w:iCs w:val="0"/>
                      <w:color w:val="auto"/>
                      <w:kern w:val="2"/>
                      <w:sz w:val="18"/>
                      <w:szCs w:val="18"/>
                      <w:u w:val="none"/>
                      <w:lang w:val="en-US" w:eastAsia="zh-CN" w:bidi="ar-SA"/>
                    </w:rPr>
                    <w:t>净化处理削减量</w:t>
                  </w:r>
                </w:p>
              </w:tc>
              <w:tc>
                <w:tcPr>
                  <w:tcW w:w="2002" w:type="dxa"/>
                  <w:tcBorders>
                    <w:tl2br w:val="nil"/>
                    <w:tr2bl w:val="nil"/>
                  </w:tcBorders>
                  <w:shd w:val="clear" w:color="auto" w:fill="auto"/>
                  <w:vAlign w:val="center"/>
                </w:tcPr>
                <w:p w14:paraId="2EA2DF0F">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0.5582</w:t>
                  </w:r>
                </w:p>
              </w:tc>
            </w:tr>
            <w:tr w14:paraId="2ABF0C06">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214" w:hRule="atLeast"/>
                <w:jc w:val="center"/>
              </w:trPr>
              <w:tc>
                <w:tcPr>
                  <w:tcW w:w="999" w:type="dxa"/>
                  <w:vMerge w:val="continue"/>
                  <w:tcBorders>
                    <w:tl2br w:val="nil"/>
                    <w:tr2bl w:val="nil"/>
                  </w:tcBorders>
                  <w:shd w:val="clear" w:color="auto" w:fill="auto"/>
                  <w:vAlign w:val="center"/>
                </w:tcPr>
                <w:p w14:paraId="76F8380E">
                  <w:pPr>
                    <w:jc w:val="center"/>
                    <w:rPr>
                      <w:rFonts w:hint="eastAsia" w:ascii="宋体" w:hAnsi="宋体" w:eastAsia="宋体" w:cs="宋体"/>
                      <w:i w:val="0"/>
                      <w:iCs w:val="0"/>
                      <w:color w:val="auto"/>
                      <w:sz w:val="18"/>
                      <w:szCs w:val="18"/>
                      <w:u w:val="none"/>
                    </w:rPr>
                  </w:pPr>
                </w:p>
              </w:tc>
              <w:tc>
                <w:tcPr>
                  <w:tcW w:w="1000" w:type="dxa"/>
                  <w:vMerge w:val="continue"/>
                  <w:tcBorders>
                    <w:tl2br w:val="nil"/>
                    <w:tr2bl w:val="nil"/>
                  </w:tcBorders>
                  <w:shd w:val="clear" w:color="auto" w:fill="auto"/>
                  <w:vAlign w:val="center"/>
                </w:tcPr>
                <w:p w14:paraId="732F4F90">
                  <w:pPr>
                    <w:jc w:val="center"/>
                    <w:rPr>
                      <w:rFonts w:hint="eastAsia" w:ascii="宋体" w:hAnsi="宋体" w:eastAsia="宋体" w:cs="宋体"/>
                      <w:i w:val="0"/>
                      <w:iCs w:val="0"/>
                      <w:color w:val="auto"/>
                      <w:sz w:val="18"/>
                      <w:szCs w:val="18"/>
                      <w:u w:val="none"/>
                    </w:rPr>
                  </w:pPr>
                </w:p>
              </w:tc>
              <w:tc>
                <w:tcPr>
                  <w:tcW w:w="1999" w:type="dxa"/>
                  <w:vMerge w:val="continue"/>
                  <w:tcBorders>
                    <w:tl2br w:val="nil"/>
                    <w:tr2bl w:val="nil"/>
                  </w:tcBorders>
                  <w:shd w:val="clear" w:color="auto" w:fill="auto"/>
                  <w:vAlign w:val="center"/>
                </w:tcPr>
                <w:p w14:paraId="245EC2AF">
                  <w:pPr>
                    <w:jc w:val="center"/>
                    <w:rPr>
                      <w:rFonts w:hint="default" w:ascii="Times New Roman" w:hAnsi="Times New Roman" w:eastAsia="宋体" w:cs="Times New Roman"/>
                      <w:i w:val="0"/>
                      <w:iCs w:val="0"/>
                      <w:color w:val="auto"/>
                      <w:sz w:val="18"/>
                      <w:szCs w:val="18"/>
                      <w:u w:val="none"/>
                    </w:rPr>
                  </w:pPr>
                </w:p>
              </w:tc>
              <w:tc>
                <w:tcPr>
                  <w:tcW w:w="1999" w:type="dxa"/>
                  <w:gridSpan w:val="3"/>
                  <w:tcBorders>
                    <w:tl2br w:val="nil"/>
                    <w:tr2bl w:val="nil"/>
                  </w:tcBorders>
                  <w:shd w:val="clear" w:color="auto" w:fill="auto"/>
                  <w:vAlign w:val="center"/>
                </w:tcPr>
                <w:p w14:paraId="622C02B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漆渣</w:t>
                  </w:r>
                </w:p>
              </w:tc>
              <w:tc>
                <w:tcPr>
                  <w:tcW w:w="2002" w:type="dxa"/>
                  <w:tcBorders>
                    <w:tl2br w:val="nil"/>
                    <w:tr2bl w:val="nil"/>
                  </w:tcBorders>
                  <w:shd w:val="clear" w:color="auto" w:fill="auto"/>
                  <w:vAlign w:val="center"/>
                </w:tcPr>
                <w:p w14:paraId="3E6F02E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0.6265</w:t>
                  </w:r>
                </w:p>
              </w:tc>
            </w:tr>
            <w:tr w14:paraId="453B2EF3">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206" w:hRule="atLeast"/>
                <w:jc w:val="center"/>
              </w:trPr>
              <w:tc>
                <w:tcPr>
                  <w:tcW w:w="999" w:type="dxa"/>
                  <w:vMerge w:val="continue"/>
                  <w:tcBorders>
                    <w:tl2br w:val="nil"/>
                    <w:tr2bl w:val="nil"/>
                  </w:tcBorders>
                  <w:shd w:val="clear" w:color="auto" w:fill="auto"/>
                  <w:vAlign w:val="center"/>
                </w:tcPr>
                <w:p w14:paraId="46AD2AE7">
                  <w:pPr>
                    <w:jc w:val="center"/>
                    <w:rPr>
                      <w:rFonts w:hint="eastAsia" w:ascii="宋体" w:hAnsi="宋体" w:eastAsia="宋体" w:cs="宋体"/>
                      <w:i w:val="0"/>
                      <w:iCs w:val="0"/>
                      <w:color w:val="auto"/>
                      <w:sz w:val="18"/>
                      <w:szCs w:val="18"/>
                      <w:u w:val="none"/>
                    </w:rPr>
                  </w:pPr>
                </w:p>
              </w:tc>
              <w:tc>
                <w:tcPr>
                  <w:tcW w:w="1000" w:type="dxa"/>
                  <w:vMerge w:val="continue"/>
                  <w:tcBorders>
                    <w:tl2br w:val="nil"/>
                    <w:tr2bl w:val="nil"/>
                  </w:tcBorders>
                  <w:shd w:val="clear" w:color="auto" w:fill="auto"/>
                  <w:vAlign w:val="center"/>
                </w:tcPr>
                <w:p w14:paraId="6E70C7E1">
                  <w:pPr>
                    <w:jc w:val="center"/>
                    <w:rPr>
                      <w:rFonts w:hint="eastAsia" w:ascii="宋体" w:hAnsi="宋体" w:eastAsia="宋体" w:cs="宋体"/>
                      <w:i w:val="0"/>
                      <w:iCs w:val="0"/>
                      <w:color w:val="auto"/>
                      <w:sz w:val="18"/>
                      <w:szCs w:val="18"/>
                      <w:u w:val="none"/>
                    </w:rPr>
                  </w:pPr>
                </w:p>
              </w:tc>
              <w:tc>
                <w:tcPr>
                  <w:tcW w:w="1999" w:type="dxa"/>
                  <w:vMerge w:val="continue"/>
                  <w:tcBorders>
                    <w:tl2br w:val="nil"/>
                    <w:tr2bl w:val="nil"/>
                  </w:tcBorders>
                  <w:shd w:val="clear" w:color="auto" w:fill="auto"/>
                  <w:vAlign w:val="center"/>
                </w:tcPr>
                <w:p w14:paraId="1E3E8422">
                  <w:pPr>
                    <w:jc w:val="center"/>
                    <w:rPr>
                      <w:rFonts w:hint="default" w:ascii="Times New Roman" w:hAnsi="Times New Roman" w:eastAsia="宋体" w:cs="Times New Roman"/>
                      <w:i w:val="0"/>
                      <w:iCs w:val="0"/>
                      <w:color w:val="auto"/>
                      <w:sz w:val="18"/>
                      <w:szCs w:val="18"/>
                      <w:u w:val="none"/>
                    </w:rPr>
                  </w:pPr>
                </w:p>
              </w:tc>
              <w:tc>
                <w:tcPr>
                  <w:tcW w:w="1999" w:type="dxa"/>
                  <w:gridSpan w:val="3"/>
                  <w:tcBorders>
                    <w:tl2br w:val="nil"/>
                    <w:tr2bl w:val="nil"/>
                  </w:tcBorders>
                  <w:shd w:val="clear" w:color="auto" w:fill="auto"/>
                  <w:vAlign w:val="center"/>
                </w:tcPr>
                <w:p w14:paraId="2E8BBDA5">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进入产品</w:t>
                  </w:r>
                </w:p>
              </w:tc>
              <w:tc>
                <w:tcPr>
                  <w:tcW w:w="2002" w:type="dxa"/>
                  <w:tcBorders>
                    <w:tl2br w:val="nil"/>
                    <w:tr2bl w:val="nil"/>
                  </w:tcBorders>
                  <w:shd w:val="clear" w:color="auto" w:fill="auto"/>
                  <w:vAlign w:val="center"/>
                </w:tcPr>
                <w:p w14:paraId="73A765E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1.2529</w:t>
                  </w:r>
                </w:p>
              </w:tc>
            </w:tr>
            <w:tr w14:paraId="395577C0">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CellMar>
                  <w:top w:w="0" w:type="dxa"/>
                  <w:left w:w="108" w:type="dxa"/>
                  <w:bottom w:w="0" w:type="dxa"/>
                  <w:right w:w="108" w:type="dxa"/>
                </w:tblCellMar>
              </w:tblPrEx>
              <w:trPr>
                <w:trHeight w:val="258" w:hRule="atLeast"/>
                <w:jc w:val="center"/>
              </w:trPr>
              <w:tc>
                <w:tcPr>
                  <w:tcW w:w="1999" w:type="dxa"/>
                  <w:gridSpan w:val="2"/>
                  <w:tcBorders>
                    <w:tl2br w:val="nil"/>
                    <w:tr2bl w:val="nil"/>
                  </w:tcBorders>
                  <w:shd w:val="clear" w:color="auto" w:fill="auto"/>
                  <w:vAlign w:val="center"/>
                </w:tcPr>
                <w:p w14:paraId="07A1DFF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合计</w:t>
                  </w:r>
                </w:p>
              </w:tc>
              <w:tc>
                <w:tcPr>
                  <w:tcW w:w="1999" w:type="dxa"/>
                  <w:tcBorders>
                    <w:tl2br w:val="nil"/>
                    <w:tr2bl w:val="nil"/>
                  </w:tcBorders>
                  <w:shd w:val="clear" w:color="auto" w:fill="auto"/>
                  <w:vAlign w:val="center"/>
                </w:tcPr>
                <w:p w14:paraId="2D819BA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7.566</w:t>
                  </w:r>
                </w:p>
              </w:tc>
              <w:tc>
                <w:tcPr>
                  <w:tcW w:w="4001" w:type="dxa"/>
                  <w:gridSpan w:val="4"/>
                  <w:tcBorders>
                    <w:tl2br w:val="nil"/>
                    <w:tr2bl w:val="nil"/>
                  </w:tcBorders>
                  <w:shd w:val="clear" w:color="auto" w:fill="auto"/>
                  <w:vAlign w:val="center"/>
                </w:tcPr>
                <w:p w14:paraId="4939DA9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7.566</w:t>
                  </w:r>
                </w:p>
              </w:tc>
            </w:tr>
          </w:tbl>
          <w:p w14:paraId="096BE0B4">
            <w:pPr>
              <w:jc w:val="center"/>
              <w:rPr>
                <w:rFonts w:hint="eastAsia"/>
                <w:b/>
                <w:bCs/>
                <w:color w:val="auto"/>
                <w:highlight w:val="none"/>
                <w:lang w:val="en-US" w:eastAsia="zh-CN"/>
              </w:rPr>
            </w:pPr>
          </w:p>
          <w:p w14:paraId="4050346F">
            <w:pPr>
              <w:jc w:val="center"/>
              <w:rPr>
                <w:rFonts w:hint="eastAsia"/>
                <w:color w:val="auto"/>
                <w:lang w:val="en-US" w:eastAsia="zh-CN"/>
              </w:rPr>
            </w:pPr>
            <w:r>
              <w:rPr>
                <w:rFonts w:hint="eastAsia"/>
                <w:b/>
                <w:bCs/>
                <w:color w:val="auto"/>
                <w:highlight w:val="none"/>
                <w:lang w:val="en-US" w:eastAsia="zh-CN"/>
              </w:rPr>
              <w:t>表2-8挥发性有机物平衡表</w:t>
            </w:r>
          </w:p>
          <w:tbl>
            <w:tblPr>
              <w:tblStyle w:val="69"/>
              <w:tblW w:w="815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964"/>
              <w:gridCol w:w="900"/>
              <w:gridCol w:w="1377"/>
              <w:gridCol w:w="1378"/>
              <w:gridCol w:w="1513"/>
              <w:gridCol w:w="2027"/>
            </w:tblGrid>
            <w:tr w14:paraId="79DA62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4" w:hRule="atLeast"/>
                <w:jc w:val="center"/>
              </w:trPr>
              <w:tc>
                <w:tcPr>
                  <w:tcW w:w="4619" w:type="dxa"/>
                  <w:gridSpan w:val="4"/>
                  <w:tcBorders>
                    <w:tl2br w:val="nil"/>
                    <w:tr2bl w:val="nil"/>
                  </w:tcBorders>
                  <w:vAlign w:val="center"/>
                </w:tcPr>
                <w:p w14:paraId="184572A6">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8"/>
                      <w:szCs w:val="18"/>
                      <w:highlight w:val="none"/>
                      <w:u w:val="none"/>
                      <w:lang w:val="en-US" w:eastAsia="zh-CN" w:bidi="ar"/>
                    </w:rPr>
                  </w:pPr>
                  <w:r>
                    <w:rPr>
                      <w:rFonts w:hint="default" w:ascii="Times New Roman" w:hAnsi="Times New Roman" w:eastAsia="宋体" w:cs="Times New Roman"/>
                      <w:b/>
                      <w:bCs/>
                      <w:i w:val="0"/>
                      <w:iCs w:val="0"/>
                      <w:color w:val="auto"/>
                      <w:kern w:val="0"/>
                      <w:sz w:val="18"/>
                      <w:szCs w:val="18"/>
                      <w:highlight w:val="none"/>
                      <w:u w:val="none"/>
                      <w:lang w:val="en-US" w:eastAsia="zh-CN" w:bidi="ar"/>
                    </w:rPr>
                    <w:t>投入</w:t>
                  </w:r>
                </w:p>
              </w:tc>
              <w:tc>
                <w:tcPr>
                  <w:tcW w:w="3540" w:type="dxa"/>
                  <w:gridSpan w:val="2"/>
                  <w:tcBorders>
                    <w:tl2br w:val="nil"/>
                    <w:tr2bl w:val="nil"/>
                  </w:tcBorders>
                  <w:vAlign w:val="center"/>
                </w:tcPr>
                <w:p w14:paraId="486E15E5">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8"/>
                      <w:szCs w:val="18"/>
                      <w:highlight w:val="none"/>
                      <w:u w:val="none"/>
                      <w:lang w:val="en-US" w:eastAsia="zh-CN" w:bidi="ar"/>
                    </w:rPr>
                  </w:pPr>
                  <w:r>
                    <w:rPr>
                      <w:rFonts w:hint="default" w:ascii="Times New Roman" w:hAnsi="Times New Roman" w:eastAsia="宋体" w:cs="Times New Roman"/>
                      <w:b/>
                      <w:bCs/>
                      <w:i w:val="0"/>
                      <w:iCs w:val="0"/>
                      <w:color w:val="auto"/>
                      <w:kern w:val="0"/>
                      <w:sz w:val="18"/>
                      <w:szCs w:val="18"/>
                      <w:highlight w:val="none"/>
                      <w:u w:val="none"/>
                      <w:lang w:val="en-US" w:eastAsia="zh-CN" w:bidi="ar"/>
                    </w:rPr>
                    <w:t>产出</w:t>
                  </w:r>
                </w:p>
              </w:tc>
            </w:tr>
            <w:tr w14:paraId="52953B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964" w:type="dxa"/>
                  <w:tcBorders>
                    <w:tl2br w:val="nil"/>
                    <w:tr2bl w:val="nil"/>
                  </w:tcBorders>
                  <w:vAlign w:val="center"/>
                </w:tcPr>
                <w:p w14:paraId="13D213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物料</w:t>
                  </w:r>
                </w:p>
              </w:tc>
              <w:tc>
                <w:tcPr>
                  <w:tcW w:w="900" w:type="dxa"/>
                  <w:tcBorders>
                    <w:tl2br w:val="nil"/>
                    <w:tr2bl w:val="nil"/>
                  </w:tcBorders>
                  <w:vAlign w:val="center"/>
                </w:tcPr>
                <w:p w14:paraId="5E4B38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用量(t/a）</w:t>
                  </w:r>
                </w:p>
              </w:tc>
              <w:tc>
                <w:tcPr>
                  <w:tcW w:w="1377" w:type="dxa"/>
                  <w:tcBorders>
                    <w:tl2br w:val="nil"/>
                    <w:tr2bl w:val="nil"/>
                  </w:tcBorders>
                  <w:vAlign w:val="center"/>
                </w:tcPr>
                <w:p w14:paraId="3C3355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VOCs含量</w:t>
                  </w:r>
                </w:p>
              </w:tc>
              <w:tc>
                <w:tcPr>
                  <w:tcW w:w="1378" w:type="dxa"/>
                  <w:tcBorders>
                    <w:tl2br w:val="nil"/>
                    <w:tr2bl w:val="nil"/>
                  </w:tcBorders>
                  <w:vAlign w:val="center"/>
                </w:tcPr>
                <w:p w14:paraId="6D00B69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VOCs量（t/a）</w:t>
                  </w:r>
                </w:p>
              </w:tc>
              <w:tc>
                <w:tcPr>
                  <w:tcW w:w="1513" w:type="dxa"/>
                  <w:tcBorders>
                    <w:tl2br w:val="nil"/>
                    <w:tr2bl w:val="nil"/>
                  </w:tcBorders>
                  <w:vAlign w:val="center"/>
                </w:tcPr>
                <w:p w14:paraId="052B2A2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去向</w:t>
                  </w:r>
                </w:p>
              </w:tc>
              <w:tc>
                <w:tcPr>
                  <w:tcW w:w="2027" w:type="dxa"/>
                  <w:tcBorders>
                    <w:tl2br w:val="nil"/>
                    <w:tr2bl w:val="nil"/>
                  </w:tcBorders>
                  <w:vAlign w:val="center"/>
                </w:tcPr>
                <w:p w14:paraId="5B72C2E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VOCs量（t/a）</w:t>
                  </w:r>
                </w:p>
              </w:tc>
            </w:tr>
            <w:tr w14:paraId="3069DA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3" w:hRule="atLeast"/>
                <w:jc w:val="center"/>
              </w:trPr>
              <w:tc>
                <w:tcPr>
                  <w:tcW w:w="964" w:type="dxa"/>
                  <w:tcBorders>
                    <w:tl2br w:val="nil"/>
                    <w:tr2bl w:val="nil"/>
                  </w:tcBorders>
                  <w:vAlign w:val="center"/>
                </w:tcPr>
                <w:p w14:paraId="17A5CFDC">
                  <w:pPr>
                    <w:pStyle w:val="64"/>
                    <w:rPr>
                      <w:rFonts w:hint="default" w:ascii="宋体" w:hAnsi="宋体" w:eastAsia="宋体" w:cs="宋体"/>
                      <w:color w:val="auto"/>
                      <w:kern w:val="2"/>
                      <w:sz w:val="18"/>
                      <w:szCs w:val="18"/>
                      <w:highlight w:val="none"/>
                      <w:lang w:val="en-US" w:eastAsia="zh-CN" w:bidi="zh-CN"/>
                    </w:rPr>
                  </w:pPr>
                  <w:r>
                    <w:rPr>
                      <w:rFonts w:hint="eastAsia" w:cs="Times New Roman"/>
                      <w:color w:val="auto"/>
                      <w:kern w:val="0"/>
                      <w:sz w:val="18"/>
                      <w:szCs w:val="18"/>
                      <w:lang w:val="en-US" w:eastAsia="zh-CN" w:bidi="ar"/>
                    </w:rPr>
                    <w:t>有机硅硬质涂层</w:t>
                  </w:r>
                </w:p>
              </w:tc>
              <w:tc>
                <w:tcPr>
                  <w:tcW w:w="900" w:type="dxa"/>
                  <w:tcBorders>
                    <w:tl2br w:val="nil"/>
                    <w:tr2bl w:val="nil"/>
                  </w:tcBorders>
                  <w:vAlign w:val="center"/>
                </w:tcPr>
                <w:p w14:paraId="07E09FB5">
                  <w:pPr>
                    <w:pStyle w:val="63"/>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lang w:val="en-US" w:eastAsia="zh-CN" w:bidi="ar-SA"/>
                    </w:rPr>
                    <w:t>5.07</w:t>
                  </w:r>
                </w:p>
              </w:tc>
              <w:tc>
                <w:tcPr>
                  <w:tcW w:w="1377" w:type="dxa"/>
                  <w:tcBorders>
                    <w:tl2br w:val="nil"/>
                    <w:tr2bl w:val="nil"/>
                  </w:tcBorders>
                  <w:vAlign w:val="center"/>
                </w:tcPr>
                <w:p w14:paraId="4958D80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u w:val="none"/>
                      <w:lang w:val="en-US" w:eastAsia="zh-CN" w:bidi="ar"/>
                    </w:rPr>
                    <w:t>50.6</w:t>
                  </w:r>
                  <w:r>
                    <w:rPr>
                      <w:rFonts w:hint="eastAsia" w:eastAsia="宋体" w:cs="Times New Roman"/>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1378" w:type="dxa"/>
                  <w:tcBorders>
                    <w:tl2br w:val="nil"/>
                    <w:tr2bl w:val="nil"/>
                  </w:tcBorders>
                  <w:vAlign w:val="center"/>
                </w:tcPr>
                <w:p w14:paraId="755305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2.5641</w:t>
                  </w:r>
                </w:p>
              </w:tc>
              <w:tc>
                <w:tcPr>
                  <w:tcW w:w="1513" w:type="dxa"/>
                  <w:tcBorders>
                    <w:tl2br w:val="nil"/>
                    <w:tr2bl w:val="nil"/>
                  </w:tcBorders>
                  <w:vAlign w:val="center"/>
                </w:tcPr>
                <w:p w14:paraId="277FA7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有组织废气</w:t>
                  </w:r>
                </w:p>
              </w:tc>
              <w:tc>
                <w:tcPr>
                  <w:tcW w:w="2027" w:type="dxa"/>
                  <w:tcBorders>
                    <w:tl2br w:val="nil"/>
                    <w:tr2bl w:val="nil"/>
                  </w:tcBorders>
                  <w:vAlign w:val="center"/>
                </w:tcPr>
                <w:p w14:paraId="60C78C2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0.2917</w:t>
                  </w:r>
                </w:p>
              </w:tc>
            </w:tr>
            <w:tr w14:paraId="69A38D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2" w:hRule="atLeast"/>
                <w:jc w:val="center"/>
              </w:trPr>
              <w:tc>
                <w:tcPr>
                  <w:tcW w:w="964" w:type="dxa"/>
                  <w:tcBorders>
                    <w:tl2br w:val="nil"/>
                    <w:tr2bl w:val="nil"/>
                  </w:tcBorders>
                  <w:vAlign w:val="center"/>
                </w:tcPr>
                <w:p w14:paraId="7F1ABD12">
                  <w:pPr>
                    <w:spacing w:line="240" w:lineRule="auto"/>
                    <w:ind w:firstLine="0" w:firstLineChars="0"/>
                    <w:jc w:val="center"/>
                    <w:rPr>
                      <w:rFonts w:hint="default" w:ascii="宋体" w:hAnsi="宋体" w:eastAsia="宋体" w:cs="宋体"/>
                      <w:color w:val="auto"/>
                      <w:kern w:val="2"/>
                      <w:sz w:val="18"/>
                      <w:szCs w:val="18"/>
                      <w:highlight w:val="none"/>
                      <w:lang w:val="en-US" w:eastAsia="zh-CN" w:bidi="zh-CN"/>
                    </w:rPr>
                  </w:pPr>
                  <w:r>
                    <w:rPr>
                      <w:rFonts w:hint="eastAsia" w:ascii="Times New Roman" w:hAnsi="Times New Roman" w:eastAsia="宋体" w:cs="Times New Roman"/>
                      <w:color w:val="auto"/>
                      <w:kern w:val="2"/>
                      <w:sz w:val="18"/>
                      <w:szCs w:val="18"/>
                      <w:lang w:val="en-US" w:eastAsia="zh-CN" w:bidi="ar-SA"/>
                    </w:rPr>
                    <w:t>防雾涂料</w:t>
                  </w:r>
                </w:p>
              </w:tc>
              <w:tc>
                <w:tcPr>
                  <w:tcW w:w="900" w:type="dxa"/>
                  <w:tcBorders>
                    <w:tl2br w:val="nil"/>
                    <w:tr2bl w:val="nil"/>
                  </w:tcBorders>
                  <w:vAlign w:val="center"/>
                </w:tcPr>
                <w:p w14:paraId="67529A20">
                  <w:pPr>
                    <w:pStyle w:val="63"/>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lang w:val="en-US" w:eastAsia="zh-CN" w:bidi="ar-SA"/>
                    </w:rPr>
                    <w:t>2.496</w:t>
                  </w:r>
                </w:p>
              </w:tc>
              <w:tc>
                <w:tcPr>
                  <w:tcW w:w="1377" w:type="dxa"/>
                  <w:tcBorders>
                    <w:tl2br w:val="nil"/>
                    <w:tr2bl w:val="nil"/>
                  </w:tcBorders>
                  <w:vAlign w:val="center"/>
                </w:tcPr>
                <w:p w14:paraId="773CF03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15.1%</w:t>
                  </w:r>
                </w:p>
              </w:tc>
              <w:tc>
                <w:tcPr>
                  <w:tcW w:w="1378" w:type="dxa"/>
                  <w:tcBorders>
                    <w:tl2br w:val="nil"/>
                    <w:tr2bl w:val="nil"/>
                  </w:tcBorders>
                  <w:vAlign w:val="center"/>
                </w:tcPr>
                <w:p w14:paraId="58EE0AC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0.3779</w:t>
                  </w:r>
                </w:p>
              </w:tc>
              <w:tc>
                <w:tcPr>
                  <w:tcW w:w="1513" w:type="dxa"/>
                  <w:tcBorders>
                    <w:tl2br w:val="nil"/>
                    <w:tr2bl w:val="nil"/>
                  </w:tcBorders>
                  <w:vAlign w:val="center"/>
                </w:tcPr>
                <w:p w14:paraId="1BC113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无组织废气</w:t>
                  </w:r>
                </w:p>
              </w:tc>
              <w:tc>
                <w:tcPr>
                  <w:tcW w:w="2027" w:type="dxa"/>
                  <w:tcBorders>
                    <w:tl2br w:val="nil"/>
                    <w:tr2bl w:val="nil"/>
                  </w:tcBorders>
                  <w:vAlign w:val="center"/>
                </w:tcPr>
                <w:p w14:paraId="72A908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0.3241</w:t>
                  </w:r>
                </w:p>
              </w:tc>
            </w:tr>
            <w:tr w14:paraId="602D0B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2" w:hRule="atLeast"/>
                <w:jc w:val="center"/>
              </w:trPr>
              <w:tc>
                <w:tcPr>
                  <w:tcW w:w="964" w:type="dxa"/>
                  <w:tcBorders>
                    <w:tl2br w:val="nil"/>
                    <w:tr2bl w:val="nil"/>
                  </w:tcBorders>
                  <w:vAlign w:val="center"/>
                </w:tcPr>
                <w:p w14:paraId="2483006B">
                  <w:pPr>
                    <w:pStyle w:val="46"/>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宋体" w:hAnsi="宋体" w:eastAsia="宋体" w:cs="宋体"/>
                      <w:color w:val="auto"/>
                      <w:kern w:val="2"/>
                      <w:sz w:val="18"/>
                      <w:szCs w:val="18"/>
                      <w:highlight w:val="none"/>
                      <w:lang w:val="en-US" w:eastAsia="zh-CN" w:bidi="zh-CN"/>
                    </w:rPr>
                  </w:pPr>
                  <w:r>
                    <w:rPr>
                      <w:rFonts w:hint="eastAsia" w:cs="宋体"/>
                      <w:color w:val="auto"/>
                      <w:kern w:val="2"/>
                      <w:sz w:val="18"/>
                      <w:szCs w:val="18"/>
                      <w:highlight w:val="none"/>
                      <w:lang w:val="en-US" w:eastAsia="zh-CN" w:bidi="zh-CN"/>
                    </w:rPr>
                    <w:t>清洗剂</w:t>
                  </w:r>
                </w:p>
              </w:tc>
              <w:tc>
                <w:tcPr>
                  <w:tcW w:w="900" w:type="dxa"/>
                  <w:tcBorders>
                    <w:tl2br w:val="nil"/>
                    <w:tr2bl w:val="nil"/>
                  </w:tcBorders>
                  <w:vAlign w:val="center"/>
                </w:tcPr>
                <w:p w14:paraId="1971A062">
                  <w:pPr>
                    <w:keepNext w:val="0"/>
                    <w:keepLines w:val="0"/>
                    <w:widowControl/>
                    <w:suppressLineNumbers w:val="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0.5</w:t>
                  </w:r>
                </w:p>
              </w:tc>
              <w:tc>
                <w:tcPr>
                  <w:tcW w:w="1377" w:type="dxa"/>
                  <w:tcBorders>
                    <w:tl2br w:val="nil"/>
                    <w:tr2bl w:val="nil"/>
                  </w:tcBorders>
                  <w:vAlign w:val="center"/>
                </w:tcPr>
                <w:p w14:paraId="6DA1D3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59.88%</w:t>
                  </w:r>
                </w:p>
              </w:tc>
              <w:tc>
                <w:tcPr>
                  <w:tcW w:w="1378" w:type="dxa"/>
                  <w:tcBorders>
                    <w:tl2br w:val="nil"/>
                    <w:tr2bl w:val="nil"/>
                  </w:tcBorders>
                  <w:vAlign w:val="center"/>
                </w:tcPr>
                <w:p w14:paraId="4D281AF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0.2994</w:t>
                  </w:r>
                </w:p>
              </w:tc>
              <w:tc>
                <w:tcPr>
                  <w:tcW w:w="1513" w:type="dxa"/>
                  <w:tcBorders>
                    <w:tl2br w:val="nil"/>
                    <w:tr2bl w:val="nil"/>
                  </w:tcBorders>
                  <w:vAlign w:val="center"/>
                </w:tcPr>
                <w:p w14:paraId="602C3E6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进入废活性炭</w:t>
                  </w:r>
                </w:p>
              </w:tc>
              <w:tc>
                <w:tcPr>
                  <w:tcW w:w="2027" w:type="dxa"/>
                  <w:tcBorders>
                    <w:tl2br w:val="nil"/>
                    <w:tr2bl w:val="nil"/>
                  </w:tcBorders>
                  <w:vAlign w:val="center"/>
                </w:tcPr>
                <w:p w14:paraId="45B839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2.6256</w:t>
                  </w:r>
                </w:p>
              </w:tc>
            </w:tr>
            <w:tr w14:paraId="6FAACD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964" w:type="dxa"/>
                  <w:tcBorders>
                    <w:tl2br w:val="nil"/>
                    <w:tr2bl w:val="nil"/>
                  </w:tcBorders>
                  <w:vAlign w:val="center"/>
                </w:tcPr>
                <w:p w14:paraId="3355DC6C">
                  <w:pPr>
                    <w:keepNext w:val="0"/>
                    <w:keepLines w:val="0"/>
                    <w:widowControl/>
                    <w:suppressLineNumbers w:val="0"/>
                    <w:jc w:val="center"/>
                    <w:textAlignment w:val="center"/>
                    <w:rPr>
                      <w:rFonts w:hint="default"/>
                      <w:color w:val="auto"/>
                      <w:sz w:val="18"/>
                      <w:szCs w:val="18"/>
                      <w:highlight w:val="none"/>
                      <w:lang w:val="en-US" w:eastAsia="zh-CN"/>
                    </w:rPr>
                  </w:pPr>
                  <w:r>
                    <w:rPr>
                      <w:rFonts w:hint="eastAsia"/>
                      <w:color w:val="auto"/>
                      <w:sz w:val="18"/>
                      <w:szCs w:val="18"/>
                      <w:highlight w:val="none"/>
                      <w:lang w:val="en-US" w:eastAsia="zh-CN"/>
                    </w:rPr>
                    <w:t>合计</w:t>
                  </w:r>
                </w:p>
              </w:tc>
              <w:tc>
                <w:tcPr>
                  <w:tcW w:w="900" w:type="dxa"/>
                  <w:tcBorders>
                    <w:tl2br w:val="nil"/>
                    <w:tr2bl w:val="nil"/>
                  </w:tcBorders>
                  <w:vAlign w:val="center"/>
                </w:tcPr>
                <w:p w14:paraId="4B9B6F2E">
                  <w:pPr>
                    <w:keepNext w:val="0"/>
                    <w:keepLines w:val="0"/>
                    <w:widowControl/>
                    <w:suppressLineNumbers w:val="0"/>
                    <w:jc w:val="center"/>
                    <w:textAlignment w:val="center"/>
                    <w:rPr>
                      <w:rFonts w:hint="default"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w:t>
                  </w:r>
                </w:p>
              </w:tc>
              <w:tc>
                <w:tcPr>
                  <w:tcW w:w="1377" w:type="dxa"/>
                  <w:tcBorders>
                    <w:tl2br w:val="nil"/>
                    <w:tr2bl w:val="nil"/>
                  </w:tcBorders>
                  <w:vAlign w:val="center"/>
                </w:tcPr>
                <w:p w14:paraId="7D089564">
                  <w:pPr>
                    <w:keepNext w:val="0"/>
                    <w:keepLines w:val="0"/>
                    <w:widowControl/>
                    <w:suppressLineNumbers w:val="0"/>
                    <w:jc w:val="center"/>
                    <w:textAlignment w:val="center"/>
                    <w:rPr>
                      <w:rFonts w:hint="default"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w:t>
                  </w:r>
                </w:p>
              </w:tc>
              <w:tc>
                <w:tcPr>
                  <w:tcW w:w="1378" w:type="dxa"/>
                  <w:tcBorders>
                    <w:tl2br w:val="nil"/>
                    <w:tr2bl w:val="nil"/>
                  </w:tcBorders>
                  <w:vAlign w:val="center"/>
                </w:tcPr>
                <w:p w14:paraId="12D4E267">
                  <w:pPr>
                    <w:keepNext w:val="0"/>
                    <w:keepLines w:val="0"/>
                    <w:widowControl/>
                    <w:suppressLineNumbers w:val="0"/>
                    <w:jc w:val="center"/>
                    <w:textAlignment w:val="center"/>
                    <w:rPr>
                      <w:rFonts w:hint="eastAsia"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3.2414</w:t>
                  </w:r>
                </w:p>
              </w:tc>
              <w:tc>
                <w:tcPr>
                  <w:tcW w:w="1513" w:type="dxa"/>
                  <w:tcBorders>
                    <w:tl2br w:val="nil"/>
                    <w:tr2bl w:val="nil"/>
                  </w:tcBorders>
                  <w:vAlign w:val="center"/>
                </w:tcPr>
                <w:p w14:paraId="7E6C5465">
                  <w:pPr>
                    <w:keepNext w:val="0"/>
                    <w:keepLines w:val="0"/>
                    <w:widowControl/>
                    <w:suppressLineNumbers w:val="0"/>
                    <w:jc w:val="center"/>
                    <w:textAlignment w:val="center"/>
                    <w:rPr>
                      <w:rFonts w:hint="default" w:cs="Times New Roman"/>
                      <w:i w:val="0"/>
                      <w:iCs w:val="0"/>
                      <w:color w:val="auto"/>
                      <w:kern w:val="0"/>
                      <w:sz w:val="18"/>
                      <w:szCs w:val="18"/>
                      <w:highlight w:val="none"/>
                      <w:u w:val="none"/>
                      <w:lang w:val="en-US" w:eastAsia="zh-CN" w:bidi="ar"/>
                    </w:rPr>
                  </w:pPr>
                  <w:r>
                    <w:rPr>
                      <w:rFonts w:hint="eastAsia" w:cs="Times New Roman"/>
                      <w:i w:val="0"/>
                      <w:iCs w:val="0"/>
                      <w:color w:val="auto"/>
                      <w:kern w:val="0"/>
                      <w:sz w:val="18"/>
                      <w:szCs w:val="18"/>
                      <w:highlight w:val="none"/>
                      <w:u w:val="none"/>
                      <w:lang w:val="en-US" w:eastAsia="zh-CN" w:bidi="ar"/>
                    </w:rPr>
                    <w:t>/</w:t>
                  </w:r>
                </w:p>
              </w:tc>
              <w:tc>
                <w:tcPr>
                  <w:tcW w:w="2027" w:type="dxa"/>
                  <w:tcBorders>
                    <w:tl2br w:val="nil"/>
                    <w:tr2bl w:val="nil"/>
                  </w:tcBorders>
                  <w:vAlign w:val="center"/>
                </w:tcPr>
                <w:p w14:paraId="5D24D76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3.2414</w:t>
                  </w:r>
                </w:p>
              </w:tc>
            </w:tr>
          </w:tbl>
          <w:p w14:paraId="49AF3F23">
            <w:pPr>
              <w:jc w:val="center"/>
              <w:rPr>
                <w:rFonts w:hint="eastAsia"/>
                <w:color w:val="auto"/>
                <w:highlight w:val="none"/>
                <w:lang w:val="en-US" w:eastAsia="zh-CN"/>
              </w:rPr>
            </w:pPr>
            <w:r>
              <w:rPr>
                <w:rFonts w:hint="eastAsia"/>
                <w:b/>
                <w:bCs/>
                <w:color w:val="auto"/>
                <w:highlight w:val="none"/>
                <w:lang w:val="en-US" w:eastAsia="zh-CN"/>
              </w:rPr>
              <w:t>表2-9全厂挥发性有机物平衡表</w:t>
            </w:r>
          </w:p>
          <w:tbl>
            <w:tblPr>
              <w:tblStyle w:val="69"/>
              <w:tblW w:w="805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013"/>
              <w:gridCol w:w="2015"/>
              <w:gridCol w:w="2014"/>
              <w:gridCol w:w="2017"/>
            </w:tblGrid>
            <w:tr w14:paraId="06AE01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8" w:hRule="atLeast"/>
                <w:jc w:val="center"/>
              </w:trPr>
              <w:tc>
                <w:tcPr>
                  <w:tcW w:w="4029" w:type="dxa"/>
                  <w:gridSpan w:val="2"/>
                  <w:tcBorders>
                    <w:tl2br w:val="nil"/>
                    <w:tr2bl w:val="nil"/>
                  </w:tcBorders>
                  <w:vAlign w:val="center"/>
                </w:tcPr>
                <w:p w14:paraId="5C943C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0"/>
                      <w:sz w:val="18"/>
                      <w:szCs w:val="18"/>
                      <w:highlight w:val="none"/>
                      <w:u w:val="none"/>
                      <w:lang w:val="en-US" w:eastAsia="zh-CN" w:bidi="ar"/>
                    </w:rPr>
                  </w:pPr>
                  <w:r>
                    <w:rPr>
                      <w:rFonts w:hint="default" w:ascii="Times New Roman" w:hAnsi="Times New Roman" w:eastAsia="宋体" w:cs="Times New Roman"/>
                      <w:b/>
                      <w:bCs/>
                      <w:i w:val="0"/>
                      <w:iCs w:val="0"/>
                      <w:color w:val="auto"/>
                      <w:kern w:val="0"/>
                      <w:sz w:val="18"/>
                      <w:szCs w:val="18"/>
                      <w:highlight w:val="none"/>
                      <w:u w:val="none"/>
                      <w:lang w:val="en-US" w:eastAsia="zh-CN" w:bidi="ar"/>
                    </w:rPr>
                    <w:t>投入</w:t>
                  </w:r>
                </w:p>
              </w:tc>
              <w:tc>
                <w:tcPr>
                  <w:tcW w:w="4030" w:type="dxa"/>
                  <w:gridSpan w:val="2"/>
                  <w:tcBorders>
                    <w:tl2br w:val="nil"/>
                    <w:tr2bl w:val="nil"/>
                  </w:tcBorders>
                  <w:vAlign w:val="center"/>
                </w:tcPr>
                <w:p w14:paraId="613B107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0"/>
                      <w:sz w:val="18"/>
                      <w:szCs w:val="18"/>
                      <w:highlight w:val="none"/>
                      <w:u w:val="none"/>
                      <w:lang w:val="en-US" w:eastAsia="zh-CN" w:bidi="ar"/>
                    </w:rPr>
                  </w:pPr>
                  <w:r>
                    <w:rPr>
                      <w:rFonts w:hint="default" w:ascii="Times New Roman" w:hAnsi="Times New Roman" w:eastAsia="宋体" w:cs="Times New Roman"/>
                      <w:b/>
                      <w:bCs/>
                      <w:i w:val="0"/>
                      <w:iCs w:val="0"/>
                      <w:color w:val="auto"/>
                      <w:kern w:val="0"/>
                      <w:sz w:val="18"/>
                      <w:szCs w:val="18"/>
                      <w:highlight w:val="none"/>
                      <w:u w:val="none"/>
                      <w:lang w:val="en-US" w:eastAsia="zh-CN" w:bidi="ar"/>
                    </w:rPr>
                    <w:t>产出</w:t>
                  </w:r>
                </w:p>
              </w:tc>
            </w:tr>
            <w:tr w14:paraId="7DCC99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85" w:hRule="atLeast"/>
                <w:jc w:val="center"/>
              </w:trPr>
              <w:tc>
                <w:tcPr>
                  <w:tcW w:w="2014" w:type="dxa"/>
                  <w:tcBorders>
                    <w:tl2br w:val="nil"/>
                    <w:tr2bl w:val="nil"/>
                  </w:tcBorders>
                  <w:vAlign w:val="center"/>
                </w:tcPr>
                <w:p w14:paraId="447454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来源</w:t>
                  </w:r>
                </w:p>
              </w:tc>
              <w:tc>
                <w:tcPr>
                  <w:tcW w:w="2014" w:type="dxa"/>
                  <w:tcBorders>
                    <w:tl2br w:val="nil"/>
                    <w:tr2bl w:val="nil"/>
                  </w:tcBorders>
                  <w:vAlign w:val="center"/>
                </w:tcPr>
                <w:p w14:paraId="515122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VOCs量（t/a）</w:t>
                  </w:r>
                </w:p>
              </w:tc>
              <w:tc>
                <w:tcPr>
                  <w:tcW w:w="2014" w:type="dxa"/>
                  <w:tcBorders>
                    <w:tl2br w:val="nil"/>
                    <w:tr2bl w:val="nil"/>
                  </w:tcBorders>
                  <w:vAlign w:val="center"/>
                </w:tcPr>
                <w:p w14:paraId="45AC75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去向</w:t>
                  </w:r>
                </w:p>
              </w:tc>
              <w:tc>
                <w:tcPr>
                  <w:tcW w:w="2017" w:type="dxa"/>
                  <w:tcBorders>
                    <w:tl2br w:val="nil"/>
                    <w:tr2bl w:val="nil"/>
                  </w:tcBorders>
                  <w:vAlign w:val="center"/>
                </w:tcPr>
                <w:p w14:paraId="6F4FE7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VOCs量（t/a）</w:t>
                  </w:r>
                </w:p>
              </w:tc>
            </w:tr>
            <w:tr w14:paraId="64FB5B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2014" w:type="dxa"/>
                  <w:tcBorders>
                    <w:tl2br w:val="nil"/>
                    <w:tr2bl w:val="nil"/>
                  </w:tcBorders>
                  <w:vAlign w:val="center"/>
                </w:tcPr>
                <w:p w14:paraId="583502F0">
                  <w:pPr>
                    <w:keepNext w:val="0"/>
                    <w:keepLines w:val="0"/>
                    <w:widowControl/>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lang w:val="en-US" w:eastAsia="zh-CN" w:bidi="ar-SA"/>
                    </w:rPr>
                    <w:t>喷涂</w:t>
                  </w:r>
                </w:p>
              </w:tc>
              <w:tc>
                <w:tcPr>
                  <w:tcW w:w="2014" w:type="dxa"/>
                  <w:tcBorders>
                    <w:tl2br w:val="nil"/>
                    <w:tr2bl w:val="nil"/>
                  </w:tcBorders>
                  <w:vAlign w:val="center"/>
                </w:tcPr>
                <w:p w14:paraId="6CDEB2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2.942</w:t>
                  </w:r>
                </w:p>
              </w:tc>
              <w:tc>
                <w:tcPr>
                  <w:tcW w:w="2014" w:type="dxa"/>
                  <w:vMerge w:val="restart"/>
                  <w:tcBorders>
                    <w:tl2br w:val="nil"/>
                    <w:tr2bl w:val="nil"/>
                  </w:tcBorders>
                  <w:vAlign w:val="center"/>
                </w:tcPr>
                <w:p w14:paraId="15D363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有组织废气</w:t>
                  </w:r>
                </w:p>
              </w:tc>
              <w:tc>
                <w:tcPr>
                  <w:tcW w:w="2017" w:type="dxa"/>
                  <w:vMerge w:val="restart"/>
                  <w:tcBorders>
                    <w:tl2br w:val="nil"/>
                    <w:tr2bl w:val="nil"/>
                  </w:tcBorders>
                  <w:vAlign w:val="center"/>
                </w:tcPr>
                <w:p w14:paraId="24990B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1.8014</w:t>
                  </w:r>
                </w:p>
              </w:tc>
            </w:tr>
            <w:tr w14:paraId="0754DA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2014" w:type="dxa"/>
                  <w:tcBorders>
                    <w:tl2br w:val="nil"/>
                    <w:tr2bl w:val="nil"/>
                  </w:tcBorders>
                  <w:vAlign w:val="center"/>
                </w:tcPr>
                <w:p w14:paraId="41580ADC">
                  <w:pPr>
                    <w:keepNext w:val="0"/>
                    <w:keepLines w:val="0"/>
                    <w:widowControl/>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lang w:val="en-US" w:eastAsia="zh-CN" w:bidi="ar-SA"/>
                    </w:rPr>
                    <w:t>清洗</w:t>
                  </w:r>
                </w:p>
              </w:tc>
              <w:tc>
                <w:tcPr>
                  <w:tcW w:w="2014" w:type="dxa"/>
                  <w:tcBorders>
                    <w:tl2br w:val="nil"/>
                    <w:tr2bl w:val="nil"/>
                  </w:tcBorders>
                  <w:vAlign w:val="center"/>
                </w:tcPr>
                <w:p w14:paraId="5B3560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0.2994</w:t>
                  </w:r>
                </w:p>
              </w:tc>
              <w:tc>
                <w:tcPr>
                  <w:tcW w:w="2014" w:type="dxa"/>
                  <w:vMerge w:val="continue"/>
                  <w:tcBorders>
                    <w:tl2br w:val="nil"/>
                    <w:tr2bl w:val="nil"/>
                  </w:tcBorders>
                  <w:vAlign w:val="center"/>
                </w:tcPr>
                <w:p w14:paraId="007D04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17" w:type="dxa"/>
                  <w:vMerge w:val="continue"/>
                  <w:tcBorders>
                    <w:tl2br w:val="nil"/>
                    <w:tr2bl w:val="nil"/>
                  </w:tcBorders>
                  <w:vAlign w:val="center"/>
                </w:tcPr>
                <w:p w14:paraId="37F4DD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r>
            <w:tr w14:paraId="316B97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2014" w:type="dxa"/>
                  <w:tcBorders>
                    <w:tl2br w:val="nil"/>
                    <w:tr2bl w:val="nil"/>
                  </w:tcBorders>
                  <w:vAlign w:val="center"/>
                </w:tcPr>
                <w:p w14:paraId="6C8119BC">
                  <w:pPr>
                    <w:keepNext w:val="0"/>
                    <w:keepLines w:val="0"/>
                    <w:widowControl/>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注塑</w:t>
                  </w:r>
                </w:p>
              </w:tc>
              <w:tc>
                <w:tcPr>
                  <w:tcW w:w="2014" w:type="dxa"/>
                  <w:tcBorders>
                    <w:tl2br w:val="nil"/>
                    <w:tr2bl w:val="nil"/>
                  </w:tcBorders>
                  <w:vAlign w:val="center"/>
                </w:tcPr>
                <w:p w14:paraId="3D78647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7.5</w:t>
                  </w:r>
                </w:p>
              </w:tc>
              <w:tc>
                <w:tcPr>
                  <w:tcW w:w="2014" w:type="dxa"/>
                  <w:vMerge w:val="restart"/>
                  <w:tcBorders>
                    <w:tl2br w:val="nil"/>
                    <w:tr2bl w:val="nil"/>
                  </w:tcBorders>
                  <w:shd w:val="clear" w:color="auto" w:fill="auto"/>
                  <w:vAlign w:val="center"/>
                </w:tcPr>
                <w:p w14:paraId="35A268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无组织废气</w:t>
                  </w:r>
                </w:p>
              </w:tc>
              <w:tc>
                <w:tcPr>
                  <w:tcW w:w="2017" w:type="dxa"/>
                  <w:vMerge w:val="restart"/>
                  <w:tcBorders>
                    <w:tl2br w:val="nil"/>
                    <w:tr2bl w:val="nil"/>
                  </w:tcBorders>
                  <w:shd w:val="clear" w:color="auto" w:fill="auto"/>
                  <w:vAlign w:val="center"/>
                </w:tcPr>
                <w:p w14:paraId="44B4BF0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0.7055</w:t>
                  </w:r>
                </w:p>
              </w:tc>
            </w:tr>
            <w:tr w14:paraId="504A54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2014" w:type="dxa"/>
                  <w:tcBorders>
                    <w:tl2br w:val="nil"/>
                    <w:tr2bl w:val="nil"/>
                  </w:tcBorders>
                  <w:vAlign w:val="center"/>
                </w:tcPr>
                <w:p w14:paraId="1A74E7E1">
                  <w:pPr>
                    <w:keepNext w:val="0"/>
                    <w:keepLines w:val="0"/>
                    <w:widowControl/>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真空镀铝</w:t>
                  </w:r>
                </w:p>
              </w:tc>
              <w:tc>
                <w:tcPr>
                  <w:tcW w:w="2014" w:type="dxa"/>
                  <w:tcBorders>
                    <w:tl2br w:val="nil"/>
                    <w:tr2bl w:val="nil"/>
                  </w:tcBorders>
                  <w:vAlign w:val="center"/>
                </w:tcPr>
                <w:p w14:paraId="56E4165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0.1078</w:t>
                  </w:r>
                </w:p>
              </w:tc>
              <w:tc>
                <w:tcPr>
                  <w:tcW w:w="2014" w:type="dxa"/>
                  <w:vMerge w:val="continue"/>
                  <w:tcBorders>
                    <w:tl2br w:val="nil"/>
                    <w:tr2bl w:val="nil"/>
                  </w:tcBorders>
                  <w:vAlign w:val="center"/>
                </w:tcPr>
                <w:p w14:paraId="2D3815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17" w:type="dxa"/>
                  <w:vMerge w:val="continue"/>
                  <w:tcBorders>
                    <w:tl2br w:val="nil"/>
                    <w:tr2bl w:val="nil"/>
                  </w:tcBorders>
                  <w:vAlign w:val="center"/>
                </w:tcPr>
                <w:p w14:paraId="0D78F00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u w:val="none"/>
                      <w:lang w:val="en-US" w:eastAsia="zh-CN" w:bidi="ar"/>
                    </w:rPr>
                  </w:pPr>
                </w:p>
              </w:tc>
            </w:tr>
            <w:tr w14:paraId="15603F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2014" w:type="dxa"/>
                  <w:tcBorders>
                    <w:tl2br w:val="nil"/>
                    <w:tr2bl w:val="nil"/>
                  </w:tcBorders>
                  <w:vAlign w:val="center"/>
                </w:tcPr>
                <w:p w14:paraId="785A15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印刷</w:t>
                  </w:r>
                </w:p>
              </w:tc>
              <w:tc>
                <w:tcPr>
                  <w:tcW w:w="2014" w:type="dxa"/>
                  <w:tcBorders>
                    <w:tl2br w:val="nil"/>
                    <w:tr2bl w:val="nil"/>
                  </w:tcBorders>
                  <w:vAlign w:val="center"/>
                </w:tcPr>
                <w:p w14:paraId="46B3EC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0.0329</w:t>
                  </w:r>
                </w:p>
              </w:tc>
              <w:tc>
                <w:tcPr>
                  <w:tcW w:w="2014" w:type="dxa"/>
                  <w:tcBorders>
                    <w:tl2br w:val="nil"/>
                    <w:tr2bl w:val="nil"/>
                  </w:tcBorders>
                  <w:shd w:val="clear" w:color="auto" w:fill="auto"/>
                  <w:vAlign w:val="center"/>
                </w:tcPr>
                <w:p w14:paraId="7D85CA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进入废活性炭</w:t>
                  </w:r>
                </w:p>
              </w:tc>
              <w:tc>
                <w:tcPr>
                  <w:tcW w:w="2017" w:type="dxa"/>
                  <w:tcBorders>
                    <w:tl2br w:val="nil"/>
                    <w:tr2bl w:val="nil"/>
                  </w:tcBorders>
                  <w:shd w:val="clear" w:color="auto" w:fill="auto"/>
                  <w:vAlign w:val="center"/>
                </w:tcPr>
                <w:p w14:paraId="549DE2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8.3752</w:t>
                  </w:r>
                </w:p>
              </w:tc>
            </w:tr>
            <w:tr w14:paraId="7BD257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2014" w:type="dxa"/>
                  <w:tcBorders>
                    <w:tl2br w:val="nil"/>
                    <w:tr2bl w:val="nil"/>
                  </w:tcBorders>
                  <w:vAlign w:val="center"/>
                </w:tcPr>
                <w:p w14:paraId="5FB3C5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合计</w:t>
                  </w:r>
                </w:p>
              </w:tc>
              <w:tc>
                <w:tcPr>
                  <w:tcW w:w="2014" w:type="dxa"/>
                  <w:tcBorders>
                    <w:tl2br w:val="nil"/>
                    <w:tr2bl w:val="nil"/>
                  </w:tcBorders>
                  <w:vAlign w:val="center"/>
                </w:tcPr>
                <w:p w14:paraId="680CF20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10.8821</w:t>
                  </w:r>
                </w:p>
              </w:tc>
              <w:tc>
                <w:tcPr>
                  <w:tcW w:w="2014" w:type="dxa"/>
                  <w:tcBorders>
                    <w:tl2br w:val="nil"/>
                    <w:tr2bl w:val="nil"/>
                  </w:tcBorders>
                  <w:vAlign w:val="center"/>
                </w:tcPr>
                <w:p w14:paraId="0DBCAB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w:t>
                  </w:r>
                </w:p>
              </w:tc>
              <w:tc>
                <w:tcPr>
                  <w:tcW w:w="2017" w:type="dxa"/>
                  <w:tcBorders>
                    <w:tl2br w:val="nil"/>
                    <w:tr2bl w:val="nil"/>
                  </w:tcBorders>
                  <w:vAlign w:val="center"/>
                </w:tcPr>
                <w:p w14:paraId="3C55C1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10.8821</w:t>
                  </w:r>
                </w:p>
              </w:tc>
            </w:tr>
          </w:tbl>
          <w:p w14:paraId="29668966">
            <w:pPr>
              <w:pStyle w:val="3"/>
              <w:bidi w:val="0"/>
              <w:rPr>
                <w:rFonts w:hint="default"/>
                <w:color w:val="auto"/>
              </w:rPr>
            </w:pPr>
            <w:r>
              <w:rPr>
                <w:rFonts w:hint="default"/>
                <w:color w:val="auto"/>
                <w:lang w:val="en-US" w:eastAsia="zh-CN"/>
              </w:rPr>
              <w:t>（</w:t>
            </w:r>
            <w:r>
              <w:rPr>
                <w:rFonts w:hint="eastAsia"/>
                <w:color w:val="auto"/>
                <w:lang w:val="en-US" w:eastAsia="zh-CN"/>
              </w:rPr>
              <w:t>六</w:t>
            </w:r>
            <w:r>
              <w:rPr>
                <w:rFonts w:hint="default"/>
                <w:color w:val="auto"/>
                <w:lang w:val="en-US" w:eastAsia="zh-CN"/>
              </w:rPr>
              <w:t>）</w:t>
            </w:r>
            <w:r>
              <w:rPr>
                <w:rFonts w:hint="default"/>
                <w:color w:val="auto"/>
              </w:rPr>
              <w:t>职工人数及生产制度</w:t>
            </w:r>
          </w:p>
          <w:p w14:paraId="7EA58461">
            <w:pPr>
              <w:adjustRightInd w:val="0"/>
              <w:snapToGrid w:val="0"/>
              <w:spacing w:line="240" w:lineRule="auto"/>
              <w:ind w:firstLine="392" w:firstLineChars="200"/>
              <w:jc w:val="both"/>
              <w:rPr>
                <w:rFonts w:hint="default" w:ascii="Times New Roman" w:hAnsi="Times New Roman" w:cs="Times New Roman"/>
                <w:color w:val="auto"/>
                <w:sz w:val="21"/>
                <w:lang w:eastAsia="zh-CN"/>
              </w:rPr>
            </w:pPr>
            <w:r>
              <w:rPr>
                <w:rFonts w:hint="eastAsia" w:ascii="Times New Roman" w:hAnsi="Times New Roman" w:cs="Times New Roman"/>
                <w:color w:val="auto"/>
                <w:spacing w:val="-7"/>
                <w:sz w:val="21"/>
                <w:lang w:val="en-US" w:eastAsia="zh-CN"/>
              </w:rPr>
              <w:t>本次技改不新增员工</w:t>
            </w:r>
            <w:r>
              <w:rPr>
                <w:rFonts w:hint="default" w:ascii="Times New Roman" w:hAnsi="Times New Roman" w:cs="Times New Roman"/>
                <w:color w:val="auto"/>
                <w:spacing w:val="-4"/>
                <w:sz w:val="21"/>
              </w:rPr>
              <w:t>，</w:t>
            </w:r>
            <w:r>
              <w:rPr>
                <w:rFonts w:hint="eastAsia" w:ascii="Times New Roman" w:hAnsi="Times New Roman" w:cs="Times New Roman"/>
                <w:color w:val="auto"/>
                <w:spacing w:val="-4"/>
                <w:sz w:val="21"/>
                <w:lang w:val="en-US" w:eastAsia="zh-CN"/>
              </w:rPr>
              <w:t>工作制度按年工作264d，每天一班，每班8h，年工作2112h计</w:t>
            </w:r>
            <w:r>
              <w:rPr>
                <w:rFonts w:hint="default" w:ascii="Times New Roman" w:hAnsi="Times New Roman" w:cs="Times New Roman"/>
                <w:color w:val="auto"/>
                <w:sz w:val="21"/>
                <w:lang w:eastAsia="zh-CN"/>
              </w:rPr>
              <w:t>。</w:t>
            </w:r>
          </w:p>
          <w:p w14:paraId="7437616C">
            <w:pPr>
              <w:pStyle w:val="3"/>
              <w:bidi w:val="0"/>
              <w:rPr>
                <w:rFonts w:hint="default"/>
                <w:color w:val="auto"/>
                <w:lang w:eastAsia="zh-CN"/>
              </w:rPr>
            </w:pPr>
            <w:r>
              <w:rPr>
                <w:rFonts w:hint="default"/>
                <w:color w:val="auto"/>
                <w:lang w:eastAsia="zh-CN"/>
              </w:rPr>
              <w:t>（</w:t>
            </w:r>
            <w:r>
              <w:rPr>
                <w:rFonts w:hint="eastAsia"/>
                <w:color w:val="auto"/>
                <w:lang w:val="en-US" w:eastAsia="zh-CN"/>
              </w:rPr>
              <w:t>七</w:t>
            </w:r>
            <w:r>
              <w:rPr>
                <w:rFonts w:hint="default"/>
                <w:color w:val="auto"/>
                <w:lang w:eastAsia="zh-CN"/>
              </w:rPr>
              <w:t>）</w:t>
            </w:r>
            <w:r>
              <w:rPr>
                <w:rFonts w:hint="default"/>
                <w:color w:val="auto"/>
              </w:rPr>
              <w:t>项目平面布置</w:t>
            </w:r>
          </w:p>
          <w:p w14:paraId="0EC465FA">
            <w:pPr>
              <w:pStyle w:val="46"/>
              <w:spacing w:before="5" w:line="360" w:lineRule="auto"/>
              <w:ind w:right="-15" w:firstLine="408" w:firstLineChars="200"/>
              <w:jc w:val="both"/>
              <w:rPr>
                <w:rFonts w:ascii="宋体" w:hAnsi="宋体" w:cs="宋体"/>
                <w:bCs/>
                <w:color w:val="auto"/>
                <w:szCs w:val="21"/>
              </w:rPr>
            </w:pPr>
            <w:r>
              <w:rPr>
                <w:rFonts w:hint="default" w:ascii="Times New Roman" w:hAnsi="Times New Roman" w:cs="Times New Roman"/>
                <w:b w:val="0"/>
                <w:bCs w:val="0"/>
                <w:color w:val="auto"/>
                <w:spacing w:val="-3"/>
                <w:sz w:val="21"/>
                <w:u w:val="none"/>
                <w:lang w:val="en-US" w:eastAsia="zh-CN"/>
              </w:rPr>
              <w:t>本项目位于海门市滨江街道福州路 179 号，东侧为湘江路，路东为</w:t>
            </w:r>
            <w:r>
              <w:rPr>
                <w:rFonts w:hint="eastAsia" w:ascii="Times New Roman" w:hAnsi="Times New Roman" w:cs="Times New Roman"/>
                <w:b w:val="0"/>
                <w:bCs w:val="0"/>
                <w:color w:val="auto"/>
                <w:spacing w:val="-3"/>
                <w:sz w:val="21"/>
                <w:u w:val="none"/>
                <w:lang w:val="en-US" w:eastAsia="zh-CN"/>
              </w:rPr>
              <w:t>江苏一重</w:t>
            </w:r>
            <w:r>
              <w:rPr>
                <w:rFonts w:hint="default" w:ascii="Times New Roman" w:hAnsi="Times New Roman" w:cs="Times New Roman"/>
                <w:b w:val="0"/>
                <w:bCs w:val="0"/>
                <w:color w:val="auto"/>
                <w:spacing w:val="-3"/>
                <w:sz w:val="21"/>
                <w:u w:val="none"/>
                <w:lang w:val="en-US" w:eastAsia="zh-CN"/>
              </w:rPr>
              <w:t>锻造</w:t>
            </w:r>
            <w:r>
              <w:rPr>
                <w:rFonts w:hint="eastAsia" w:ascii="Times New Roman" w:hAnsi="Times New Roman" w:cs="Times New Roman"/>
                <w:b w:val="0"/>
                <w:bCs w:val="0"/>
                <w:color w:val="auto"/>
                <w:spacing w:val="-3"/>
                <w:sz w:val="21"/>
                <w:u w:val="none"/>
                <w:lang w:val="en-US" w:eastAsia="zh-CN"/>
              </w:rPr>
              <w:t>有限</w:t>
            </w:r>
            <w:r>
              <w:rPr>
                <w:rFonts w:hint="default" w:ascii="Times New Roman" w:hAnsi="Times New Roman" w:cs="Times New Roman"/>
                <w:b w:val="0"/>
                <w:bCs w:val="0"/>
                <w:color w:val="auto"/>
                <w:spacing w:val="-3"/>
                <w:sz w:val="21"/>
                <w:u w:val="none"/>
                <w:lang w:val="en-US" w:eastAsia="zh-CN"/>
              </w:rPr>
              <w:t>公司，南侧</w:t>
            </w:r>
            <w:r>
              <w:rPr>
                <w:rFonts w:hint="eastAsia" w:ascii="Times New Roman" w:hAnsi="Times New Roman" w:cs="Times New Roman"/>
                <w:b w:val="0"/>
                <w:bCs w:val="0"/>
                <w:color w:val="auto"/>
                <w:spacing w:val="-3"/>
                <w:sz w:val="21"/>
                <w:u w:val="none"/>
                <w:lang w:val="en-US" w:eastAsia="zh-CN"/>
              </w:rPr>
              <w:t>为江苏大艺科技有限公司</w:t>
            </w:r>
            <w:r>
              <w:rPr>
                <w:rFonts w:hint="default" w:ascii="Times New Roman" w:hAnsi="Times New Roman" w:cs="Times New Roman"/>
                <w:b w:val="0"/>
                <w:bCs w:val="0"/>
                <w:color w:val="auto"/>
                <w:spacing w:val="-3"/>
                <w:sz w:val="21"/>
                <w:u w:val="none"/>
                <w:lang w:val="en-US" w:eastAsia="zh-CN"/>
              </w:rPr>
              <w:t>，</w:t>
            </w:r>
            <w:r>
              <w:rPr>
                <w:rFonts w:hint="eastAsia" w:ascii="Times New Roman" w:hAnsi="Times New Roman" w:cs="Times New Roman"/>
                <w:b w:val="0"/>
                <w:bCs w:val="0"/>
                <w:color w:val="auto"/>
                <w:spacing w:val="-3"/>
                <w:sz w:val="21"/>
                <w:u w:val="none"/>
                <w:lang w:val="en-US" w:eastAsia="zh-CN"/>
              </w:rPr>
              <w:t>西侧为南通金益成精密科技有限公司，</w:t>
            </w:r>
            <w:r>
              <w:rPr>
                <w:rFonts w:hint="default" w:ascii="Times New Roman" w:hAnsi="Times New Roman" w:cs="Times New Roman"/>
                <w:b w:val="0"/>
                <w:bCs w:val="0"/>
                <w:color w:val="auto"/>
                <w:spacing w:val="-3"/>
                <w:sz w:val="21"/>
                <w:u w:val="none"/>
                <w:lang w:val="en-US" w:eastAsia="zh-CN"/>
              </w:rPr>
              <w:t>北侧为香港路，路北为商业街。</w:t>
            </w:r>
            <w:r>
              <w:rPr>
                <w:rFonts w:hint="default" w:ascii="Times New Roman" w:hAnsi="Times New Roman" w:cs="Times New Roman"/>
                <w:b w:val="0"/>
                <w:bCs w:val="0"/>
                <w:color w:val="auto"/>
                <w:sz w:val="21"/>
                <w:szCs w:val="21"/>
                <w:u w:val="none"/>
                <w:lang w:val="en-US" w:eastAsia="zh-CN"/>
              </w:rPr>
              <w:t>本项目设置于注塑车间一南侧，设有HC干式喷房和防雾干式喷房</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pacing w:val="-3"/>
                <w:sz w:val="21"/>
                <w:u w:val="none"/>
                <w:lang w:val="en-US" w:eastAsia="zh-CN"/>
              </w:rPr>
              <w:t>具体地理位置见附图 1，项目周边状况见附图 3</w:t>
            </w:r>
            <w:r>
              <w:rPr>
                <w:rFonts w:hint="default" w:ascii="Times New Roman" w:hAnsi="Times New Roman" w:eastAsia="宋体" w:cs="Times New Roman"/>
                <w:b w:val="0"/>
                <w:bCs w:val="0"/>
                <w:color w:val="auto"/>
                <w:sz w:val="21"/>
                <w:u w:val="none"/>
              </w:rPr>
              <w:t>。</w:t>
            </w:r>
          </w:p>
        </w:tc>
      </w:tr>
      <w:tr w14:paraId="54463E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7" w:type="dxa"/>
            <w:noWrap w:val="0"/>
            <w:vAlign w:val="center"/>
          </w:tcPr>
          <w:p w14:paraId="06EDE236">
            <w:pPr>
              <w:pStyle w:val="18"/>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工艺流程和产排污环节</w:t>
            </w:r>
          </w:p>
        </w:tc>
        <w:tc>
          <w:tcPr>
            <w:tcW w:w="8377" w:type="dxa"/>
            <w:noWrap w:val="0"/>
            <w:vAlign w:val="top"/>
          </w:tcPr>
          <w:p w14:paraId="030A9C8F">
            <w:pPr>
              <w:adjustRightInd w:val="0"/>
              <w:snapToGrid w:val="0"/>
              <w:rPr>
                <w:rFonts w:hint="eastAsia"/>
                <w:color w:val="auto"/>
                <w:lang w:val="en-US" w:eastAsia="zh-CN"/>
              </w:rPr>
            </w:pPr>
            <w:r>
              <w:rPr>
                <w:rFonts w:hint="eastAsia"/>
                <w:color w:val="auto"/>
                <w:lang w:val="en-US" w:eastAsia="zh-CN"/>
              </w:rPr>
              <w:t>（一）主要工艺流程图：</w:t>
            </w:r>
          </w:p>
          <w:p w14:paraId="17626693">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drawing>
                <wp:inline distT="0" distB="0" distL="114300" distR="114300">
                  <wp:extent cx="3687445" cy="3327400"/>
                  <wp:effectExtent l="0" t="0" r="8255" b="6350"/>
                  <wp:docPr id="10" name="图片 10" descr="冠东HC车灯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冠东HC车灯工艺流程"/>
                          <pic:cNvPicPr>
                            <a:picLocks noChangeAspect="1"/>
                          </pic:cNvPicPr>
                        </pic:nvPicPr>
                        <pic:blipFill>
                          <a:blip r:embed="rId11"/>
                          <a:stretch>
                            <a:fillRect/>
                          </a:stretch>
                        </pic:blipFill>
                        <pic:spPr>
                          <a:xfrm>
                            <a:off x="0" y="0"/>
                            <a:ext cx="3687445" cy="3327400"/>
                          </a:xfrm>
                          <a:prstGeom prst="rect">
                            <a:avLst/>
                          </a:prstGeom>
                        </pic:spPr>
                      </pic:pic>
                    </a:graphicData>
                  </a:graphic>
                </wp:inline>
              </w:drawing>
            </w:r>
          </w:p>
          <w:p w14:paraId="715DB791">
            <w:pPr>
              <w:pStyle w:val="25"/>
              <w:numPr>
                <w:ilvl w:val="0"/>
                <w:numId w:val="0"/>
              </w:numPr>
              <w:spacing w:line="36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bCs/>
                <w:color w:val="auto"/>
                <w:sz w:val="21"/>
                <w:szCs w:val="21"/>
                <w:lang w:val="en-US" w:eastAsia="zh-CN"/>
              </w:rPr>
              <w:t>图2-2  HC车灯工艺流程图</w:t>
            </w:r>
          </w:p>
          <w:p w14:paraId="148F67BC">
            <w:pPr>
              <w:pStyle w:val="25"/>
              <w:numPr>
                <w:ilvl w:val="0"/>
                <w:numId w:val="0"/>
              </w:numPr>
              <w:spacing w:line="360" w:lineRule="auto"/>
              <w:ind w:firstLine="48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工艺流程简述：</w:t>
            </w:r>
          </w:p>
          <w:p w14:paraId="43C8E75E">
            <w:pPr>
              <w:pStyle w:val="67"/>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jc w:val="left"/>
              <w:textAlignment w:val="auto"/>
              <w:rPr>
                <w:rFonts w:hint="default" w:ascii="Times New Roman" w:hAnsi="Times New Roman" w:eastAsia="宋体" w:cs="Times New Roman"/>
                <w:color w:val="auto"/>
                <w:spacing w:val="0"/>
                <w:sz w:val="21"/>
                <w:szCs w:val="21"/>
                <w:lang w:val="en-US" w:eastAsia="zh-CN"/>
              </w:rPr>
            </w:pPr>
            <w:r>
              <w:rPr>
                <w:rFonts w:hint="default" w:ascii="Times New Roman" w:hAnsi="Times New Roman" w:cs="Times New Roman"/>
                <w:color w:val="auto"/>
                <w:spacing w:val="0"/>
                <w:sz w:val="21"/>
                <w:szCs w:val="21"/>
              </w:rPr>
              <w:t>（</w:t>
            </w:r>
            <w:r>
              <w:rPr>
                <w:rFonts w:hint="default" w:ascii="Times New Roman" w:hAnsi="Times New Roman" w:eastAsia="Times New Roman" w:cs="Times New Roman"/>
                <w:color w:val="auto"/>
                <w:spacing w:val="0"/>
                <w:sz w:val="21"/>
                <w:szCs w:val="21"/>
              </w:rPr>
              <w:t>1</w:t>
            </w:r>
            <w:r>
              <w:rPr>
                <w:rFonts w:hint="default" w:ascii="Times New Roman" w:hAnsi="Times New Roman" w:cs="Times New Roman"/>
                <w:color w:val="auto"/>
                <w:spacing w:val="0"/>
                <w:sz w:val="21"/>
                <w:szCs w:val="21"/>
              </w:rPr>
              <w:t>）</w:t>
            </w:r>
            <w:r>
              <w:rPr>
                <w:rFonts w:hint="eastAsia" w:ascii="Times New Roman" w:hAnsi="Times New Roman" w:cs="Times New Roman"/>
                <w:color w:val="auto"/>
                <w:spacing w:val="0"/>
                <w:sz w:val="21"/>
                <w:szCs w:val="21"/>
                <w:lang w:val="en-US" w:eastAsia="zh-CN"/>
              </w:rPr>
              <w:t>表面除尘：</w:t>
            </w:r>
            <w:r>
              <w:rPr>
                <w:rFonts w:hint="default" w:ascii="Times New Roman" w:hAnsi="Times New Roman" w:cs="Times New Roman"/>
                <w:color w:val="auto"/>
                <w:spacing w:val="0"/>
                <w:sz w:val="21"/>
                <w:szCs w:val="21"/>
                <w:lang w:val="en-US" w:eastAsia="zh-CN"/>
              </w:rPr>
              <w:t>聚碳酸酯车灯、聚甲基丙烯酸甲酯车灯</w:t>
            </w:r>
            <w:r>
              <w:rPr>
                <w:rFonts w:hint="eastAsia" w:ascii="Times New Roman" w:hAnsi="Times New Roman" w:cs="Times New Roman"/>
                <w:color w:val="auto"/>
                <w:spacing w:val="0"/>
                <w:sz w:val="21"/>
                <w:szCs w:val="21"/>
                <w:lang w:val="en-US" w:eastAsia="zh-CN"/>
              </w:rPr>
              <w:t>进行</w:t>
            </w:r>
            <w:r>
              <w:rPr>
                <w:rFonts w:hint="default" w:ascii="Times New Roman" w:hAnsi="Times New Roman" w:cs="Times New Roman"/>
                <w:color w:val="auto"/>
                <w:spacing w:val="0"/>
                <w:sz w:val="21"/>
                <w:szCs w:val="21"/>
                <w:lang w:val="en-US" w:eastAsia="zh-CN"/>
              </w:rPr>
              <w:t>表面静电除尘</w:t>
            </w:r>
            <w:r>
              <w:rPr>
                <w:rFonts w:hint="eastAsia" w:ascii="Times New Roman" w:hAnsi="Times New Roman" w:cs="Times New Roman"/>
                <w:color w:val="auto"/>
                <w:spacing w:val="0"/>
                <w:sz w:val="21"/>
                <w:szCs w:val="21"/>
                <w:lang w:val="en-US" w:eastAsia="zh-CN"/>
              </w:rPr>
              <w:t>（配套高压发生器的静电气枪在离产品表面100-150mm的距离，采用往复及弧形方式，用静电离子风扫拂产品的所有表面，确保清除产品表面的灰尘垃圾。静电除尘气枪装备安装在机器人手臂上，按产品表面形状设计路径，进行自动静电除尘），该工序产除尘废气G1、噪声N。</w:t>
            </w:r>
          </w:p>
          <w:p w14:paraId="02E7438E">
            <w:pPr>
              <w:pStyle w:val="67"/>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jc w:val="left"/>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eastAsia="zh-CN"/>
              </w:rPr>
              <w:t>（</w:t>
            </w:r>
            <w:r>
              <w:rPr>
                <w:rFonts w:hint="eastAsia" w:ascii="Times New Roman" w:hAnsi="Times New Roman" w:cs="Times New Roman"/>
                <w:color w:val="auto"/>
                <w:spacing w:val="0"/>
                <w:sz w:val="21"/>
                <w:szCs w:val="21"/>
                <w:lang w:val="en-US" w:eastAsia="zh-CN"/>
              </w:rPr>
              <w:t>2</w:t>
            </w:r>
            <w:r>
              <w:rPr>
                <w:rFonts w:hint="eastAsia" w:ascii="Times New Roman" w:hAnsi="Times New Roman" w:cs="Times New Roman"/>
                <w:color w:val="auto"/>
                <w:spacing w:val="0"/>
                <w:sz w:val="21"/>
                <w:szCs w:val="21"/>
                <w:lang w:eastAsia="zh-CN"/>
              </w:rPr>
              <w:t>）</w:t>
            </w:r>
            <w:r>
              <w:rPr>
                <w:rFonts w:hint="default" w:ascii="Times New Roman" w:hAnsi="Times New Roman" w:cs="Times New Roman"/>
                <w:color w:val="auto"/>
                <w:spacing w:val="0"/>
                <w:sz w:val="21"/>
                <w:szCs w:val="21"/>
                <w:lang w:val="en-US" w:eastAsia="zh-CN"/>
              </w:rPr>
              <w:t>涂装</w:t>
            </w:r>
            <w:r>
              <w:rPr>
                <w:rFonts w:hint="default" w:ascii="Times New Roman" w:hAnsi="Times New Roman" w:cs="Times New Roman"/>
                <w:color w:val="auto"/>
                <w:spacing w:val="0"/>
                <w:sz w:val="21"/>
                <w:szCs w:val="21"/>
              </w:rPr>
              <w:t>：</w:t>
            </w:r>
            <w:r>
              <w:rPr>
                <w:rFonts w:hint="eastAsia" w:ascii="Times New Roman" w:hAnsi="Times New Roman" w:cs="Times New Roman"/>
                <w:color w:val="auto"/>
                <w:spacing w:val="0"/>
                <w:sz w:val="21"/>
                <w:szCs w:val="21"/>
                <w:lang w:val="en-US" w:eastAsia="zh-CN"/>
              </w:rPr>
              <w:t>表面除尘</w:t>
            </w:r>
            <w:r>
              <w:rPr>
                <w:rFonts w:hint="default" w:ascii="Times New Roman" w:hAnsi="Times New Roman" w:cs="Times New Roman"/>
                <w:color w:val="auto"/>
                <w:spacing w:val="0"/>
                <w:sz w:val="21"/>
                <w:szCs w:val="21"/>
                <w:lang w:val="en-US" w:eastAsia="zh-CN"/>
              </w:rPr>
              <w:t>后</w:t>
            </w:r>
            <w:r>
              <w:rPr>
                <w:rFonts w:hint="eastAsia" w:ascii="Times New Roman" w:hAnsi="Times New Roman" w:cs="Times New Roman"/>
                <w:color w:val="auto"/>
                <w:spacing w:val="0"/>
                <w:sz w:val="21"/>
                <w:szCs w:val="21"/>
                <w:lang w:val="en-US" w:eastAsia="zh-CN"/>
              </w:rPr>
              <w:t>的车灯</w:t>
            </w:r>
            <w:r>
              <w:rPr>
                <w:rFonts w:hint="default" w:ascii="Times New Roman" w:hAnsi="Times New Roman" w:cs="Times New Roman"/>
                <w:color w:val="auto"/>
                <w:spacing w:val="0"/>
                <w:sz w:val="21"/>
                <w:szCs w:val="21"/>
                <w:lang w:val="en-US" w:eastAsia="zh-CN"/>
              </w:rPr>
              <w:t>，由机器人放到喷涂工装上，转到喷涂工位后，由机器人进行自动喷涂（</w:t>
            </w:r>
            <w:r>
              <w:rPr>
                <w:rFonts w:hint="eastAsia" w:ascii="Times New Roman" w:hAnsi="Times New Roman" w:cs="Times New Roman"/>
                <w:color w:val="auto"/>
                <w:spacing w:val="0"/>
                <w:sz w:val="21"/>
                <w:szCs w:val="21"/>
                <w:lang w:val="en-US" w:eastAsia="zh-CN"/>
              </w:rPr>
              <w:t>设置</w:t>
            </w:r>
            <w:r>
              <w:rPr>
                <w:rFonts w:hint="default" w:ascii="Times New Roman" w:hAnsi="Times New Roman" w:cs="Times New Roman"/>
                <w:color w:val="auto"/>
                <w:spacing w:val="0"/>
                <w:sz w:val="21"/>
                <w:szCs w:val="21"/>
                <w:lang w:val="en-US" w:eastAsia="zh-CN"/>
              </w:rPr>
              <w:t>专用路径程序、喷涂气压、幅度、料量等参数），喷涂完成后转到取件工位，由机器人取出喷涂好的</w:t>
            </w:r>
            <w:r>
              <w:rPr>
                <w:rFonts w:hint="eastAsia" w:ascii="Times New Roman" w:hAnsi="Times New Roman" w:cs="Times New Roman"/>
                <w:color w:val="auto"/>
                <w:spacing w:val="0"/>
                <w:sz w:val="21"/>
                <w:szCs w:val="21"/>
                <w:lang w:val="en-US" w:eastAsia="zh-CN"/>
              </w:rPr>
              <w:t>车灯</w:t>
            </w:r>
            <w:r>
              <w:rPr>
                <w:rFonts w:hint="default" w:ascii="Times New Roman" w:hAnsi="Times New Roman" w:cs="Times New Roman"/>
                <w:color w:val="auto"/>
                <w:spacing w:val="0"/>
                <w:sz w:val="21"/>
                <w:szCs w:val="21"/>
                <w:lang w:val="en-US" w:eastAsia="zh-CN"/>
              </w:rPr>
              <w:t>，放到HC光固化炉进行</w:t>
            </w:r>
            <w:r>
              <w:rPr>
                <w:rFonts w:hint="eastAsia" w:ascii="Times New Roman" w:hAnsi="Times New Roman" w:cs="Times New Roman"/>
                <w:color w:val="auto"/>
                <w:spacing w:val="0"/>
                <w:sz w:val="21"/>
                <w:szCs w:val="21"/>
                <w:lang w:val="en-US" w:eastAsia="zh-CN"/>
              </w:rPr>
              <w:t>光照</w:t>
            </w:r>
            <w:r>
              <w:rPr>
                <w:rFonts w:hint="default" w:ascii="Times New Roman" w:hAnsi="Times New Roman" w:cs="Times New Roman"/>
                <w:color w:val="auto"/>
                <w:spacing w:val="0"/>
                <w:sz w:val="21"/>
                <w:szCs w:val="21"/>
                <w:lang w:val="en-US" w:eastAsia="zh-CN"/>
              </w:rPr>
              <w:t>固化</w:t>
            </w:r>
            <w:r>
              <w:rPr>
                <w:rFonts w:hint="eastAsia" w:ascii="Times New Roman" w:hAnsi="Times New Roman" w:cs="Times New Roman"/>
                <w:color w:val="auto"/>
                <w:spacing w:val="0"/>
                <w:sz w:val="21"/>
                <w:szCs w:val="21"/>
                <w:lang w:val="en-US" w:eastAsia="zh-CN"/>
              </w:rPr>
              <w:t>（光照3~5分钟）</w:t>
            </w:r>
            <w:r>
              <w:rPr>
                <w:rFonts w:hint="default" w:ascii="Times New Roman" w:hAnsi="Times New Roman" w:cs="Times New Roman"/>
                <w:color w:val="auto"/>
                <w:spacing w:val="0"/>
                <w:sz w:val="21"/>
                <w:szCs w:val="21"/>
              </w:rPr>
              <w:t>。</w:t>
            </w:r>
            <w:r>
              <w:rPr>
                <w:rFonts w:hint="default" w:ascii="Times New Roman" w:hAnsi="Times New Roman" w:cs="Times New Roman"/>
                <w:color w:val="auto"/>
                <w:spacing w:val="0"/>
                <w:sz w:val="21"/>
                <w:szCs w:val="21"/>
                <w:lang w:val="en-US" w:eastAsia="zh-CN"/>
              </w:rPr>
              <w:t>此工序产生涂装废气G</w:t>
            </w:r>
            <w:r>
              <w:rPr>
                <w:rFonts w:hint="eastAsia" w:ascii="Times New Roman" w:hAnsi="Times New Roman" w:cs="Times New Roman"/>
                <w:color w:val="auto"/>
                <w:spacing w:val="0"/>
                <w:sz w:val="21"/>
                <w:szCs w:val="21"/>
                <w:lang w:val="en-US" w:eastAsia="zh-CN"/>
              </w:rPr>
              <w:t>2</w:t>
            </w:r>
            <w:r>
              <w:rPr>
                <w:rFonts w:hint="default" w:ascii="Times New Roman" w:hAnsi="Times New Roman" w:cs="Times New Roman"/>
                <w:color w:val="auto"/>
                <w:spacing w:val="0"/>
                <w:sz w:val="21"/>
                <w:szCs w:val="21"/>
                <w:lang w:val="en-US" w:eastAsia="zh-CN"/>
              </w:rPr>
              <w:t>、废包装S1、噪声N。</w:t>
            </w:r>
          </w:p>
          <w:p w14:paraId="64D071C1">
            <w:pPr>
              <w:pStyle w:val="67"/>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jc w:val="left"/>
              <w:textAlignment w:val="auto"/>
              <w:rPr>
                <w:color w:val="auto"/>
                <w:spacing w:val="0"/>
                <w:sz w:val="21"/>
                <w:szCs w:val="21"/>
              </w:rPr>
            </w:pPr>
            <w:r>
              <w:rPr>
                <w:rFonts w:hint="default" w:ascii="Times New Roman" w:hAnsi="Times New Roman" w:cs="Times New Roman"/>
                <w:color w:val="auto"/>
                <w:spacing w:val="0"/>
                <w:sz w:val="21"/>
                <w:szCs w:val="21"/>
              </w:rPr>
              <w:t>（</w:t>
            </w:r>
            <w:r>
              <w:rPr>
                <w:rFonts w:hint="eastAsia" w:ascii="Times New Roman" w:hAnsi="Times New Roman" w:eastAsia="宋体" w:cs="Times New Roman"/>
                <w:color w:val="auto"/>
                <w:spacing w:val="0"/>
                <w:sz w:val="21"/>
                <w:szCs w:val="21"/>
                <w:lang w:val="en-US" w:eastAsia="zh-CN"/>
              </w:rPr>
              <w:t>3</w:t>
            </w:r>
            <w:r>
              <w:rPr>
                <w:rFonts w:hint="default" w:ascii="Times New Roman" w:hAnsi="Times New Roman" w:cs="Times New Roman"/>
                <w:color w:val="auto"/>
                <w:spacing w:val="0"/>
                <w:sz w:val="21"/>
                <w:szCs w:val="21"/>
              </w:rPr>
              <w:t>）</w:t>
            </w:r>
            <w:r>
              <w:rPr>
                <w:rFonts w:hint="default" w:ascii="Times New Roman" w:hAnsi="Times New Roman" w:cs="Times New Roman"/>
                <w:color w:val="auto"/>
                <w:spacing w:val="0"/>
                <w:sz w:val="21"/>
                <w:szCs w:val="21"/>
                <w:lang w:val="en-US" w:eastAsia="zh-CN"/>
              </w:rPr>
              <w:t>检验</w:t>
            </w:r>
            <w:r>
              <w:rPr>
                <w:rFonts w:hint="default" w:ascii="Times New Roman" w:hAnsi="Times New Roman" w:cs="Times New Roman"/>
                <w:color w:val="auto"/>
                <w:spacing w:val="0"/>
                <w:sz w:val="21"/>
                <w:szCs w:val="21"/>
              </w:rPr>
              <w:t>：</w:t>
            </w:r>
            <w:r>
              <w:rPr>
                <w:rFonts w:hint="default" w:ascii="Times New Roman" w:hAnsi="Times New Roman" w:cs="Times New Roman"/>
                <w:color w:val="auto"/>
                <w:spacing w:val="0"/>
                <w:sz w:val="21"/>
                <w:szCs w:val="21"/>
                <w:lang w:val="en-US" w:eastAsia="zh-CN"/>
              </w:rPr>
              <w:t>对涂装完成的车灯进行人工检验</w:t>
            </w:r>
            <w:r>
              <w:rPr>
                <w:rFonts w:hint="default" w:ascii="Times New Roman" w:hAnsi="Times New Roman" w:cs="Times New Roman"/>
                <w:color w:val="auto"/>
                <w:spacing w:val="0"/>
                <w:sz w:val="21"/>
                <w:szCs w:val="21"/>
              </w:rPr>
              <w:t>。此工序产生</w:t>
            </w:r>
            <w:r>
              <w:rPr>
                <w:rFonts w:hint="default" w:ascii="Times New Roman" w:hAnsi="Times New Roman" w:cs="Times New Roman"/>
                <w:color w:val="auto"/>
                <w:spacing w:val="0"/>
                <w:sz w:val="21"/>
                <w:szCs w:val="21"/>
                <w:lang w:val="en-US" w:eastAsia="zh-CN"/>
              </w:rPr>
              <w:t>不合格品S2</w:t>
            </w:r>
            <w:r>
              <w:rPr>
                <w:rFonts w:hint="default" w:ascii="Times New Roman" w:hAnsi="Times New Roman" w:cs="Times New Roman"/>
                <w:color w:val="auto"/>
                <w:spacing w:val="0"/>
                <w:sz w:val="21"/>
                <w:szCs w:val="21"/>
              </w:rPr>
              <w:t>。</w:t>
            </w:r>
          </w:p>
          <w:p w14:paraId="26F9947B">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drawing>
                <wp:inline distT="0" distB="0" distL="114300" distR="114300">
                  <wp:extent cx="3572510" cy="3328035"/>
                  <wp:effectExtent l="0" t="0" r="8890" b="5715"/>
                  <wp:docPr id="1" name="图片 1" descr="冠东防雾车灯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冠东防雾车灯工艺流程"/>
                          <pic:cNvPicPr>
                            <a:picLocks noChangeAspect="1"/>
                          </pic:cNvPicPr>
                        </pic:nvPicPr>
                        <pic:blipFill>
                          <a:blip r:embed="rId12"/>
                          <a:stretch>
                            <a:fillRect/>
                          </a:stretch>
                        </pic:blipFill>
                        <pic:spPr>
                          <a:xfrm>
                            <a:off x="0" y="0"/>
                            <a:ext cx="3572510" cy="3328035"/>
                          </a:xfrm>
                          <a:prstGeom prst="rect">
                            <a:avLst/>
                          </a:prstGeom>
                        </pic:spPr>
                      </pic:pic>
                    </a:graphicData>
                  </a:graphic>
                </wp:inline>
              </w:drawing>
            </w:r>
          </w:p>
          <w:p w14:paraId="7A91ACE7">
            <w:pPr>
              <w:pStyle w:val="25"/>
              <w:numPr>
                <w:ilvl w:val="0"/>
                <w:numId w:val="0"/>
              </w:numPr>
              <w:spacing w:line="36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bCs/>
                <w:color w:val="auto"/>
                <w:sz w:val="21"/>
                <w:szCs w:val="21"/>
                <w:lang w:val="en-US" w:eastAsia="zh-CN"/>
              </w:rPr>
              <w:t xml:space="preserve">图2-2  </w:t>
            </w:r>
            <w:r>
              <w:rPr>
                <w:rFonts w:hint="eastAsia" w:ascii="Times New Roman" w:hAnsi="Times New Roman" w:cs="Times New Roman"/>
                <w:b/>
                <w:bCs/>
                <w:color w:val="auto"/>
                <w:sz w:val="21"/>
                <w:szCs w:val="21"/>
                <w:lang w:val="en-US" w:eastAsia="zh-CN"/>
              </w:rPr>
              <w:t>防雾</w:t>
            </w:r>
            <w:r>
              <w:rPr>
                <w:rFonts w:hint="default" w:ascii="Times New Roman" w:hAnsi="Times New Roman" w:cs="Times New Roman"/>
                <w:b/>
                <w:bCs/>
                <w:color w:val="auto"/>
                <w:sz w:val="21"/>
                <w:szCs w:val="21"/>
                <w:lang w:val="en-US" w:eastAsia="zh-CN"/>
              </w:rPr>
              <w:t>车灯工艺流程图</w:t>
            </w:r>
          </w:p>
          <w:p w14:paraId="3006EC75">
            <w:pPr>
              <w:pStyle w:val="25"/>
              <w:numPr>
                <w:ilvl w:val="0"/>
                <w:numId w:val="0"/>
              </w:numPr>
              <w:spacing w:line="360" w:lineRule="auto"/>
              <w:ind w:firstLine="480"/>
              <w:jc w:val="both"/>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工艺流程简述：</w:t>
            </w:r>
          </w:p>
          <w:p w14:paraId="0ECA98DE">
            <w:pPr>
              <w:pStyle w:val="67"/>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jc w:val="left"/>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eastAsia="zh-CN"/>
              </w:rPr>
              <w:t>（</w:t>
            </w:r>
            <w:r>
              <w:rPr>
                <w:rFonts w:hint="eastAsia" w:ascii="Times New Roman" w:hAnsi="Times New Roman" w:cs="Times New Roman"/>
                <w:color w:val="auto"/>
                <w:spacing w:val="0"/>
                <w:sz w:val="21"/>
                <w:szCs w:val="21"/>
                <w:lang w:val="en-US" w:eastAsia="zh-CN"/>
              </w:rPr>
              <w:t>1</w:t>
            </w:r>
            <w:r>
              <w:rPr>
                <w:rFonts w:hint="eastAsia" w:ascii="Times New Roman" w:hAnsi="Times New Roman" w:cs="Times New Roman"/>
                <w:color w:val="auto"/>
                <w:spacing w:val="0"/>
                <w:sz w:val="21"/>
                <w:szCs w:val="21"/>
                <w:lang w:eastAsia="zh-CN"/>
              </w:rPr>
              <w:t>）</w:t>
            </w:r>
            <w:r>
              <w:rPr>
                <w:rFonts w:hint="eastAsia" w:ascii="Times New Roman" w:hAnsi="Times New Roman" w:cs="Times New Roman"/>
                <w:color w:val="auto"/>
                <w:spacing w:val="0"/>
                <w:sz w:val="21"/>
                <w:szCs w:val="21"/>
                <w:lang w:val="en-US" w:eastAsia="zh-CN"/>
              </w:rPr>
              <w:t>表面除尘：</w:t>
            </w:r>
            <w:r>
              <w:rPr>
                <w:rFonts w:hint="default" w:ascii="Times New Roman" w:hAnsi="Times New Roman" w:cs="Times New Roman"/>
                <w:color w:val="auto"/>
                <w:spacing w:val="0"/>
                <w:sz w:val="21"/>
                <w:szCs w:val="21"/>
                <w:lang w:val="en-US" w:eastAsia="zh-CN"/>
              </w:rPr>
              <w:t>聚碳酸酯车灯、聚甲基丙烯酸甲酯车灯</w:t>
            </w:r>
            <w:r>
              <w:rPr>
                <w:rFonts w:hint="eastAsia" w:ascii="Times New Roman" w:hAnsi="Times New Roman" w:cs="Times New Roman"/>
                <w:color w:val="auto"/>
                <w:spacing w:val="0"/>
                <w:sz w:val="21"/>
                <w:szCs w:val="21"/>
                <w:lang w:val="en-US" w:eastAsia="zh-CN"/>
              </w:rPr>
              <w:t>进行</w:t>
            </w:r>
            <w:r>
              <w:rPr>
                <w:rFonts w:hint="default" w:ascii="Times New Roman" w:hAnsi="Times New Roman" w:cs="Times New Roman"/>
                <w:color w:val="auto"/>
                <w:spacing w:val="0"/>
                <w:sz w:val="21"/>
                <w:szCs w:val="21"/>
                <w:lang w:val="en-US" w:eastAsia="zh-CN"/>
              </w:rPr>
              <w:t>表面静电除尘</w:t>
            </w:r>
            <w:r>
              <w:rPr>
                <w:rFonts w:hint="eastAsia" w:ascii="Times New Roman" w:hAnsi="Times New Roman" w:cs="Times New Roman"/>
                <w:color w:val="auto"/>
                <w:spacing w:val="0"/>
                <w:sz w:val="21"/>
                <w:szCs w:val="21"/>
                <w:lang w:val="en-US" w:eastAsia="zh-CN"/>
              </w:rPr>
              <w:t>（配套高压发生器的静电气枪在离产品表面100-150mm的距离，采用往复及弧形方式，用静电离子风扫拂产品的所有表面，确保清除产品表面的灰尘垃圾。静电除尘气枪装备安装在机器人手臂上，按产品表面形状设计路径，进行自动静电除尘），该工序产生除尘废气G3、噪声N。</w:t>
            </w:r>
          </w:p>
          <w:p w14:paraId="6F4C80A4">
            <w:pPr>
              <w:pStyle w:val="67"/>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jc w:val="left"/>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（2）</w:t>
            </w:r>
            <w:r>
              <w:rPr>
                <w:rFonts w:hint="default" w:ascii="Times New Roman" w:hAnsi="Times New Roman" w:cs="Times New Roman"/>
                <w:color w:val="auto"/>
                <w:spacing w:val="0"/>
                <w:sz w:val="21"/>
                <w:szCs w:val="21"/>
                <w:lang w:val="en-US" w:eastAsia="zh-CN"/>
              </w:rPr>
              <w:t>涂装</w:t>
            </w:r>
            <w:r>
              <w:rPr>
                <w:rFonts w:hint="default" w:ascii="Times New Roman" w:hAnsi="Times New Roman" w:cs="Times New Roman"/>
                <w:color w:val="auto"/>
                <w:spacing w:val="0"/>
                <w:sz w:val="21"/>
                <w:szCs w:val="21"/>
              </w:rPr>
              <w:t>：</w:t>
            </w:r>
            <w:r>
              <w:rPr>
                <w:rFonts w:hint="eastAsia" w:ascii="Times New Roman" w:hAnsi="Times New Roman" w:cs="Times New Roman"/>
                <w:color w:val="auto"/>
                <w:spacing w:val="0"/>
                <w:sz w:val="21"/>
                <w:szCs w:val="21"/>
                <w:lang w:val="en-US" w:eastAsia="zh-CN"/>
              </w:rPr>
              <w:t>表面除尘</w:t>
            </w:r>
            <w:r>
              <w:rPr>
                <w:rFonts w:hint="default" w:ascii="Times New Roman" w:hAnsi="Times New Roman" w:cs="Times New Roman"/>
                <w:color w:val="auto"/>
                <w:spacing w:val="0"/>
                <w:sz w:val="21"/>
                <w:szCs w:val="21"/>
                <w:lang w:val="en-US" w:eastAsia="zh-CN"/>
              </w:rPr>
              <w:t>后</w:t>
            </w:r>
            <w:r>
              <w:rPr>
                <w:rFonts w:hint="eastAsia" w:ascii="Times New Roman" w:hAnsi="Times New Roman" w:cs="Times New Roman"/>
                <w:color w:val="auto"/>
                <w:spacing w:val="0"/>
                <w:sz w:val="21"/>
                <w:szCs w:val="21"/>
                <w:lang w:val="en-US" w:eastAsia="zh-CN"/>
              </w:rPr>
              <w:t>的车灯</w:t>
            </w:r>
            <w:r>
              <w:rPr>
                <w:rFonts w:hint="default" w:ascii="Times New Roman" w:hAnsi="Times New Roman" w:cs="Times New Roman"/>
                <w:color w:val="auto"/>
                <w:spacing w:val="0"/>
                <w:sz w:val="21"/>
                <w:szCs w:val="21"/>
                <w:lang w:val="en-US" w:eastAsia="zh-CN"/>
              </w:rPr>
              <w:t>，由机器人放到喷涂工装上，转到喷涂工位后，由机器人进行自动喷涂（</w:t>
            </w:r>
            <w:r>
              <w:rPr>
                <w:rFonts w:hint="eastAsia" w:ascii="Times New Roman" w:hAnsi="Times New Roman" w:cs="Times New Roman"/>
                <w:color w:val="auto"/>
                <w:spacing w:val="0"/>
                <w:sz w:val="21"/>
                <w:szCs w:val="21"/>
                <w:lang w:val="en-US" w:eastAsia="zh-CN"/>
              </w:rPr>
              <w:t>设置</w:t>
            </w:r>
            <w:r>
              <w:rPr>
                <w:rFonts w:hint="default" w:ascii="Times New Roman" w:hAnsi="Times New Roman" w:cs="Times New Roman"/>
                <w:color w:val="auto"/>
                <w:spacing w:val="0"/>
                <w:sz w:val="21"/>
                <w:szCs w:val="21"/>
                <w:lang w:val="en-US" w:eastAsia="zh-CN"/>
              </w:rPr>
              <w:t>专用路径程序、喷涂气压、幅度、料量等参数），喷涂完成后转到取件工位，由机器人取出喷涂好的</w:t>
            </w:r>
            <w:r>
              <w:rPr>
                <w:rFonts w:hint="eastAsia" w:ascii="Times New Roman" w:hAnsi="Times New Roman" w:cs="Times New Roman"/>
                <w:color w:val="auto"/>
                <w:spacing w:val="0"/>
                <w:sz w:val="21"/>
                <w:szCs w:val="21"/>
                <w:lang w:val="en-US" w:eastAsia="zh-CN"/>
              </w:rPr>
              <w:t>车灯</w:t>
            </w:r>
            <w:r>
              <w:rPr>
                <w:rFonts w:hint="default" w:ascii="Times New Roman" w:hAnsi="Times New Roman" w:cs="Times New Roman"/>
                <w:color w:val="auto"/>
                <w:spacing w:val="0"/>
                <w:sz w:val="21"/>
                <w:szCs w:val="21"/>
                <w:lang w:val="en-US" w:eastAsia="zh-CN"/>
              </w:rPr>
              <w:t>，放到</w:t>
            </w:r>
            <w:r>
              <w:rPr>
                <w:rFonts w:hint="eastAsia" w:ascii="Times New Roman" w:hAnsi="Times New Roman" w:cs="Times New Roman"/>
                <w:color w:val="auto"/>
                <w:spacing w:val="0"/>
                <w:sz w:val="21"/>
                <w:szCs w:val="21"/>
                <w:lang w:val="en-US" w:eastAsia="zh-CN"/>
              </w:rPr>
              <w:t>防雾烘箱</w:t>
            </w:r>
            <w:r>
              <w:rPr>
                <w:rFonts w:hint="eastAsia" w:ascii="Times New Roman" w:hAnsi="Times New Roman" w:cs="Times New Roman"/>
                <w:color w:val="auto"/>
                <w:spacing w:val="0"/>
                <w:sz w:val="21"/>
                <w:szCs w:val="21"/>
                <w:lang w:val="en-US" w:eastAsia="zh-CN"/>
              </w:rPr>
              <w:t>（电加热）</w:t>
            </w:r>
            <w:r>
              <w:rPr>
                <w:rFonts w:hint="default" w:ascii="Times New Roman" w:hAnsi="Times New Roman" w:cs="Times New Roman"/>
                <w:color w:val="auto"/>
                <w:spacing w:val="0"/>
                <w:sz w:val="21"/>
                <w:szCs w:val="21"/>
                <w:lang w:val="en-US" w:eastAsia="zh-CN"/>
              </w:rPr>
              <w:t>进行</w:t>
            </w:r>
            <w:r>
              <w:rPr>
                <w:rFonts w:hint="eastAsia" w:ascii="Times New Roman" w:hAnsi="Times New Roman" w:cs="Times New Roman"/>
                <w:color w:val="auto"/>
                <w:spacing w:val="0"/>
                <w:sz w:val="21"/>
                <w:szCs w:val="21"/>
                <w:lang w:val="en-US" w:eastAsia="zh-CN"/>
              </w:rPr>
              <w:t>加热烘干</w:t>
            </w:r>
            <w:r>
              <w:rPr>
                <w:rFonts w:hint="default" w:ascii="Times New Roman" w:hAnsi="Times New Roman" w:cs="Times New Roman"/>
                <w:color w:val="auto"/>
                <w:spacing w:val="0"/>
                <w:sz w:val="21"/>
                <w:szCs w:val="21"/>
                <w:lang w:val="en-US" w:eastAsia="zh-CN"/>
              </w:rPr>
              <w:t>固化</w:t>
            </w:r>
            <w:r>
              <w:rPr>
                <w:rFonts w:hint="eastAsia" w:ascii="Times New Roman" w:hAnsi="Times New Roman" w:cs="Times New Roman"/>
                <w:color w:val="auto"/>
                <w:spacing w:val="0"/>
                <w:sz w:val="21"/>
                <w:szCs w:val="21"/>
                <w:lang w:val="en-US" w:eastAsia="zh-CN"/>
              </w:rPr>
              <w:t>（温度60℃）</w:t>
            </w:r>
            <w:r>
              <w:rPr>
                <w:rFonts w:hint="default" w:ascii="Times New Roman" w:hAnsi="Times New Roman" w:cs="Times New Roman"/>
                <w:color w:val="auto"/>
                <w:spacing w:val="0"/>
                <w:sz w:val="21"/>
                <w:szCs w:val="21"/>
              </w:rPr>
              <w:t>。</w:t>
            </w:r>
            <w:r>
              <w:rPr>
                <w:rFonts w:hint="default" w:ascii="Times New Roman" w:hAnsi="Times New Roman" w:cs="Times New Roman"/>
                <w:color w:val="auto"/>
                <w:spacing w:val="0"/>
                <w:sz w:val="21"/>
                <w:szCs w:val="21"/>
                <w:lang w:val="en-US" w:eastAsia="zh-CN"/>
              </w:rPr>
              <w:t>此工序产生</w:t>
            </w:r>
            <w:r>
              <w:rPr>
                <w:rFonts w:hint="eastAsia" w:ascii="Times New Roman" w:hAnsi="Times New Roman" w:cs="Times New Roman"/>
                <w:color w:val="auto"/>
                <w:spacing w:val="0"/>
                <w:sz w:val="21"/>
                <w:szCs w:val="21"/>
                <w:lang w:val="en-US" w:eastAsia="zh-CN"/>
              </w:rPr>
              <w:t>除尘废气G3、</w:t>
            </w:r>
            <w:r>
              <w:rPr>
                <w:rFonts w:hint="default" w:ascii="Times New Roman" w:hAnsi="Times New Roman" w:cs="Times New Roman"/>
                <w:color w:val="auto"/>
                <w:spacing w:val="0"/>
                <w:sz w:val="21"/>
                <w:szCs w:val="21"/>
                <w:lang w:val="en-US" w:eastAsia="zh-CN"/>
              </w:rPr>
              <w:t>涂装废气G</w:t>
            </w:r>
            <w:r>
              <w:rPr>
                <w:rFonts w:hint="eastAsia" w:ascii="Times New Roman" w:hAnsi="Times New Roman" w:cs="Times New Roman"/>
                <w:color w:val="auto"/>
                <w:spacing w:val="0"/>
                <w:sz w:val="21"/>
                <w:szCs w:val="21"/>
                <w:lang w:val="en-US" w:eastAsia="zh-CN"/>
              </w:rPr>
              <w:t>4</w:t>
            </w:r>
            <w:r>
              <w:rPr>
                <w:rFonts w:hint="default" w:ascii="Times New Roman" w:hAnsi="Times New Roman" w:cs="Times New Roman"/>
                <w:color w:val="auto"/>
                <w:spacing w:val="0"/>
                <w:sz w:val="21"/>
                <w:szCs w:val="21"/>
                <w:lang w:val="en-US" w:eastAsia="zh-CN"/>
              </w:rPr>
              <w:t>、</w:t>
            </w:r>
            <w:r>
              <w:rPr>
                <w:rFonts w:hint="eastAsia" w:ascii="Times New Roman" w:hAnsi="Times New Roman" w:cs="Times New Roman"/>
                <w:color w:val="auto"/>
                <w:spacing w:val="0"/>
                <w:sz w:val="21"/>
                <w:szCs w:val="21"/>
                <w:lang w:val="en-US" w:eastAsia="zh-CN"/>
              </w:rPr>
              <w:t>废包装S3、</w:t>
            </w:r>
            <w:r>
              <w:rPr>
                <w:rFonts w:hint="default" w:ascii="Times New Roman" w:hAnsi="Times New Roman" w:cs="Times New Roman"/>
                <w:color w:val="auto"/>
                <w:spacing w:val="0"/>
                <w:sz w:val="21"/>
                <w:szCs w:val="21"/>
                <w:lang w:val="en-US" w:eastAsia="zh-CN"/>
              </w:rPr>
              <w:t>噪声N。</w:t>
            </w:r>
          </w:p>
          <w:p w14:paraId="53BAC7E3">
            <w:pPr>
              <w:pStyle w:val="67"/>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jc w:val="left"/>
              <w:textAlignment w:val="auto"/>
              <w:rPr>
                <w:color w:val="auto"/>
                <w:sz w:val="21"/>
                <w:szCs w:val="21"/>
              </w:rPr>
            </w:pPr>
            <w:r>
              <w:rPr>
                <w:rFonts w:hint="default" w:ascii="Times New Roman" w:hAnsi="Times New Roman" w:cs="Times New Roman"/>
                <w:color w:val="auto"/>
                <w:spacing w:val="0"/>
                <w:sz w:val="21"/>
                <w:szCs w:val="21"/>
              </w:rPr>
              <w:t>（</w:t>
            </w:r>
            <w:r>
              <w:rPr>
                <w:rFonts w:hint="eastAsia" w:ascii="Times New Roman" w:hAnsi="Times New Roman" w:cs="Times New Roman"/>
                <w:color w:val="auto"/>
                <w:spacing w:val="0"/>
                <w:sz w:val="21"/>
                <w:szCs w:val="21"/>
                <w:lang w:val="en-US" w:eastAsia="zh-CN"/>
              </w:rPr>
              <w:t>2</w:t>
            </w:r>
            <w:r>
              <w:rPr>
                <w:rFonts w:hint="default" w:ascii="Times New Roman" w:hAnsi="Times New Roman" w:cs="Times New Roman"/>
                <w:color w:val="auto"/>
                <w:spacing w:val="0"/>
                <w:sz w:val="21"/>
                <w:szCs w:val="21"/>
              </w:rPr>
              <w:t>）</w:t>
            </w:r>
            <w:r>
              <w:rPr>
                <w:rFonts w:hint="default" w:ascii="Times New Roman" w:hAnsi="Times New Roman" w:cs="Times New Roman"/>
                <w:color w:val="auto"/>
                <w:spacing w:val="0"/>
                <w:sz w:val="21"/>
                <w:szCs w:val="21"/>
                <w:lang w:val="en-US" w:eastAsia="zh-CN"/>
              </w:rPr>
              <w:t>检验</w:t>
            </w:r>
            <w:r>
              <w:rPr>
                <w:rFonts w:hint="default" w:ascii="Times New Roman" w:hAnsi="Times New Roman" w:cs="Times New Roman"/>
                <w:color w:val="auto"/>
                <w:spacing w:val="0"/>
                <w:sz w:val="21"/>
                <w:szCs w:val="21"/>
              </w:rPr>
              <w:t>：</w:t>
            </w:r>
            <w:r>
              <w:rPr>
                <w:rFonts w:hint="default" w:ascii="Times New Roman" w:hAnsi="Times New Roman" w:cs="Times New Roman"/>
                <w:color w:val="auto"/>
                <w:spacing w:val="0"/>
                <w:sz w:val="21"/>
                <w:szCs w:val="21"/>
                <w:lang w:val="en-US" w:eastAsia="zh-CN"/>
              </w:rPr>
              <w:t>对涂装完成的车灯进行人工检验</w:t>
            </w:r>
            <w:r>
              <w:rPr>
                <w:rFonts w:hint="default" w:ascii="Times New Roman" w:hAnsi="Times New Roman" w:cs="Times New Roman"/>
                <w:color w:val="auto"/>
                <w:spacing w:val="0"/>
                <w:sz w:val="21"/>
                <w:szCs w:val="21"/>
              </w:rPr>
              <w:t>。此工序产生</w:t>
            </w:r>
            <w:r>
              <w:rPr>
                <w:rFonts w:hint="default" w:ascii="Times New Roman" w:hAnsi="Times New Roman" w:cs="Times New Roman"/>
                <w:color w:val="auto"/>
                <w:spacing w:val="0"/>
                <w:sz w:val="21"/>
                <w:szCs w:val="21"/>
                <w:lang w:val="en-US" w:eastAsia="zh-CN"/>
              </w:rPr>
              <w:t>不合格品S</w:t>
            </w:r>
            <w:r>
              <w:rPr>
                <w:rFonts w:hint="eastAsia" w:ascii="Times New Roman" w:hAnsi="Times New Roman" w:cs="Times New Roman"/>
                <w:color w:val="auto"/>
                <w:spacing w:val="0"/>
                <w:sz w:val="21"/>
                <w:szCs w:val="21"/>
                <w:lang w:val="en-US" w:eastAsia="zh-CN"/>
              </w:rPr>
              <w:t>4</w:t>
            </w:r>
            <w:r>
              <w:rPr>
                <w:rFonts w:hint="default" w:ascii="Times New Roman" w:hAnsi="Times New Roman" w:cs="Times New Roman"/>
                <w:color w:val="auto"/>
                <w:spacing w:val="0"/>
                <w:sz w:val="21"/>
                <w:szCs w:val="21"/>
              </w:rPr>
              <w:t>。</w:t>
            </w:r>
          </w:p>
          <w:p w14:paraId="01E18EB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4" w:lineRule="auto"/>
              <w:ind w:left="0" w:right="0" w:firstLine="422" w:firstLineChars="200"/>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其他产污环节简述</w:t>
            </w:r>
          </w:p>
          <w:p w14:paraId="6737D5C7">
            <w:pPr>
              <w:pStyle w:val="4"/>
              <w:numPr>
                <w:ilvl w:val="0"/>
                <w:numId w:val="0"/>
              </w:numPr>
              <w:ind w:firstLine="420" w:firstLineChars="200"/>
              <w:jc w:val="left"/>
              <w:rPr>
                <w:rFonts w:hint="default"/>
                <w:b w:val="0"/>
                <w:bCs/>
                <w:color w:val="auto"/>
                <w:lang w:val="en-US" w:eastAsia="zh-CN"/>
              </w:rPr>
            </w:pPr>
            <w:r>
              <w:rPr>
                <w:rFonts w:hint="eastAsia"/>
                <w:b w:val="0"/>
                <w:bCs/>
                <w:color w:val="auto"/>
                <w:lang w:val="en-US" w:eastAsia="zh-CN"/>
              </w:rPr>
              <w:t>（1）废气收集后经干式漆雾过滤器+二级活性炭吸附处理后会产生废活性炭S5、废过滤棉S8，收集后委托有资质单位处置。</w:t>
            </w:r>
          </w:p>
          <w:p w14:paraId="28C6D276">
            <w:pPr>
              <w:pStyle w:val="4"/>
              <w:numPr>
                <w:ilvl w:val="0"/>
                <w:numId w:val="0"/>
              </w:numPr>
              <w:ind w:firstLine="420" w:firstLineChars="200"/>
              <w:jc w:val="left"/>
              <w:rPr>
                <w:rFonts w:hint="eastAsia"/>
                <w:b w:val="0"/>
                <w:bCs/>
                <w:color w:val="auto"/>
                <w:lang w:val="en-US" w:eastAsia="zh-CN"/>
              </w:rPr>
            </w:pPr>
            <w:r>
              <w:rPr>
                <w:rFonts w:hint="eastAsia"/>
                <w:b w:val="0"/>
                <w:bCs/>
                <w:color w:val="auto"/>
                <w:lang w:val="en-US" w:eastAsia="zh-CN"/>
              </w:rPr>
              <w:t>（2）项目涂装线会不定期使用清洗剂进行清洗，清洗后会产生废清洗剂S6，收集后委托有资质单位处置，清洗剂为有机清洗剂，挥发产生清洗废气G5，经二级活性炭吸附处理后通过15米高排气筒排放。</w:t>
            </w:r>
          </w:p>
          <w:p w14:paraId="10B944BF">
            <w:pPr>
              <w:pStyle w:val="4"/>
              <w:numPr>
                <w:ilvl w:val="0"/>
                <w:numId w:val="0"/>
              </w:numPr>
              <w:ind w:firstLine="420" w:firstLineChars="200"/>
              <w:jc w:val="left"/>
              <w:rPr>
                <w:rFonts w:hint="eastAsia"/>
                <w:b w:val="0"/>
                <w:bCs/>
                <w:color w:val="auto"/>
                <w:lang w:val="en-US" w:eastAsia="zh-CN"/>
              </w:rPr>
            </w:pPr>
            <w:r>
              <w:rPr>
                <w:rFonts w:hint="eastAsia"/>
                <w:b w:val="0"/>
                <w:bCs/>
                <w:color w:val="auto"/>
                <w:lang w:val="en-US" w:eastAsia="zh-CN"/>
              </w:rPr>
              <w:t>（3）项目涂装线会产生漆渣S7，收集后委托有资质单位处置。</w:t>
            </w:r>
          </w:p>
          <w:p w14:paraId="0D0DD3DA">
            <w:pPr>
              <w:pStyle w:val="4"/>
              <w:numPr>
                <w:ilvl w:val="0"/>
                <w:numId w:val="0"/>
              </w:numPr>
              <w:ind w:firstLine="420" w:firstLineChars="200"/>
              <w:jc w:val="left"/>
              <w:rPr>
                <w:rFonts w:hint="default"/>
                <w:b w:val="0"/>
                <w:bCs/>
                <w:color w:val="auto"/>
                <w:lang w:val="en-US" w:eastAsia="zh-CN"/>
              </w:rPr>
            </w:pPr>
            <w:r>
              <w:rPr>
                <w:rFonts w:hint="eastAsia"/>
                <w:b w:val="0"/>
                <w:bCs/>
                <w:color w:val="auto"/>
                <w:lang w:val="en-US" w:eastAsia="zh-CN"/>
              </w:rPr>
              <w:t>（4）项目设备维护会产生废润滑油8，收集后委托有资质单位处置。</w:t>
            </w:r>
          </w:p>
          <w:p w14:paraId="771B274A">
            <w:pPr>
              <w:pStyle w:val="4"/>
              <w:numPr>
                <w:ilvl w:val="0"/>
                <w:numId w:val="0"/>
              </w:numPr>
              <w:ind w:firstLine="420" w:firstLineChars="200"/>
              <w:jc w:val="left"/>
              <w:rPr>
                <w:rFonts w:hint="eastAsia"/>
                <w:b w:val="0"/>
                <w:bCs/>
                <w:color w:val="auto"/>
                <w:lang w:val="en-US" w:eastAsia="zh-CN"/>
              </w:rPr>
            </w:pPr>
            <w:r>
              <w:rPr>
                <w:rFonts w:hint="eastAsia"/>
                <w:b w:val="0"/>
                <w:bCs/>
                <w:color w:val="auto"/>
                <w:lang w:val="en-US" w:eastAsia="zh-CN"/>
              </w:rPr>
              <w:t>（5）项目固化使用紫外灯管更换时会产生废紫外灯管S9，收集后委托有资质单位处置。</w:t>
            </w:r>
          </w:p>
          <w:p w14:paraId="0B24EF3D">
            <w:pPr>
              <w:pStyle w:val="4"/>
              <w:numPr>
                <w:ilvl w:val="0"/>
                <w:numId w:val="0"/>
              </w:numPr>
              <w:ind w:firstLine="420" w:firstLineChars="200"/>
              <w:jc w:val="left"/>
              <w:rPr>
                <w:rFonts w:hint="default"/>
                <w:b w:val="0"/>
                <w:bCs/>
                <w:color w:val="auto"/>
                <w:lang w:val="en-US" w:eastAsia="zh-CN"/>
              </w:rPr>
            </w:pPr>
            <w:r>
              <w:rPr>
                <w:rFonts w:hint="eastAsia"/>
                <w:b w:val="0"/>
                <w:bCs/>
                <w:color w:val="auto"/>
                <w:lang w:val="en-US" w:eastAsia="zh-CN"/>
              </w:rPr>
              <w:t>（6）本项目车间地面仅洒扫，不进行冲洗，因此无地面清洗废水产生。</w:t>
            </w:r>
          </w:p>
          <w:p w14:paraId="783D4FE6">
            <w:pPr>
              <w:jc w:val="center"/>
              <w:rPr>
                <w:rFonts w:hint="default"/>
                <w:b/>
                <w:bCs/>
                <w:color w:val="auto"/>
                <w:sz w:val="21"/>
                <w:szCs w:val="21"/>
              </w:rPr>
            </w:pPr>
            <w:r>
              <w:rPr>
                <w:rFonts w:hint="eastAsia"/>
                <w:b/>
                <w:bCs/>
                <w:color w:val="auto"/>
                <w:lang w:val="en-US" w:eastAsia="zh-CN"/>
              </w:rPr>
              <w:t>表2-10</w:t>
            </w:r>
            <w:r>
              <w:rPr>
                <w:rFonts w:hint="eastAsia"/>
                <w:b/>
                <w:bCs/>
                <w:color w:val="auto"/>
                <w:sz w:val="21"/>
                <w:szCs w:val="21"/>
              </w:rPr>
              <w:t>本项目</w:t>
            </w:r>
            <w:r>
              <w:rPr>
                <w:rFonts w:hint="default"/>
                <w:b/>
                <w:bCs/>
                <w:color w:val="auto"/>
                <w:sz w:val="21"/>
                <w:szCs w:val="21"/>
              </w:rPr>
              <w:t>主要污染因子</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7"/>
              <w:gridCol w:w="1502"/>
              <w:gridCol w:w="1293"/>
              <w:gridCol w:w="2257"/>
              <w:gridCol w:w="2187"/>
            </w:tblGrid>
            <w:tr w14:paraId="6E6843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tblHeader/>
                <w:jc w:val="center"/>
              </w:trPr>
              <w:tc>
                <w:tcPr>
                  <w:tcW w:w="626" w:type="pct"/>
                  <w:tcBorders>
                    <w:tl2br w:val="nil"/>
                    <w:tr2bl w:val="nil"/>
                  </w:tcBorders>
                  <w:noWrap w:val="0"/>
                  <w:vAlign w:val="center"/>
                </w:tcPr>
                <w:p w14:paraId="38F273CB">
                  <w:pPr>
                    <w:keepNext w:val="0"/>
                    <w:keepLines w:val="0"/>
                    <w:suppressLineNumbers w:val="0"/>
                    <w:adjustRightInd w:val="0"/>
                    <w:snapToGrid w:val="0"/>
                    <w:spacing w:before="0" w:beforeAutospacing="0" w:after="0" w:afterAutospacing="0"/>
                    <w:ind w:left="0" w:right="0"/>
                    <w:jc w:val="center"/>
                    <w:rPr>
                      <w:rFonts w:hint="eastAsia" w:hAnsi="宋体"/>
                      <w:b/>
                      <w:bCs/>
                      <w:color w:val="auto"/>
                      <w:kern w:val="0"/>
                      <w:sz w:val="18"/>
                      <w:szCs w:val="18"/>
                    </w:rPr>
                  </w:pPr>
                  <w:r>
                    <w:rPr>
                      <w:rFonts w:hint="default" w:hAnsi="宋体"/>
                      <w:b/>
                      <w:bCs/>
                      <w:color w:val="auto"/>
                      <w:kern w:val="0"/>
                      <w:sz w:val="18"/>
                      <w:szCs w:val="18"/>
                    </w:rPr>
                    <w:t>污染源</w:t>
                  </w:r>
                </w:p>
                <w:p w14:paraId="24ABF9E1">
                  <w:pPr>
                    <w:keepNext w:val="0"/>
                    <w:keepLines w:val="0"/>
                    <w:suppressLineNumbers w:val="0"/>
                    <w:adjustRightInd w:val="0"/>
                    <w:snapToGrid w:val="0"/>
                    <w:spacing w:before="0" w:beforeAutospacing="0" w:after="0" w:afterAutospacing="0"/>
                    <w:ind w:left="0" w:right="0"/>
                    <w:jc w:val="center"/>
                    <w:rPr>
                      <w:rFonts w:hint="default"/>
                      <w:b/>
                      <w:bCs/>
                      <w:color w:val="auto"/>
                      <w:sz w:val="18"/>
                      <w:szCs w:val="18"/>
                    </w:rPr>
                  </w:pPr>
                  <w:r>
                    <w:rPr>
                      <w:rFonts w:hint="default" w:hAnsi="宋体"/>
                      <w:b/>
                      <w:bCs/>
                      <w:color w:val="auto"/>
                      <w:kern w:val="0"/>
                      <w:sz w:val="18"/>
                      <w:szCs w:val="18"/>
                    </w:rPr>
                    <w:t>名称</w:t>
                  </w:r>
                </w:p>
              </w:tc>
              <w:tc>
                <w:tcPr>
                  <w:tcW w:w="907" w:type="pct"/>
                  <w:tcBorders>
                    <w:tl2br w:val="nil"/>
                    <w:tr2bl w:val="nil"/>
                  </w:tcBorders>
                  <w:noWrap w:val="0"/>
                  <w:vAlign w:val="center"/>
                </w:tcPr>
                <w:p w14:paraId="37764D7E">
                  <w:pPr>
                    <w:keepNext w:val="0"/>
                    <w:keepLines w:val="0"/>
                    <w:suppressLineNumbers w:val="0"/>
                    <w:adjustRightInd w:val="0"/>
                    <w:snapToGrid w:val="0"/>
                    <w:spacing w:before="0" w:beforeAutospacing="0" w:after="0" w:afterAutospacing="0"/>
                    <w:ind w:left="0" w:right="0"/>
                    <w:jc w:val="center"/>
                    <w:rPr>
                      <w:rFonts w:hint="default"/>
                      <w:b/>
                      <w:bCs/>
                      <w:color w:val="auto"/>
                      <w:sz w:val="18"/>
                      <w:szCs w:val="18"/>
                    </w:rPr>
                  </w:pPr>
                  <w:r>
                    <w:rPr>
                      <w:rFonts w:hint="default" w:hAnsi="宋体"/>
                      <w:b/>
                      <w:bCs/>
                      <w:color w:val="auto"/>
                      <w:kern w:val="0"/>
                      <w:sz w:val="18"/>
                      <w:szCs w:val="18"/>
                    </w:rPr>
                    <w:t>污染工段</w:t>
                  </w:r>
                </w:p>
              </w:tc>
              <w:tc>
                <w:tcPr>
                  <w:tcW w:w="781" w:type="pct"/>
                  <w:tcBorders>
                    <w:tl2br w:val="nil"/>
                    <w:tr2bl w:val="nil"/>
                  </w:tcBorders>
                  <w:noWrap w:val="0"/>
                  <w:vAlign w:val="center"/>
                </w:tcPr>
                <w:p w14:paraId="2E8D1EE7">
                  <w:pPr>
                    <w:keepNext w:val="0"/>
                    <w:keepLines w:val="0"/>
                    <w:suppressLineNumbers w:val="0"/>
                    <w:adjustRightInd w:val="0"/>
                    <w:snapToGrid w:val="0"/>
                    <w:spacing w:before="0" w:beforeAutospacing="0" w:after="0" w:afterAutospacing="0"/>
                    <w:ind w:left="0" w:right="0"/>
                    <w:jc w:val="center"/>
                    <w:outlineLvl w:val="0"/>
                    <w:rPr>
                      <w:rFonts w:hint="default"/>
                      <w:b/>
                      <w:bCs/>
                      <w:color w:val="auto"/>
                      <w:sz w:val="18"/>
                      <w:szCs w:val="18"/>
                    </w:rPr>
                  </w:pPr>
                  <w:bookmarkStart w:id="5" w:name="_Toc4958"/>
                  <w:bookmarkStart w:id="6" w:name="_Toc61191026"/>
                  <w:r>
                    <w:rPr>
                      <w:rFonts w:hint="default" w:hAnsi="宋体"/>
                      <w:b/>
                      <w:bCs/>
                      <w:color w:val="auto"/>
                      <w:kern w:val="0"/>
                      <w:sz w:val="18"/>
                      <w:szCs w:val="18"/>
                    </w:rPr>
                    <w:t>污染源编号</w:t>
                  </w:r>
                  <w:bookmarkEnd w:id="5"/>
                  <w:bookmarkEnd w:id="6"/>
                </w:p>
              </w:tc>
              <w:tc>
                <w:tcPr>
                  <w:tcW w:w="1362" w:type="pct"/>
                  <w:tcBorders>
                    <w:tl2br w:val="nil"/>
                    <w:tr2bl w:val="nil"/>
                  </w:tcBorders>
                  <w:noWrap w:val="0"/>
                  <w:vAlign w:val="center"/>
                </w:tcPr>
                <w:p w14:paraId="3686F797">
                  <w:pPr>
                    <w:keepNext w:val="0"/>
                    <w:keepLines w:val="0"/>
                    <w:suppressLineNumbers w:val="0"/>
                    <w:adjustRightInd w:val="0"/>
                    <w:snapToGrid w:val="0"/>
                    <w:spacing w:before="0" w:beforeAutospacing="0" w:after="0" w:afterAutospacing="0"/>
                    <w:ind w:left="0" w:right="0"/>
                    <w:jc w:val="center"/>
                    <w:rPr>
                      <w:rFonts w:hint="default"/>
                      <w:b/>
                      <w:bCs/>
                      <w:color w:val="auto"/>
                      <w:sz w:val="18"/>
                      <w:szCs w:val="18"/>
                    </w:rPr>
                  </w:pPr>
                  <w:r>
                    <w:rPr>
                      <w:rFonts w:hint="default" w:hAnsi="宋体"/>
                      <w:b/>
                      <w:bCs/>
                      <w:color w:val="auto"/>
                      <w:kern w:val="0"/>
                      <w:sz w:val="18"/>
                      <w:szCs w:val="18"/>
                    </w:rPr>
                    <w:t>污染物种类</w:t>
                  </w:r>
                </w:p>
              </w:tc>
              <w:tc>
                <w:tcPr>
                  <w:tcW w:w="1321" w:type="pct"/>
                  <w:tcBorders>
                    <w:tl2br w:val="nil"/>
                    <w:tr2bl w:val="nil"/>
                  </w:tcBorders>
                  <w:noWrap w:val="0"/>
                  <w:vAlign w:val="center"/>
                </w:tcPr>
                <w:p w14:paraId="52559035">
                  <w:pPr>
                    <w:keepNext w:val="0"/>
                    <w:keepLines w:val="0"/>
                    <w:suppressLineNumbers w:val="0"/>
                    <w:adjustRightInd w:val="0"/>
                    <w:snapToGrid w:val="0"/>
                    <w:spacing w:before="0" w:beforeAutospacing="0" w:after="0" w:afterAutospacing="0"/>
                    <w:ind w:left="0" w:right="0"/>
                    <w:jc w:val="center"/>
                    <w:rPr>
                      <w:rFonts w:hint="default"/>
                      <w:b/>
                      <w:bCs/>
                      <w:color w:val="auto"/>
                      <w:sz w:val="18"/>
                      <w:szCs w:val="18"/>
                    </w:rPr>
                  </w:pPr>
                  <w:r>
                    <w:rPr>
                      <w:rFonts w:hint="default" w:hAnsi="宋体"/>
                      <w:b/>
                      <w:bCs/>
                      <w:color w:val="auto"/>
                      <w:kern w:val="0"/>
                      <w:sz w:val="18"/>
                      <w:szCs w:val="18"/>
                    </w:rPr>
                    <w:t>治理措施</w:t>
                  </w:r>
                </w:p>
              </w:tc>
            </w:tr>
            <w:tr w14:paraId="5E54B3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626" w:type="pct"/>
                  <w:vMerge w:val="restart"/>
                  <w:tcBorders>
                    <w:tl2br w:val="nil"/>
                    <w:tr2bl w:val="nil"/>
                  </w:tcBorders>
                  <w:noWrap w:val="0"/>
                  <w:vAlign w:val="center"/>
                </w:tcPr>
                <w:p w14:paraId="6A7C33E3">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rPr>
                  </w:pPr>
                  <w:r>
                    <w:rPr>
                      <w:rFonts w:hint="default" w:hAnsi="宋体"/>
                      <w:color w:val="auto"/>
                      <w:kern w:val="0"/>
                      <w:sz w:val="18"/>
                      <w:szCs w:val="18"/>
                    </w:rPr>
                    <w:t>废气</w:t>
                  </w:r>
                </w:p>
              </w:tc>
              <w:tc>
                <w:tcPr>
                  <w:tcW w:w="907" w:type="pct"/>
                  <w:vMerge w:val="restart"/>
                  <w:tcBorders>
                    <w:tl2br w:val="nil"/>
                    <w:tr2bl w:val="nil"/>
                  </w:tcBorders>
                  <w:noWrap w:val="0"/>
                  <w:vAlign w:val="center"/>
                </w:tcPr>
                <w:p w14:paraId="62582118">
                  <w:pPr>
                    <w:keepNext w:val="0"/>
                    <w:keepLines w:val="0"/>
                    <w:suppressLineNumbers w:val="0"/>
                    <w:adjustRightInd w:val="0"/>
                    <w:snapToGrid w:val="0"/>
                    <w:spacing w:before="0" w:beforeAutospacing="0" w:after="0" w:afterAutospacing="0"/>
                    <w:ind w:left="0" w:right="0"/>
                    <w:jc w:val="center"/>
                    <w:rPr>
                      <w:rFonts w:hint="eastAsia" w:eastAsia="宋体"/>
                      <w:color w:val="auto"/>
                      <w:kern w:val="0"/>
                      <w:sz w:val="18"/>
                      <w:szCs w:val="18"/>
                      <w:lang w:eastAsia="zh-CN"/>
                    </w:rPr>
                  </w:pPr>
                  <w:r>
                    <w:rPr>
                      <w:rFonts w:hint="eastAsia"/>
                      <w:color w:val="auto"/>
                      <w:kern w:val="0"/>
                      <w:sz w:val="18"/>
                      <w:szCs w:val="18"/>
                      <w:lang w:val="en-US" w:eastAsia="zh-CN"/>
                    </w:rPr>
                    <w:t>涂装</w:t>
                  </w:r>
                </w:p>
              </w:tc>
              <w:tc>
                <w:tcPr>
                  <w:tcW w:w="781" w:type="pct"/>
                  <w:tcBorders>
                    <w:tl2br w:val="nil"/>
                    <w:tr2bl w:val="nil"/>
                  </w:tcBorders>
                  <w:noWrap w:val="0"/>
                  <w:vAlign w:val="center"/>
                </w:tcPr>
                <w:p w14:paraId="17FD69A7">
                  <w:pPr>
                    <w:keepNext w:val="0"/>
                    <w:keepLines w:val="0"/>
                    <w:suppressLineNumbers w:val="0"/>
                    <w:adjustRightInd w:val="0"/>
                    <w:snapToGrid w:val="0"/>
                    <w:spacing w:before="0" w:beforeAutospacing="0" w:after="0" w:afterAutospacing="0"/>
                    <w:ind w:left="0" w:right="0"/>
                    <w:jc w:val="center"/>
                    <w:outlineLvl w:val="0"/>
                    <w:rPr>
                      <w:rFonts w:hint="default" w:eastAsia="宋体"/>
                      <w:bCs/>
                      <w:color w:val="auto"/>
                      <w:kern w:val="0"/>
                      <w:sz w:val="18"/>
                      <w:szCs w:val="18"/>
                      <w:lang w:val="en-US" w:eastAsia="zh-CN"/>
                    </w:rPr>
                  </w:pPr>
                  <w:bookmarkStart w:id="7" w:name="_Toc16824"/>
                  <w:r>
                    <w:rPr>
                      <w:rFonts w:hint="eastAsia"/>
                      <w:bCs/>
                      <w:color w:val="auto"/>
                      <w:kern w:val="0"/>
                      <w:sz w:val="18"/>
                      <w:szCs w:val="18"/>
                      <w:lang w:val="en-US" w:eastAsia="zh-CN"/>
                    </w:rPr>
                    <w:t>G1、G</w:t>
                  </w:r>
                  <w:bookmarkEnd w:id="7"/>
                  <w:r>
                    <w:rPr>
                      <w:rFonts w:hint="eastAsia"/>
                      <w:bCs/>
                      <w:color w:val="auto"/>
                      <w:kern w:val="0"/>
                      <w:sz w:val="18"/>
                      <w:szCs w:val="18"/>
                      <w:lang w:val="en-US" w:eastAsia="zh-CN"/>
                    </w:rPr>
                    <w:t>3</w:t>
                  </w:r>
                </w:p>
              </w:tc>
              <w:tc>
                <w:tcPr>
                  <w:tcW w:w="1362" w:type="pct"/>
                  <w:tcBorders>
                    <w:tl2br w:val="nil"/>
                    <w:tr2bl w:val="nil"/>
                  </w:tcBorders>
                  <w:noWrap w:val="0"/>
                  <w:vAlign w:val="center"/>
                </w:tcPr>
                <w:p w14:paraId="75E28E44">
                  <w:pPr>
                    <w:keepNext w:val="0"/>
                    <w:keepLines w:val="0"/>
                    <w:suppressLineNumbers w:val="0"/>
                    <w:adjustRightInd w:val="0"/>
                    <w:snapToGrid w:val="0"/>
                    <w:spacing w:before="0" w:beforeAutospacing="0" w:after="0" w:afterAutospacing="0"/>
                    <w:ind w:left="0" w:right="0"/>
                    <w:jc w:val="center"/>
                    <w:rPr>
                      <w:rFonts w:hint="default" w:eastAsia="宋体"/>
                      <w:color w:val="auto"/>
                      <w:kern w:val="0"/>
                      <w:sz w:val="18"/>
                      <w:szCs w:val="18"/>
                      <w:lang w:val="en-US" w:eastAsia="zh-CN"/>
                    </w:rPr>
                  </w:pPr>
                  <w:r>
                    <w:rPr>
                      <w:rFonts w:hint="eastAsia"/>
                      <w:color w:val="auto"/>
                      <w:kern w:val="0"/>
                      <w:sz w:val="18"/>
                      <w:szCs w:val="18"/>
                      <w:lang w:val="en-US" w:eastAsia="zh-CN"/>
                    </w:rPr>
                    <w:t>颗粒物</w:t>
                  </w:r>
                </w:p>
              </w:tc>
              <w:tc>
                <w:tcPr>
                  <w:tcW w:w="1321" w:type="pct"/>
                  <w:tcBorders>
                    <w:tl2br w:val="nil"/>
                    <w:tr2bl w:val="nil"/>
                  </w:tcBorders>
                  <w:noWrap w:val="0"/>
                  <w:vAlign w:val="center"/>
                </w:tcPr>
                <w:p w14:paraId="46EF2CDA">
                  <w:pPr>
                    <w:keepNext w:val="0"/>
                    <w:keepLines w:val="0"/>
                    <w:suppressLineNumbers w:val="0"/>
                    <w:adjustRightInd w:val="0"/>
                    <w:snapToGrid w:val="0"/>
                    <w:spacing w:before="0" w:beforeAutospacing="0" w:after="0" w:afterAutospacing="0"/>
                    <w:ind w:left="0" w:right="0"/>
                    <w:jc w:val="center"/>
                    <w:rPr>
                      <w:rFonts w:hint="default" w:eastAsia="宋体"/>
                      <w:color w:val="auto"/>
                      <w:kern w:val="0"/>
                      <w:sz w:val="18"/>
                      <w:szCs w:val="18"/>
                      <w:lang w:val="en-US" w:eastAsia="zh-CN"/>
                    </w:rPr>
                  </w:pPr>
                  <w:r>
                    <w:rPr>
                      <w:rFonts w:hint="eastAsia"/>
                      <w:color w:val="auto"/>
                      <w:kern w:val="0"/>
                      <w:sz w:val="18"/>
                      <w:szCs w:val="18"/>
                      <w:lang w:val="en-US" w:eastAsia="zh-CN"/>
                    </w:rPr>
                    <w:t>/</w:t>
                  </w:r>
                </w:p>
              </w:tc>
            </w:tr>
            <w:tr w14:paraId="46E6E8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626" w:type="pct"/>
                  <w:vMerge w:val="continue"/>
                  <w:tcBorders>
                    <w:tl2br w:val="nil"/>
                    <w:tr2bl w:val="nil"/>
                  </w:tcBorders>
                  <w:noWrap w:val="0"/>
                  <w:vAlign w:val="center"/>
                </w:tcPr>
                <w:p w14:paraId="734961D7">
                  <w:pPr>
                    <w:keepNext w:val="0"/>
                    <w:keepLines w:val="0"/>
                    <w:suppressLineNumbers w:val="0"/>
                    <w:adjustRightInd w:val="0"/>
                    <w:snapToGrid w:val="0"/>
                    <w:spacing w:before="0" w:beforeAutospacing="0" w:after="0" w:afterAutospacing="0"/>
                    <w:ind w:left="0" w:right="0"/>
                    <w:jc w:val="center"/>
                    <w:rPr>
                      <w:rFonts w:hint="default" w:hAnsi="宋体"/>
                      <w:color w:val="auto"/>
                      <w:kern w:val="0"/>
                      <w:sz w:val="18"/>
                      <w:szCs w:val="18"/>
                    </w:rPr>
                  </w:pPr>
                </w:p>
              </w:tc>
              <w:tc>
                <w:tcPr>
                  <w:tcW w:w="907" w:type="pct"/>
                  <w:vMerge w:val="continue"/>
                  <w:tcBorders>
                    <w:tl2br w:val="nil"/>
                    <w:tr2bl w:val="nil"/>
                  </w:tcBorders>
                  <w:noWrap w:val="0"/>
                  <w:vAlign w:val="center"/>
                </w:tcPr>
                <w:p w14:paraId="38E70DE4">
                  <w:pPr>
                    <w:keepNext w:val="0"/>
                    <w:keepLines w:val="0"/>
                    <w:suppressLineNumbers w:val="0"/>
                    <w:adjustRightInd w:val="0"/>
                    <w:snapToGrid w:val="0"/>
                    <w:spacing w:before="0" w:beforeAutospacing="0" w:after="0" w:afterAutospacing="0"/>
                    <w:ind w:left="0" w:right="0"/>
                    <w:jc w:val="center"/>
                    <w:rPr>
                      <w:rFonts w:hint="eastAsia"/>
                      <w:color w:val="auto"/>
                      <w:kern w:val="0"/>
                      <w:sz w:val="18"/>
                      <w:szCs w:val="18"/>
                      <w:lang w:val="en-US" w:eastAsia="zh-CN"/>
                    </w:rPr>
                  </w:pPr>
                </w:p>
              </w:tc>
              <w:tc>
                <w:tcPr>
                  <w:tcW w:w="781" w:type="pct"/>
                  <w:tcBorders>
                    <w:tl2br w:val="nil"/>
                    <w:tr2bl w:val="nil"/>
                  </w:tcBorders>
                  <w:noWrap w:val="0"/>
                  <w:vAlign w:val="center"/>
                </w:tcPr>
                <w:p w14:paraId="1B1B3E15">
                  <w:pPr>
                    <w:keepNext w:val="0"/>
                    <w:keepLines w:val="0"/>
                    <w:suppressLineNumbers w:val="0"/>
                    <w:adjustRightInd w:val="0"/>
                    <w:snapToGrid w:val="0"/>
                    <w:spacing w:before="0" w:beforeAutospacing="0" w:after="0" w:afterAutospacing="0"/>
                    <w:ind w:left="0" w:right="0"/>
                    <w:jc w:val="center"/>
                    <w:outlineLvl w:val="0"/>
                    <w:rPr>
                      <w:rFonts w:hint="default"/>
                      <w:bCs/>
                      <w:color w:val="auto"/>
                      <w:kern w:val="0"/>
                      <w:sz w:val="18"/>
                      <w:szCs w:val="18"/>
                      <w:lang w:val="en-US" w:eastAsia="zh-CN"/>
                    </w:rPr>
                  </w:pPr>
                  <w:r>
                    <w:rPr>
                      <w:rFonts w:hint="eastAsia"/>
                      <w:bCs/>
                      <w:color w:val="auto"/>
                      <w:kern w:val="0"/>
                      <w:sz w:val="18"/>
                      <w:szCs w:val="18"/>
                      <w:lang w:val="en-US" w:eastAsia="zh-CN"/>
                    </w:rPr>
                    <w:t>G2、G4</w:t>
                  </w:r>
                </w:p>
              </w:tc>
              <w:tc>
                <w:tcPr>
                  <w:tcW w:w="1362" w:type="pct"/>
                  <w:tcBorders>
                    <w:tl2br w:val="nil"/>
                    <w:tr2bl w:val="nil"/>
                  </w:tcBorders>
                  <w:shd w:val="clear" w:color="auto" w:fill="auto"/>
                  <w:noWrap w:val="0"/>
                  <w:vAlign w:val="center"/>
                </w:tcPr>
                <w:p w14:paraId="0FBD109D">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lang w:val="en-US" w:eastAsia="zh-CN" w:bidi="ar-SA"/>
                    </w:rPr>
                  </w:pPr>
                  <w:r>
                    <w:rPr>
                      <w:rFonts w:hint="eastAsia"/>
                      <w:color w:val="auto"/>
                      <w:kern w:val="0"/>
                      <w:sz w:val="18"/>
                      <w:szCs w:val="18"/>
                      <w:lang w:val="en-US" w:eastAsia="zh-CN"/>
                    </w:rPr>
                    <w:t>颗粒物、非甲烷总烃</w:t>
                  </w:r>
                </w:p>
              </w:tc>
              <w:tc>
                <w:tcPr>
                  <w:tcW w:w="1321" w:type="pct"/>
                  <w:vMerge w:val="restart"/>
                  <w:tcBorders>
                    <w:tl2br w:val="nil"/>
                    <w:tr2bl w:val="nil"/>
                  </w:tcBorders>
                  <w:shd w:val="clear" w:color="auto" w:fill="auto"/>
                  <w:noWrap w:val="0"/>
                  <w:vAlign w:val="center"/>
                </w:tcPr>
                <w:p w14:paraId="40E1716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lang w:val="en-US" w:eastAsia="zh-CN" w:bidi="ar-SA"/>
                    </w:rPr>
                  </w:pPr>
                  <w:r>
                    <w:rPr>
                      <w:rFonts w:hint="eastAsia"/>
                      <w:color w:val="auto"/>
                      <w:sz w:val="18"/>
                      <w:szCs w:val="18"/>
                      <w:lang w:val="en-US" w:eastAsia="zh-CN"/>
                    </w:rPr>
                    <w:t>集气管+干式漆雾过滤器+二级活性炭吸附+排气筒</w:t>
                  </w:r>
                </w:p>
              </w:tc>
            </w:tr>
            <w:tr w14:paraId="440DD3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blHeader/>
                <w:jc w:val="center"/>
              </w:trPr>
              <w:tc>
                <w:tcPr>
                  <w:tcW w:w="626" w:type="pct"/>
                  <w:vMerge w:val="continue"/>
                  <w:tcBorders>
                    <w:tl2br w:val="nil"/>
                    <w:tr2bl w:val="nil"/>
                  </w:tcBorders>
                  <w:noWrap w:val="0"/>
                  <w:vAlign w:val="center"/>
                </w:tcPr>
                <w:p w14:paraId="1293409D">
                  <w:pPr>
                    <w:keepNext w:val="0"/>
                    <w:keepLines w:val="0"/>
                    <w:suppressLineNumbers w:val="0"/>
                    <w:adjustRightInd w:val="0"/>
                    <w:snapToGrid w:val="0"/>
                    <w:spacing w:before="0" w:beforeAutospacing="0" w:after="0" w:afterAutospacing="0"/>
                    <w:ind w:left="0" w:right="0"/>
                    <w:jc w:val="center"/>
                    <w:rPr>
                      <w:rFonts w:hint="default" w:hAnsi="宋体"/>
                      <w:color w:val="auto"/>
                      <w:kern w:val="0"/>
                      <w:sz w:val="18"/>
                      <w:szCs w:val="18"/>
                    </w:rPr>
                  </w:pPr>
                </w:p>
              </w:tc>
              <w:tc>
                <w:tcPr>
                  <w:tcW w:w="907" w:type="pct"/>
                  <w:vMerge w:val="continue"/>
                  <w:tcBorders>
                    <w:tl2br w:val="nil"/>
                    <w:tr2bl w:val="nil"/>
                  </w:tcBorders>
                  <w:noWrap w:val="0"/>
                  <w:vAlign w:val="center"/>
                </w:tcPr>
                <w:p w14:paraId="14406783">
                  <w:pPr>
                    <w:keepNext w:val="0"/>
                    <w:keepLines w:val="0"/>
                    <w:suppressLineNumbers w:val="0"/>
                    <w:adjustRightInd w:val="0"/>
                    <w:snapToGrid w:val="0"/>
                    <w:spacing w:before="0" w:beforeAutospacing="0" w:after="0" w:afterAutospacing="0"/>
                    <w:ind w:left="0" w:right="0"/>
                    <w:jc w:val="center"/>
                    <w:rPr>
                      <w:rFonts w:hint="eastAsia"/>
                      <w:color w:val="auto"/>
                      <w:kern w:val="0"/>
                      <w:sz w:val="18"/>
                      <w:szCs w:val="18"/>
                      <w:lang w:val="en-US" w:eastAsia="zh-CN"/>
                    </w:rPr>
                  </w:pPr>
                </w:p>
              </w:tc>
              <w:tc>
                <w:tcPr>
                  <w:tcW w:w="781" w:type="pct"/>
                  <w:tcBorders>
                    <w:tl2br w:val="nil"/>
                    <w:tr2bl w:val="nil"/>
                  </w:tcBorders>
                  <w:noWrap w:val="0"/>
                  <w:vAlign w:val="center"/>
                </w:tcPr>
                <w:p w14:paraId="5CA17726">
                  <w:pPr>
                    <w:keepNext w:val="0"/>
                    <w:keepLines w:val="0"/>
                    <w:suppressLineNumbers w:val="0"/>
                    <w:adjustRightInd w:val="0"/>
                    <w:snapToGrid w:val="0"/>
                    <w:spacing w:before="0" w:beforeAutospacing="0" w:after="0" w:afterAutospacing="0"/>
                    <w:ind w:left="0" w:right="0"/>
                    <w:jc w:val="center"/>
                    <w:outlineLvl w:val="0"/>
                    <w:rPr>
                      <w:rFonts w:hint="default"/>
                      <w:bCs/>
                      <w:color w:val="auto"/>
                      <w:kern w:val="0"/>
                      <w:sz w:val="18"/>
                      <w:szCs w:val="18"/>
                      <w:lang w:val="en-US" w:eastAsia="zh-CN"/>
                    </w:rPr>
                  </w:pPr>
                  <w:r>
                    <w:rPr>
                      <w:rFonts w:hint="eastAsia"/>
                      <w:bCs/>
                      <w:color w:val="auto"/>
                      <w:kern w:val="0"/>
                      <w:sz w:val="18"/>
                      <w:szCs w:val="18"/>
                      <w:lang w:val="en-US" w:eastAsia="zh-CN"/>
                    </w:rPr>
                    <w:t>G5</w:t>
                  </w:r>
                </w:p>
              </w:tc>
              <w:tc>
                <w:tcPr>
                  <w:tcW w:w="1362" w:type="pct"/>
                  <w:tcBorders>
                    <w:tl2br w:val="nil"/>
                    <w:tr2bl w:val="nil"/>
                  </w:tcBorders>
                  <w:shd w:val="clear" w:color="auto" w:fill="auto"/>
                  <w:noWrap w:val="0"/>
                  <w:vAlign w:val="center"/>
                </w:tcPr>
                <w:p w14:paraId="1EC1C63C">
                  <w:pPr>
                    <w:keepNext w:val="0"/>
                    <w:keepLines w:val="0"/>
                    <w:suppressLineNumbers w:val="0"/>
                    <w:adjustRightInd w:val="0"/>
                    <w:snapToGrid w:val="0"/>
                    <w:spacing w:before="0" w:beforeAutospacing="0" w:after="0" w:afterAutospacing="0"/>
                    <w:ind w:left="0" w:leftChars="0" w:right="0" w:rightChars="0"/>
                    <w:jc w:val="center"/>
                    <w:rPr>
                      <w:rFonts w:hint="default"/>
                      <w:color w:val="auto"/>
                      <w:kern w:val="0"/>
                      <w:sz w:val="18"/>
                      <w:szCs w:val="18"/>
                      <w:lang w:val="en-US" w:eastAsia="zh-CN"/>
                    </w:rPr>
                  </w:pPr>
                  <w:r>
                    <w:rPr>
                      <w:rFonts w:hint="eastAsia"/>
                      <w:color w:val="auto"/>
                      <w:kern w:val="0"/>
                      <w:sz w:val="18"/>
                      <w:szCs w:val="18"/>
                      <w:lang w:val="en-US" w:eastAsia="zh-CN"/>
                    </w:rPr>
                    <w:t>非甲烷总烃</w:t>
                  </w:r>
                </w:p>
              </w:tc>
              <w:tc>
                <w:tcPr>
                  <w:tcW w:w="1321" w:type="pct"/>
                  <w:vMerge w:val="continue"/>
                  <w:tcBorders>
                    <w:tl2br w:val="nil"/>
                    <w:tr2bl w:val="nil"/>
                  </w:tcBorders>
                  <w:shd w:val="clear" w:color="auto" w:fill="auto"/>
                  <w:noWrap w:val="0"/>
                  <w:vAlign w:val="center"/>
                </w:tcPr>
                <w:p w14:paraId="76978747">
                  <w:pPr>
                    <w:keepNext w:val="0"/>
                    <w:keepLines w:val="0"/>
                    <w:suppressLineNumbers w:val="0"/>
                    <w:adjustRightInd w:val="0"/>
                    <w:snapToGrid w:val="0"/>
                    <w:spacing w:before="0" w:beforeAutospacing="0" w:after="0" w:afterAutospacing="0"/>
                    <w:ind w:left="0" w:leftChars="0" w:right="0" w:rightChars="0"/>
                    <w:jc w:val="center"/>
                    <w:rPr>
                      <w:rFonts w:hint="eastAsia"/>
                      <w:color w:val="auto"/>
                      <w:sz w:val="18"/>
                      <w:szCs w:val="18"/>
                      <w:lang w:val="en-US" w:eastAsia="zh-CN"/>
                    </w:rPr>
                  </w:pPr>
                </w:p>
              </w:tc>
            </w:tr>
            <w:tr w14:paraId="7EBDE5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tblHeader/>
                <w:jc w:val="center"/>
              </w:trPr>
              <w:tc>
                <w:tcPr>
                  <w:tcW w:w="626" w:type="pct"/>
                  <w:vMerge w:val="restart"/>
                  <w:tcBorders>
                    <w:tl2br w:val="nil"/>
                    <w:tr2bl w:val="nil"/>
                  </w:tcBorders>
                  <w:noWrap w:val="0"/>
                  <w:vAlign w:val="center"/>
                </w:tcPr>
                <w:p w14:paraId="6A65A92C">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rPr>
                  </w:pPr>
                  <w:r>
                    <w:rPr>
                      <w:rFonts w:hint="eastAsia"/>
                      <w:color w:val="auto"/>
                      <w:kern w:val="0"/>
                      <w:sz w:val="18"/>
                      <w:szCs w:val="18"/>
                    </w:rPr>
                    <w:t>固废</w:t>
                  </w:r>
                </w:p>
              </w:tc>
              <w:tc>
                <w:tcPr>
                  <w:tcW w:w="907" w:type="pct"/>
                  <w:tcBorders>
                    <w:tl2br w:val="nil"/>
                    <w:tr2bl w:val="nil"/>
                  </w:tcBorders>
                  <w:noWrap w:val="0"/>
                  <w:vAlign w:val="center"/>
                </w:tcPr>
                <w:p w14:paraId="43AF2119">
                  <w:pPr>
                    <w:keepNext w:val="0"/>
                    <w:keepLines w:val="0"/>
                    <w:suppressLineNumbers w:val="0"/>
                    <w:adjustRightInd w:val="0"/>
                    <w:snapToGrid w:val="0"/>
                    <w:spacing w:before="0" w:beforeAutospacing="0" w:after="0" w:afterAutospacing="0"/>
                    <w:ind w:left="0" w:right="0"/>
                    <w:jc w:val="center"/>
                    <w:rPr>
                      <w:rFonts w:hint="default" w:hAnsi="宋体" w:eastAsia="宋体"/>
                      <w:color w:val="auto"/>
                      <w:kern w:val="0"/>
                      <w:sz w:val="18"/>
                      <w:szCs w:val="18"/>
                      <w:lang w:val="en-US" w:eastAsia="zh-CN"/>
                    </w:rPr>
                  </w:pPr>
                  <w:r>
                    <w:rPr>
                      <w:rFonts w:hint="eastAsia" w:hAnsi="宋体"/>
                      <w:color w:val="auto"/>
                      <w:kern w:val="0"/>
                      <w:sz w:val="18"/>
                      <w:szCs w:val="18"/>
                      <w:lang w:val="en-US" w:eastAsia="zh-CN"/>
                    </w:rPr>
                    <w:t>涂装</w:t>
                  </w:r>
                </w:p>
              </w:tc>
              <w:tc>
                <w:tcPr>
                  <w:tcW w:w="781" w:type="pct"/>
                  <w:tcBorders>
                    <w:tl2br w:val="nil"/>
                    <w:tr2bl w:val="nil"/>
                  </w:tcBorders>
                  <w:noWrap w:val="0"/>
                  <w:vAlign w:val="center"/>
                </w:tcPr>
                <w:p w14:paraId="02EA5146">
                  <w:pPr>
                    <w:keepNext w:val="0"/>
                    <w:keepLines w:val="0"/>
                    <w:suppressLineNumbers w:val="0"/>
                    <w:adjustRightInd w:val="0"/>
                    <w:snapToGrid w:val="0"/>
                    <w:spacing w:before="0" w:beforeAutospacing="0" w:after="0" w:afterAutospacing="0"/>
                    <w:ind w:left="0" w:right="0"/>
                    <w:jc w:val="center"/>
                    <w:outlineLvl w:val="0"/>
                    <w:rPr>
                      <w:rFonts w:hint="default" w:eastAsia="宋体"/>
                      <w:bCs/>
                      <w:color w:val="auto"/>
                      <w:kern w:val="0"/>
                      <w:sz w:val="18"/>
                      <w:szCs w:val="18"/>
                      <w:lang w:val="en-US" w:eastAsia="zh-CN"/>
                    </w:rPr>
                  </w:pPr>
                  <w:bookmarkStart w:id="8" w:name="_Toc15232"/>
                  <w:r>
                    <w:rPr>
                      <w:rFonts w:hint="eastAsia"/>
                      <w:bCs/>
                      <w:color w:val="auto"/>
                      <w:kern w:val="0"/>
                      <w:sz w:val="18"/>
                      <w:szCs w:val="18"/>
                      <w:lang w:val="en-US" w:eastAsia="zh-CN"/>
                    </w:rPr>
                    <w:t>S1、S3</w:t>
                  </w:r>
                  <w:bookmarkEnd w:id="8"/>
                </w:p>
              </w:tc>
              <w:tc>
                <w:tcPr>
                  <w:tcW w:w="1362" w:type="pct"/>
                  <w:tcBorders>
                    <w:tl2br w:val="nil"/>
                    <w:tr2bl w:val="nil"/>
                  </w:tcBorders>
                  <w:noWrap w:val="0"/>
                  <w:vAlign w:val="center"/>
                </w:tcPr>
                <w:p w14:paraId="55C2B9E0">
                  <w:pPr>
                    <w:keepNext w:val="0"/>
                    <w:keepLines w:val="0"/>
                    <w:suppressLineNumbers w:val="0"/>
                    <w:adjustRightInd w:val="0"/>
                    <w:snapToGrid w:val="0"/>
                    <w:spacing w:before="0" w:beforeAutospacing="0" w:after="0" w:afterAutospacing="0"/>
                    <w:ind w:left="0" w:right="0"/>
                    <w:jc w:val="center"/>
                    <w:rPr>
                      <w:rFonts w:hint="eastAsia" w:hAnsi="宋体" w:eastAsia="宋体"/>
                      <w:color w:val="auto"/>
                      <w:kern w:val="0"/>
                      <w:sz w:val="18"/>
                      <w:szCs w:val="18"/>
                      <w:lang w:eastAsia="zh-CN"/>
                    </w:rPr>
                  </w:pPr>
                  <w:r>
                    <w:rPr>
                      <w:rFonts w:hint="eastAsia" w:hAnsi="宋体"/>
                      <w:color w:val="auto"/>
                      <w:kern w:val="0"/>
                      <w:sz w:val="18"/>
                      <w:szCs w:val="18"/>
                      <w:lang w:val="en-US" w:eastAsia="zh-CN"/>
                    </w:rPr>
                    <w:t>废包装</w:t>
                  </w:r>
                </w:p>
              </w:tc>
              <w:tc>
                <w:tcPr>
                  <w:tcW w:w="1321" w:type="pct"/>
                  <w:tcBorders>
                    <w:tl2br w:val="nil"/>
                    <w:tr2bl w:val="nil"/>
                  </w:tcBorders>
                  <w:noWrap w:val="0"/>
                  <w:vAlign w:val="center"/>
                </w:tcPr>
                <w:p w14:paraId="6F9E59ED">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rPr>
                  </w:pPr>
                  <w:r>
                    <w:rPr>
                      <w:rFonts w:hint="eastAsia"/>
                      <w:color w:val="auto"/>
                      <w:kern w:val="0"/>
                      <w:sz w:val="18"/>
                      <w:szCs w:val="18"/>
                    </w:rPr>
                    <w:t>有资质单位处置</w:t>
                  </w:r>
                </w:p>
              </w:tc>
            </w:tr>
            <w:tr w14:paraId="5E8978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tblHeader/>
                <w:jc w:val="center"/>
              </w:trPr>
              <w:tc>
                <w:tcPr>
                  <w:tcW w:w="626" w:type="pct"/>
                  <w:vMerge w:val="continue"/>
                  <w:tcBorders>
                    <w:tl2br w:val="nil"/>
                    <w:tr2bl w:val="nil"/>
                  </w:tcBorders>
                  <w:noWrap w:val="0"/>
                  <w:vAlign w:val="center"/>
                </w:tcPr>
                <w:p w14:paraId="5636CB0C">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rPr>
                  </w:pPr>
                </w:p>
              </w:tc>
              <w:tc>
                <w:tcPr>
                  <w:tcW w:w="907" w:type="pct"/>
                  <w:tcBorders>
                    <w:tl2br w:val="nil"/>
                    <w:tr2bl w:val="nil"/>
                  </w:tcBorders>
                  <w:noWrap w:val="0"/>
                  <w:vAlign w:val="center"/>
                </w:tcPr>
                <w:p w14:paraId="74D4C77D">
                  <w:pPr>
                    <w:keepNext w:val="0"/>
                    <w:keepLines w:val="0"/>
                    <w:suppressLineNumbers w:val="0"/>
                    <w:adjustRightInd w:val="0"/>
                    <w:snapToGrid w:val="0"/>
                    <w:spacing w:before="0" w:beforeAutospacing="0" w:after="0" w:afterAutospacing="0"/>
                    <w:ind w:left="0" w:right="0"/>
                    <w:jc w:val="center"/>
                    <w:rPr>
                      <w:rFonts w:hint="eastAsia" w:hAnsi="宋体"/>
                      <w:color w:val="auto"/>
                      <w:kern w:val="0"/>
                      <w:sz w:val="18"/>
                      <w:szCs w:val="18"/>
                      <w:lang w:eastAsia="zh-CN"/>
                    </w:rPr>
                  </w:pPr>
                  <w:r>
                    <w:rPr>
                      <w:rFonts w:hint="eastAsia" w:hAnsi="宋体"/>
                      <w:color w:val="auto"/>
                      <w:kern w:val="0"/>
                      <w:sz w:val="18"/>
                      <w:szCs w:val="18"/>
                      <w:lang w:val="en-US" w:eastAsia="zh-CN"/>
                    </w:rPr>
                    <w:t>检验</w:t>
                  </w:r>
                </w:p>
              </w:tc>
              <w:tc>
                <w:tcPr>
                  <w:tcW w:w="781" w:type="pct"/>
                  <w:tcBorders>
                    <w:tl2br w:val="nil"/>
                    <w:tr2bl w:val="nil"/>
                  </w:tcBorders>
                  <w:noWrap w:val="0"/>
                  <w:vAlign w:val="center"/>
                </w:tcPr>
                <w:p w14:paraId="3ED0256C">
                  <w:pPr>
                    <w:keepNext w:val="0"/>
                    <w:keepLines w:val="0"/>
                    <w:suppressLineNumbers w:val="0"/>
                    <w:adjustRightInd w:val="0"/>
                    <w:snapToGrid w:val="0"/>
                    <w:spacing w:before="0" w:beforeAutospacing="0" w:after="0" w:afterAutospacing="0"/>
                    <w:ind w:left="0" w:right="0"/>
                    <w:jc w:val="center"/>
                    <w:outlineLvl w:val="0"/>
                    <w:rPr>
                      <w:rFonts w:hint="default"/>
                      <w:bCs/>
                      <w:color w:val="auto"/>
                      <w:kern w:val="0"/>
                      <w:sz w:val="18"/>
                      <w:szCs w:val="18"/>
                      <w:lang w:val="en-US" w:eastAsia="zh-CN"/>
                    </w:rPr>
                  </w:pPr>
                  <w:bookmarkStart w:id="9" w:name="_Toc3096"/>
                  <w:r>
                    <w:rPr>
                      <w:rFonts w:hint="eastAsia"/>
                      <w:bCs/>
                      <w:color w:val="auto"/>
                      <w:kern w:val="0"/>
                      <w:sz w:val="18"/>
                      <w:szCs w:val="18"/>
                      <w:lang w:val="en-US" w:eastAsia="zh-CN"/>
                    </w:rPr>
                    <w:t>S2、S4</w:t>
                  </w:r>
                  <w:bookmarkEnd w:id="9"/>
                </w:p>
              </w:tc>
              <w:tc>
                <w:tcPr>
                  <w:tcW w:w="1362" w:type="pct"/>
                  <w:tcBorders>
                    <w:tl2br w:val="nil"/>
                    <w:tr2bl w:val="nil"/>
                  </w:tcBorders>
                  <w:noWrap w:val="0"/>
                  <w:vAlign w:val="center"/>
                </w:tcPr>
                <w:p w14:paraId="1B1E8AB9">
                  <w:pPr>
                    <w:keepNext w:val="0"/>
                    <w:keepLines w:val="0"/>
                    <w:suppressLineNumbers w:val="0"/>
                    <w:adjustRightInd w:val="0"/>
                    <w:snapToGrid w:val="0"/>
                    <w:spacing w:before="0" w:beforeAutospacing="0" w:after="0" w:afterAutospacing="0"/>
                    <w:ind w:left="0" w:right="0"/>
                    <w:jc w:val="center"/>
                    <w:rPr>
                      <w:rFonts w:hint="eastAsia" w:hAnsi="宋体"/>
                      <w:color w:val="auto"/>
                      <w:kern w:val="0"/>
                      <w:sz w:val="18"/>
                      <w:szCs w:val="18"/>
                      <w:lang w:eastAsia="zh-CN"/>
                    </w:rPr>
                  </w:pPr>
                  <w:r>
                    <w:rPr>
                      <w:rFonts w:hint="eastAsia" w:hAnsi="宋体"/>
                      <w:color w:val="auto"/>
                      <w:kern w:val="0"/>
                      <w:sz w:val="18"/>
                      <w:szCs w:val="18"/>
                      <w:lang w:val="en-US" w:eastAsia="zh-CN"/>
                    </w:rPr>
                    <w:t>不合格品</w:t>
                  </w:r>
                </w:p>
              </w:tc>
              <w:tc>
                <w:tcPr>
                  <w:tcW w:w="1321" w:type="pct"/>
                  <w:tcBorders>
                    <w:tl2br w:val="nil"/>
                    <w:tr2bl w:val="nil"/>
                  </w:tcBorders>
                  <w:noWrap w:val="0"/>
                  <w:vAlign w:val="center"/>
                </w:tcPr>
                <w:p w14:paraId="21ADEA96">
                  <w:pPr>
                    <w:keepNext w:val="0"/>
                    <w:keepLines w:val="0"/>
                    <w:suppressLineNumbers w:val="0"/>
                    <w:adjustRightInd w:val="0"/>
                    <w:snapToGrid w:val="0"/>
                    <w:spacing w:before="0" w:beforeAutospacing="0" w:after="0" w:afterAutospacing="0"/>
                    <w:ind w:left="0" w:right="0"/>
                    <w:jc w:val="center"/>
                    <w:rPr>
                      <w:rFonts w:hint="eastAsia" w:eastAsia="宋体"/>
                      <w:color w:val="auto"/>
                      <w:kern w:val="0"/>
                      <w:sz w:val="18"/>
                      <w:szCs w:val="18"/>
                      <w:lang w:eastAsia="zh-CN"/>
                    </w:rPr>
                  </w:pPr>
                  <w:r>
                    <w:rPr>
                      <w:rFonts w:hint="eastAsia"/>
                      <w:color w:val="auto"/>
                      <w:kern w:val="0"/>
                      <w:sz w:val="18"/>
                      <w:szCs w:val="18"/>
                      <w:lang w:eastAsia="zh-CN"/>
                    </w:rPr>
                    <w:t>回收出售</w:t>
                  </w:r>
                </w:p>
              </w:tc>
            </w:tr>
            <w:tr w14:paraId="3C5EFF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tblHeader/>
                <w:jc w:val="center"/>
              </w:trPr>
              <w:tc>
                <w:tcPr>
                  <w:tcW w:w="626" w:type="pct"/>
                  <w:vMerge w:val="continue"/>
                  <w:tcBorders>
                    <w:tl2br w:val="nil"/>
                    <w:tr2bl w:val="nil"/>
                  </w:tcBorders>
                  <w:noWrap w:val="0"/>
                  <w:vAlign w:val="center"/>
                </w:tcPr>
                <w:p w14:paraId="74FE2BC5">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rPr>
                  </w:pPr>
                </w:p>
              </w:tc>
              <w:tc>
                <w:tcPr>
                  <w:tcW w:w="907" w:type="pct"/>
                  <w:vMerge w:val="restart"/>
                  <w:tcBorders>
                    <w:tl2br w:val="nil"/>
                    <w:tr2bl w:val="nil"/>
                  </w:tcBorders>
                  <w:noWrap w:val="0"/>
                  <w:vAlign w:val="center"/>
                </w:tcPr>
                <w:p w14:paraId="036FDE17">
                  <w:pPr>
                    <w:keepNext w:val="0"/>
                    <w:keepLines w:val="0"/>
                    <w:suppressLineNumbers w:val="0"/>
                    <w:adjustRightInd w:val="0"/>
                    <w:snapToGrid w:val="0"/>
                    <w:spacing w:before="0" w:beforeAutospacing="0" w:after="0" w:afterAutospacing="0"/>
                    <w:ind w:left="0" w:leftChars="0" w:right="0" w:rightChars="0"/>
                    <w:jc w:val="center"/>
                    <w:rPr>
                      <w:rFonts w:hint="default" w:hAnsi="宋体"/>
                      <w:color w:val="auto"/>
                      <w:kern w:val="0"/>
                      <w:sz w:val="18"/>
                      <w:szCs w:val="18"/>
                      <w:lang w:val="en-US" w:eastAsia="zh-CN"/>
                    </w:rPr>
                  </w:pPr>
                  <w:r>
                    <w:rPr>
                      <w:rFonts w:hint="eastAsia" w:hAnsi="宋体"/>
                      <w:color w:val="auto"/>
                      <w:kern w:val="0"/>
                      <w:sz w:val="18"/>
                      <w:szCs w:val="18"/>
                      <w:lang w:val="en-US" w:eastAsia="zh-CN"/>
                    </w:rPr>
                    <w:t>废气处理</w:t>
                  </w:r>
                </w:p>
              </w:tc>
              <w:tc>
                <w:tcPr>
                  <w:tcW w:w="781" w:type="pct"/>
                  <w:tcBorders>
                    <w:tl2br w:val="nil"/>
                    <w:tr2bl w:val="nil"/>
                  </w:tcBorders>
                  <w:noWrap w:val="0"/>
                  <w:vAlign w:val="top"/>
                </w:tcPr>
                <w:p w14:paraId="00B47A2F">
                  <w:pPr>
                    <w:keepNext w:val="0"/>
                    <w:keepLines w:val="0"/>
                    <w:suppressLineNumbers w:val="0"/>
                    <w:adjustRightInd w:val="0"/>
                    <w:snapToGrid w:val="0"/>
                    <w:spacing w:before="0" w:beforeAutospacing="0" w:after="0" w:afterAutospacing="0"/>
                    <w:ind w:left="0" w:leftChars="0" w:right="0" w:rightChars="0"/>
                    <w:jc w:val="center"/>
                    <w:rPr>
                      <w:rFonts w:hint="default"/>
                      <w:bCs/>
                      <w:color w:val="auto"/>
                      <w:kern w:val="0"/>
                      <w:sz w:val="18"/>
                      <w:szCs w:val="18"/>
                      <w:lang w:val="en-US" w:eastAsia="zh-CN"/>
                    </w:rPr>
                  </w:pPr>
                  <w:r>
                    <w:rPr>
                      <w:rFonts w:hint="eastAsia"/>
                      <w:color w:val="auto"/>
                      <w:sz w:val="18"/>
                      <w:szCs w:val="18"/>
                      <w:lang w:val="en-US" w:eastAsia="zh-CN"/>
                    </w:rPr>
                    <w:t>S5</w:t>
                  </w:r>
                </w:p>
              </w:tc>
              <w:tc>
                <w:tcPr>
                  <w:tcW w:w="1362" w:type="pct"/>
                  <w:tcBorders>
                    <w:tl2br w:val="nil"/>
                    <w:tr2bl w:val="nil"/>
                  </w:tcBorders>
                  <w:noWrap w:val="0"/>
                  <w:vAlign w:val="center"/>
                </w:tcPr>
                <w:p w14:paraId="4B8B4337">
                  <w:pPr>
                    <w:keepNext w:val="0"/>
                    <w:keepLines w:val="0"/>
                    <w:suppressLineNumbers w:val="0"/>
                    <w:adjustRightInd w:val="0"/>
                    <w:snapToGrid w:val="0"/>
                    <w:spacing w:before="0" w:beforeAutospacing="0" w:after="0" w:afterAutospacing="0"/>
                    <w:ind w:left="0" w:leftChars="0" w:right="0" w:rightChars="0"/>
                    <w:jc w:val="center"/>
                    <w:rPr>
                      <w:rFonts w:hint="eastAsia" w:hAnsi="宋体"/>
                      <w:color w:val="auto"/>
                      <w:kern w:val="0"/>
                      <w:sz w:val="18"/>
                      <w:szCs w:val="18"/>
                      <w:lang w:val="en-US" w:eastAsia="zh-CN"/>
                    </w:rPr>
                  </w:pPr>
                  <w:r>
                    <w:rPr>
                      <w:rFonts w:hint="eastAsia" w:hAnsi="宋体"/>
                      <w:color w:val="auto"/>
                      <w:kern w:val="0"/>
                      <w:sz w:val="18"/>
                      <w:szCs w:val="18"/>
                      <w:lang w:val="en-US" w:eastAsia="zh-CN"/>
                    </w:rPr>
                    <w:t>废活性炭</w:t>
                  </w:r>
                </w:p>
              </w:tc>
              <w:tc>
                <w:tcPr>
                  <w:tcW w:w="1321" w:type="pct"/>
                  <w:tcBorders>
                    <w:tl2br w:val="nil"/>
                    <w:tr2bl w:val="nil"/>
                  </w:tcBorders>
                  <w:noWrap w:val="0"/>
                  <w:vAlign w:val="center"/>
                </w:tcPr>
                <w:p w14:paraId="5BCD2642">
                  <w:pPr>
                    <w:keepNext w:val="0"/>
                    <w:keepLines w:val="0"/>
                    <w:suppressLineNumbers w:val="0"/>
                    <w:adjustRightInd w:val="0"/>
                    <w:snapToGrid w:val="0"/>
                    <w:spacing w:before="0" w:beforeAutospacing="0" w:after="0" w:afterAutospacing="0"/>
                    <w:ind w:left="0" w:leftChars="0" w:right="0" w:rightChars="0"/>
                    <w:jc w:val="center"/>
                    <w:rPr>
                      <w:rFonts w:hint="eastAsia"/>
                      <w:color w:val="auto"/>
                      <w:kern w:val="0"/>
                      <w:sz w:val="18"/>
                      <w:szCs w:val="18"/>
                      <w:lang w:eastAsia="zh-CN"/>
                    </w:rPr>
                  </w:pPr>
                  <w:r>
                    <w:rPr>
                      <w:rFonts w:hint="eastAsia"/>
                      <w:color w:val="auto"/>
                      <w:kern w:val="0"/>
                      <w:sz w:val="18"/>
                      <w:szCs w:val="18"/>
                      <w:lang w:val="en-US" w:eastAsia="zh-CN"/>
                    </w:rPr>
                    <w:t>有资质单位处置</w:t>
                  </w:r>
                </w:p>
              </w:tc>
            </w:tr>
            <w:tr w14:paraId="30110F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tblHeader/>
                <w:jc w:val="center"/>
              </w:trPr>
              <w:tc>
                <w:tcPr>
                  <w:tcW w:w="626" w:type="pct"/>
                  <w:vMerge w:val="continue"/>
                  <w:tcBorders>
                    <w:tl2br w:val="nil"/>
                    <w:tr2bl w:val="nil"/>
                  </w:tcBorders>
                  <w:noWrap w:val="0"/>
                  <w:vAlign w:val="center"/>
                </w:tcPr>
                <w:p w14:paraId="0D88FF3F">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rPr>
                  </w:pPr>
                </w:p>
              </w:tc>
              <w:tc>
                <w:tcPr>
                  <w:tcW w:w="907" w:type="pct"/>
                  <w:vMerge w:val="continue"/>
                  <w:tcBorders>
                    <w:tl2br w:val="nil"/>
                    <w:tr2bl w:val="nil"/>
                  </w:tcBorders>
                  <w:noWrap w:val="0"/>
                  <w:vAlign w:val="center"/>
                </w:tcPr>
                <w:p w14:paraId="3EEBE9C0">
                  <w:pPr>
                    <w:keepNext w:val="0"/>
                    <w:keepLines w:val="0"/>
                    <w:suppressLineNumbers w:val="0"/>
                    <w:adjustRightInd w:val="0"/>
                    <w:snapToGrid w:val="0"/>
                    <w:spacing w:before="0" w:beforeAutospacing="0" w:after="0" w:afterAutospacing="0"/>
                    <w:ind w:left="0" w:leftChars="0" w:right="0" w:rightChars="0"/>
                    <w:jc w:val="center"/>
                    <w:rPr>
                      <w:rFonts w:hint="eastAsia" w:hAnsi="宋体"/>
                      <w:color w:val="auto"/>
                      <w:kern w:val="0"/>
                      <w:sz w:val="18"/>
                      <w:szCs w:val="18"/>
                      <w:lang w:val="en-US" w:eastAsia="zh-CN"/>
                    </w:rPr>
                  </w:pPr>
                </w:p>
              </w:tc>
              <w:tc>
                <w:tcPr>
                  <w:tcW w:w="781" w:type="pct"/>
                  <w:tcBorders>
                    <w:tl2br w:val="nil"/>
                    <w:tr2bl w:val="nil"/>
                  </w:tcBorders>
                  <w:noWrap w:val="0"/>
                  <w:vAlign w:val="top"/>
                </w:tcPr>
                <w:p w14:paraId="78AF7AD8">
                  <w:pPr>
                    <w:keepNext w:val="0"/>
                    <w:keepLines w:val="0"/>
                    <w:suppressLineNumbers w:val="0"/>
                    <w:adjustRightInd w:val="0"/>
                    <w:snapToGrid w:val="0"/>
                    <w:spacing w:before="0" w:beforeAutospacing="0" w:after="0" w:afterAutospacing="0"/>
                    <w:ind w:left="0" w:leftChars="0" w:right="0" w:rightChars="0"/>
                    <w:jc w:val="center"/>
                    <w:rPr>
                      <w:rFonts w:hint="default"/>
                      <w:color w:val="auto"/>
                      <w:sz w:val="18"/>
                      <w:szCs w:val="18"/>
                      <w:lang w:val="en-US" w:eastAsia="zh-CN"/>
                    </w:rPr>
                  </w:pPr>
                  <w:r>
                    <w:rPr>
                      <w:rFonts w:hint="eastAsia"/>
                      <w:color w:val="auto"/>
                      <w:sz w:val="18"/>
                      <w:szCs w:val="18"/>
                      <w:lang w:val="en-US" w:eastAsia="zh-CN"/>
                    </w:rPr>
                    <w:t>S8</w:t>
                  </w:r>
                </w:p>
              </w:tc>
              <w:tc>
                <w:tcPr>
                  <w:tcW w:w="1362" w:type="pct"/>
                  <w:tcBorders>
                    <w:tl2br w:val="nil"/>
                    <w:tr2bl w:val="nil"/>
                  </w:tcBorders>
                  <w:noWrap w:val="0"/>
                  <w:vAlign w:val="center"/>
                </w:tcPr>
                <w:p w14:paraId="624E9219">
                  <w:pPr>
                    <w:keepNext w:val="0"/>
                    <w:keepLines w:val="0"/>
                    <w:suppressLineNumbers w:val="0"/>
                    <w:adjustRightInd w:val="0"/>
                    <w:snapToGrid w:val="0"/>
                    <w:spacing w:before="0" w:beforeAutospacing="0" w:after="0" w:afterAutospacing="0"/>
                    <w:ind w:left="0" w:leftChars="0" w:right="0" w:rightChars="0"/>
                    <w:jc w:val="center"/>
                    <w:rPr>
                      <w:rFonts w:hint="default" w:hAnsi="宋体"/>
                      <w:color w:val="auto"/>
                      <w:kern w:val="0"/>
                      <w:sz w:val="18"/>
                      <w:szCs w:val="18"/>
                      <w:lang w:val="en-US" w:eastAsia="zh-CN"/>
                    </w:rPr>
                  </w:pPr>
                  <w:r>
                    <w:rPr>
                      <w:rFonts w:hint="eastAsia" w:hAnsi="宋体"/>
                      <w:color w:val="auto"/>
                      <w:kern w:val="0"/>
                      <w:sz w:val="18"/>
                      <w:szCs w:val="18"/>
                      <w:lang w:val="en-US" w:eastAsia="zh-CN"/>
                    </w:rPr>
                    <w:t>废过滤棉</w:t>
                  </w:r>
                </w:p>
              </w:tc>
              <w:tc>
                <w:tcPr>
                  <w:tcW w:w="1321" w:type="pct"/>
                  <w:tcBorders>
                    <w:tl2br w:val="nil"/>
                    <w:tr2bl w:val="nil"/>
                  </w:tcBorders>
                  <w:noWrap w:val="0"/>
                  <w:vAlign w:val="center"/>
                </w:tcPr>
                <w:p w14:paraId="249C795B">
                  <w:pPr>
                    <w:keepNext w:val="0"/>
                    <w:keepLines w:val="0"/>
                    <w:suppressLineNumbers w:val="0"/>
                    <w:adjustRightInd w:val="0"/>
                    <w:snapToGrid w:val="0"/>
                    <w:spacing w:before="0" w:beforeAutospacing="0" w:after="0" w:afterAutospacing="0"/>
                    <w:ind w:left="0" w:leftChars="0" w:right="0" w:rightChars="0"/>
                    <w:jc w:val="center"/>
                    <w:rPr>
                      <w:rFonts w:hint="eastAsia"/>
                      <w:color w:val="auto"/>
                      <w:kern w:val="0"/>
                      <w:sz w:val="18"/>
                      <w:szCs w:val="18"/>
                      <w:lang w:val="en-US" w:eastAsia="zh-CN"/>
                    </w:rPr>
                  </w:pPr>
                  <w:r>
                    <w:rPr>
                      <w:rFonts w:hint="eastAsia"/>
                      <w:color w:val="auto"/>
                      <w:kern w:val="0"/>
                      <w:sz w:val="18"/>
                      <w:szCs w:val="18"/>
                      <w:lang w:val="en-US" w:eastAsia="zh-CN"/>
                    </w:rPr>
                    <w:t>有资质单位处置</w:t>
                  </w:r>
                </w:p>
              </w:tc>
            </w:tr>
            <w:tr w14:paraId="50A6AE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blHeader/>
                <w:jc w:val="center"/>
              </w:trPr>
              <w:tc>
                <w:tcPr>
                  <w:tcW w:w="626" w:type="pct"/>
                  <w:vMerge w:val="continue"/>
                  <w:tcBorders>
                    <w:tl2br w:val="nil"/>
                    <w:tr2bl w:val="nil"/>
                  </w:tcBorders>
                  <w:noWrap w:val="0"/>
                  <w:vAlign w:val="center"/>
                </w:tcPr>
                <w:p w14:paraId="1A257E8E">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rPr>
                  </w:pPr>
                </w:p>
              </w:tc>
              <w:tc>
                <w:tcPr>
                  <w:tcW w:w="907" w:type="pct"/>
                  <w:tcBorders>
                    <w:tl2br w:val="nil"/>
                    <w:tr2bl w:val="nil"/>
                  </w:tcBorders>
                  <w:shd w:val="clear" w:color="auto" w:fill="auto"/>
                  <w:noWrap w:val="0"/>
                  <w:vAlign w:val="center"/>
                </w:tcPr>
                <w:p w14:paraId="67C4307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宋体" w:eastAsia="宋体" w:cs="Times New Roman"/>
                      <w:color w:val="auto"/>
                      <w:kern w:val="0"/>
                      <w:sz w:val="18"/>
                      <w:szCs w:val="18"/>
                      <w:lang w:val="en-US" w:eastAsia="zh-CN" w:bidi="ar-SA"/>
                    </w:rPr>
                  </w:pPr>
                  <w:r>
                    <w:rPr>
                      <w:rFonts w:hint="eastAsia" w:hAnsi="宋体"/>
                      <w:color w:val="auto"/>
                      <w:kern w:val="0"/>
                      <w:sz w:val="18"/>
                      <w:szCs w:val="18"/>
                      <w:lang w:val="en-US" w:eastAsia="zh-CN"/>
                    </w:rPr>
                    <w:t>清洗</w:t>
                  </w:r>
                </w:p>
              </w:tc>
              <w:tc>
                <w:tcPr>
                  <w:tcW w:w="781" w:type="pct"/>
                  <w:tcBorders>
                    <w:tl2br w:val="nil"/>
                    <w:tr2bl w:val="nil"/>
                  </w:tcBorders>
                  <w:shd w:val="clear" w:color="auto" w:fill="auto"/>
                  <w:noWrap w:val="0"/>
                  <w:vAlign w:val="center"/>
                </w:tcPr>
                <w:p w14:paraId="05F57109">
                  <w:pPr>
                    <w:keepNext w:val="0"/>
                    <w:keepLines w:val="0"/>
                    <w:suppressLineNumbers w:val="0"/>
                    <w:adjustRightInd w:val="0"/>
                    <w:snapToGrid w:val="0"/>
                    <w:spacing w:before="0" w:beforeAutospacing="0" w:after="0" w:afterAutospacing="0"/>
                    <w:ind w:left="0" w:leftChars="0" w:right="0" w:rightChars="0"/>
                    <w:jc w:val="center"/>
                    <w:outlineLvl w:val="0"/>
                    <w:rPr>
                      <w:rFonts w:hint="default" w:ascii="Times New Roman" w:hAnsi="Times New Roman" w:eastAsia="宋体" w:cs="Times New Roman"/>
                      <w:bCs/>
                      <w:color w:val="auto"/>
                      <w:kern w:val="0"/>
                      <w:sz w:val="18"/>
                      <w:szCs w:val="18"/>
                      <w:lang w:val="en-US" w:eastAsia="zh-CN" w:bidi="ar-SA"/>
                    </w:rPr>
                  </w:pPr>
                  <w:bookmarkStart w:id="10" w:name="_Toc7846"/>
                  <w:r>
                    <w:rPr>
                      <w:rFonts w:hint="eastAsia"/>
                      <w:bCs/>
                      <w:color w:val="auto"/>
                      <w:kern w:val="0"/>
                      <w:sz w:val="18"/>
                      <w:szCs w:val="18"/>
                      <w:lang w:val="en-US" w:eastAsia="zh-CN"/>
                    </w:rPr>
                    <w:t>S6</w:t>
                  </w:r>
                  <w:bookmarkEnd w:id="10"/>
                </w:p>
              </w:tc>
              <w:tc>
                <w:tcPr>
                  <w:tcW w:w="1362" w:type="pct"/>
                  <w:tcBorders>
                    <w:tl2br w:val="nil"/>
                    <w:tr2bl w:val="nil"/>
                  </w:tcBorders>
                  <w:shd w:val="clear" w:color="auto" w:fill="auto"/>
                  <w:noWrap w:val="0"/>
                  <w:vAlign w:val="center"/>
                </w:tcPr>
                <w:p w14:paraId="213CC2C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宋体" w:eastAsia="宋体" w:cs="Times New Roman"/>
                      <w:color w:val="auto"/>
                      <w:kern w:val="0"/>
                      <w:sz w:val="18"/>
                      <w:szCs w:val="18"/>
                      <w:lang w:val="en-US" w:eastAsia="zh-CN" w:bidi="ar-SA"/>
                    </w:rPr>
                  </w:pPr>
                  <w:r>
                    <w:rPr>
                      <w:rFonts w:hint="eastAsia" w:hAnsi="宋体" w:cs="Times New Roman"/>
                      <w:color w:val="auto"/>
                      <w:kern w:val="0"/>
                      <w:sz w:val="18"/>
                      <w:szCs w:val="18"/>
                      <w:lang w:val="en-US" w:eastAsia="zh-CN" w:bidi="ar-SA"/>
                    </w:rPr>
                    <w:t>废清洗剂</w:t>
                  </w:r>
                </w:p>
              </w:tc>
              <w:tc>
                <w:tcPr>
                  <w:tcW w:w="1321" w:type="pct"/>
                  <w:tcBorders>
                    <w:tl2br w:val="nil"/>
                    <w:tr2bl w:val="nil"/>
                  </w:tcBorders>
                  <w:shd w:val="clear" w:color="auto" w:fill="auto"/>
                  <w:noWrap w:val="0"/>
                  <w:vAlign w:val="center"/>
                </w:tcPr>
                <w:p w14:paraId="1F54356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SA"/>
                    </w:rPr>
                  </w:pPr>
                  <w:r>
                    <w:rPr>
                      <w:rFonts w:hint="eastAsia"/>
                      <w:color w:val="auto"/>
                      <w:kern w:val="0"/>
                      <w:sz w:val="18"/>
                      <w:szCs w:val="18"/>
                      <w:lang w:val="en-US" w:eastAsia="zh-CN"/>
                    </w:rPr>
                    <w:t>有资质单位处置</w:t>
                  </w:r>
                </w:p>
              </w:tc>
            </w:tr>
            <w:tr w14:paraId="0FF9A9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blHeader/>
                <w:jc w:val="center"/>
              </w:trPr>
              <w:tc>
                <w:tcPr>
                  <w:tcW w:w="626" w:type="pct"/>
                  <w:vMerge w:val="continue"/>
                  <w:tcBorders>
                    <w:tl2br w:val="nil"/>
                    <w:tr2bl w:val="nil"/>
                  </w:tcBorders>
                  <w:noWrap w:val="0"/>
                  <w:vAlign w:val="center"/>
                </w:tcPr>
                <w:p w14:paraId="13456712">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rPr>
                  </w:pPr>
                </w:p>
              </w:tc>
              <w:tc>
                <w:tcPr>
                  <w:tcW w:w="907" w:type="pct"/>
                  <w:tcBorders>
                    <w:tl2br w:val="nil"/>
                    <w:tr2bl w:val="nil"/>
                  </w:tcBorders>
                  <w:shd w:val="clear" w:color="auto" w:fill="auto"/>
                  <w:noWrap w:val="0"/>
                  <w:vAlign w:val="center"/>
                </w:tcPr>
                <w:p w14:paraId="1D3EBD7C">
                  <w:pPr>
                    <w:keepNext w:val="0"/>
                    <w:keepLines w:val="0"/>
                    <w:suppressLineNumbers w:val="0"/>
                    <w:adjustRightInd w:val="0"/>
                    <w:snapToGrid w:val="0"/>
                    <w:spacing w:before="0" w:beforeAutospacing="0" w:after="0" w:afterAutospacing="0"/>
                    <w:ind w:left="0" w:leftChars="0" w:right="0" w:rightChars="0"/>
                    <w:jc w:val="center"/>
                    <w:rPr>
                      <w:rFonts w:hint="default" w:hAnsi="宋体"/>
                      <w:color w:val="auto"/>
                      <w:kern w:val="0"/>
                      <w:sz w:val="18"/>
                      <w:szCs w:val="18"/>
                      <w:lang w:val="en-US" w:eastAsia="zh-CN"/>
                    </w:rPr>
                  </w:pPr>
                  <w:r>
                    <w:rPr>
                      <w:rFonts w:hint="eastAsia" w:hAnsi="宋体"/>
                      <w:color w:val="auto"/>
                      <w:kern w:val="0"/>
                      <w:sz w:val="18"/>
                      <w:szCs w:val="18"/>
                      <w:lang w:val="en-US" w:eastAsia="zh-CN"/>
                    </w:rPr>
                    <w:t>涂装</w:t>
                  </w:r>
                </w:p>
              </w:tc>
              <w:tc>
                <w:tcPr>
                  <w:tcW w:w="781" w:type="pct"/>
                  <w:tcBorders>
                    <w:tl2br w:val="nil"/>
                    <w:tr2bl w:val="nil"/>
                  </w:tcBorders>
                  <w:shd w:val="clear" w:color="auto" w:fill="auto"/>
                  <w:noWrap w:val="0"/>
                  <w:vAlign w:val="center"/>
                </w:tcPr>
                <w:p w14:paraId="049B04DB">
                  <w:pPr>
                    <w:keepNext w:val="0"/>
                    <w:keepLines w:val="0"/>
                    <w:suppressLineNumbers w:val="0"/>
                    <w:adjustRightInd w:val="0"/>
                    <w:snapToGrid w:val="0"/>
                    <w:spacing w:before="0" w:beforeAutospacing="0" w:after="0" w:afterAutospacing="0"/>
                    <w:ind w:left="0" w:leftChars="0" w:right="0" w:rightChars="0"/>
                    <w:jc w:val="center"/>
                    <w:outlineLvl w:val="0"/>
                    <w:rPr>
                      <w:rFonts w:hint="default"/>
                      <w:bCs/>
                      <w:color w:val="auto"/>
                      <w:kern w:val="0"/>
                      <w:sz w:val="18"/>
                      <w:szCs w:val="18"/>
                      <w:lang w:val="en-US" w:eastAsia="zh-CN"/>
                    </w:rPr>
                  </w:pPr>
                  <w:bookmarkStart w:id="11" w:name="_Toc1392"/>
                  <w:r>
                    <w:rPr>
                      <w:rFonts w:hint="eastAsia"/>
                      <w:bCs/>
                      <w:color w:val="auto"/>
                      <w:kern w:val="0"/>
                      <w:sz w:val="18"/>
                      <w:szCs w:val="18"/>
                      <w:lang w:val="en-US" w:eastAsia="zh-CN"/>
                    </w:rPr>
                    <w:t>S7</w:t>
                  </w:r>
                  <w:bookmarkEnd w:id="11"/>
                </w:p>
              </w:tc>
              <w:tc>
                <w:tcPr>
                  <w:tcW w:w="1362" w:type="pct"/>
                  <w:tcBorders>
                    <w:tl2br w:val="nil"/>
                    <w:tr2bl w:val="nil"/>
                  </w:tcBorders>
                  <w:shd w:val="clear" w:color="auto" w:fill="auto"/>
                  <w:noWrap w:val="0"/>
                  <w:vAlign w:val="center"/>
                </w:tcPr>
                <w:p w14:paraId="7F0C3AB9">
                  <w:pPr>
                    <w:keepNext w:val="0"/>
                    <w:keepLines w:val="0"/>
                    <w:suppressLineNumbers w:val="0"/>
                    <w:adjustRightInd w:val="0"/>
                    <w:snapToGrid w:val="0"/>
                    <w:spacing w:before="0" w:beforeAutospacing="0" w:after="0" w:afterAutospacing="0"/>
                    <w:ind w:left="0" w:leftChars="0" w:right="0" w:rightChars="0"/>
                    <w:jc w:val="center"/>
                    <w:rPr>
                      <w:rFonts w:hint="default" w:hAnsi="宋体" w:cs="Times New Roman"/>
                      <w:color w:val="auto"/>
                      <w:kern w:val="0"/>
                      <w:sz w:val="18"/>
                      <w:szCs w:val="18"/>
                      <w:lang w:val="en-US" w:eastAsia="zh-CN" w:bidi="ar-SA"/>
                    </w:rPr>
                  </w:pPr>
                  <w:r>
                    <w:rPr>
                      <w:rFonts w:hint="eastAsia" w:hAnsi="宋体" w:cs="Times New Roman"/>
                      <w:color w:val="auto"/>
                      <w:kern w:val="0"/>
                      <w:sz w:val="18"/>
                      <w:szCs w:val="18"/>
                      <w:lang w:val="en-US" w:eastAsia="zh-CN" w:bidi="ar-SA"/>
                    </w:rPr>
                    <w:t>漆渣</w:t>
                  </w:r>
                </w:p>
              </w:tc>
              <w:tc>
                <w:tcPr>
                  <w:tcW w:w="1321" w:type="pct"/>
                  <w:tcBorders>
                    <w:tl2br w:val="nil"/>
                    <w:tr2bl w:val="nil"/>
                  </w:tcBorders>
                  <w:shd w:val="clear" w:color="auto" w:fill="auto"/>
                  <w:noWrap w:val="0"/>
                  <w:vAlign w:val="center"/>
                </w:tcPr>
                <w:p w14:paraId="729CDC51">
                  <w:pPr>
                    <w:keepNext w:val="0"/>
                    <w:keepLines w:val="0"/>
                    <w:suppressLineNumbers w:val="0"/>
                    <w:adjustRightInd w:val="0"/>
                    <w:snapToGrid w:val="0"/>
                    <w:spacing w:before="0" w:beforeAutospacing="0" w:after="0" w:afterAutospacing="0"/>
                    <w:ind w:left="0" w:leftChars="0" w:right="0" w:rightChars="0"/>
                    <w:jc w:val="center"/>
                    <w:rPr>
                      <w:rFonts w:hint="eastAsia"/>
                      <w:color w:val="auto"/>
                      <w:kern w:val="0"/>
                      <w:sz w:val="18"/>
                      <w:szCs w:val="18"/>
                      <w:lang w:val="en-US" w:eastAsia="zh-CN"/>
                    </w:rPr>
                  </w:pPr>
                  <w:r>
                    <w:rPr>
                      <w:rFonts w:hint="eastAsia"/>
                      <w:color w:val="auto"/>
                      <w:kern w:val="0"/>
                      <w:sz w:val="18"/>
                      <w:szCs w:val="18"/>
                      <w:lang w:val="en-US" w:eastAsia="zh-CN"/>
                    </w:rPr>
                    <w:t>有资质单位处置</w:t>
                  </w:r>
                </w:p>
              </w:tc>
            </w:tr>
            <w:tr w14:paraId="1C530D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blHeader/>
                <w:jc w:val="center"/>
              </w:trPr>
              <w:tc>
                <w:tcPr>
                  <w:tcW w:w="626" w:type="pct"/>
                  <w:vMerge w:val="continue"/>
                  <w:tcBorders>
                    <w:tl2br w:val="nil"/>
                    <w:tr2bl w:val="nil"/>
                  </w:tcBorders>
                  <w:noWrap w:val="0"/>
                  <w:vAlign w:val="center"/>
                </w:tcPr>
                <w:p w14:paraId="25505EEB">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rPr>
                  </w:pPr>
                </w:p>
              </w:tc>
              <w:tc>
                <w:tcPr>
                  <w:tcW w:w="907" w:type="pct"/>
                  <w:tcBorders>
                    <w:tl2br w:val="nil"/>
                    <w:tr2bl w:val="nil"/>
                  </w:tcBorders>
                  <w:shd w:val="clear" w:color="auto" w:fill="auto"/>
                  <w:noWrap w:val="0"/>
                  <w:vAlign w:val="center"/>
                </w:tcPr>
                <w:p w14:paraId="5C7BC114">
                  <w:pPr>
                    <w:keepNext w:val="0"/>
                    <w:keepLines w:val="0"/>
                    <w:suppressLineNumbers w:val="0"/>
                    <w:adjustRightInd w:val="0"/>
                    <w:snapToGrid w:val="0"/>
                    <w:spacing w:before="0" w:beforeAutospacing="0" w:after="0" w:afterAutospacing="0"/>
                    <w:ind w:left="0" w:leftChars="0" w:right="0" w:rightChars="0"/>
                    <w:jc w:val="center"/>
                    <w:rPr>
                      <w:rFonts w:hint="default" w:hAnsi="宋体"/>
                      <w:color w:val="auto"/>
                      <w:kern w:val="0"/>
                      <w:sz w:val="18"/>
                      <w:szCs w:val="18"/>
                      <w:lang w:val="en-US" w:eastAsia="zh-CN"/>
                    </w:rPr>
                  </w:pPr>
                  <w:r>
                    <w:rPr>
                      <w:rFonts w:hint="eastAsia" w:hAnsi="宋体"/>
                      <w:color w:val="auto"/>
                      <w:kern w:val="0"/>
                      <w:sz w:val="18"/>
                      <w:szCs w:val="18"/>
                      <w:lang w:val="en-US" w:eastAsia="zh-CN"/>
                    </w:rPr>
                    <w:t>设备维护</w:t>
                  </w:r>
                </w:p>
              </w:tc>
              <w:tc>
                <w:tcPr>
                  <w:tcW w:w="781" w:type="pct"/>
                  <w:tcBorders>
                    <w:tl2br w:val="nil"/>
                    <w:tr2bl w:val="nil"/>
                  </w:tcBorders>
                  <w:shd w:val="clear" w:color="auto" w:fill="auto"/>
                  <w:noWrap w:val="0"/>
                  <w:vAlign w:val="center"/>
                </w:tcPr>
                <w:p w14:paraId="346A03CD">
                  <w:pPr>
                    <w:keepNext w:val="0"/>
                    <w:keepLines w:val="0"/>
                    <w:suppressLineNumbers w:val="0"/>
                    <w:adjustRightInd w:val="0"/>
                    <w:snapToGrid w:val="0"/>
                    <w:spacing w:before="0" w:beforeAutospacing="0" w:after="0" w:afterAutospacing="0"/>
                    <w:ind w:left="0" w:leftChars="0" w:right="0" w:rightChars="0"/>
                    <w:jc w:val="center"/>
                    <w:outlineLvl w:val="0"/>
                    <w:rPr>
                      <w:rFonts w:hint="default"/>
                      <w:bCs/>
                      <w:color w:val="auto"/>
                      <w:kern w:val="0"/>
                      <w:sz w:val="18"/>
                      <w:szCs w:val="18"/>
                      <w:lang w:val="en-US" w:eastAsia="zh-CN"/>
                    </w:rPr>
                  </w:pPr>
                  <w:r>
                    <w:rPr>
                      <w:rFonts w:hint="eastAsia"/>
                      <w:bCs/>
                      <w:color w:val="auto"/>
                      <w:kern w:val="0"/>
                      <w:sz w:val="18"/>
                      <w:szCs w:val="18"/>
                      <w:lang w:val="en-US" w:eastAsia="zh-CN"/>
                    </w:rPr>
                    <w:t>S8</w:t>
                  </w:r>
                </w:p>
              </w:tc>
              <w:tc>
                <w:tcPr>
                  <w:tcW w:w="1362" w:type="pct"/>
                  <w:tcBorders>
                    <w:tl2br w:val="nil"/>
                    <w:tr2bl w:val="nil"/>
                  </w:tcBorders>
                  <w:shd w:val="clear" w:color="auto" w:fill="auto"/>
                  <w:noWrap w:val="0"/>
                  <w:vAlign w:val="center"/>
                </w:tcPr>
                <w:p w14:paraId="636EA58F">
                  <w:pPr>
                    <w:keepNext w:val="0"/>
                    <w:keepLines w:val="0"/>
                    <w:suppressLineNumbers w:val="0"/>
                    <w:adjustRightInd w:val="0"/>
                    <w:snapToGrid w:val="0"/>
                    <w:spacing w:before="0" w:beforeAutospacing="0" w:after="0" w:afterAutospacing="0"/>
                    <w:ind w:left="0" w:leftChars="0" w:right="0" w:rightChars="0"/>
                    <w:jc w:val="center"/>
                    <w:rPr>
                      <w:rFonts w:hint="default" w:hAnsi="宋体" w:cs="Times New Roman"/>
                      <w:color w:val="auto"/>
                      <w:kern w:val="0"/>
                      <w:sz w:val="18"/>
                      <w:szCs w:val="18"/>
                      <w:lang w:val="en-US" w:eastAsia="zh-CN" w:bidi="ar-SA"/>
                    </w:rPr>
                  </w:pPr>
                  <w:r>
                    <w:rPr>
                      <w:rFonts w:hint="eastAsia" w:hAnsi="宋体" w:cs="Times New Roman"/>
                      <w:color w:val="auto"/>
                      <w:kern w:val="0"/>
                      <w:sz w:val="18"/>
                      <w:szCs w:val="18"/>
                      <w:lang w:val="en-US" w:eastAsia="zh-CN" w:bidi="ar-SA"/>
                    </w:rPr>
                    <w:t>废润滑油</w:t>
                  </w:r>
                </w:p>
              </w:tc>
              <w:tc>
                <w:tcPr>
                  <w:tcW w:w="1321" w:type="pct"/>
                  <w:tcBorders>
                    <w:tl2br w:val="nil"/>
                    <w:tr2bl w:val="nil"/>
                  </w:tcBorders>
                  <w:shd w:val="clear" w:color="auto" w:fill="auto"/>
                  <w:noWrap w:val="0"/>
                  <w:vAlign w:val="center"/>
                </w:tcPr>
                <w:p w14:paraId="23330DDE">
                  <w:pPr>
                    <w:keepNext w:val="0"/>
                    <w:keepLines w:val="0"/>
                    <w:suppressLineNumbers w:val="0"/>
                    <w:adjustRightInd w:val="0"/>
                    <w:snapToGrid w:val="0"/>
                    <w:spacing w:before="0" w:beforeAutospacing="0" w:after="0" w:afterAutospacing="0"/>
                    <w:ind w:left="0" w:leftChars="0" w:right="0" w:rightChars="0"/>
                    <w:jc w:val="center"/>
                    <w:rPr>
                      <w:rFonts w:hint="eastAsia"/>
                      <w:color w:val="auto"/>
                      <w:kern w:val="0"/>
                      <w:sz w:val="18"/>
                      <w:szCs w:val="18"/>
                      <w:lang w:val="en-US" w:eastAsia="zh-CN"/>
                    </w:rPr>
                  </w:pPr>
                  <w:r>
                    <w:rPr>
                      <w:rFonts w:hint="eastAsia"/>
                      <w:color w:val="auto"/>
                      <w:kern w:val="0"/>
                      <w:sz w:val="18"/>
                      <w:szCs w:val="18"/>
                      <w:lang w:val="en-US" w:eastAsia="zh-CN"/>
                    </w:rPr>
                    <w:t>有资质单位处置</w:t>
                  </w:r>
                </w:p>
              </w:tc>
            </w:tr>
            <w:tr w14:paraId="77D370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blHeader/>
                <w:jc w:val="center"/>
              </w:trPr>
              <w:tc>
                <w:tcPr>
                  <w:tcW w:w="626" w:type="pct"/>
                  <w:vMerge w:val="continue"/>
                  <w:tcBorders>
                    <w:tl2br w:val="nil"/>
                    <w:tr2bl w:val="nil"/>
                  </w:tcBorders>
                  <w:noWrap w:val="0"/>
                  <w:vAlign w:val="center"/>
                </w:tcPr>
                <w:p w14:paraId="1802E722">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rPr>
                  </w:pPr>
                </w:p>
              </w:tc>
              <w:tc>
                <w:tcPr>
                  <w:tcW w:w="907" w:type="pct"/>
                  <w:tcBorders>
                    <w:tl2br w:val="nil"/>
                    <w:tr2bl w:val="nil"/>
                  </w:tcBorders>
                  <w:shd w:val="clear" w:color="auto" w:fill="auto"/>
                  <w:noWrap w:val="0"/>
                  <w:vAlign w:val="center"/>
                </w:tcPr>
                <w:p w14:paraId="112B49AF">
                  <w:pPr>
                    <w:keepNext w:val="0"/>
                    <w:keepLines w:val="0"/>
                    <w:suppressLineNumbers w:val="0"/>
                    <w:adjustRightInd w:val="0"/>
                    <w:snapToGrid w:val="0"/>
                    <w:spacing w:before="0" w:beforeAutospacing="0" w:after="0" w:afterAutospacing="0"/>
                    <w:ind w:left="0" w:leftChars="0" w:right="0" w:rightChars="0"/>
                    <w:jc w:val="center"/>
                    <w:rPr>
                      <w:rFonts w:hint="default" w:hAnsi="宋体"/>
                      <w:color w:val="auto"/>
                      <w:kern w:val="0"/>
                      <w:sz w:val="18"/>
                      <w:szCs w:val="18"/>
                      <w:lang w:val="en-US" w:eastAsia="zh-CN"/>
                    </w:rPr>
                  </w:pPr>
                  <w:r>
                    <w:rPr>
                      <w:rFonts w:hint="eastAsia" w:hAnsi="宋体"/>
                      <w:color w:val="auto"/>
                      <w:kern w:val="0"/>
                      <w:sz w:val="18"/>
                      <w:szCs w:val="18"/>
                      <w:lang w:val="en-US" w:eastAsia="zh-CN"/>
                    </w:rPr>
                    <w:t>灯管更换</w:t>
                  </w:r>
                </w:p>
              </w:tc>
              <w:tc>
                <w:tcPr>
                  <w:tcW w:w="781" w:type="pct"/>
                  <w:tcBorders>
                    <w:tl2br w:val="nil"/>
                    <w:tr2bl w:val="nil"/>
                  </w:tcBorders>
                  <w:shd w:val="clear" w:color="auto" w:fill="auto"/>
                  <w:noWrap w:val="0"/>
                  <w:vAlign w:val="center"/>
                </w:tcPr>
                <w:p w14:paraId="284B5763">
                  <w:pPr>
                    <w:keepNext w:val="0"/>
                    <w:keepLines w:val="0"/>
                    <w:suppressLineNumbers w:val="0"/>
                    <w:adjustRightInd w:val="0"/>
                    <w:snapToGrid w:val="0"/>
                    <w:spacing w:before="0" w:beforeAutospacing="0" w:after="0" w:afterAutospacing="0"/>
                    <w:ind w:left="0" w:leftChars="0" w:right="0" w:rightChars="0"/>
                    <w:jc w:val="center"/>
                    <w:outlineLvl w:val="0"/>
                    <w:rPr>
                      <w:rFonts w:hint="default"/>
                      <w:bCs/>
                      <w:color w:val="auto"/>
                      <w:kern w:val="0"/>
                      <w:sz w:val="18"/>
                      <w:szCs w:val="18"/>
                      <w:lang w:val="en-US" w:eastAsia="zh-CN"/>
                    </w:rPr>
                  </w:pPr>
                  <w:r>
                    <w:rPr>
                      <w:rFonts w:hint="eastAsia"/>
                      <w:bCs/>
                      <w:color w:val="auto"/>
                      <w:kern w:val="0"/>
                      <w:sz w:val="18"/>
                      <w:szCs w:val="18"/>
                      <w:lang w:val="en-US" w:eastAsia="zh-CN"/>
                    </w:rPr>
                    <w:t>S9</w:t>
                  </w:r>
                </w:p>
              </w:tc>
              <w:tc>
                <w:tcPr>
                  <w:tcW w:w="1362" w:type="pct"/>
                  <w:tcBorders>
                    <w:tl2br w:val="nil"/>
                    <w:tr2bl w:val="nil"/>
                  </w:tcBorders>
                  <w:shd w:val="clear" w:color="auto" w:fill="auto"/>
                  <w:noWrap w:val="0"/>
                  <w:vAlign w:val="center"/>
                </w:tcPr>
                <w:p w14:paraId="5FB50A5D">
                  <w:pPr>
                    <w:keepNext w:val="0"/>
                    <w:keepLines w:val="0"/>
                    <w:suppressLineNumbers w:val="0"/>
                    <w:adjustRightInd w:val="0"/>
                    <w:snapToGrid w:val="0"/>
                    <w:spacing w:before="0" w:beforeAutospacing="0" w:after="0" w:afterAutospacing="0"/>
                    <w:ind w:left="0" w:leftChars="0" w:right="0" w:rightChars="0"/>
                    <w:jc w:val="center"/>
                    <w:rPr>
                      <w:rFonts w:hint="default" w:hAnsi="宋体" w:cs="Times New Roman"/>
                      <w:color w:val="auto"/>
                      <w:kern w:val="0"/>
                      <w:sz w:val="18"/>
                      <w:szCs w:val="18"/>
                      <w:lang w:val="en-US" w:eastAsia="zh-CN" w:bidi="ar-SA"/>
                    </w:rPr>
                  </w:pPr>
                  <w:r>
                    <w:rPr>
                      <w:rFonts w:hint="eastAsia" w:hAnsi="宋体" w:cs="Times New Roman"/>
                      <w:color w:val="auto"/>
                      <w:kern w:val="0"/>
                      <w:sz w:val="18"/>
                      <w:szCs w:val="18"/>
                      <w:lang w:val="en-US" w:eastAsia="zh-CN" w:bidi="ar-SA"/>
                    </w:rPr>
                    <w:t>废紫外灯管</w:t>
                  </w:r>
                </w:p>
              </w:tc>
              <w:tc>
                <w:tcPr>
                  <w:tcW w:w="1321" w:type="pct"/>
                  <w:tcBorders>
                    <w:tl2br w:val="nil"/>
                    <w:tr2bl w:val="nil"/>
                  </w:tcBorders>
                  <w:shd w:val="clear" w:color="auto" w:fill="auto"/>
                  <w:noWrap w:val="0"/>
                  <w:vAlign w:val="center"/>
                </w:tcPr>
                <w:p w14:paraId="5592BB17">
                  <w:pPr>
                    <w:keepNext w:val="0"/>
                    <w:keepLines w:val="0"/>
                    <w:suppressLineNumbers w:val="0"/>
                    <w:adjustRightInd w:val="0"/>
                    <w:snapToGrid w:val="0"/>
                    <w:spacing w:before="0" w:beforeAutospacing="0" w:after="0" w:afterAutospacing="0"/>
                    <w:ind w:left="0" w:leftChars="0" w:right="0" w:rightChars="0"/>
                    <w:jc w:val="center"/>
                    <w:rPr>
                      <w:rFonts w:hint="eastAsia"/>
                      <w:color w:val="auto"/>
                      <w:kern w:val="0"/>
                      <w:sz w:val="18"/>
                      <w:szCs w:val="18"/>
                      <w:lang w:val="en-US" w:eastAsia="zh-CN"/>
                    </w:rPr>
                  </w:pPr>
                  <w:r>
                    <w:rPr>
                      <w:rFonts w:hint="eastAsia"/>
                      <w:color w:val="auto"/>
                      <w:kern w:val="0"/>
                      <w:sz w:val="18"/>
                      <w:szCs w:val="18"/>
                      <w:lang w:val="en-US" w:eastAsia="zh-CN"/>
                    </w:rPr>
                    <w:t>有资质单位处置</w:t>
                  </w:r>
                </w:p>
              </w:tc>
            </w:tr>
            <w:tr w14:paraId="340A51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tblHeader/>
                <w:jc w:val="center"/>
              </w:trPr>
              <w:tc>
                <w:tcPr>
                  <w:tcW w:w="626" w:type="pct"/>
                  <w:tcBorders>
                    <w:tl2br w:val="nil"/>
                    <w:tr2bl w:val="nil"/>
                  </w:tcBorders>
                  <w:noWrap w:val="0"/>
                  <w:vAlign w:val="center"/>
                </w:tcPr>
                <w:p w14:paraId="76CE383A">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rPr>
                  </w:pPr>
                  <w:r>
                    <w:rPr>
                      <w:rFonts w:hint="eastAsia"/>
                      <w:color w:val="auto"/>
                      <w:kern w:val="0"/>
                      <w:sz w:val="18"/>
                      <w:szCs w:val="18"/>
                    </w:rPr>
                    <w:t>噪声</w:t>
                  </w:r>
                </w:p>
              </w:tc>
              <w:tc>
                <w:tcPr>
                  <w:tcW w:w="3051" w:type="pct"/>
                  <w:gridSpan w:val="3"/>
                  <w:tcBorders>
                    <w:tl2br w:val="nil"/>
                    <w:tr2bl w:val="nil"/>
                  </w:tcBorders>
                  <w:noWrap w:val="0"/>
                  <w:vAlign w:val="center"/>
                </w:tcPr>
                <w:p w14:paraId="0910CD8E">
                  <w:pPr>
                    <w:keepNext w:val="0"/>
                    <w:keepLines w:val="0"/>
                    <w:suppressLineNumbers w:val="0"/>
                    <w:adjustRightInd w:val="0"/>
                    <w:snapToGrid w:val="0"/>
                    <w:spacing w:before="0" w:beforeAutospacing="0" w:after="0" w:afterAutospacing="0"/>
                    <w:ind w:left="0" w:right="0"/>
                    <w:jc w:val="center"/>
                    <w:rPr>
                      <w:rFonts w:hint="eastAsia" w:hAnsi="宋体"/>
                      <w:color w:val="auto"/>
                      <w:kern w:val="0"/>
                      <w:sz w:val="18"/>
                      <w:szCs w:val="18"/>
                    </w:rPr>
                  </w:pPr>
                  <w:r>
                    <w:rPr>
                      <w:rFonts w:hint="eastAsia" w:hAnsi="宋体"/>
                      <w:color w:val="auto"/>
                      <w:kern w:val="0"/>
                      <w:sz w:val="18"/>
                      <w:szCs w:val="18"/>
                    </w:rPr>
                    <w:t>主要为生产设备、风机运行产生的噪声</w:t>
                  </w:r>
                </w:p>
              </w:tc>
              <w:tc>
                <w:tcPr>
                  <w:tcW w:w="1321" w:type="pct"/>
                  <w:tcBorders>
                    <w:tl2br w:val="nil"/>
                    <w:tr2bl w:val="nil"/>
                  </w:tcBorders>
                  <w:noWrap w:val="0"/>
                  <w:vAlign w:val="center"/>
                </w:tcPr>
                <w:p w14:paraId="3C5E63F4">
                  <w:pPr>
                    <w:keepNext w:val="0"/>
                    <w:keepLines w:val="0"/>
                    <w:suppressLineNumbers w:val="0"/>
                    <w:adjustRightInd w:val="0"/>
                    <w:snapToGrid w:val="0"/>
                    <w:spacing w:before="0" w:beforeAutospacing="0" w:after="0" w:afterAutospacing="0"/>
                    <w:ind w:left="0" w:right="0"/>
                    <w:jc w:val="center"/>
                    <w:rPr>
                      <w:rFonts w:hint="default"/>
                      <w:color w:val="auto"/>
                      <w:kern w:val="0"/>
                      <w:sz w:val="18"/>
                      <w:szCs w:val="18"/>
                    </w:rPr>
                  </w:pPr>
                  <w:r>
                    <w:rPr>
                      <w:rFonts w:hint="eastAsia"/>
                      <w:color w:val="auto"/>
                      <w:kern w:val="0"/>
                      <w:sz w:val="18"/>
                      <w:szCs w:val="18"/>
                    </w:rPr>
                    <w:t>隔声、消声</w:t>
                  </w:r>
                </w:p>
              </w:tc>
            </w:tr>
          </w:tbl>
          <w:p w14:paraId="56EA6D47">
            <w:pPr>
              <w:pStyle w:val="8"/>
              <w:rPr>
                <w:rFonts w:hint="eastAsia"/>
                <w:color w:val="auto"/>
                <w:lang w:val="en-US" w:eastAsia="zh-CN"/>
              </w:rPr>
            </w:pPr>
          </w:p>
          <w:p w14:paraId="15B1D07D">
            <w:pPr>
              <w:pStyle w:val="25"/>
              <w:numPr>
                <w:ilvl w:val="0"/>
                <w:numId w:val="0"/>
              </w:numPr>
              <w:spacing w:line="360" w:lineRule="auto"/>
              <w:ind w:firstLine="480"/>
              <w:jc w:val="both"/>
              <w:rPr>
                <w:rFonts w:hint="default"/>
                <w:color w:val="auto"/>
                <w:lang w:val="en-US" w:eastAsia="zh-CN"/>
              </w:rPr>
            </w:pPr>
          </w:p>
        </w:tc>
      </w:tr>
      <w:tr w14:paraId="53B195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607" w:type="dxa"/>
            <w:noWrap w:val="0"/>
            <w:vAlign w:val="center"/>
          </w:tcPr>
          <w:p w14:paraId="7A4D10BB">
            <w:pPr>
              <w:pStyle w:val="18"/>
              <w:adjustRightInd w:val="0"/>
              <w:snapToGrid w:val="0"/>
              <w:spacing w:before="0" w:beforeAutospacing="0" w:after="0" w:afterAutospacing="0"/>
              <w:jc w:val="center"/>
              <w:rPr>
                <w:rFonts w:cs="宋体"/>
                <w:color w:val="auto"/>
                <w:sz w:val="21"/>
                <w:szCs w:val="21"/>
              </w:rPr>
            </w:pPr>
            <w:r>
              <w:rPr>
                <w:rFonts w:hint="eastAsia" w:cs="宋体"/>
                <w:bCs/>
                <w:color w:val="auto"/>
                <w:kern w:val="2"/>
                <w:sz w:val="21"/>
                <w:szCs w:val="21"/>
              </w:rPr>
              <w:t>与项目有关的原有环境污染问题</w:t>
            </w:r>
          </w:p>
        </w:tc>
        <w:tc>
          <w:tcPr>
            <w:tcW w:w="8377" w:type="dxa"/>
            <w:noWrap w:val="0"/>
            <w:vAlign w:val="top"/>
          </w:tcPr>
          <w:p w14:paraId="346DE08D">
            <w:pPr>
              <w:autoSpaceDE w:val="0"/>
              <w:autoSpaceDN w:val="0"/>
              <w:adjustRightInd w:val="0"/>
              <w:snapToGrid w:val="0"/>
              <w:spacing w:line="400" w:lineRule="exact"/>
              <w:jc w:val="left"/>
              <w:rPr>
                <w:b/>
                <w:bCs/>
                <w:color w:val="auto"/>
                <w:szCs w:val="21"/>
              </w:rPr>
            </w:pPr>
            <w:r>
              <w:rPr>
                <w:b/>
                <w:bCs/>
                <w:color w:val="auto"/>
                <w:szCs w:val="21"/>
              </w:rPr>
              <w:t>1、现有项目环保手续履行情况</w:t>
            </w:r>
          </w:p>
          <w:p w14:paraId="3CADC0F3">
            <w:pPr>
              <w:keepNext w:val="0"/>
              <w:keepLines w:val="0"/>
              <w:pageBreakBefore w:val="0"/>
              <w:widowControl/>
              <w:suppressLineNumbers w:val="0"/>
              <w:kinsoku/>
              <w:wordWrap/>
              <w:overflowPunct/>
              <w:topLinePunct w:val="0"/>
              <w:autoSpaceDE/>
              <w:autoSpaceDN/>
              <w:bidi w:val="0"/>
              <w:adjustRightInd/>
              <w:spacing w:line="360" w:lineRule="auto"/>
              <w:ind w:right="0" w:firstLine="420" w:firstLineChars="200"/>
              <w:jc w:val="left"/>
              <w:textAlignment w:val="auto"/>
              <w:rPr>
                <w:rFonts w:hint="default" w:cs="Times New Roman"/>
                <w:b w:val="0"/>
                <w:bCs w:val="0"/>
                <w:color w:val="auto"/>
                <w:sz w:val="21"/>
                <w:szCs w:val="21"/>
                <w:u w:val="single"/>
                <w:lang w:val="en-US" w:eastAsia="zh-CN"/>
              </w:rPr>
            </w:pPr>
            <w:r>
              <w:rPr>
                <w:rFonts w:hint="default" w:ascii="Times New Roman" w:hAnsi="Times New Roman" w:eastAsia="宋体" w:cs="Times New Roman"/>
                <w:color w:val="auto"/>
                <w:sz w:val="21"/>
                <w:szCs w:val="21"/>
                <w:lang w:val="en-US" w:eastAsia="zh-CN"/>
              </w:rPr>
              <w:t>南通冠东模塑股份有限公司原名南通市冠东车灯有限公司</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于2003年由</w:t>
            </w:r>
            <w:r>
              <w:rPr>
                <w:rFonts w:hint="eastAsia" w:cs="Times New Roman"/>
                <w:color w:val="auto"/>
                <w:sz w:val="21"/>
                <w:szCs w:val="21"/>
                <w:lang w:val="en-US" w:eastAsia="zh-CN"/>
              </w:rPr>
              <w:t>郑</w:t>
            </w:r>
            <w:r>
              <w:rPr>
                <w:rFonts w:hint="default" w:ascii="Times New Roman" w:hAnsi="Times New Roman" w:eastAsia="宋体" w:cs="Times New Roman"/>
                <w:color w:val="auto"/>
                <w:sz w:val="21"/>
                <w:szCs w:val="21"/>
                <w:lang w:val="en-US" w:eastAsia="zh-CN"/>
              </w:rPr>
              <w:t>新平投资兴办，主要以生产汽车零部件为主，产品主要用于上海通用、上海大众、长安福特、丰田等著名汽车品牌的轿车</w:t>
            </w:r>
            <w:r>
              <w:rPr>
                <w:rFonts w:hint="eastAsia"/>
                <w:bCs/>
                <w:color w:val="auto"/>
                <w:szCs w:val="21"/>
              </w:rPr>
              <w:t>。</w:t>
            </w:r>
            <w:r>
              <w:rPr>
                <w:rFonts w:hint="eastAsia"/>
                <w:color w:val="auto"/>
                <w:szCs w:val="21"/>
              </w:rPr>
              <w:t>企业</w:t>
            </w:r>
            <w:r>
              <w:rPr>
                <w:rFonts w:hint="eastAsia" w:cs="Times New Roman"/>
                <w:b w:val="0"/>
                <w:bCs w:val="0"/>
                <w:color w:val="auto"/>
                <w:sz w:val="21"/>
                <w:szCs w:val="21"/>
                <w:u w:val="none"/>
                <w:lang w:val="en-US" w:eastAsia="zh-CN"/>
              </w:rPr>
              <w:t>于2016年4月22日取得海门市行政审批局《南通冠东模塑股份有限公司年产模具500付、塑料件3000万台/套项目环境影响评价报告表》的批复（海审批表复[2016]43号），并于2017年4月12日经海门市环境环保局通过验收（海环验函[2017]21号）；于2019年2月28日取得海门市行政审批局《南通冠东模塑股份有限公司年产40万套布胶装配生产项目环境影响报告表》的批复（海审批复表[2019]39号），2019年7月11日完成自主验收；于2020年7月9日取得海门市行政审批局《南通冠东模塑股份有限公司真空镀铝塑料件和油墨印刷塑料件生产线技改项目环境影响报告表》的批复（海审批表复[2020]88号），2020年10月3日完成自主验收；于2020年8月14日，取得南通市海门区行政审批局《南通冠东模塑股份有限公司年产 1800 吨熔喷布扩建项目环境影响评价报告表》的批复（海审批表复[2020]113号），该项目因资金问题至今尚未进行建设，待后期资金到位再进行建设。</w:t>
            </w:r>
          </w:p>
          <w:p w14:paraId="0DBF8B6C">
            <w:pPr>
              <w:autoSpaceDE w:val="0"/>
              <w:autoSpaceDN w:val="0"/>
              <w:adjustRightInd w:val="0"/>
              <w:snapToGrid w:val="0"/>
              <w:spacing w:line="400" w:lineRule="exact"/>
              <w:ind w:firstLine="420" w:firstLineChars="200"/>
              <w:jc w:val="left"/>
              <w:rPr>
                <w:color w:val="auto"/>
                <w:szCs w:val="21"/>
              </w:rPr>
            </w:pPr>
            <w:r>
              <w:rPr>
                <w:rFonts w:hint="eastAsia"/>
                <w:color w:val="auto"/>
                <w:szCs w:val="21"/>
              </w:rPr>
              <w:t>企业已于</w:t>
            </w:r>
            <w:r>
              <w:rPr>
                <w:rFonts w:hint="eastAsia" w:cs="Times New Roman"/>
                <w:b w:val="0"/>
                <w:bCs w:val="0"/>
                <w:color w:val="auto"/>
                <w:sz w:val="21"/>
                <w:szCs w:val="21"/>
                <w:u w:val="none"/>
                <w:lang w:val="en-US" w:eastAsia="zh-CN"/>
              </w:rPr>
              <w:t>2022年11月15日</w:t>
            </w:r>
            <w:r>
              <w:rPr>
                <w:rFonts w:hint="eastAsia"/>
                <w:color w:val="auto"/>
                <w:szCs w:val="21"/>
              </w:rPr>
              <w:t>申领排污许可证，编号为：</w:t>
            </w:r>
            <w:r>
              <w:rPr>
                <w:rFonts w:hint="eastAsia" w:cs="Times New Roman"/>
                <w:b w:val="0"/>
                <w:bCs w:val="0"/>
                <w:color w:val="auto"/>
                <w:sz w:val="21"/>
                <w:szCs w:val="21"/>
                <w:highlight w:val="none"/>
                <w:u w:val="none"/>
                <w:lang w:val="en-US" w:eastAsia="zh-CN"/>
              </w:rPr>
              <w:t>91320684754616469J001U</w:t>
            </w:r>
            <w:r>
              <w:rPr>
                <w:rFonts w:hint="eastAsia"/>
                <w:color w:val="auto"/>
                <w:szCs w:val="21"/>
              </w:rPr>
              <w:t>，并按照排污许可要求开展自行监测和台账记录，执行年报制度。</w:t>
            </w:r>
          </w:p>
          <w:p w14:paraId="46B5BAD4">
            <w:pPr>
              <w:autoSpaceDE w:val="0"/>
              <w:autoSpaceDN w:val="0"/>
              <w:adjustRightInd w:val="0"/>
              <w:snapToGrid w:val="0"/>
              <w:spacing w:line="400" w:lineRule="exact"/>
              <w:ind w:firstLine="420" w:firstLineChars="200"/>
              <w:jc w:val="left"/>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企业已编制突发环境事件应急预案，于</w:t>
            </w:r>
            <w:r>
              <w:rPr>
                <w:rFonts w:hint="eastAsia" w:ascii="Times New Roman" w:hAnsi="Times New Roman" w:eastAsia="宋体" w:cs="Times New Roman"/>
                <w:color w:val="auto"/>
                <w:szCs w:val="21"/>
                <w:lang w:val="en-US" w:eastAsia="zh-CN"/>
              </w:rPr>
              <w:t>2023年11月24日</w:t>
            </w:r>
            <w:r>
              <w:rPr>
                <w:rFonts w:hint="eastAsia" w:ascii="Times New Roman" w:hAnsi="Times New Roman" w:eastAsia="宋体" w:cs="Times New Roman"/>
                <w:color w:val="auto"/>
                <w:szCs w:val="21"/>
              </w:rPr>
              <w:t>日通过南通市</w:t>
            </w:r>
            <w:r>
              <w:rPr>
                <w:rFonts w:hint="eastAsia" w:ascii="Times New Roman" w:hAnsi="Times New Roman" w:eastAsia="宋体" w:cs="Times New Roman"/>
                <w:color w:val="auto"/>
                <w:szCs w:val="21"/>
                <w:lang w:val="en-US" w:eastAsia="zh-CN"/>
              </w:rPr>
              <w:t>海门</w:t>
            </w:r>
            <w:r>
              <w:rPr>
                <w:rFonts w:hint="eastAsia" w:ascii="Times New Roman" w:hAnsi="Times New Roman" w:eastAsia="宋体" w:cs="Times New Roman"/>
                <w:color w:val="auto"/>
                <w:szCs w:val="21"/>
              </w:rPr>
              <w:t>生态环境局备案，备案号：</w:t>
            </w:r>
            <w:r>
              <w:rPr>
                <w:rFonts w:hint="eastAsia" w:ascii="Times New Roman" w:hAnsi="Times New Roman" w:eastAsia="宋体" w:cs="Times New Roman"/>
                <w:color w:val="auto"/>
                <w:szCs w:val="21"/>
                <w:lang w:val="en-US" w:eastAsia="zh-CN"/>
              </w:rPr>
              <w:t>320684-2023-156-L</w:t>
            </w:r>
            <w:r>
              <w:rPr>
                <w:rFonts w:hint="eastAsia" w:ascii="Times New Roman" w:hAnsi="Times New Roman" w:eastAsia="宋体" w:cs="Times New Roman"/>
                <w:color w:val="auto"/>
                <w:szCs w:val="21"/>
              </w:rPr>
              <w:t>，风险等级判定为</w:t>
            </w:r>
            <w:r>
              <w:rPr>
                <w:rFonts w:hint="eastAsia" w:ascii="Times New Roman" w:hAnsi="Times New Roman" w:eastAsia="宋体" w:cs="Times New Roman"/>
                <w:color w:val="auto"/>
                <w:szCs w:val="21"/>
                <w:lang w:val="en-US" w:eastAsia="zh-CN"/>
              </w:rPr>
              <w:t>一般</w:t>
            </w:r>
            <w:r>
              <w:rPr>
                <w:rFonts w:hint="eastAsia" w:ascii="Times New Roman" w:hAnsi="Times New Roman" w:eastAsia="宋体" w:cs="Times New Roman"/>
                <w:color w:val="auto"/>
                <w:szCs w:val="21"/>
              </w:rPr>
              <w:t>。</w:t>
            </w:r>
          </w:p>
          <w:p w14:paraId="10DA9C16">
            <w:pPr>
              <w:autoSpaceDE w:val="0"/>
              <w:autoSpaceDN w:val="0"/>
              <w:adjustRightInd w:val="0"/>
              <w:snapToGrid w:val="0"/>
              <w:spacing w:line="400" w:lineRule="exact"/>
              <w:ind w:firstLine="420" w:firstLineChars="200"/>
              <w:jc w:val="left"/>
              <w:rPr>
                <w:color w:val="auto"/>
                <w:szCs w:val="21"/>
              </w:rPr>
            </w:pPr>
            <w:r>
              <w:rPr>
                <w:rFonts w:hint="eastAsia"/>
                <w:color w:val="auto"/>
                <w:szCs w:val="21"/>
              </w:rPr>
              <w:t>企业</w:t>
            </w:r>
            <w:r>
              <w:rPr>
                <w:color w:val="auto"/>
                <w:szCs w:val="21"/>
              </w:rPr>
              <w:t>现有项目环保手续履行情况见表2-</w:t>
            </w:r>
            <w:r>
              <w:rPr>
                <w:rFonts w:hint="eastAsia"/>
                <w:color w:val="auto"/>
                <w:szCs w:val="21"/>
                <w:lang w:val="en-US" w:eastAsia="zh-CN"/>
              </w:rPr>
              <w:t>11</w:t>
            </w:r>
            <w:r>
              <w:rPr>
                <w:rFonts w:hint="eastAsia"/>
                <w:color w:val="auto"/>
                <w:szCs w:val="21"/>
              </w:rPr>
              <w:t>。</w:t>
            </w:r>
          </w:p>
          <w:p w14:paraId="770D5566">
            <w:pPr>
              <w:spacing w:line="240" w:lineRule="auto"/>
              <w:ind w:firstLine="422" w:firstLineChars="20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2-</w:t>
            </w:r>
            <w:r>
              <w:rPr>
                <w:rFonts w:hint="eastAsia" w:cs="Times New Roman"/>
                <w:b/>
                <w:bCs/>
                <w:color w:val="auto"/>
                <w:sz w:val="21"/>
                <w:szCs w:val="21"/>
                <w:highlight w:val="none"/>
                <w:lang w:val="en-US" w:eastAsia="zh-CN"/>
              </w:rPr>
              <w:t>11</w:t>
            </w:r>
            <w:r>
              <w:rPr>
                <w:rFonts w:hint="default" w:ascii="Times New Roman" w:hAnsi="Times New Roman" w:cs="Times New Roman"/>
                <w:b/>
                <w:bCs/>
                <w:color w:val="auto"/>
                <w:sz w:val="21"/>
                <w:szCs w:val="21"/>
                <w:highlight w:val="none"/>
              </w:rPr>
              <w:t xml:space="preserve"> 现有项目</w:t>
            </w:r>
            <w:r>
              <w:rPr>
                <w:rFonts w:hint="eastAsia" w:ascii="Times New Roman" w:hAnsi="Times New Roman" w:cs="Times New Roman"/>
                <w:b/>
                <w:bCs/>
                <w:color w:val="auto"/>
                <w:sz w:val="21"/>
                <w:szCs w:val="21"/>
                <w:highlight w:val="none"/>
                <w:lang w:val="en-US" w:eastAsia="zh-CN"/>
              </w:rPr>
              <w:t>环保手续</w:t>
            </w:r>
            <w:r>
              <w:rPr>
                <w:rFonts w:hint="default" w:ascii="Times New Roman" w:hAnsi="Times New Roman" w:cs="Times New Roman"/>
                <w:b/>
                <w:bCs/>
                <w:color w:val="auto"/>
                <w:sz w:val="21"/>
                <w:szCs w:val="21"/>
                <w:highlight w:val="none"/>
              </w:rPr>
              <w:t>情况</w:t>
            </w:r>
          </w:p>
          <w:tbl>
            <w:tblPr>
              <w:tblStyle w:val="20"/>
              <w:tblW w:w="815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2436"/>
              <w:gridCol w:w="2391"/>
              <w:gridCol w:w="1110"/>
              <w:gridCol w:w="1110"/>
              <w:gridCol w:w="1111"/>
            </w:tblGrid>
            <w:tr w14:paraId="3BCADA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0" w:hRule="atLeast"/>
                <w:jc w:val="center"/>
              </w:trPr>
              <w:tc>
                <w:tcPr>
                  <w:tcW w:w="1551" w:type="pct"/>
                  <w:noWrap w:val="0"/>
                  <w:vAlign w:val="center"/>
                </w:tcPr>
                <w:p w14:paraId="6CD9DB27">
                  <w:pPr>
                    <w:pStyle w:val="46"/>
                    <w:spacing w:before="33"/>
                    <w:ind w:left="39" w:right="7"/>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项目名称</w:t>
                  </w:r>
                </w:p>
              </w:tc>
              <w:tc>
                <w:tcPr>
                  <w:tcW w:w="1230" w:type="pct"/>
                  <w:noWrap w:val="0"/>
                  <w:vAlign w:val="center"/>
                </w:tcPr>
                <w:p w14:paraId="7BCC0C5A">
                  <w:pPr>
                    <w:pStyle w:val="46"/>
                    <w:spacing w:before="33"/>
                    <w:ind w:left="120"/>
                    <w:jc w:val="center"/>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环评及验收实施</w:t>
                  </w:r>
                  <w:r>
                    <w:rPr>
                      <w:rFonts w:hint="default" w:ascii="Times New Roman" w:hAnsi="Times New Roman" w:cs="Times New Roman"/>
                      <w:b/>
                      <w:bCs/>
                      <w:color w:val="auto"/>
                      <w:sz w:val="18"/>
                      <w:szCs w:val="18"/>
                      <w:highlight w:val="none"/>
                      <w:lang w:val="en-US" w:eastAsia="zh-CN"/>
                    </w:rPr>
                    <w:t>情况</w:t>
                  </w:r>
                </w:p>
              </w:tc>
              <w:tc>
                <w:tcPr>
                  <w:tcW w:w="739" w:type="pct"/>
                  <w:noWrap w:val="0"/>
                  <w:vAlign w:val="center"/>
                </w:tcPr>
                <w:p w14:paraId="2DADD87F">
                  <w:pPr>
                    <w:pStyle w:val="46"/>
                    <w:spacing w:before="33"/>
                    <w:ind w:left="158"/>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lang w:val="en-US" w:eastAsia="zh-CN"/>
                    </w:rPr>
                    <w:t>完成时间</w:t>
                  </w:r>
                </w:p>
              </w:tc>
              <w:tc>
                <w:tcPr>
                  <w:tcW w:w="739" w:type="pct"/>
                  <w:noWrap w:val="0"/>
                  <w:vAlign w:val="center"/>
                </w:tcPr>
                <w:p w14:paraId="0E1533C3">
                  <w:pPr>
                    <w:pStyle w:val="46"/>
                    <w:spacing w:before="33"/>
                    <w:ind w:left="158"/>
                    <w:jc w:val="center"/>
                    <w:rPr>
                      <w:rFonts w:hint="default"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批复建设内容</w:t>
                  </w:r>
                </w:p>
              </w:tc>
              <w:tc>
                <w:tcPr>
                  <w:tcW w:w="739" w:type="pct"/>
                  <w:noWrap w:val="0"/>
                  <w:vAlign w:val="center"/>
                </w:tcPr>
                <w:p w14:paraId="67676B7A">
                  <w:pPr>
                    <w:pStyle w:val="46"/>
                    <w:spacing w:before="33"/>
                    <w:ind w:left="158"/>
                    <w:jc w:val="center"/>
                    <w:rPr>
                      <w:rFonts w:hint="default" w:ascii="Times New Roman" w:hAnsi="Times New Roman" w:cs="Times New Roman"/>
                      <w:b/>
                      <w:bCs/>
                      <w:color w:val="auto"/>
                      <w:sz w:val="18"/>
                      <w:szCs w:val="18"/>
                      <w:highlight w:val="none"/>
                      <w:lang w:val="en-US" w:eastAsia="zh-CN"/>
                    </w:rPr>
                  </w:pPr>
                  <w:r>
                    <w:rPr>
                      <w:rFonts w:hint="eastAsia" w:ascii="Times New Roman" w:hAnsi="Times New Roman" w:cs="Times New Roman"/>
                      <w:b/>
                      <w:bCs/>
                      <w:color w:val="auto"/>
                      <w:sz w:val="18"/>
                      <w:szCs w:val="18"/>
                      <w:highlight w:val="none"/>
                      <w:lang w:val="en-US" w:eastAsia="zh-CN"/>
                    </w:rPr>
                    <w:t>实际建成内容</w:t>
                  </w:r>
                </w:p>
              </w:tc>
            </w:tr>
            <w:tr w14:paraId="25A741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44" w:hRule="atLeast"/>
                <w:jc w:val="center"/>
              </w:trPr>
              <w:tc>
                <w:tcPr>
                  <w:tcW w:w="1551" w:type="pct"/>
                  <w:vMerge w:val="restart"/>
                  <w:noWrap w:val="0"/>
                  <w:vAlign w:val="center"/>
                </w:tcPr>
                <w:p w14:paraId="7D6DAFC4">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年产模具500付、塑料件3000万台/套项目环境影响评价报告表</w:t>
                  </w:r>
                </w:p>
              </w:tc>
              <w:tc>
                <w:tcPr>
                  <w:tcW w:w="1230" w:type="pct"/>
                  <w:noWrap w:val="0"/>
                  <w:vAlign w:val="center"/>
                </w:tcPr>
                <w:p w14:paraId="2A3D0B25">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取得批复（海审批表复[2016]43号）</w:t>
                  </w:r>
                </w:p>
              </w:tc>
              <w:tc>
                <w:tcPr>
                  <w:tcW w:w="739" w:type="pct"/>
                  <w:noWrap w:val="0"/>
                  <w:vAlign w:val="center"/>
                </w:tcPr>
                <w:p w14:paraId="1CE677B8">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2016年4月22日</w:t>
                  </w:r>
                </w:p>
              </w:tc>
              <w:tc>
                <w:tcPr>
                  <w:tcW w:w="739" w:type="pct"/>
                  <w:vMerge w:val="restart"/>
                  <w:noWrap w:val="0"/>
                  <w:vAlign w:val="center"/>
                </w:tcPr>
                <w:p w14:paraId="35C9A0DD">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eastAsia="zh-CN"/>
                    </w:rPr>
                    <w:t>年产模具500付、塑料件3000万台/套</w:t>
                  </w:r>
                </w:p>
              </w:tc>
              <w:tc>
                <w:tcPr>
                  <w:tcW w:w="739" w:type="pct"/>
                  <w:vMerge w:val="restart"/>
                  <w:noWrap w:val="0"/>
                  <w:vAlign w:val="center"/>
                </w:tcPr>
                <w:p w14:paraId="617A26A7">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eastAsia="zh-CN"/>
                    </w:rPr>
                    <w:t>年产模具500付、塑料件3000万台/套</w:t>
                  </w:r>
                </w:p>
              </w:tc>
            </w:tr>
            <w:tr w14:paraId="32A579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44" w:hRule="atLeast"/>
                <w:jc w:val="center"/>
              </w:trPr>
              <w:tc>
                <w:tcPr>
                  <w:tcW w:w="1551" w:type="pct"/>
                  <w:vMerge w:val="continue"/>
                  <w:noWrap w:val="0"/>
                  <w:vAlign w:val="center"/>
                </w:tcPr>
                <w:p w14:paraId="5F4E22B4">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18"/>
                      <w:szCs w:val="18"/>
                      <w:highlight w:val="none"/>
                      <w:lang w:val="en-US" w:eastAsia="zh-CN"/>
                    </w:rPr>
                  </w:pPr>
                </w:p>
              </w:tc>
              <w:tc>
                <w:tcPr>
                  <w:tcW w:w="1230" w:type="pct"/>
                  <w:noWrap w:val="0"/>
                  <w:vAlign w:val="center"/>
                </w:tcPr>
                <w:p w14:paraId="22E339D1">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通过验收（海环验函[2017]21号）</w:t>
                  </w:r>
                </w:p>
              </w:tc>
              <w:tc>
                <w:tcPr>
                  <w:tcW w:w="739" w:type="pct"/>
                  <w:noWrap w:val="0"/>
                  <w:vAlign w:val="center"/>
                </w:tcPr>
                <w:p w14:paraId="5DE882AC">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2017年4月12日</w:t>
                  </w:r>
                </w:p>
              </w:tc>
              <w:tc>
                <w:tcPr>
                  <w:tcW w:w="739" w:type="pct"/>
                  <w:vMerge w:val="continue"/>
                  <w:noWrap w:val="0"/>
                  <w:vAlign w:val="center"/>
                </w:tcPr>
                <w:p w14:paraId="640ECF3D">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p>
              </w:tc>
              <w:tc>
                <w:tcPr>
                  <w:tcW w:w="739" w:type="pct"/>
                  <w:vMerge w:val="continue"/>
                  <w:noWrap w:val="0"/>
                  <w:vAlign w:val="center"/>
                </w:tcPr>
                <w:p w14:paraId="249EFC81">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p>
              </w:tc>
            </w:tr>
            <w:tr w14:paraId="3F8B56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44" w:hRule="atLeast"/>
                <w:jc w:val="center"/>
              </w:trPr>
              <w:tc>
                <w:tcPr>
                  <w:tcW w:w="1551" w:type="pct"/>
                  <w:vMerge w:val="restart"/>
                  <w:noWrap w:val="0"/>
                  <w:vAlign w:val="center"/>
                </w:tcPr>
                <w:p w14:paraId="2AD44AA7">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南通冠东模塑股份有限公司年产40万套布胶装配生产项目</w:t>
                  </w:r>
                </w:p>
              </w:tc>
              <w:tc>
                <w:tcPr>
                  <w:tcW w:w="1230" w:type="pct"/>
                  <w:noWrap w:val="0"/>
                  <w:vAlign w:val="center"/>
                </w:tcPr>
                <w:p w14:paraId="0C84A74C">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取得</w:t>
                  </w:r>
                  <w:r>
                    <w:rPr>
                      <w:rFonts w:hint="default" w:ascii="Times New Roman" w:hAnsi="Times New Roman" w:eastAsia="宋体" w:cs="Times New Roman"/>
                      <w:color w:val="auto"/>
                      <w:sz w:val="18"/>
                      <w:szCs w:val="18"/>
                      <w:highlight w:val="none"/>
                      <w:lang w:val="en-US" w:eastAsia="zh-CN"/>
                    </w:rPr>
                    <w:t>批复（海审批复表[2019]39号）</w:t>
                  </w:r>
                </w:p>
              </w:tc>
              <w:tc>
                <w:tcPr>
                  <w:tcW w:w="739" w:type="pct"/>
                  <w:noWrap w:val="0"/>
                  <w:vAlign w:val="center"/>
                </w:tcPr>
                <w:p w14:paraId="1AFBBF5A">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2019年2月28日</w:t>
                  </w:r>
                </w:p>
              </w:tc>
              <w:tc>
                <w:tcPr>
                  <w:tcW w:w="739" w:type="pct"/>
                  <w:vMerge w:val="restart"/>
                  <w:noWrap w:val="0"/>
                  <w:vAlign w:val="center"/>
                </w:tcPr>
                <w:p w14:paraId="28958919">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eastAsia="zh-CN"/>
                    </w:rPr>
                    <w:t>年产40万套布胶</w:t>
                  </w:r>
                </w:p>
              </w:tc>
              <w:tc>
                <w:tcPr>
                  <w:tcW w:w="739" w:type="pct"/>
                  <w:vMerge w:val="restart"/>
                  <w:noWrap w:val="0"/>
                  <w:vAlign w:val="center"/>
                </w:tcPr>
                <w:p w14:paraId="3B8982FE">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eastAsia="zh-CN"/>
                    </w:rPr>
                    <w:t>年产40万套布胶</w:t>
                  </w:r>
                </w:p>
              </w:tc>
            </w:tr>
            <w:tr w14:paraId="74317C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44" w:hRule="atLeast"/>
                <w:jc w:val="center"/>
              </w:trPr>
              <w:tc>
                <w:tcPr>
                  <w:tcW w:w="1551" w:type="pct"/>
                  <w:vMerge w:val="continue"/>
                  <w:noWrap w:val="0"/>
                  <w:vAlign w:val="center"/>
                </w:tcPr>
                <w:p w14:paraId="012CCD52">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18"/>
                      <w:szCs w:val="18"/>
                      <w:highlight w:val="none"/>
                      <w:lang w:val="en-US" w:eastAsia="zh-CN"/>
                    </w:rPr>
                  </w:pPr>
                </w:p>
              </w:tc>
              <w:tc>
                <w:tcPr>
                  <w:tcW w:w="1230" w:type="pct"/>
                  <w:noWrap w:val="0"/>
                  <w:vAlign w:val="center"/>
                </w:tcPr>
                <w:p w14:paraId="11E1F356">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完成自主验收</w:t>
                  </w:r>
                </w:p>
              </w:tc>
              <w:tc>
                <w:tcPr>
                  <w:tcW w:w="739" w:type="pct"/>
                  <w:noWrap w:val="0"/>
                  <w:vAlign w:val="center"/>
                </w:tcPr>
                <w:p w14:paraId="7FD0589B">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2019年7月11日</w:t>
                  </w:r>
                </w:p>
              </w:tc>
              <w:tc>
                <w:tcPr>
                  <w:tcW w:w="739" w:type="pct"/>
                  <w:vMerge w:val="continue"/>
                  <w:noWrap w:val="0"/>
                  <w:vAlign w:val="center"/>
                </w:tcPr>
                <w:p w14:paraId="6E6F614F">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18"/>
                      <w:szCs w:val="18"/>
                      <w:highlight w:val="none"/>
                      <w:lang w:val="en-US" w:eastAsia="zh-CN"/>
                    </w:rPr>
                  </w:pPr>
                </w:p>
              </w:tc>
              <w:tc>
                <w:tcPr>
                  <w:tcW w:w="739" w:type="pct"/>
                  <w:vMerge w:val="continue"/>
                  <w:noWrap w:val="0"/>
                  <w:vAlign w:val="center"/>
                </w:tcPr>
                <w:p w14:paraId="626CEA2E">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eastAsia="宋体" w:cs="Times New Roman"/>
                      <w:color w:val="auto"/>
                      <w:sz w:val="18"/>
                      <w:szCs w:val="18"/>
                      <w:highlight w:val="none"/>
                      <w:lang w:val="en-US" w:eastAsia="zh-CN"/>
                    </w:rPr>
                  </w:pPr>
                </w:p>
              </w:tc>
            </w:tr>
            <w:tr w14:paraId="339846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44" w:hRule="atLeast"/>
                <w:jc w:val="center"/>
              </w:trPr>
              <w:tc>
                <w:tcPr>
                  <w:tcW w:w="1551" w:type="pct"/>
                  <w:vMerge w:val="restart"/>
                  <w:noWrap w:val="0"/>
                  <w:vAlign w:val="center"/>
                </w:tcPr>
                <w:p w14:paraId="1B26BD75">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南通冠东模塑股份有限公司真空镀铝塑料件和油墨印刷塑料件生产线技改项目</w:t>
                  </w:r>
                </w:p>
              </w:tc>
              <w:tc>
                <w:tcPr>
                  <w:tcW w:w="1230" w:type="pct"/>
                  <w:noWrap w:val="0"/>
                  <w:vAlign w:val="center"/>
                </w:tcPr>
                <w:p w14:paraId="4209019B">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取得</w:t>
                  </w:r>
                  <w:r>
                    <w:rPr>
                      <w:rFonts w:hint="default" w:ascii="Times New Roman" w:hAnsi="Times New Roman" w:cs="Times New Roman"/>
                      <w:color w:val="auto"/>
                      <w:sz w:val="18"/>
                      <w:szCs w:val="18"/>
                      <w:highlight w:val="none"/>
                      <w:lang w:val="en-US" w:eastAsia="zh-CN"/>
                    </w:rPr>
                    <w:t>批复（海审批表复[2020]88号）</w:t>
                  </w:r>
                </w:p>
              </w:tc>
              <w:tc>
                <w:tcPr>
                  <w:tcW w:w="739" w:type="pct"/>
                  <w:noWrap w:val="0"/>
                  <w:vAlign w:val="center"/>
                </w:tcPr>
                <w:p w14:paraId="4BD0E790">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2020年7月9日</w:t>
                  </w:r>
                </w:p>
              </w:tc>
              <w:tc>
                <w:tcPr>
                  <w:tcW w:w="739" w:type="pct"/>
                  <w:vMerge w:val="restart"/>
                  <w:noWrap w:val="0"/>
                  <w:vAlign w:val="center"/>
                </w:tcPr>
                <w:p w14:paraId="01CF1263">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年产950万台套真空镀铝塑料件、50万台套油墨印刷塑料件</w:t>
                  </w:r>
                </w:p>
              </w:tc>
              <w:tc>
                <w:tcPr>
                  <w:tcW w:w="739" w:type="pct"/>
                  <w:vMerge w:val="restart"/>
                  <w:noWrap w:val="0"/>
                  <w:vAlign w:val="center"/>
                </w:tcPr>
                <w:p w14:paraId="0272A96C">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年产950万台套真空镀铝塑料件、50万台套油墨印刷塑料件</w:t>
                  </w:r>
                </w:p>
              </w:tc>
            </w:tr>
            <w:tr w14:paraId="5C6A20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44" w:hRule="atLeast"/>
                <w:jc w:val="center"/>
              </w:trPr>
              <w:tc>
                <w:tcPr>
                  <w:tcW w:w="1551" w:type="pct"/>
                  <w:vMerge w:val="continue"/>
                  <w:noWrap w:val="0"/>
                  <w:vAlign w:val="center"/>
                </w:tcPr>
                <w:p w14:paraId="09583515">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p>
              </w:tc>
              <w:tc>
                <w:tcPr>
                  <w:tcW w:w="1230" w:type="pct"/>
                  <w:noWrap w:val="0"/>
                  <w:vAlign w:val="center"/>
                </w:tcPr>
                <w:p w14:paraId="2E8ACA61">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完成自主验收</w:t>
                  </w:r>
                </w:p>
              </w:tc>
              <w:tc>
                <w:tcPr>
                  <w:tcW w:w="739" w:type="pct"/>
                  <w:noWrap w:val="0"/>
                  <w:vAlign w:val="center"/>
                </w:tcPr>
                <w:p w14:paraId="2E8C5BAC">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2020年10月3日</w:t>
                  </w:r>
                </w:p>
              </w:tc>
              <w:tc>
                <w:tcPr>
                  <w:tcW w:w="739" w:type="pct"/>
                  <w:vMerge w:val="continue"/>
                  <w:noWrap w:val="0"/>
                  <w:vAlign w:val="center"/>
                </w:tcPr>
                <w:p w14:paraId="791077FC">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p>
              </w:tc>
              <w:tc>
                <w:tcPr>
                  <w:tcW w:w="739" w:type="pct"/>
                  <w:vMerge w:val="continue"/>
                  <w:noWrap w:val="0"/>
                  <w:vAlign w:val="center"/>
                </w:tcPr>
                <w:p w14:paraId="3D65A0DC">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p>
              </w:tc>
            </w:tr>
            <w:tr w14:paraId="54BB86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44" w:hRule="atLeast"/>
                <w:jc w:val="center"/>
              </w:trPr>
              <w:tc>
                <w:tcPr>
                  <w:tcW w:w="1551" w:type="pct"/>
                  <w:vMerge w:val="restart"/>
                  <w:noWrap w:val="0"/>
                  <w:vAlign w:val="center"/>
                </w:tcPr>
                <w:p w14:paraId="14B94A9F">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南通冠东模塑股份有限公司年产1800吨熔喷布扩建项目</w:t>
                  </w:r>
                </w:p>
              </w:tc>
              <w:tc>
                <w:tcPr>
                  <w:tcW w:w="1230" w:type="pct"/>
                  <w:noWrap w:val="0"/>
                  <w:vAlign w:val="center"/>
                </w:tcPr>
                <w:p w14:paraId="0C56ADA5">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取得</w:t>
                  </w:r>
                  <w:r>
                    <w:rPr>
                      <w:rFonts w:hint="default" w:ascii="Times New Roman" w:hAnsi="Times New Roman" w:cs="Times New Roman"/>
                      <w:color w:val="auto"/>
                      <w:sz w:val="18"/>
                      <w:szCs w:val="18"/>
                      <w:highlight w:val="none"/>
                      <w:lang w:val="en-US" w:eastAsia="zh-CN"/>
                    </w:rPr>
                    <w:t>批复（海审批表复[2020]113号）</w:t>
                  </w:r>
                </w:p>
              </w:tc>
              <w:tc>
                <w:tcPr>
                  <w:tcW w:w="739" w:type="pct"/>
                  <w:noWrap w:val="0"/>
                  <w:vAlign w:val="center"/>
                </w:tcPr>
                <w:p w14:paraId="53958CAE">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2020年8月14日</w:t>
                  </w:r>
                </w:p>
              </w:tc>
              <w:tc>
                <w:tcPr>
                  <w:tcW w:w="739" w:type="pct"/>
                  <w:vMerge w:val="restart"/>
                  <w:noWrap w:val="0"/>
                  <w:vAlign w:val="center"/>
                </w:tcPr>
                <w:p w14:paraId="3CB06D04">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年产1800吨熔喷布</w:t>
                  </w:r>
                </w:p>
              </w:tc>
              <w:tc>
                <w:tcPr>
                  <w:tcW w:w="739" w:type="pct"/>
                  <w:vMerge w:val="restart"/>
                  <w:noWrap w:val="0"/>
                  <w:vAlign w:val="center"/>
                </w:tcPr>
                <w:p w14:paraId="58FD2A80">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未建设</w:t>
                  </w:r>
                </w:p>
              </w:tc>
            </w:tr>
            <w:tr w14:paraId="15ECF3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44" w:hRule="atLeast"/>
                <w:jc w:val="center"/>
              </w:trPr>
              <w:tc>
                <w:tcPr>
                  <w:tcW w:w="1551" w:type="pct"/>
                  <w:vMerge w:val="continue"/>
                  <w:noWrap w:val="0"/>
                  <w:vAlign w:val="center"/>
                </w:tcPr>
                <w:p w14:paraId="71AC216D">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p>
              </w:tc>
              <w:tc>
                <w:tcPr>
                  <w:tcW w:w="1969" w:type="pct"/>
                  <w:gridSpan w:val="2"/>
                  <w:noWrap w:val="0"/>
                  <w:vAlign w:val="center"/>
                </w:tcPr>
                <w:p w14:paraId="2C470E64">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因资金问题至今尚未进行建设，待后期资金到位再进行建设</w:t>
                  </w:r>
                </w:p>
              </w:tc>
              <w:tc>
                <w:tcPr>
                  <w:tcW w:w="739" w:type="pct"/>
                  <w:vMerge w:val="continue"/>
                  <w:noWrap w:val="0"/>
                  <w:vAlign w:val="center"/>
                </w:tcPr>
                <w:p w14:paraId="2AD63E60">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eastAsia" w:ascii="Times New Roman" w:hAnsi="Times New Roman" w:cs="Times New Roman"/>
                      <w:color w:val="auto"/>
                      <w:sz w:val="18"/>
                      <w:szCs w:val="18"/>
                      <w:highlight w:val="none"/>
                      <w:lang w:val="en-US" w:eastAsia="zh-CN"/>
                    </w:rPr>
                  </w:pPr>
                </w:p>
              </w:tc>
              <w:tc>
                <w:tcPr>
                  <w:tcW w:w="739" w:type="pct"/>
                  <w:vMerge w:val="continue"/>
                  <w:noWrap w:val="0"/>
                  <w:vAlign w:val="center"/>
                </w:tcPr>
                <w:p w14:paraId="5E2BDC76">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eastAsia" w:ascii="Times New Roman" w:hAnsi="Times New Roman" w:cs="Times New Roman"/>
                      <w:color w:val="auto"/>
                      <w:sz w:val="18"/>
                      <w:szCs w:val="18"/>
                      <w:highlight w:val="none"/>
                      <w:lang w:val="en-US" w:eastAsia="zh-CN"/>
                    </w:rPr>
                  </w:pPr>
                </w:p>
              </w:tc>
            </w:tr>
            <w:tr w14:paraId="589B55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70" w:hRule="atLeast"/>
                <w:jc w:val="center"/>
              </w:trPr>
              <w:tc>
                <w:tcPr>
                  <w:tcW w:w="1551" w:type="pct"/>
                  <w:noWrap w:val="0"/>
                  <w:vAlign w:val="center"/>
                </w:tcPr>
                <w:p w14:paraId="14F9B3DD">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排污许可证</w:t>
                  </w:r>
                </w:p>
              </w:tc>
              <w:tc>
                <w:tcPr>
                  <w:tcW w:w="1230" w:type="pct"/>
                  <w:noWrap w:val="0"/>
                  <w:vAlign w:val="center"/>
                </w:tcPr>
                <w:p w14:paraId="35E5C2F7">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取得排污许可证（91320684754616469J001U）</w:t>
                  </w:r>
                </w:p>
              </w:tc>
              <w:tc>
                <w:tcPr>
                  <w:tcW w:w="739" w:type="pct"/>
                  <w:noWrap w:val="0"/>
                  <w:vAlign w:val="center"/>
                </w:tcPr>
                <w:p w14:paraId="45E1A9A5">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eastAsia"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2022年11月15日</w:t>
                  </w:r>
                </w:p>
              </w:tc>
              <w:tc>
                <w:tcPr>
                  <w:tcW w:w="739" w:type="pct"/>
                  <w:noWrap w:val="0"/>
                  <w:vAlign w:val="center"/>
                </w:tcPr>
                <w:p w14:paraId="0594B230">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c>
                <w:tcPr>
                  <w:tcW w:w="739" w:type="pct"/>
                  <w:noWrap w:val="0"/>
                  <w:vAlign w:val="center"/>
                </w:tcPr>
                <w:p w14:paraId="494C0401">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r>
            <w:tr w14:paraId="5341E8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23" w:hRule="atLeast"/>
                <w:jc w:val="center"/>
              </w:trPr>
              <w:tc>
                <w:tcPr>
                  <w:tcW w:w="1551" w:type="pct"/>
                  <w:noWrap w:val="0"/>
                  <w:vAlign w:val="center"/>
                </w:tcPr>
                <w:p w14:paraId="541E03B6">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应急预案</w:t>
                  </w:r>
                </w:p>
              </w:tc>
              <w:tc>
                <w:tcPr>
                  <w:tcW w:w="1230" w:type="pct"/>
                  <w:noWrap w:val="0"/>
                  <w:vAlign w:val="center"/>
                </w:tcPr>
                <w:p w14:paraId="0EFED04F">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通过备案（320684-2023-156-L）</w:t>
                  </w:r>
                </w:p>
              </w:tc>
              <w:tc>
                <w:tcPr>
                  <w:tcW w:w="739" w:type="pct"/>
                  <w:noWrap w:val="0"/>
                  <w:vAlign w:val="center"/>
                </w:tcPr>
                <w:p w14:paraId="1EFD7A1E">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2023年11月24日</w:t>
                  </w:r>
                </w:p>
              </w:tc>
              <w:tc>
                <w:tcPr>
                  <w:tcW w:w="739" w:type="pct"/>
                  <w:noWrap w:val="0"/>
                  <w:vAlign w:val="center"/>
                </w:tcPr>
                <w:p w14:paraId="18C286A8">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c>
                <w:tcPr>
                  <w:tcW w:w="739" w:type="pct"/>
                  <w:noWrap w:val="0"/>
                  <w:vAlign w:val="center"/>
                </w:tcPr>
                <w:p w14:paraId="1FAC007C">
                  <w:pPr>
                    <w:pStyle w:val="46"/>
                    <w:keepNext w:val="0"/>
                    <w:keepLines w:val="0"/>
                    <w:pageBreakBefore w:val="0"/>
                    <w:widowControl w:val="0"/>
                    <w:kinsoku/>
                    <w:wordWrap/>
                    <w:overflowPunct/>
                    <w:topLinePunct w:val="0"/>
                    <w:autoSpaceDE w:val="0"/>
                    <w:autoSpaceDN w:val="0"/>
                    <w:bidi w:val="0"/>
                    <w:adjustRightInd/>
                    <w:snapToGrid/>
                    <w:spacing w:line="240" w:lineRule="auto"/>
                    <w:ind w:left="0" w:right="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w:t>
                  </w:r>
                </w:p>
              </w:tc>
            </w:tr>
          </w:tbl>
          <w:p w14:paraId="05B1DF0E">
            <w:pPr>
              <w:pStyle w:val="4"/>
              <w:numPr>
                <w:ilvl w:val="0"/>
                <w:numId w:val="0"/>
              </w:numPr>
              <w:suppressLineNumbers w:val="0"/>
              <w:tabs>
                <w:tab w:val="left" w:pos="1363"/>
              </w:tabs>
              <w:spacing w:beforeAutospacing="0" w:after="5" w:afterAutospacing="0" w:line="360" w:lineRule="auto"/>
              <w:ind w:right="0" w:rightChars="0"/>
              <w:rPr>
                <w:rFonts w:hint="default"/>
                <w:b/>
                <w:bCs w:val="0"/>
                <w:color w:val="auto"/>
                <w:highlight w:val="none"/>
                <w:lang w:val="en-US" w:eastAsia="zh-CN"/>
              </w:rPr>
            </w:pPr>
            <w:r>
              <w:rPr>
                <w:rFonts w:hint="eastAsia"/>
                <w:b/>
                <w:bCs w:val="0"/>
                <w:color w:val="auto"/>
                <w:highlight w:val="none"/>
                <w:lang w:val="en-US" w:eastAsia="zh-CN"/>
              </w:rPr>
              <w:t>2、现有项目建设情况</w:t>
            </w:r>
          </w:p>
          <w:p w14:paraId="0C3AA790">
            <w:pPr>
              <w:pStyle w:val="1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center"/>
              <w:textAlignment w:val="auto"/>
              <w:rPr>
                <w:color w:val="auto"/>
                <w:sz w:val="36"/>
              </w:rPr>
            </w:pPr>
            <w:r>
              <w:rPr>
                <w:rFonts w:hint="eastAsia" w:ascii="Times New Roman" w:hAnsi="Times New Roman" w:cs="Times New Roman"/>
                <w:b/>
                <w:bCs/>
                <w:color w:val="auto"/>
                <w:sz w:val="21"/>
                <w:szCs w:val="22"/>
                <w:lang w:val="en-US" w:eastAsia="zh-CN" w:bidi="zh-CN"/>
              </w:rPr>
              <w:t>2-12</w:t>
            </w:r>
            <w:r>
              <w:rPr>
                <w:rFonts w:hint="default" w:ascii="Times New Roman" w:hAnsi="Times New Roman" w:eastAsia="宋体" w:cs="Times New Roman"/>
                <w:b/>
                <w:bCs/>
                <w:color w:val="auto"/>
                <w:sz w:val="21"/>
                <w:szCs w:val="22"/>
                <w:lang w:val="en-US" w:eastAsia="zh-CN" w:bidi="zh-CN"/>
              </w:rPr>
              <w:t>项目基本组成情况一览表</w:t>
            </w:r>
          </w:p>
          <w:tbl>
            <w:tblPr>
              <w:tblStyle w:val="21"/>
              <w:tblW w:w="82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2015"/>
              <w:gridCol w:w="3001"/>
              <w:gridCol w:w="2540"/>
            </w:tblGrid>
            <w:tr w14:paraId="32EA96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702" w:type="dxa"/>
                  <w:tcBorders>
                    <w:tl2br w:val="nil"/>
                    <w:tr2bl w:val="nil"/>
                  </w:tcBorders>
                  <w:vAlign w:val="center"/>
                </w:tcPr>
                <w:p w14:paraId="5997042E">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类别</w:t>
                  </w:r>
                </w:p>
              </w:tc>
              <w:tc>
                <w:tcPr>
                  <w:tcW w:w="2015" w:type="dxa"/>
                  <w:tcBorders>
                    <w:tl2br w:val="nil"/>
                    <w:tr2bl w:val="nil"/>
                  </w:tcBorders>
                  <w:vAlign w:val="center"/>
                </w:tcPr>
                <w:p w14:paraId="5266E1F3">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工程名称</w:t>
                  </w:r>
                </w:p>
              </w:tc>
              <w:tc>
                <w:tcPr>
                  <w:tcW w:w="3001" w:type="dxa"/>
                  <w:tcBorders>
                    <w:tl2br w:val="nil"/>
                    <w:tr2bl w:val="nil"/>
                  </w:tcBorders>
                  <w:vAlign w:val="center"/>
                </w:tcPr>
                <w:p w14:paraId="15654F2D">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建设内容及规模</w:t>
                  </w:r>
                </w:p>
              </w:tc>
              <w:tc>
                <w:tcPr>
                  <w:tcW w:w="2540" w:type="dxa"/>
                  <w:tcBorders>
                    <w:tl2br w:val="nil"/>
                    <w:tr2bl w:val="nil"/>
                  </w:tcBorders>
                  <w:vAlign w:val="center"/>
                </w:tcPr>
                <w:p w14:paraId="1F825BED">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18"/>
                      <w:szCs w:val="18"/>
                      <w:lang w:val="en-US" w:eastAsia="zh-CN" w:bidi="ar-SA"/>
                    </w:rPr>
                  </w:pPr>
                  <w:r>
                    <w:rPr>
                      <w:rFonts w:hint="default" w:ascii="Times New Roman" w:hAnsi="Times New Roman" w:cs="Times New Roman"/>
                      <w:b/>
                      <w:bCs/>
                      <w:color w:val="auto"/>
                      <w:sz w:val="18"/>
                      <w:szCs w:val="18"/>
                      <w:lang w:val="en-US" w:eastAsia="zh-CN"/>
                    </w:rPr>
                    <w:t>备注</w:t>
                  </w:r>
                </w:p>
              </w:tc>
            </w:tr>
            <w:tr w14:paraId="237051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02" w:type="dxa"/>
                  <w:vMerge w:val="restart"/>
                  <w:tcBorders>
                    <w:tl2br w:val="nil"/>
                    <w:tr2bl w:val="nil"/>
                  </w:tcBorders>
                  <w:vAlign w:val="center"/>
                </w:tcPr>
                <w:p w14:paraId="2ED110B0">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主体工程</w:t>
                  </w:r>
                </w:p>
              </w:tc>
              <w:tc>
                <w:tcPr>
                  <w:tcW w:w="2015" w:type="dxa"/>
                  <w:tcBorders>
                    <w:tl2br w:val="nil"/>
                    <w:tr2bl w:val="nil"/>
                  </w:tcBorders>
                  <w:vAlign w:val="center"/>
                </w:tcPr>
                <w:p w14:paraId="3BB404E5">
                  <w:pPr>
                    <w:spacing w:line="240" w:lineRule="atLeast"/>
                    <w:jc w:val="center"/>
                    <w:rPr>
                      <w:rFonts w:hint="eastAsia" w:ascii="Times New Roman" w:hAnsi="Times New Roman" w:eastAsia="宋体" w:cs="Times New Roman"/>
                      <w:color w:val="auto"/>
                      <w:kern w:val="2"/>
                      <w:sz w:val="18"/>
                      <w:szCs w:val="18"/>
                      <w:highlight w:val="yellow"/>
                      <w:lang w:val="en-US" w:eastAsia="zh-CN" w:bidi="ar-SA"/>
                    </w:rPr>
                  </w:pPr>
                  <w:r>
                    <w:rPr>
                      <w:rFonts w:hint="eastAsia" w:ascii="Times New Roman" w:hAnsi="Times New Roman"/>
                      <w:color w:val="auto"/>
                      <w:sz w:val="18"/>
                      <w:szCs w:val="18"/>
                    </w:rPr>
                    <w:t>注塑车间</w:t>
                  </w:r>
                  <w:r>
                    <w:rPr>
                      <w:rFonts w:hint="eastAsia"/>
                      <w:color w:val="auto"/>
                      <w:sz w:val="18"/>
                      <w:szCs w:val="18"/>
                      <w:lang w:val="en-US" w:eastAsia="zh-CN"/>
                    </w:rPr>
                    <w:t>一</w:t>
                  </w:r>
                </w:p>
              </w:tc>
              <w:tc>
                <w:tcPr>
                  <w:tcW w:w="3001" w:type="dxa"/>
                  <w:tcBorders>
                    <w:tl2br w:val="nil"/>
                    <w:tr2bl w:val="nil"/>
                  </w:tcBorders>
                  <w:vAlign w:val="center"/>
                </w:tcPr>
                <w:p w14:paraId="7AD9B477">
                  <w:pPr>
                    <w:spacing w:line="240" w:lineRule="atLeast"/>
                    <w:jc w:val="center"/>
                    <w:rPr>
                      <w:rFonts w:hint="default" w:ascii="Times New Roman" w:hAnsi="Times New Roman" w:eastAsia="宋体" w:cs="Times New Roman"/>
                      <w:color w:val="auto"/>
                      <w:kern w:val="2"/>
                      <w:sz w:val="18"/>
                      <w:szCs w:val="18"/>
                      <w:highlight w:val="yellow"/>
                      <w:lang w:val="en-US" w:eastAsia="zh-CN" w:bidi="ar-SA"/>
                    </w:rPr>
                  </w:pPr>
                  <w:r>
                    <w:rPr>
                      <w:rFonts w:ascii="Times New Roman" w:hAnsi="Times New Roman"/>
                      <w:color w:val="auto"/>
                      <w:sz w:val="18"/>
                      <w:szCs w:val="18"/>
                    </w:rPr>
                    <w:t>建筑面积约19456.55m</w:t>
                  </w:r>
                  <w:r>
                    <w:rPr>
                      <w:rFonts w:ascii="Times New Roman" w:hAnsi="Times New Roman"/>
                      <w:color w:val="auto"/>
                      <w:sz w:val="18"/>
                      <w:szCs w:val="18"/>
                      <w:vertAlign w:val="superscript"/>
                    </w:rPr>
                    <w:t>2</w:t>
                  </w:r>
                </w:p>
              </w:tc>
              <w:tc>
                <w:tcPr>
                  <w:tcW w:w="2540" w:type="dxa"/>
                  <w:tcBorders>
                    <w:tl2br w:val="nil"/>
                    <w:tr2bl w:val="nil"/>
                  </w:tcBorders>
                  <w:vAlign w:val="center"/>
                </w:tcPr>
                <w:p w14:paraId="03B4A9C1">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cs="Times New Roman"/>
                      <w:color w:val="auto"/>
                      <w:sz w:val="18"/>
                      <w:szCs w:val="18"/>
                      <w:highlight w:val="none"/>
                      <w:lang w:val="en-US" w:eastAsia="zh-CN"/>
                    </w:rPr>
                  </w:pPr>
                  <w:r>
                    <w:rPr>
                      <w:rFonts w:hint="eastAsia" w:cs="Times New Roman"/>
                      <w:color w:val="auto"/>
                      <w:sz w:val="18"/>
                      <w:szCs w:val="18"/>
                      <w:lang w:val="en-US" w:eastAsia="zh-CN"/>
                    </w:rPr>
                    <w:t>/</w:t>
                  </w:r>
                </w:p>
              </w:tc>
            </w:tr>
            <w:tr w14:paraId="3D13FA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02" w:type="dxa"/>
                  <w:vMerge w:val="continue"/>
                  <w:tcBorders>
                    <w:tl2br w:val="nil"/>
                    <w:tr2bl w:val="nil"/>
                  </w:tcBorders>
                  <w:vAlign w:val="center"/>
                </w:tcPr>
                <w:p w14:paraId="4AE9037C">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p>
              </w:tc>
              <w:tc>
                <w:tcPr>
                  <w:tcW w:w="2015" w:type="dxa"/>
                  <w:tcBorders>
                    <w:tl2br w:val="nil"/>
                    <w:tr2bl w:val="nil"/>
                  </w:tcBorders>
                  <w:vAlign w:val="center"/>
                </w:tcPr>
                <w:p w14:paraId="6AAA032E">
                  <w:pPr>
                    <w:spacing w:line="24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olor w:val="auto"/>
                      <w:sz w:val="18"/>
                      <w:szCs w:val="18"/>
                      <w:lang w:val="en-US" w:eastAsia="zh-CN"/>
                    </w:rPr>
                    <w:t>模具车间一</w:t>
                  </w:r>
                </w:p>
              </w:tc>
              <w:tc>
                <w:tcPr>
                  <w:tcW w:w="3001" w:type="dxa"/>
                  <w:tcBorders>
                    <w:tl2br w:val="nil"/>
                    <w:tr2bl w:val="nil"/>
                  </w:tcBorders>
                  <w:vAlign w:val="center"/>
                </w:tcPr>
                <w:p w14:paraId="67CF4BF5">
                  <w:pPr>
                    <w:spacing w:line="240" w:lineRule="atLeast"/>
                    <w:jc w:val="center"/>
                    <w:rPr>
                      <w:rFonts w:hint="default" w:ascii="Times New Roman" w:hAnsi="Times New Roman" w:eastAsia="宋体" w:cs="Times New Roman"/>
                      <w:color w:val="auto"/>
                      <w:kern w:val="2"/>
                      <w:sz w:val="18"/>
                      <w:szCs w:val="18"/>
                      <w:lang w:val="en-US" w:eastAsia="zh-CN" w:bidi="ar-SA"/>
                    </w:rPr>
                  </w:pPr>
                  <w:r>
                    <w:rPr>
                      <w:rFonts w:ascii="Times New Roman" w:hAnsi="Times New Roman"/>
                      <w:color w:val="auto"/>
                      <w:sz w:val="18"/>
                      <w:szCs w:val="18"/>
                    </w:rPr>
                    <w:t>建筑面积约</w:t>
                  </w:r>
                  <w:r>
                    <w:rPr>
                      <w:rFonts w:hint="eastAsia" w:ascii="Times New Roman" w:hAnsi="Times New Roman"/>
                      <w:color w:val="auto"/>
                      <w:sz w:val="18"/>
                      <w:szCs w:val="18"/>
                      <w:lang w:val="en-US" w:eastAsia="zh-CN"/>
                    </w:rPr>
                    <w:t>7300</w:t>
                  </w:r>
                  <w:r>
                    <w:rPr>
                      <w:rFonts w:ascii="Times New Roman" w:hAnsi="Times New Roman"/>
                      <w:color w:val="auto"/>
                      <w:sz w:val="18"/>
                      <w:szCs w:val="18"/>
                    </w:rPr>
                    <w:t>m</w:t>
                  </w:r>
                  <w:r>
                    <w:rPr>
                      <w:rFonts w:ascii="Times New Roman" w:hAnsi="Times New Roman"/>
                      <w:color w:val="auto"/>
                      <w:sz w:val="18"/>
                      <w:szCs w:val="18"/>
                      <w:vertAlign w:val="superscript"/>
                    </w:rPr>
                    <w:t>2</w:t>
                  </w:r>
                </w:p>
              </w:tc>
              <w:tc>
                <w:tcPr>
                  <w:tcW w:w="2540" w:type="dxa"/>
                  <w:tcBorders>
                    <w:tl2br w:val="nil"/>
                    <w:tr2bl w:val="nil"/>
                  </w:tcBorders>
                  <w:vAlign w:val="center"/>
                </w:tcPr>
                <w:p w14:paraId="5FDF2393">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cs="Times New Roman"/>
                      <w:color w:val="auto"/>
                      <w:sz w:val="18"/>
                      <w:szCs w:val="18"/>
                      <w:highlight w:val="none"/>
                      <w:lang w:val="en-US" w:eastAsia="zh-CN"/>
                    </w:rPr>
                  </w:pPr>
                  <w:r>
                    <w:rPr>
                      <w:rFonts w:hint="eastAsia" w:cs="Times New Roman"/>
                      <w:color w:val="auto"/>
                      <w:sz w:val="18"/>
                      <w:szCs w:val="18"/>
                      <w:lang w:val="en-US" w:eastAsia="zh-CN"/>
                    </w:rPr>
                    <w:t>/</w:t>
                  </w:r>
                </w:p>
              </w:tc>
            </w:tr>
            <w:tr w14:paraId="7E0FD4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02" w:type="dxa"/>
                  <w:vMerge w:val="continue"/>
                  <w:tcBorders>
                    <w:tl2br w:val="nil"/>
                    <w:tr2bl w:val="nil"/>
                  </w:tcBorders>
                  <w:vAlign w:val="center"/>
                </w:tcPr>
                <w:p w14:paraId="3B6674D9">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p>
              </w:tc>
              <w:tc>
                <w:tcPr>
                  <w:tcW w:w="2015" w:type="dxa"/>
                  <w:tcBorders>
                    <w:tl2br w:val="nil"/>
                    <w:tr2bl w:val="nil"/>
                  </w:tcBorders>
                  <w:shd w:val="clear" w:color="auto" w:fill="auto"/>
                  <w:vAlign w:val="center"/>
                </w:tcPr>
                <w:p w14:paraId="4056DD72">
                  <w:pPr>
                    <w:jc w:val="center"/>
                    <w:rPr>
                      <w:rFonts w:hint="default"/>
                      <w:color w:val="auto"/>
                      <w:kern w:val="0"/>
                      <w:sz w:val="20"/>
                      <w:lang w:val="en-US" w:eastAsia="zh-CN"/>
                    </w:rPr>
                  </w:pPr>
                  <w:r>
                    <w:rPr>
                      <w:rFonts w:hint="eastAsia"/>
                      <w:color w:val="auto"/>
                      <w:kern w:val="0"/>
                      <w:sz w:val="20"/>
                      <w:lang w:val="en-US" w:eastAsia="zh-CN"/>
                    </w:rPr>
                    <w:t>注塑车间二</w:t>
                  </w:r>
                </w:p>
              </w:tc>
              <w:tc>
                <w:tcPr>
                  <w:tcW w:w="3001" w:type="dxa"/>
                  <w:tcBorders>
                    <w:tl2br w:val="nil"/>
                    <w:tr2bl w:val="nil"/>
                  </w:tcBorders>
                  <w:vAlign w:val="center"/>
                </w:tcPr>
                <w:p w14:paraId="232FA55F">
                  <w:pPr>
                    <w:spacing w:line="240" w:lineRule="atLeast"/>
                    <w:jc w:val="center"/>
                    <w:rPr>
                      <w:rFonts w:hint="default" w:eastAsia="宋体" w:cs="Times New Roman"/>
                      <w:color w:val="auto"/>
                      <w:sz w:val="18"/>
                      <w:szCs w:val="18"/>
                      <w:lang w:val="en-US" w:eastAsia="zh-CN"/>
                    </w:rPr>
                  </w:pPr>
                  <w:r>
                    <w:rPr>
                      <w:rFonts w:ascii="Times New Roman" w:hAnsi="Times New Roman"/>
                      <w:color w:val="auto"/>
                      <w:sz w:val="18"/>
                      <w:szCs w:val="18"/>
                    </w:rPr>
                    <w:t>建筑面积约</w:t>
                  </w:r>
                  <w:r>
                    <w:rPr>
                      <w:rFonts w:hint="eastAsia"/>
                      <w:color w:val="auto"/>
                      <w:sz w:val="18"/>
                      <w:szCs w:val="18"/>
                      <w:lang w:val="en-US" w:eastAsia="zh-CN"/>
                    </w:rPr>
                    <w:t>6300</w:t>
                  </w:r>
                  <w:r>
                    <w:rPr>
                      <w:rFonts w:ascii="Times New Roman" w:hAnsi="Times New Roman"/>
                      <w:color w:val="auto"/>
                      <w:sz w:val="18"/>
                      <w:szCs w:val="18"/>
                    </w:rPr>
                    <w:t>m</w:t>
                  </w:r>
                  <w:r>
                    <w:rPr>
                      <w:rFonts w:ascii="Times New Roman" w:hAnsi="Times New Roman"/>
                      <w:color w:val="auto"/>
                      <w:sz w:val="18"/>
                      <w:szCs w:val="18"/>
                      <w:vertAlign w:val="superscript"/>
                    </w:rPr>
                    <w:t>2</w:t>
                  </w:r>
                </w:p>
              </w:tc>
              <w:tc>
                <w:tcPr>
                  <w:tcW w:w="2540" w:type="dxa"/>
                  <w:tcBorders>
                    <w:tl2br w:val="nil"/>
                    <w:tr2bl w:val="nil"/>
                  </w:tcBorders>
                  <w:vAlign w:val="center"/>
                </w:tcPr>
                <w:p w14:paraId="5C78F773">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2CD495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02" w:type="dxa"/>
                  <w:vMerge w:val="continue"/>
                  <w:tcBorders>
                    <w:tl2br w:val="nil"/>
                    <w:tr2bl w:val="nil"/>
                  </w:tcBorders>
                  <w:vAlign w:val="center"/>
                </w:tcPr>
                <w:p w14:paraId="29CF2962">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p>
              </w:tc>
              <w:tc>
                <w:tcPr>
                  <w:tcW w:w="2015" w:type="dxa"/>
                  <w:tcBorders>
                    <w:tl2br w:val="nil"/>
                    <w:tr2bl w:val="nil"/>
                  </w:tcBorders>
                  <w:shd w:val="clear" w:color="auto" w:fill="auto"/>
                  <w:vAlign w:val="center"/>
                </w:tcPr>
                <w:p w14:paraId="18D74302">
                  <w:pPr>
                    <w:jc w:val="center"/>
                    <w:rPr>
                      <w:rFonts w:hint="default"/>
                      <w:color w:val="auto"/>
                      <w:kern w:val="0"/>
                      <w:sz w:val="20"/>
                      <w:lang w:val="en-US" w:eastAsia="zh-CN"/>
                    </w:rPr>
                  </w:pPr>
                  <w:r>
                    <w:rPr>
                      <w:rFonts w:hint="eastAsia"/>
                      <w:color w:val="auto"/>
                      <w:kern w:val="0"/>
                      <w:sz w:val="20"/>
                      <w:lang w:val="en-US" w:eastAsia="zh-CN"/>
                    </w:rPr>
                    <w:t>模具车间二</w:t>
                  </w:r>
                </w:p>
              </w:tc>
              <w:tc>
                <w:tcPr>
                  <w:tcW w:w="3001" w:type="dxa"/>
                  <w:tcBorders>
                    <w:tl2br w:val="nil"/>
                    <w:tr2bl w:val="nil"/>
                  </w:tcBorders>
                  <w:vAlign w:val="center"/>
                </w:tcPr>
                <w:p w14:paraId="7C85BE24">
                  <w:pPr>
                    <w:spacing w:line="240" w:lineRule="atLeast"/>
                    <w:jc w:val="center"/>
                    <w:rPr>
                      <w:rFonts w:hint="eastAsia" w:cs="Times New Roman"/>
                      <w:color w:val="auto"/>
                      <w:sz w:val="18"/>
                      <w:szCs w:val="18"/>
                      <w:lang w:val="en-US" w:eastAsia="zh-CN"/>
                    </w:rPr>
                  </w:pPr>
                  <w:r>
                    <w:rPr>
                      <w:rFonts w:ascii="Times New Roman" w:hAnsi="Times New Roman"/>
                      <w:color w:val="auto"/>
                      <w:sz w:val="18"/>
                      <w:szCs w:val="18"/>
                    </w:rPr>
                    <w:t>建筑面积约</w:t>
                  </w:r>
                  <w:r>
                    <w:rPr>
                      <w:rFonts w:hint="eastAsia"/>
                      <w:color w:val="auto"/>
                      <w:sz w:val="18"/>
                      <w:szCs w:val="18"/>
                      <w:lang w:val="en-US" w:eastAsia="zh-CN"/>
                    </w:rPr>
                    <w:t>7000</w:t>
                  </w:r>
                  <w:r>
                    <w:rPr>
                      <w:rFonts w:ascii="Times New Roman" w:hAnsi="Times New Roman"/>
                      <w:color w:val="auto"/>
                      <w:sz w:val="18"/>
                      <w:szCs w:val="18"/>
                    </w:rPr>
                    <w:t>m</w:t>
                  </w:r>
                  <w:r>
                    <w:rPr>
                      <w:rFonts w:ascii="Times New Roman" w:hAnsi="Times New Roman"/>
                      <w:color w:val="auto"/>
                      <w:sz w:val="18"/>
                      <w:szCs w:val="18"/>
                      <w:vertAlign w:val="superscript"/>
                    </w:rPr>
                    <w:t>2</w:t>
                  </w:r>
                </w:p>
              </w:tc>
              <w:tc>
                <w:tcPr>
                  <w:tcW w:w="2540" w:type="dxa"/>
                  <w:tcBorders>
                    <w:tl2br w:val="nil"/>
                    <w:tr2bl w:val="nil"/>
                  </w:tcBorders>
                  <w:vAlign w:val="center"/>
                </w:tcPr>
                <w:p w14:paraId="00F49BC5">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67B1AB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02" w:type="dxa"/>
                  <w:vMerge w:val="restart"/>
                  <w:tcBorders>
                    <w:tl2br w:val="nil"/>
                    <w:tr2bl w:val="nil"/>
                  </w:tcBorders>
                  <w:vAlign w:val="center"/>
                </w:tcPr>
                <w:p w14:paraId="704EE3CC">
                  <w:pPr>
                    <w:pStyle w:val="8"/>
                    <w:keepNext w:val="0"/>
                    <w:keepLines w:val="0"/>
                    <w:pageBreakBefore w:val="0"/>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储运工程</w:t>
                  </w:r>
                </w:p>
              </w:tc>
              <w:tc>
                <w:tcPr>
                  <w:tcW w:w="2015" w:type="dxa"/>
                  <w:tcBorders>
                    <w:tl2br w:val="nil"/>
                    <w:tr2bl w:val="nil"/>
                  </w:tcBorders>
                  <w:vAlign w:val="center"/>
                </w:tcPr>
                <w:p w14:paraId="77D0F1C4">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ascii="Times New Roman" w:hAnsi="Times New Roman"/>
                      <w:color w:val="auto"/>
                      <w:sz w:val="18"/>
                      <w:szCs w:val="18"/>
                    </w:rPr>
                    <w:t>原料仓库</w:t>
                  </w:r>
                </w:p>
              </w:tc>
              <w:tc>
                <w:tcPr>
                  <w:tcW w:w="3001" w:type="dxa"/>
                  <w:tcBorders>
                    <w:tl2br w:val="nil"/>
                    <w:tr2bl w:val="nil"/>
                  </w:tcBorders>
                  <w:vAlign w:val="center"/>
                </w:tcPr>
                <w:p w14:paraId="605E9143">
                  <w:pPr>
                    <w:spacing w:line="240" w:lineRule="atLeast"/>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color w:val="auto"/>
                      <w:sz w:val="18"/>
                      <w:szCs w:val="18"/>
                    </w:rPr>
                    <w:t>建筑面积约4722.6m</w:t>
                  </w:r>
                  <w:r>
                    <w:rPr>
                      <w:rFonts w:ascii="Times New Roman" w:hAnsi="Times New Roman"/>
                      <w:color w:val="auto"/>
                      <w:sz w:val="18"/>
                      <w:szCs w:val="18"/>
                      <w:vertAlign w:val="superscript"/>
                    </w:rPr>
                    <w:t>2</w:t>
                  </w:r>
                </w:p>
              </w:tc>
              <w:tc>
                <w:tcPr>
                  <w:tcW w:w="2540" w:type="dxa"/>
                  <w:tcBorders>
                    <w:tl2br w:val="nil"/>
                    <w:tr2bl w:val="nil"/>
                  </w:tcBorders>
                  <w:vAlign w:val="center"/>
                </w:tcPr>
                <w:p w14:paraId="21EF1B7D">
                  <w:pPr>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5893DF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02" w:type="dxa"/>
                  <w:vMerge w:val="continue"/>
                  <w:tcBorders>
                    <w:tl2br w:val="nil"/>
                    <w:tr2bl w:val="nil"/>
                  </w:tcBorders>
                  <w:vAlign w:val="center"/>
                </w:tcPr>
                <w:p w14:paraId="04953826">
                  <w:pPr>
                    <w:pStyle w:val="8"/>
                    <w:keepNext w:val="0"/>
                    <w:keepLines w:val="0"/>
                    <w:pageBreakBefore w:val="0"/>
                    <w:kinsoku/>
                    <w:wordWrap/>
                    <w:overflowPunct/>
                    <w:topLinePunct w:val="0"/>
                    <w:autoSpaceDE/>
                    <w:autoSpaceDN/>
                    <w:bidi w:val="0"/>
                    <w:adjustRightInd/>
                    <w:spacing w:before="0" w:after="0" w:line="240" w:lineRule="auto"/>
                    <w:ind w:right="0" w:rightChars="0"/>
                    <w:jc w:val="center"/>
                    <w:textAlignment w:val="auto"/>
                    <w:rPr>
                      <w:rFonts w:hint="eastAsia" w:cs="Times New Roman"/>
                      <w:color w:val="auto"/>
                      <w:sz w:val="18"/>
                      <w:szCs w:val="18"/>
                      <w:lang w:val="en-US" w:eastAsia="zh-CN"/>
                    </w:rPr>
                  </w:pPr>
                </w:p>
              </w:tc>
              <w:tc>
                <w:tcPr>
                  <w:tcW w:w="2015" w:type="dxa"/>
                  <w:tcBorders>
                    <w:tl2br w:val="nil"/>
                    <w:tr2bl w:val="nil"/>
                  </w:tcBorders>
                  <w:vAlign w:val="center"/>
                </w:tcPr>
                <w:p w14:paraId="5B10E477">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成品仓库</w:t>
                  </w:r>
                </w:p>
              </w:tc>
              <w:tc>
                <w:tcPr>
                  <w:tcW w:w="3001" w:type="dxa"/>
                  <w:tcBorders>
                    <w:tl2br w:val="nil"/>
                    <w:tr2bl w:val="nil"/>
                  </w:tcBorders>
                  <w:shd w:val="clear" w:color="auto" w:fill="auto"/>
                  <w:vAlign w:val="center"/>
                </w:tcPr>
                <w:p w14:paraId="1BDBBF3E">
                  <w:pPr>
                    <w:spacing w:line="240" w:lineRule="atLeast"/>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color w:val="auto"/>
                      <w:sz w:val="18"/>
                      <w:szCs w:val="18"/>
                    </w:rPr>
                    <w:t>建筑面积约</w:t>
                  </w:r>
                  <w:r>
                    <w:rPr>
                      <w:rFonts w:hint="eastAsia"/>
                      <w:color w:val="auto"/>
                      <w:sz w:val="18"/>
                      <w:szCs w:val="18"/>
                      <w:lang w:val="en-US" w:eastAsia="zh-CN"/>
                    </w:rPr>
                    <w:t>8928</w:t>
                  </w:r>
                  <w:r>
                    <w:rPr>
                      <w:rFonts w:ascii="Times New Roman" w:hAnsi="Times New Roman"/>
                      <w:color w:val="auto"/>
                      <w:sz w:val="18"/>
                      <w:szCs w:val="18"/>
                    </w:rPr>
                    <w:t>m</w:t>
                  </w:r>
                  <w:r>
                    <w:rPr>
                      <w:rFonts w:ascii="Times New Roman" w:hAnsi="Times New Roman"/>
                      <w:color w:val="auto"/>
                      <w:sz w:val="18"/>
                      <w:szCs w:val="18"/>
                      <w:vertAlign w:val="superscript"/>
                    </w:rPr>
                    <w:t>2</w:t>
                  </w:r>
                </w:p>
              </w:tc>
              <w:tc>
                <w:tcPr>
                  <w:tcW w:w="2540" w:type="dxa"/>
                  <w:tcBorders>
                    <w:tl2br w:val="nil"/>
                    <w:tr2bl w:val="nil"/>
                  </w:tcBorders>
                  <w:vAlign w:val="center"/>
                </w:tcPr>
                <w:p w14:paraId="12140F08">
                  <w:pPr>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22C5FE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702" w:type="dxa"/>
                  <w:vMerge w:val="continue"/>
                  <w:tcBorders>
                    <w:tl2br w:val="nil"/>
                    <w:tr2bl w:val="nil"/>
                  </w:tcBorders>
                  <w:vAlign w:val="center"/>
                </w:tcPr>
                <w:p w14:paraId="6ECAE4AD">
                  <w:pPr>
                    <w:pStyle w:val="8"/>
                    <w:keepNext w:val="0"/>
                    <w:keepLines w:val="0"/>
                    <w:pageBreakBefore w:val="0"/>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p>
              </w:tc>
              <w:tc>
                <w:tcPr>
                  <w:tcW w:w="2015" w:type="dxa"/>
                  <w:tcBorders>
                    <w:tl2br w:val="nil"/>
                    <w:tr2bl w:val="nil"/>
                  </w:tcBorders>
                  <w:vAlign w:val="center"/>
                </w:tcPr>
                <w:p w14:paraId="59051E24">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五金仓库</w:t>
                  </w:r>
                </w:p>
              </w:tc>
              <w:tc>
                <w:tcPr>
                  <w:tcW w:w="3001" w:type="dxa"/>
                  <w:tcBorders>
                    <w:tl2br w:val="nil"/>
                    <w:tr2bl w:val="nil"/>
                  </w:tcBorders>
                  <w:shd w:val="clear" w:color="auto" w:fill="auto"/>
                  <w:vAlign w:val="center"/>
                </w:tcPr>
                <w:p w14:paraId="3DF0948F">
                  <w:pPr>
                    <w:spacing w:line="240" w:lineRule="atLeast"/>
                    <w:jc w:val="center"/>
                    <w:rPr>
                      <w:rFonts w:hint="default" w:ascii="Times New Roman" w:hAnsi="Times New Roman" w:eastAsia="宋体" w:cs="Times New Roman"/>
                      <w:color w:val="auto"/>
                      <w:kern w:val="2"/>
                      <w:sz w:val="18"/>
                      <w:szCs w:val="18"/>
                      <w:lang w:val="en-US" w:eastAsia="zh-CN" w:bidi="ar-SA"/>
                    </w:rPr>
                  </w:pPr>
                  <w:r>
                    <w:rPr>
                      <w:rFonts w:ascii="Times New Roman" w:hAnsi="Times New Roman"/>
                      <w:color w:val="auto"/>
                      <w:sz w:val="18"/>
                      <w:szCs w:val="18"/>
                    </w:rPr>
                    <w:t>建筑面积约</w:t>
                  </w:r>
                  <w:r>
                    <w:rPr>
                      <w:rFonts w:hint="eastAsia"/>
                      <w:color w:val="auto"/>
                      <w:sz w:val="18"/>
                      <w:szCs w:val="18"/>
                      <w:lang w:val="en-US" w:eastAsia="zh-CN"/>
                    </w:rPr>
                    <w:t>1800</w:t>
                  </w:r>
                  <w:r>
                    <w:rPr>
                      <w:rFonts w:ascii="Times New Roman" w:hAnsi="Times New Roman"/>
                      <w:color w:val="auto"/>
                      <w:sz w:val="18"/>
                      <w:szCs w:val="18"/>
                    </w:rPr>
                    <w:t>m</w:t>
                  </w:r>
                  <w:r>
                    <w:rPr>
                      <w:rFonts w:ascii="Times New Roman" w:hAnsi="Times New Roman"/>
                      <w:color w:val="auto"/>
                      <w:sz w:val="18"/>
                      <w:szCs w:val="18"/>
                      <w:vertAlign w:val="superscript"/>
                    </w:rPr>
                    <w:t>2</w:t>
                  </w:r>
                </w:p>
              </w:tc>
              <w:tc>
                <w:tcPr>
                  <w:tcW w:w="2540" w:type="dxa"/>
                  <w:tcBorders>
                    <w:tl2br w:val="nil"/>
                    <w:tr2bl w:val="nil"/>
                  </w:tcBorders>
                  <w:vAlign w:val="center"/>
                </w:tcPr>
                <w:p w14:paraId="2091C566">
                  <w:pPr>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5E5744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702" w:type="dxa"/>
                  <w:tcBorders>
                    <w:tl2br w:val="nil"/>
                    <w:tr2bl w:val="nil"/>
                  </w:tcBorders>
                  <w:vAlign w:val="center"/>
                </w:tcPr>
                <w:p w14:paraId="187B3D3E">
                  <w:pPr>
                    <w:pStyle w:val="8"/>
                    <w:keepNext w:val="0"/>
                    <w:keepLines w:val="0"/>
                    <w:pageBreakBefore w:val="0"/>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辅助工程</w:t>
                  </w:r>
                </w:p>
              </w:tc>
              <w:tc>
                <w:tcPr>
                  <w:tcW w:w="2015" w:type="dxa"/>
                  <w:tcBorders>
                    <w:tl2br w:val="nil"/>
                    <w:tr2bl w:val="nil"/>
                  </w:tcBorders>
                  <w:vAlign w:val="center"/>
                </w:tcPr>
                <w:p w14:paraId="6AF1687B">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olor w:val="auto"/>
                      <w:sz w:val="18"/>
                      <w:szCs w:val="18"/>
                    </w:rPr>
                    <w:t>食堂</w:t>
                  </w:r>
                </w:p>
              </w:tc>
              <w:tc>
                <w:tcPr>
                  <w:tcW w:w="3001" w:type="dxa"/>
                  <w:tcBorders>
                    <w:tl2br w:val="nil"/>
                    <w:tr2bl w:val="nil"/>
                  </w:tcBorders>
                  <w:vAlign w:val="center"/>
                </w:tcPr>
                <w:p w14:paraId="32C31ABD">
                  <w:pPr>
                    <w:spacing w:line="240" w:lineRule="atLeast"/>
                    <w:jc w:val="center"/>
                    <w:rPr>
                      <w:rFonts w:hint="eastAsia" w:cs="Times New Roman"/>
                      <w:color w:val="auto"/>
                      <w:sz w:val="18"/>
                      <w:szCs w:val="18"/>
                      <w:lang w:val="en-US" w:eastAsia="zh-CN"/>
                    </w:rPr>
                  </w:pPr>
                  <w:r>
                    <w:rPr>
                      <w:rFonts w:ascii="Times New Roman" w:hAnsi="Times New Roman"/>
                      <w:color w:val="auto"/>
                      <w:sz w:val="18"/>
                      <w:szCs w:val="18"/>
                    </w:rPr>
                    <w:t>建筑面积约</w:t>
                  </w:r>
                  <w:r>
                    <w:rPr>
                      <w:rFonts w:hint="eastAsia" w:ascii="Times New Roman" w:hAnsi="Times New Roman"/>
                      <w:color w:val="auto"/>
                      <w:sz w:val="18"/>
                      <w:szCs w:val="18"/>
                    </w:rPr>
                    <w:t>6000</w:t>
                  </w:r>
                  <w:r>
                    <w:rPr>
                      <w:rFonts w:ascii="Times New Roman" w:hAnsi="Times New Roman"/>
                      <w:color w:val="auto"/>
                      <w:sz w:val="18"/>
                      <w:szCs w:val="18"/>
                    </w:rPr>
                    <w:t>m</w:t>
                  </w:r>
                  <w:r>
                    <w:rPr>
                      <w:rFonts w:ascii="Times New Roman" w:hAnsi="Times New Roman"/>
                      <w:color w:val="auto"/>
                      <w:sz w:val="18"/>
                      <w:szCs w:val="18"/>
                      <w:vertAlign w:val="superscript"/>
                    </w:rPr>
                    <w:t>2</w:t>
                  </w:r>
                </w:p>
              </w:tc>
              <w:tc>
                <w:tcPr>
                  <w:tcW w:w="2540" w:type="dxa"/>
                  <w:tcBorders>
                    <w:tl2br w:val="nil"/>
                    <w:tr2bl w:val="nil"/>
                  </w:tcBorders>
                  <w:vAlign w:val="center"/>
                </w:tcPr>
                <w:p w14:paraId="4AEAE274">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yellow"/>
                    </w:rPr>
                  </w:pPr>
                  <w:r>
                    <w:rPr>
                      <w:rFonts w:hint="eastAsia" w:cs="Times New Roman"/>
                      <w:color w:val="auto"/>
                      <w:sz w:val="18"/>
                      <w:szCs w:val="18"/>
                      <w:lang w:val="en-US" w:eastAsia="zh-CN"/>
                    </w:rPr>
                    <w:t>/</w:t>
                  </w:r>
                </w:p>
              </w:tc>
            </w:tr>
            <w:tr w14:paraId="05C18C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02" w:type="dxa"/>
                  <w:vMerge w:val="restart"/>
                  <w:tcBorders>
                    <w:tl2br w:val="nil"/>
                    <w:tr2bl w:val="nil"/>
                  </w:tcBorders>
                  <w:vAlign w:val="center"/>
                </w:tcPr>
                <w:p w14:paraId="7E73B530">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公用工程</w:t>
                  </w:r>
                </w:p>
              </w:tc>
              <w:tc>
                <w:tcPr>
                  <w:tcW w:w="2015" w:type="dxa"/>
                  <w:tcBorders>
                    <w:tl2br w:val="nil"/>
                    <w:tr2bl w:val="nil"/>
                  </w:tcBorders>
                  <w:vAlign w:val="center"/>
                </w:tcPr>
                <w:p w14:paraId="22D80B0E">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给水</w:t>
                  </w:r>
                </w:p>
              </w:tc>
              <w:tc>
                <w:tcPr>
                  <w:tcW w:w="3001" w:type="dxa"/>
                  <w:tcBorders>
                    <w:tl2br w:val="nil"/>
                    <w:tr2bl w:val="nil"/>
                  </w:tcBorders>
                  <w:vAlign w:val="center"/>
                </w:tcPr>
                <w:p w14:paraId="752B554C">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highlight w:val="yellow"/>
                      <w:lang w:val="en-US" w:eastAsia="zh-CN"/>
                    </w:rPr>
                  </w:pPr>
                  <w:r>
                    <w:rPr>
                      <w:rFonts w:hint="eastAsia" w:cs="Times New Roman"/>
                      <w:color w:val="auto"/>
                      <w:highlight w:val="none"/>
                      <w:lang w:val="en-US" w:eastAsia="zh-CN"/>
                    </w:rPr>
                    <w:t>28395</w:t>
                  </w:r>
                  <w:r>
                    <w:rPr>
                      <w:rFonts w:hint="default" w:ascii="Times New Roman" w:hAnsi="Times New Roman" w:cs="Times New Roman"/>
                      <w:color w:val="auto"/>
                      <w:highlight w:val="none"/>
                    </w:rPr>
                    <w:t>‬t/a</w:t>
                  </w:r>
                </w:p>
              </w:tc>
              <w:tc>
                <w:tcPr>
                  <w:tcW w:w="2540" w:type="dxa"/>
                  <w:tcBorders>
                    <w:tl2br w:val="nil"/>
                    <w:tr2bl w:val="nil"/>
                  </w:tcBorders>
                  <w:vAlign w:val="center"/>
                </w:tcPr>
                <w:p w14:paraId="20CE6539">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ascii="Times New Roman" w:hAnsi="Times New Roman" w:cs="Times New Roman"/>
                      <w:color w:val="auto"/>
                      <w:sz w:val="18"/>
                      <w:szCs w:val="18"/>
                      <w:highlight w:val="yellow"/>
                      <w:lang w:val="en-US" w:eastAsia="zh-CN"/>
                    </w:rPr>
                  </w:pPr>
                  <w:r>
                    <w:rPr>
                      <w:rFonts w:hint="default" w:ascii="Times New Roman" w:hAnsi="Times New Roman" w:cs="Times New Roman"/>
                      <w:color w:val="auto"/>
                      <w:sz w:val="18"/>
                      <w:szCs w:val="18"/>
                      <w:lang w:val="en-US" w:eastAsia="zh-CN"/>
                    </w:rPr>
                    <w:t>来自市政水管网</w:t>
                  </w:r>
                </w:p>
              </w:tc>
            </w:tr>
            <w:tr w14:paraId="28D495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02" w:type="dxa"/>
                  <w:vMerge w:val="continue"/>
                  <w:tcBorders>
                    <w:tl2br w:val="nil"/>
                    <w:tr2bl w:val="nil"/>
                  </w:tcBorders>
                  <w:vAlign w:val="center"/>
                </w:tcPr>
                <w:p w14:paraId="7F2C44A8">
                  <w:pPr>
                    <w:pStyle w:val="8"/>
                    <w:keepNext w:val="0"/>
                    <w:keepLines w:val="0"/>
                    <w:pageBreakBefore w:val="0"/>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rPr>
                  </w:pPr>
                </w:p>
              </w:tc>
              <w:tc>
                <w:tcPr>
                  <w:tcW w:w="2015" w:type="dxa"/>
                  <w:tcBorders>
                    <w:tl2br w:val="nil"/>
                    <w:tr2bl w:val="nil"/>
                  </w:tcBorders>
                  <w:vAlign w:val="center"/>
                </w:tcPr>
                <w:p w14:paraId="020E1133">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排水</w:t>
                  </w:r>
                </w:p>
              </w:tc>
              <w:tc>
                <w:tcPr>
                  <w:tcW w:w="3001" w:type="dxa"/>
                  <w:tcBorders>
                    <w:tl2br w:val="nil"/>
                    <w:tr2bl w:val="nil"/>
                  </w:tcBorders>
                  <w:vAlign w:val="center"/>
                </w:tcPr>
                <w:p w14:paraId="5B2352FB">
                  <w:pPr>
                    <w:keepNext w:val="0"/>
                    <w:keepLines w:val="0"/>
                    <w:pageBreakBefore w:val="0"/>
                    <w:kinsoku/>
                    <w:wordWrap/>
                    <w:overflowPunct/>
                    <w:topLinePunct w:val="0"/>
                    <w:autoSpaceDE/>
                    <w:autoSpaceDN/>
                    <w:bidi w:val="0"/>
                    <w:adjustRightInd/>
                    <w:spacing w:line="240" w:lineRule="auto"/>
                    <w:ind w:right="0"/>
                    <w:jc w:val="center"/>
                    <w:textAlignment w:val="auto"/>
                    <w:rPr>
                      <w:rFonts w:hint="default" w:ascii="Times New Roman" w:hAnsi="Times New Roman" w:eastAsia="宋体" w:cs="Times New Roman"/>
                      <w:b w:val="0"/>
                      <w:bCs w:val="0"/>
                      <w:color w:val="auto"/>
                      <w:kern w:val="0"/>
                      <w:sz w:val="18"/>
                      <w:szCs w:val="18"/>
                      <w:lang w:val="en-US" w:eastAsia="zh-CN" w:bidi="ar-SA"/>
                    </w:rPr>
                  </w:pPr>
                  <w:r>
                    <w:rPr>
                      <w:rFonts w:hint="eastAsia" w:cs="Times New Roman"/>
                      <w:b w:val="0"/>
                      <w:bCs w:val="0"/>
                      <w:color w:val="auto"/>
                      <w:kern w:val="0"/>
                      <w:sz w:val="18"/>
                      <w:szCs w:val="18"/>
                      <w:lang w:val="en-US" w:eastAsia="zh-CN" w:bidi="ar-SA"/>
                    </w:rPr>
                    <w:t>22356</w:t>
                  </w:r>
                  <w:r>
                    <w:rPr>
                      <w:rFonts w:hint="default" w:ascii="Times New Roman" w:hAnsi="Times New Roman" w:eastAsia="宋体" w:cs="Times New Roman"/>
                      <w:b w:val="0"/>
                      <w:bCs w:val="0"/>
                      <w:color w:val="auto"/>
                      <w:kern w:val="0"/>
                      <w:sz w:val="18"/>
                      <w:szCs w:val="18"/>
                      <w:lang w:val="en-US" w:eastAsia="zh-CN" w:bidi="ar-SA"/>
                    </w:rPr>
                    <w:t>t/a</w:t>
                  </w:r>
                </w:p>
              </w:tc>
              <w:tc>
                <w:tcPr>
                  <w:tcW w:w="2540" w:type="dxa"/>
                  <w:tcBorders>
                    <w:tl2br w:val="nil"/>
                    <w:tr2bl w:val="nil"/>
                  </w:tcBorders>
                  <w:vAlign w:val="center"/>
                </w:tcPr>
                <w:p w14:paraId="3F5531E3">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本项目污水总排放口接入市政污水管网</w:t>
                  </w:r>
                </w:p>
              </w:tc>
            </w:tr>
            <w:tr w14:paraId="2F5FF5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702" w:type="dxa"/>
                  <w:vMerge w:val="continue"/>
                  <w:tcBorders>
                    <w:tl2br w:val="nil"/>
                    <w:tr2bl w:val="nil"/>
                  </w:tcBorders>
                  <w:vAlign w:val="center"/>
                </w:tcPr>
                <w:p w14:paraId="39F7E944">
                  <w:pPr>
                    <w:pStyle w:val="8"/>
                    <w:keepNext w:val="0"/>
                    <w:keepLines w:val="0"/>
                    <w:pageBreakBefore w:val="0"/>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p>
              </w:tc>
              <w:tc>
                <w:tcPr>
                  <w:tcW w:w="2015" w:type="dxa"/>
                  <w:tcBorders>
                    <w:tl2br w:val="nil"/>
                    <w:tr2bl w:val="nil"/>
                  </w:tcBorders>
                  <w:vAlign w:val="center"/>
                </w:tcPr>
                <w:p w14:paraId="49F64162">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供电</w:t>
                  </w:r>
                </w:p>
              </w:tc>
              <w:tc>
                <w:tcPr>
                  <w:tcW w:w="3001" w:type="dxa"/>
                  <w:tcBorders>
                    <w:tl2br w:val="nil"/>
                    <w:tr2bl w:val="nil"/>
                  </w:tcBorders>
                  <w:vAlign w:val="center"/>
                </w:tcPr>
                <w:p w14:paraId="2A582F38">
                  <w:pPr>
                    <w:pStyle w:val="8"/>
                    <w:keepNext w:val="0"/>
                    <w:keepLines w:val="0"/>
                    <w:pageBreakBefore w:val="0"/>
                    <w:numPr>
                      <w:ilvl w:val="0"/>
                      <w:numId w:val="0"/>
                    </w:numPr>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150</w:t>
                  </w:r>
                  <w:r>
                    <w:rPr>
                      <w:rFonts w:hint="default" w:ascii="Times New Roman" w:hAnsi="Times New Roman" w:cs="Times New Roman"/>
                      <w:color w:val="auto"/>
                      <w:sz w:val="18"/>
                      <w:szCs w:val="18"/>
                    </w:rPr>
                    <w:t>万kw·h/a</w:t>
                  </w:r>
                </w:p>
              </w:tc>
              <w:tc>
                <w:tcPr>
                  <w:tcW w:w="2540" w:type="dxa"/>
                  <w:tcBorders>
                    <w:tl2br w:val="nil"/>
                    <w:tr2bl w:val="nil"/>
                  </w:tcBorders>
                  <w:vAlign w:val="center"/>
                </w:tcPr>
                <w:p w14:paraId="7D4A9F81">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由市政电网供给</w:t>
                  </w:r>
                </w:p>
              </w:tc>
            </w:tr>
            <w:tr w14:paraId="36B599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702" w:type="dxa"/>
                  <w:tcBorders>
                    <w:tl2br w:val="nil"/>
                    <w:tr2bl w:val="nil"/>
                  </w:tcBorders>
                  <w:vAlign w:val="center"/>
                </w:tcPr>
                <w:p w14:paraId="4F516D99">
                  <w:pPr>
                    <w:pStyle w:val="8"/>
                    <w:keepNext w:val="0"/>
                    <w:keepLines w:val="0"/>
                    <w:pageBreakBefore w:val="0"/>
                    <w:kinsoku/>
                    <w:wordWrap/>
                    <w:overflowPunct/>
                    <w:topLinePunct w:val="0"/>
                    <w:autoSpaceDE/>
                    <w:autoSpaceDN/>
                    <w:bidi w:val="0"/>
                    <w:adjustRightInd/>
                    <w:spacing w:before="0" w:after="0" w:line="240" w:lineRule="auto"/>
                    <w:ind w:right="0" w:rightChars="0"/>
                    <w:jc w:val="center"/>
                    <w:textAlignment w:val="auto"/>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风险防范设施</w:t>
                  </w:r>
                </w:p>
              </w:tc>
              <w:tc>
                <w:tcPr>
                  <w:tcW w:w="7556" w:type="dxa"/>
                  <w:gridSpan w:val="3"/>
                  <w:tcBorders>
                    <w:tl2br w:val="nil"/>
                    <w:tr2bl w:val="nil"/>
                  </w:tcBorders>
                  <w:vAlign w:val="center"/>
                </w:tcPr>
                <w:p w14:paraId="4F880DA5">
                  <w:pPr>
                    <w:pStyle w:val="8"/>
                    <w:keepNext w:val="0"/>
                    <w:keepLines w:val="0"/>
                    <w:pageBreakBefore w:val="0"/>
                    <w:numPr>
                      <w:ilvl w:val="0"/>
                      <w:numId w:val="0"/>
                    </w:numPr>
                    <w:kinsoku/>
                    <w:wordWrap/>
                    <w:overflowPunct/>
                    <w:topLinePunct w:val="0"/>
                    <w:autoSpaceDE/>
                    <w:autoSpaceDN/>
                    <w:bidi w:val="0"/>
                    <w:adjustRightInd/>
                    <w:spacing w:before="0" w:after="0" w:line="240" w:lineRule="auto"/>
                    <w:ind w:left="0" w:leftChars="0" w:right="0" w:rightChars="0" w:firstLine="0" w:firstLine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设有一个35m</w:t>
                  </w:r>
                  <w:r>
                    <w:rPr>
                      <w:rFonts w:hint="eastAsia" w:cs="Times New Roman"/>
                      <w:color w:val="auto"/>
                      <w:sz w:val="18"/>
                      <w:szCs w:val="18"/>
                      <w:vertAlign w:val="superscript"/>
                      <w:lang w:val="en-US" w:eastAsia="zh-CN"/>
                    </w:rPr>
                    <w:t>3</w:t>
                  </w:r>
                  <w:r>
                    <w:rPr>
                      <w:rFonts w:hint="eastAsia" w:cs="Times New Roman"/>
                      <w:color w:val="auto"/>
                      <w:sz w:val="18"/>
                      <w:szCs w:val="18"/>
                      <w:lang w:val="en-US" w:eastAsia="zh-CN"/>
                    </w:rPr>
                    <w:t>应急池</w:t>
                  </w:r>
                </w:p>
              </w:tc>
            </w:tr>
          </w:tbl>
          <w:p w14:paraId="2B48E5F7">
            <w:pPr>
              <w:keepNext w:val="0"/>
              <w:keepLines w:val="0"/>
              <w:pageBreakBefore w:val="0"/>
              <w:widowControl w:val="0"/>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表2-</w:t>
            </w:r>
            <w:r>
              <w:rPr>
                <w:rFonts w:hint="eastAsia" w:cs="Times New Roman"/>
                <w:b/>
                <w:bCs/>
                <w:color w:val="auto"/>
                <w:lang w:val="en-US" w:eastAsia="zh-CN"/>
              </w:rPr>
              <w:t>13 现有项目</w:t>
            </w:r>
            <w:r>
              <w:rPr>
                <w:rFonts w:hint="default" w:ascii="Times New Roman" w:hAnsi="Times New Roman" w:cs="Times New Roman"/>
                <w:b/>
                <w:bCs/>
                <w:color w:val="auto"/>
                <w:lang w:eastAsia="zh-CN"/>
              </w:rPr>
              <w:t>产品方案</w:t>
            </w:r>
            <w:r>
              <w:rPr>
                <w:rFonts w:hint="default" w:ascii="Times New Roman" w:hAnsi="Times New Roman" w:cs="Times New Roman"/>
                <w:b/>
                <w:bCs/>
                <w:color w:val="auto"/>
              </w:rPr>
              <w:t>表</w:t>
            </w:r>
          </w:p>
          <w:tbl>
            <w:tblPr>
              <w:tblStyle w:val="20"/>
              <w:tblW w:w="819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50"/>
              <w:gridCol w:w="919"/>
              <w:gridCol w:w="920"/>
              <w:gridCol w:w="965"/>
              <w:gridCol w:w="1673"/>
              <w:gridCol w:w="1477"/>
              <w:gridCol w:w="1693"/>
            </w:tblGrid>
            <w:tr w14:paraId="24BA53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4" w:hRule="atLeast"/>
                <w:jc w:val="center"/>
              </w:trPr>
              <w:tc>
                <w:tcPr>
                  <w:tcW w:w="550" w:type="dxa"/>
                  <w:vMerge w:val="restart"/>
                  <w:tcBorders>
                    <w:tl2br w:val="nil"/>
                    <w:tr2bl w:val="nil"/>
                  </w:tcBorders>
                  <w:noWrap w:val="0"/>
                  <w:vAlign w:val="center"/>
                </w:tcPr>
                <w:p w14:paraId="2A369E35">
                  <w:pPr>
                    <w:pStyle w:val="4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b/>
                      <w:bCs/>
                      <w:color w:val="auto"/>
                      <w:sz w:val="18"/>
                      <w:szCs w:val="18"/>
                      <w:lang w:eastAsia="zh-CN"/>
                    </w:rPr>
                  </w:pPr>
                  <w:r>
                    <w:rPr>
                      <w:rFonts w:hint="default" w:ascii="Times New Roman" w:hAnsi="Times New Roman" w:cs="Times New Roman"/>
                      <w:b/>
                      <w:bCs/>
                      <w:color w:val="auto"/>
                      <w:sz w:val="18"/>
                      <w:szCs w:val="18"/>
                      <w:lang w:eastAsia="zh-CN"/>
                    </w:rPr>
                    <w:t>序号</w:t>
                  </w:r>
                </w:p>
              </w:tc>
              <w:tc>
                <w:tcPr>
                  <w:tcW w:w="1839" w:type="dxa"/>
                  <w:gridSpan w:val="2"/>
                  <w:vMerge w:val="restart"/>
                  <w:tcBorders>
                    <w:tl2br w:val="nil"/>
                    <w:tr2bl w:val="nil"/>
                  </w:tcBorders>
                  <w:noWrap w:val="0"/>
                  <w:vAlign w:val="center"/>
                </w:tcPr>
                <w:p w14:paraId="3B2ABCC4">
                  <w:pPr>
                    <w:pStyle w:val="46"/>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rPr>
                    <w:t>产品</w:t>
                  </w:r>
                  <w:r>
                    <w:rPr>
                      <w:rFonts w:hint="eastAsia" w:ascii="Times New Roman" w:hAnsi="Times New Roman" w:cs="Times New Roman"/>
                      <w:b/>
                      <w:bCs/>
                      <w:color w:val="auto"/>
                      <w:sz w:val="18"/>
                      <w:szCs w:val="18"/>
                      <w:lang w:val="en-US" w:eastAsia="zh-CN"/>
                    </w:rPr>
                    <w:t>名称</w:t>
                  </w:r>
                </w:p>
              </w:tc>
              <w:tc>
                <w:tcPr>
                  <w:tcW w:w="965" w:type="dxa"/>
                  <w:vMerge w:val="restart"/>
                  <w:tcBorders>
                    <w:tl2br w:val="nil"/>
                    <w:tr2bl w:val="nil"/>
                  </w:tcBorders>
                  <w:noWrap w:val="0"/>
                  <w:vAlign w:val="center"/>
                </w:tcPr>
                <w:p w14:paraId="52D8BDCB">
                  <w:pPr>
                    <w:pStyle w:val="46"/>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规格</w:t>
                  </w:r>
                </w:p>
              </w:tc>
              <w:tc>
                <w:tcPr>
                  <w:tcW w:w="1673" w:type="dxa"/>
                  <w:tcBorders>
                    <w:tl2br w:val="nil"/>
                    <w:tr2bl w:val="nil"/>
                  </w:tcBorders>
                  <w:noWrap w:val="0"/>
                  <w:vAlign w:val="center"/>
                </w:tcPr>
                <w:p w14:paraId="45EF60DA">
                  <w:pPr>
                    <w:pStyle w:val="46"/>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cs="Times New Roman"/>
                      <w:b/>
                      <w:bCs/>
                      <w:color w:val="auto"/>
                      <w:sz w:val="18"/>
                      <w:szCs w:val="18"/>
                      <w:lang w:val="en-US" w:eastAsia="zh-CN"/>
                    </w:rPr>
                  </w:pPr>
                  <w:r>
                    <w:rPr>
                      <w:rFonts w:hint="eastAsia" w:ascii="Times New Roman" w:hAnsi="Times New Roman" w:cs="Times New Roman"/>
                      <w:b/>
                      <w:bCs/>
                      <w:color w:val="auto"/>
                      <w:sz w:val="18"/>
                      <w:szCs w:val="18"/>
                      <w:lang w:eastAsia="zh-CN"/>
                    </w:rPr>
                    <w:t>产能</w:t>
                  </w:r>
                </w:p>
              </w:tc>
              <w:tc>
                <w:tcPr>
                  <w:tcW w:w="1477" w:type="dxa"/>
                  <w:vMerge w:val="restart"/>
                  <w:tcBorders>
                    <w:tl2br w:val="nil"/>
                    <w:tr2bl w:val="nil"/>
                  </w:tcBorders>
                  <w:noWrap w:val="0"/>
                  <w:vAlign w:val="center"/>
                </w:tcPr>
                <w:p w14:paraId="4BA9D520">
                  <w:pPr>
                    <w:pStyle w:val="4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年运行时数</w:t>
                  </w:r>
                </w:p>
              </w:tc>
              <w:tc>
                <w:tcPr>
                  <w:tcW w:w="1693" w:type="dxa"/>
                  <w:vMerge w:val="restart"/>
                  <w:tcBorders>
                    <w:tl2br w:val="nil"/>
                    <w:tr2bl w:val="nil"/>
                  </w:tcBorders>
                  <w:noWrap w:val="0"/>
                  <w:vAlign w:val="center"/>
                </w:tcPr>
                <w:p w14:paraId="7FA7D626">
                  <w:pPr>
                    <w:pStyle w:val="4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备注</w:t>
                  </w:r>
                </w:p>
              </w:tc>
            </w:tr>
            <w:tr w14:paraId="38E6B3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7" w:hRule="atLeast"/>
                <w:jc w:val="center"/>
              </w:trPr>
              <w:tc>
                <w:tcPr>
                  <w:tcW w:w="550" w:type="dxa"/>
                  <w:vMerge w:val="continue"/>
                  <w:tcBorders>
                    <w:tl2br w:val="nil"/>
                    <w:tr2bl w:val="nil"/>
                  </w:tcBorders>
                  <w:noWrap w:val="0"/>
                  <w:vAlign w:val="center"/>
                </w:tcPr>
                <w:p w14:paraId="7F8AC72A">
                  <w:pPr>
                    <w:pStyle w:val="46"/>
                    <w:keepNext w:val="0"/>
                    <w:keepLines w:val="0"/>
                    <w:pageBreakBefore w:val="0"/>
                    <w:widowControl w:val="0"/>
                    <w:kinsoku/>
                    <w:wordWrap/>
                    <w:overflowPunct/>
                    <w:topLinePunct w:val="0"/>
                    <w:autoSpaceDE/>
                    <w:autoSpaceDN/>
                    <w:bidi w:val="0"/>
                    <w:adjustRightInd/>
                    <w:snapToGrid/>
                    <w:ind w:left="0" w:right="0"/>
                    <w:jc w:val="center"/>
                    <w:textAlignment w:val="auto"/>
                    <w:rPr>
                      <w:color w:val="auto"/>
                    </w:rPr>
                  </w:pPr>
                </w:p>
              </w:tc>
              <w:tc>
                <w:tcPr>
                  <w:tcW w:w="1839" w:type="dxa"/>
                  <w:gridSpan w:val="2"/>
                  <w:vMerge w:val="continue"/>
                  <w:tcBorders>
                    <w:tl2br w:val="nil"/>
                    <w:tr2bl w:val="nil"/>
                  </w:tcBorders>
                  <w:noWrap w:val="0"/>
                  <w:vAlign w:val="center"/>
                </w:tcPr>
                <w:p w14:paraId="697D7F1A">
                  <w:pPr>
                    <w:pStyle w:val="46"/>
                    <w:keepNext w:val="0"/>
                    <w:keepLines w:val="0"/>
                    <w:pageBreakBefore w:val="0"/>
                    <w:widowControl w:val="0"/>
                    <w:kinsoku/>
                    <w:wordWrap/>
                    <w:overflowPunct/>
                    <w:topLinePunct w:val="0"/>
                    <w:autoSpaceDE/>
                    <w:autoSpaceDN/>
                    <w:bidi w:val="0"/>
                    <w:adjustRightInd/>
                    <w:snapToGrid/>
                    <w:ind w:left="0" w:right="0"/>
                    <w:jc w:val="center"/>
                    <w:textAlignment w:val="auto"/>
                    <w:rPr>
                      <w:color w:val="auto"/>
                    </w:rPr>
                  </w:pPr>
                </w:p>
              </w:tc>
              <w:tc>
                <w:tcPr>
                  <w:tcW w:w="965" w:type="dxa"/>
                  <w:vMerge w:val="continue"/>
                  <w:tcBorders>
                    <w:tl2br w:val="nil"/>
                    <w:tr2bl w:val="nil"/>
                  </w:tcBorders>
                  <w:noWrap w:val="0"/>
                  <w:vAlign w:val="center"/>
                </w:tcPr>
                <w:p w14:paraId="6C2FEB96">
                  <w:pPr>
                    <w:pStyle w:val="46"/>
                    <w:keepNext w:val="0"/>
                    <w:keepLines w:val="0"/>
                    <w:pageBreakBefore w:val="0"/>
                    <w:widowControl w:val="0"/>
                    <w:kinsoku/>
                    <w:wordWrap/>
                    <w:overflowPunct/>
                    <w:topLinePunct w:val="0"/>
                    <w:autoSpaceDE/>
                    <w:autoSpaceDN/>
                    <w:bidi w:val="0"/>
                    <w:adjustRightInd/>
                    <w:snapToGrid/>
                    <w:ind w:left="0" w:right="0"/>
                    <w:jc w:val="center"/>
                    <w:textAlignment w:val="auto"/>
                    <w:rPr>
                      <w:color w:val="auto"/>
                    </w:rPr>
                  </w:pPr>
                </w:p>
              </w:tc>
              <w:tc>
                <w:tcPr>
                  <w:tcW w:w="1673" w:type="dxa"/>
                  <w:tcBorders>
                    <w:tl2br w:val="nil"/>
                    <w:tr2bl w:val="nil"/>
                  </w:tcBorders>
                  <w:noWrap w:val="0"/>
                  <w:vAlign w:val="center"/>
                </w:tcPr>
                <w:p w14:paraId="5A250CF0">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eastAsia="宋体" w:cs="Times New Roman"/>
                      <w:b/>
                      <w:bCs/>
                      <w:color w:val="auto"/>
                      <w:kern w:val="2"/>
                      <w:sz w:val="18"/>
                      <w:szCs w:val="18"/>
                      <w:lang w:val="en-US" w:eastAsia="zh-CN" w:bidi="ar-SA"/>
                    </w:rPr>
                  </w:pPr>
                  <w:r>
                    <w:rPr>
                      <w:rFonts w:hint="eastAsia"/>
                      <w:b/>
                      <w:bCs/>
                      <w:color w:val="auto"/>
                      <w:sz w:val="18"/>
                      <w:szCs w:val="18"/>
                      <w:lang w:eastAsia="zh-CN"/>
                    </w:rPr>
                    <w:t>技改前</w:t>
                  </w:r>
                </w:p>
              </w:tc>
              <w:tc>
                <w:tcPr>
                  <w:tcW w:w="1477" w:type="dxa"/>
                  <w:vMerge w:val="continue"/>
                  <w:tcBorders>
                    <w:tl2br w:val="nil"/>
                    <w:tr2bl w:val="nil"/>
                  </w:tcBorders>
                  <w:noWrap w:val="0"/>
                  <w:vAlign w:val="center"/>
                </w:tcPr>
                <w:p w14:paraId="4BBB1CEA">
                  <w:pPr>
                    <w:pStyle w:val="46"/>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cs="Times New Roman"/>
                      <w:b/>
                      <w:bCs/>
                      <w:color w:val="auto"/>
                      <w:sz w:val="18"/>
                      <w:szCs w:val="18"/>
                      <w:lang w:val="en-US" w:eastAsia="zh-CN"/>
                    </w:rPr>
                  </w:pPr>
                </w:p>
              </w:tc>
              <w:tc>
                <w:tcPr>
                  <w:tcW w:w="1693" w:type="dxa"/>
                  <w:vMerge w:val="continue"/>
                  <w:tcBorders>
                    <w:tl2br w:val="nil"/>
                    <w:tr2bl w:val="nil"/>
                  </w:tcBorders>
                  <w:noWrap w:val="0"/>
                  <w:vAlign w:val="center"/>
                </w:tcPr>
                <w:p w14:paraId="0A3945C5">
                  <w:pPr>
                    <w:pStyle w:val="46"/>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cs="Times New Roman"/>
                      <w:b/>
                      <w:bCs/>
                      <w:color w:val="auto"/>
                      <w:sz w:val="18"/>
                      <w:szCs w:val="18"/>
                      <w:lang w:val="en-US" w:eastAsia="zh-CN"/>
                    </w:rPr>
                  </w:pPr>
                </w:p>
              </w:tc>
            </w:tr>
            <w:tr w14:paraId="04D48D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550" w:type="dxa"/>
                  <w:tcBorders>
                    <w:tl2br w:val="nil"/>
                    <w:tr2bl w:val="nil"/>
                  </w:tcBorders>
                  <w:noWrap w:val="0"/>
                  <w:vAlign w:val="center"/>
                </w:tcPr>
                <w:p w14:paraId="228E1B3B">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cs="Times New Roman"/>
                      <w:color w:val="auto"/>
                      <w:sz w:val="18"/>
                      <w:szCs w:val="18"/>
                      <w:lang w:val="en-US" w:eastAsia="zh-CN"/>
                    </w:rPr>
                  </w:pPr>
                  <w:r>
                    <w:rPr>
                      <w:rFonts w:hint="default" w:ascii="Times New Roman" w:hAnsi="Times New Roman" w:cs="Times New Roman"/>
                      <w:color w:val="auto"/>
                      <w:sz w:val="18"/>
                      <w:szCs w:val="18"/>
                      <w:lang w:val="en-US" w:eastAsia="zh-CN"/>
                    </w:rPr>
                    <w:t>1</w:t>
                  </w:r>
                </w:p>
              </w:tc>
              <w:tc>
                <w:tcPr>
                  <w:tcW w:w="1839" w:type="dxa"/>
                  <w:gridSpan w:val="2"/>
                  <w:tcBorders>
                    <w:tl2br w:val="nil"/>
                    <w:tr2bl w:val="nil"/>
                  </w:tcBorders>
                  <w:noWrap w:val="0"/>
                  <w:vAlign w:val="center"/>
                </w:tcPr>
                <w:p w14:paraId="22304097">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模具</w:t>
                  </w:r>
                </w:p>
              </w:tc>
              <w:tc>
                <w:tcPr>
                  <w:tcW w:w="965" w:type="dxa"/>
                  <w:tcBorders>
                    <w:tl2br w:val="nil"/>
                    <w:tr2bl w:val="nil"/>
                  </w:tcBorders>
                  <w:noWrap w:val="0"/>
                  <w:vAlign w:val="center"/>
                </w:tcPr>
                <w:p w14:paraId="50E89E3D">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1673" w:type="dxa"/>
                  <w:tcBorders>
                    <w:tl2br w:val="nil"/>
                    <w:tr2bl w:val="nil"/>
                  </w:tcBorders>
                  <w:noWrap w:val="0"/>
                  <w:vAlign w:val="center"/>
                </w:tcPr>
                <w:p w14:paraId="34F1F66B">
                  <w:pPr>
                    <w:pStyle w:val="4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500付/a</w:t>
                  </w:r>
                </w:p>
              </w:tc>
              <w:tc>
                <w:tcPr>
                  <w:tcW w:w="1477" w:type="dxa"/>
                  <w:tcBorders>
                    <w:tl2br w:val="nil"/>
                    <w:tr2bl w:val="nil"/>
                  </w:tcBorders>
                  <w:noWrap w:val="0"/>
                  <w:vAlign w:val="center"/>
                </w:tcPr>
                <w:p w14:paraId="7C933D78">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7200h</w:t>
                  </w:r>
                </w:p>
              </w:tc>
              <w:tc>
                <w:tcPr>
                  <w:tcW w:w="1693" w:type="dxa"/>
                  <w:tcBorders>
                    <w:tl2br w:val="nil"/>
                    <w:tr2bl w:val="nil"/>
                  </w:tcBorders>
                  <w:noWrap w:val="0"/>
                  <w:vAlign w:val="center"/>
                </w:tcPr>
                <w:p w14:paraId="08F6AEDF">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14D330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550" w:type="dxa"/>
                  <w:tcBorders>
                    <w:tl2br w:val="nil"/>
                    <w:tr2bl w:val="nil"/>
                  </w:tcBorders>
                  <w:noWrap w:val="0"/>
                  <w:vAlign w:val="center"/>
                </w:tcPr>
                <w:p w14:paraId="544E5B2C">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2</w:t>
                  </w:r>
                </w:p>
              </w:tc>
              <w:tc>
                <w:tcPr>
                  <w:tcW w:w="919" w:type="dxa"/>
                  <w:vMerge w:val="restart"/>
                  <w:tcBorders>
                    <w:tl2br w:val="nil"/>
                    <w:tr2bl w:val="nil"/>
                  </w:tcBorders>
                  <w:noWrap w:val="0"/>
                  <w:vAlign w:val="center"/>
                </w:tcPr>
                <w:p w14:paraId="3CF4DA94">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注塑塑料件</w:t>
                  </w:r>
                </w:p>
              </w:tc>
              <w:tc>
                <w:tcPr>
                  <w:tcW w:w="920" w:type="dxa"/>
                  <w:tcBorders>
                    <w:tl2br w:val="nil"/>
                    <w:tr2bl w:val="nil"/>
                  </w:tcBorders>
                  <w:noWrap w:val="0"/>
                  <w:vAlign w:val="center"/>
                </w:tcPr>
                <w:p w14:paraId="5582D69E">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注塑车灯</w:t>
                  </w:r>
                </w:p>
              </w:tc>
              <w:tc>
                <w:tcPr>
                  <w:tcW w:w="965" w:type="dxa"/>
                  <w:tcBorders>
                    <w:tl2br w:val="nil"/>
                    <w:tr2bl w:val="nil"/>
                  </w:tcBorders>
                  <w:noWrap w:val="0"/>
                  <w:vAlign w:val="center"/>
                </w:tcPr>
                <w:p w14:paraId="12F052B8">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1673" w:type="dxa"/>
                  <w:tcBorders>
                    <w:tl2br w:val="nil"/>
                    <w:tr2bl w:val="nil"/>
                  </w:tcBorders>
                  <w:noWrap w:val="0"/>
                  <w:vAlign w:val="center"/>
                </w:tcPr>
                <w:p w14:paraId="6F471C2A">
                  <w:pPr>
                    <w:pStyle w:val="4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2000万台套/a</w:t>
                  </w:r>
                </w:p>
              </w:tc>
              <w:tc>
                <w:tcPr>
                  <w:tcW w:w="1477" w:type="dxa"/>
                  <w:tcBorders>
                    <w:tl2br w:val="nil"/>
                    <w:tr2bl w:val="nil"/>
                  </w:tcBorders>
                  <w:noWrap w:val="0"/>
                  <w:vAlign w:val="center"/>
                </w:tcPr>
                <w:p w14:paraId="65E1C8AF">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7200h</w:t>
                  </w:r>
                </w:p>
              </w:tc>
              <w:tc>
                <w:tcPr>
                  <w:tcW w:w="1693" w:type="dxa"/>
                  <w:tcBorders>
                    <w:tl2br w:val="nil"/>
                    <w:tr2bl w:val="nil"/>
                  </w:tcBorders>
                  <w:noWrap w:val="0"/>
                  <w:vAlign w:val="center"/>
                </w:tcPr>
                <w:p w14:paraId="26478243">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23F4FC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550" w:type="dxa"/>
                  <w:tcBorders>
                    <w:tl2br w:val="nil"/>
                    <w:tr2bl w:val="nil"/>
                  </w:tcBorders>
                  <w:noWrap w:val="0"/>
                  <w:vAlign w:val="center"/>
                </w:tcPr>
                <w:p w14:paraId="15EE201D">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3</w:t>
                  </w:r>
                </w:p>
              </w:tc>
              <w:tc>
                <w:tcPr>
                  <w:tcW w:w="919" w:type="dxa"/>
                  <w:vMerge w:val="continue"/>
                  <w:tcBorders>
                    <w:tl2br w:val="nil"/>
                    <w:tr2bl w:val="nil"/>
                  </w:tcBorders>
                  <w:noWrap w:val="0"/>
                  <w:vAlign w:val="center"/>
                </w:tcPr>
                <w:p w14:paraId="12738CD5">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cs="Times New Roman"/>
                      <w:color w:val="auto"/>
                      <w:sz w:val="18"/>
                      <w:szCs w:val="18"/>
                      <w:lang w:val="en-US" w:eastAsia="zh-CN"/>
                    </w:rPr>
                  </w:pPr>
                </w:p>
              </w:tc>
              <w:tc>
                <w:tcPr>
                  <w:tcW w:w="920" w:type="dxa"/>
                  <w:tcBorders>
                    <w:tl2br w:val="nil"/>
                    <w:tr2bl w:val="nil"/>
                  </w:tcBorders>
                  <w:shd w:val="clear" w:color="auto" w:fill="auto"/>
                  <w:noWrap w:val="0"/>
                  <w:vAlign w:val="center"/>
                </w:tcPr>
                <w:p w14:paraId="0EDF1427">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真空镀铝塑料件</w:t>
                  </w:r>
                </w:p>
              </w:tc>
              <w:tc>
                <w:tcPr>
                  <w:tcW w:w="965" w:type="dxa"/>
                  <w:tcBorders>
                    <w:tl2br w:val="nil"/>
                    <w:tr2bl w:val="nil"/>
                  </w:tcBorders>
                  <w:noWrap w:val="0"/>
                  <w:vAlign w:val="center"/>
                </w:tcPr>
                <w:p w14:paraId="329B1C76">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1673" w:type="dxa"/>
                  <w:tcBorders>
                    <w:tl2br w:val="nil"/>
                    <w:tr2bl w:val="nil"/>
                  </w:tcBorders>
                  <w:noWrap w:val="0"/>
                  <w:vAlign w:val="center"/>
                </w:tcPr>
                <w:p w14:paraId="4C2E43E0">
                  <w:pPr>
                    <w:pStyle w:val="4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950万台套/a</w:t>
                  </w:r>
                </w:p>
              </w:tc>
              <w:tc>
                <w:tcPr>
                  <w:tcW w:w="1477" w:type="dxa"/>
                  <w:tcBorders>
                    <w:tl2br w:val="nil"/>
                    <w:tr2bl w:val="nil"/>
                  </w:tcBorders>
                  <w:noWrap w:val="0"/>
                  <w:vAlign w:val="center"/>
                </w:tcPr>
                <w:p w14:paraId="4F84162F">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7200h</w:t>
                  </w:r>
                </w:p>
              </w:tc>
              <w:tc>
                <w:tcPr>
                  <w:tcW w:w="1693" w:type="dxa"/>
                  <w:tcBorders>
                    <w:tl2br w:val="nil"/>
                    <w:tr2bl w:val="nil"/>
                  </w:tcBorders>
                  <w:noWrap w:val="0"/>
                  <w:vAlign w:val="center"/>
                </w:tcPr>
                <w:p w14:paraId="0CE6380E">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47D56E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550" w:type="dxa"/>
                  <w:tcBorders>
                    <w:tl2br w:val="nil"/>
                    <w:tr2bl w:val="nil"/>
                  </w:tcBorders>
                  <w:noWrap w:val="0"/>
                  <w:vAlign w:val="center"/>
                </w:tcPr>
                <w:p w14:paraId="61AF053A">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4</w:t>
                  </w:r>
                </w:p>
              </w:tc>
              <w:tc>
                <w:tcPr>
                  <w:tcW w:w="919" w:type="dxa"/>
                  <w:vMerge w:val="continue"/>
                  <w:tcBorders>
                    <w:tl2br w:val="nil"/>
                    <w:tr2bl w:val="nil"/>
                  </w:tcBorders>
                  <w:noWrap w:val="0"/>
                  <w:vAlign w:val="center"/>
                </w:tcPr>
                <w:p w14:paraId="1DCA07E4">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cs="Times New Roman"/>
                      <w:color w:val="auto"/>
                      <w:sz w:val="18"/>
                      <w:szCs w:val="18"/>
                      <w:lang w:val="en-US" w:eastAsia="zh-CN"/>
                    </w:rPr>
                  </w:pPr>
                </w:p>
              </w:tc>
              <w:tc>
                <w:tcPr>
                  <w:tcW w:w="920" w:type="dxa"/>
                  <w:tcBorders>
                    <w:tl2br w:val="nil"/>
                    <w:tr2bl w:val="nil"/>
                  </w:tcBorders>
                  <w:shd w:val="clear" w:color="auto" w:fill="auto"/>
                  <w:noWrap w:val="0"/>
                  <w:vAlign w:val="center"/>
                </w:tcPr>
                <w:p w14:paraId="77986D34">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油墨印刷塑料件</w:t>
                  </w:r>
                </w:p>
              </w:tc>
              <w:tc>
                <w:tcPr>
                  <w:tcW w:w="965" w:type="dxa"/>
                  <w:tcBorders>
                    <w:tl2br w:val="nil"/>
                    <w:tr2bl w:val="nil"/>
                  </w:tcBorders>
                  <w:noWrap w:val="0"/>
                  <w:vAlign w:val="center"/>
                </w:tcPr>
                <w:p w14:paraId="5E7CA587">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1673" w:type="dxa"/>
                  <w:tcBorders>
                    <w:tl2br w:val="nil"/>
                    <w:tr2bl w:val="nil"/>
                  </w:tcBorders>
                  <w:noWrap w:val="0"/>
                  <w:vAlign w:val="center"/>
                </w:tcPr>
                <w:p w14:paraId="3D4B3FEA">
                  <w:pPr>
                    <w:pStyle w:val="4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50万台套/a</w:t>
                  </w:r>
                </w:p>
              </w:tc>
              <w:tc>
                <w:tcPr>
                  <w:tcW w:w="1477" w:type="dxa"/>
                  <w:tcBorders>
                    <w:tl2br w:val="nil"/>
                    <w:tr2bl w:val="nil"/>
                  </w:tcBorders>
                  <w:noWrap w:val="0"/>
                  <w:vAlign w:val="center"/>
                </w:tcPr>
                <w:p w14:paraId="4123E77F">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7200h</w:t>
                  </w:r>
                </w:p>
              </w:tc>
              <w:tc>
                <w:tcPr>
                  <w:tcW w:w="1693" w:type="dxa"/>
                  <w:tcBorders>
                    <w:tl2br w:val="nil"/>
                    <w:tr2bl w:val="nil"/>
                  </w:tcBorders>
                  <w:noWrap w:val="0"/>
                  <w:vAlign w:val="center"/>
                </w:tcPr>
                <w:p w14:paraId="1E2DFD0B">
                  <w:pPr>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bl>
          <w:p w14:paraId="2FE074D3">
            <w:pPr>
              <w:pStyle w:val="46"/>
              <w:spacing w:before="5" w:line="240" w:lineRule="auto"/>
              <w:ind w:right="-15"/>
              <w:jc w:val="center"/>
              <w:rPr>
                <w:rFonts w:hint="default" w:ascii="Times New Roman" w:hAnsi="Times New Roman" w:cs="Times New Roman"/>
                <w:b/>
                <w:bCs/>
                <w:color w:val="auto"/>
              </w:rPr>
            </w:pPr>
            <w:r>
              <w:rPr>
                <w:rFonts w:hint="eastAsia" w:ascii="Times New Roman" w:hAnsi="Times New Roman" w:cs="Times New Roman"/>
                <w:b/>
                <w:bCs/>
                <w:color w:val="auto"/>
                <w:lang w:val="en-US" w:eastAsia="zh-CN"/>
              </w:rPr>
              <w:t>表2-14</w:t>
            </w:r>
            <w:r>
              <w:rPr>
                <w:rFonts w:hint="default" w:ascii="Times New Roman" w:hAnsi="Times New Roman" w:cs="Times New Roman"/>
                <w:b/>
                <w:bCs/>
                <w:color w:val="auto"/>
              </w:rPr>
              <w:t>主要原辅材料消耗一览表</w:t>
            </w:r>
          </w:p>
          <w:tbl>
            <w:tblPr>
              <w:tblStyle w:val="20"/>
              <w:tblW w:w="827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36" w:type="dxa"/>
                <w:bottom w:w="0" w:type="dxa"/>
                <w:right w:w="136" w:type="dxa"/>
              </w:tblCellMar>
            </w:tblPr>
            <w:tblGrid>
              <w:gridCol w:w="539"/>
              <w:gridCol w:w="1695"/>
              <w:gridCol w:w="1126"/>
              <w:gridCol w:w="1008"/>
              <w:gridCol w:w="1058"/>
              <w:gridCol w:w="2202"/>
              <w:gridCol w:w="648"/>
            </w:tblGrid>
            <w:tr w14:paraId="621DF7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215" w:hRule="atLeast"/>
                <w:jc w:val="center"/>
              </w:trPr>
              <w:tc>
                <w:tcPr>
                  <w:tcW w:w="539" w:type="dxa"/>
                  <w:tcBorders>
                    <w:tl2br w:val="nil"/>
                    <w:tr2bl w:val="nil"/>
                  </w:tcBorders>
                  <w:noWrap w:val="0"/>
                  <w:vAlign w:val="center"/>
                </w:tcPr>
                <w:p w14:paraId="634DA926">
                  <w:pPr>
                    <w:keepNext w:val="0"/>
                    <w:keepLines w:val="0"/>
                    <w:pageBreakBefore w:val="0"/>
                    <w:kinsoku/>
                    <w:wordWrap/>
                    <w:overflowPunct/>
                    <w:topLinePunct w:val="0"/>
                    <w:bidi w:val="0"/>
                    <w:adjustRightInd/>
                    <w:snapToGrid/>
                    <w:spacing w:line="240" w:lineRule="auto"/>
                    <w:jc w:val="both"/>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序号</w:t>
                  </w:r>
                </w:p>
              </w:tc>
              <w:tc>
                <w:tcPr>
                  <w:tcW w:w="1695" w:type="dxa"/>
                  <w:tcBorders>
                    <w:tl2br w:val="nil"/>
                    <w:tr2bl w:val="nil"/>
                  </w:tcBorders>
                  <w:noWrap w:val="0"/>
                  <w:vAlign w:val="center"/>
                </w:tcPr>
                <w:p w14:paraId="72B9A076">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名称</w:t>
                  </w:r>
                </w:p>
              </w:tc>
              <w:tc>
                <w:tcPr>
                  <w:tcW w:w="1126" w:type="dxa"/>
                  <w:tcBorders>
                    <w:tl2br w:val="nil"/>
                    <w:tr2bl w:val="nil"/>
                  </w:tcBorders>
                  <w:noWrap w:val="0"/>
                  <w:vAlign w:val="center"/>
                </w:tcPr>
                <w:p w14:paraId="00D9E208">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组分/规格</w:t>
                  </w:r>
                </w:p>
              </w:tc>
              <w:tc>
                <w:tcPr>
                  <w:tcW w:w="1008" w:type="dxa"/>
                  <w:tcBorders>
                    <w:tl2br w:val="nil"/>
                    <w:tr2bl w:val="nil"/>
                  </w:tcBorders>
                  <w:noWrap w:val="0"/>
                  <w:vAlign w:val="center"/>
                </w:tcPr>
                <w:p w14:paraId="7437B47B">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存储位置</w:t>
                  </w:r>
                </w:p>
              </w:tc>
              <w:tc>
                <w:tcPr>
                  <w:tcW w:w="1058" w:type="dxa"/>
                  <w:tcBorders>
                    <w:tl2br w:val="nil"/>
                    <w:tr2bl w:val="nil"/>
                  </w:tcBorders>
                  <w:noWrap w:val="0"/>
                  <w:vAlign w:val="center"/>
                </w:tcPr>
                <w:p w14:paraId="633CD6F8">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年</w:t>
                  </w:r>
                  <w:r>
                    <w:rPr>
                      <w:rFonts w:hint="default" w:ascii="Times New Roman" w:hAnsi="Times New Roman" w:cs="Times New Roman"/>
                      <w:b/>
                      <w:bCs/>
                      <w:color w:val="auto"/>
                      <w:sz w:val="18"/>
                      <w:szCs w:val="18"/>
                      <w:lang w:val="en-US" w:eastAsia="zh-CN"/>
                    </w:rPr>
                    <w:t>用</w:t>
                  </w:r>
                  <w:r>
                    <w:rPr>
                      <w:rFonts w:hint="default" w:ascii="Times New Roman" w:hAnsi="Times New Roman" w:cs="Times New Roman"/>
                      <w:b/>
                      <w:bCs/>
                      <w:color w:val="auto"/>
                      <w:sz w:val="18"/>
                      <w:szCs w:val="18"/>
                    </w:rPr>
                    <w:t>量</w:t>
                  </w:r>
                  <w:r>
                    <w:rPr>
                      <w:rFonts w:hint="default" w:ascii="Times New Roman" w:hAnsi="Times New Roman" w:cs="Times New Roman"/>
                      <w:b/>
                      <w:bCs/>
                      <w:color w:val="auto"/>
                      <w:kern w:val="2"/>
                      <w:sz w:val="18"/>
                      <w:szCs w:val="18"/>
                      <w:highlight w:val="none"/>
                      <w:lang w:val="en-US" w:eastAsia="zh-CN" w:bidi="ar-SA"/>
                    </w:rPr>
                    <w:t>t/a</w:t>
                  </w:r>
                </w:p>
              </w:tc>
              <w:tc>
                <w:tcPr>
                  <w:tcW w:w="2202" w:type="dxa"/>
                  <w:tcBorders>
                    <w:tl2br w:val="nil"/>
                    <w:tr2bl w:val="nil"/>
                  </w:tcBorders>
                  <w:noWrap w:val="0"/>
                  <w:vAlign w:val="center"/>
                </w:tcPr>
                <w:p w14:paraId="7F73CB0D">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eastAsia="zh-CN"/>
                    </w:rPr>
                    <w:t>最大暂存量</w:t>
                  </w:r>
                  <w:r>
                    <w:rPr>
                      <w:rFonts w:hint="default" w:ascii="Times New Roman" w:hAnsi="Times New Roman" w:cs="Times New Roman"/>
                      <w:b/>
                      <w:bCs/>
                      <w:color w:val="auto"/>
                      <w:sz w:val="18"/>
                      <w:szCs w:val="18"/>
                      <w:lang w:val="en-US" w:eastAsia="zh-CN"/>
                    </w:rPr>
                    <w:t>/</w:t>
                  </w:r>
                  <w:r>
                    <w:rPr>
                      <w:rFonts w:hint="default" w:ascii="Times New Roman" w:hAnsi="Times New Roman" w:cs="Times New Roman"/>
                      <w:b/>
                      <w:bCs/>
                      <w:color w:val="auto"/>
                      <w:sz w:val="18"/>
                      <w:szCs w:val="18"/>
                    </w:rPr>
                    <w:t>最大</w:t>
                  </w:r>
                  <w:r>
                    <w:rPr>
                      <w:rFonts w:hint="default" w:ascii="Times New Roman" w:hAnsi="Times New Roman" w:cs="Times New Roman"/>
                      <w:b/>
                      <w:bCs/>
                      <w:color w:val="auto"/>
                      <w:sz w:val="18"/>
                      <w:szCs w:val="18"/>
                      <w:lang w:val="en-US" w:eastAsia="zh-CN"/>
                    </w:rPr>
                    <w:t>进料</w:t>
                  </w:r>
                  <w:r>
                    <w:rPr>
                      <w:rFonts w:hint="default" w:ascii="Times New Roman" w:hAnsi="Times New Roman" w:cs="Times New Roman"/>
                      <w:b/>
                      <w:bCs/>
                      <w:color w:val="auto"/>
                      <w:sz w:val="18"/>
                      <w:szCs w:val="18"/>
                    </w:rPr>
                    <w:t>量</w:t>
                  </w:r>
                </w:p>
              </w:tc>
              <w:tc>
                <w:tcPr>
                  <w:tcW w:w="648" w:type="dxa"/>
                  <w:tcBorders>
                    <w:tl2br w:val="nil"/>
                    <w:tr2bl w:val="nil"/>
                  </w:tcBorders>
                  <w:noWrap w:val="0"/>
                  <w:vAlign w:val="center"/>
                </w:tcPr>
                <w:p w14:paraId="0BDD0BFC">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cs="Times New Roman"/>
                      <w:b/>
                      <w:bCs/>
                      <w:color w:val="auto"/>
                      <w:sz w:val="18"/>
                      <w:szCs w:val="18"/>
                      <w:lang w:eastAsia="zh-CN"/>
                    </w:rPr>
                  </w:pPr>
                  <w:r>
                    <w:rPr>
                      <w:rFonts w:hint="default" w:ascii="Times New Roman" w:hAnsi="Times New Roman" w:cs="Times New Roman"/>
                      <w:b/>
                      <w:bCs/>
                      <w:color w:val="auto"/>
                      <w:sz w:val="18"/>
                      <w:szCs w:val="18"/>
                      <w:lang w:val="en-US" w:eastAsia="zh-CN"/>
                    </w:rPr>
                    <w:t>备注</w:t>
                  </w:r>
                </w:p>
              </w:tc>
            </w:tr>
            <w:tr w14:paraId="2097AB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206" w:hRule="atLeast"/>
                <w:jc w:val="center"/>
              </w:trPr>
              <w:tc>
                <w:tcPr>
                  <w:tcW w:w="539" w:type="dxa"/>
                  <w:tcBorders>
                    <w:tl2br w:val="nil"/>
                    <w:tr2bl w:val="nil"/>
                  </w:tcBorders>
                  <w:shd w:val="clear" w:color="auto" w:fill="auto"/>
                  <w:noWrap w:val="0"/>
                  <w:vAlign w:val="center"/>
                </w:tcPr>
                <w:p w14:paraId="6AD90D39">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18"/>
                      <w:szCs w:val="18"/>
                      <w:lang w:val="en-US" w:eastAsia="zh-CN" w:bidi="zh-CN"/>
                    </w:rPr>
                  </w:pPr>
                  <w:r>
                    <w:rPr>
                      <w:rFonts w:hint="default" w:ascii="Times New Roman" w:hAnsi="Times New Roman" w:eastAsia="宋体" w:cs="Times New Roman"/>
                      <w:color w:val="auto"/>
                      <w:sz w:val="18"/>
                      <w:szCs w:val="18"/>
                      <w:lang w:val="en-US" w:eastAsia="zh-CN" w:bidi="zh-CN"/>
                    </w:rPr>
                    <w:t>1</w:t>
                  </w:r>
                </w:p>
              </w:tc>
              <w:tc>
                <w:tcPr>
                  <w:tcW w:w="1695" w:type="dxa"/>
                  <w:tcBorders>
                    <w:tl2br w:val="nil"/>
                    <w:tr2bl w:val="nil"/>
                  </w:tcBorders>
                  <w:noWrap w:val="0"/>
                  <w:vAlign w:val="center"/>
                </w:tcPr>
                <w:p w14:paraId="2095C9A9">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聚碳酸酯（PC）</w:t>
                  </w:r>
                </w:p>
              </w:tc>
              <w:tc>
                <w:tcPr>
                  <w:tcW w:w="1126" w:type="dxa"/>
                  <w:tcBorders>
                    <w:tl2br w:val="nil"/>
                    <w:tr2bl w:val="nil"/>
                  </w:tcBorders>
                  <w:shd w:val="clear" w:color="auto" w:fill="auto"/>
                  <w:noWrap w:val="0"/>
                  <w:vAlign w:val="center"/>
                </w:tcPr>
                <w:p w14:paraId="55489408">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聚碳酸酯</w:t>
                  </w:r>
                </w:p>
              </w:tc>
              <w:tc>
                <w:tcPr>
                  <w:tcW w:w="1008" w:type="dxa"/>
                  <w:tcBorders>
                    <w:tl2br w:val="nil"/>
                    <w:tr2bl w:val="nil"/>
                  </w:tcBorders>
                  <w:noWrap w:val="0"/>
                  <w:vAlign w:val="center"/>
                </w:tcPr>
                <w:p w14:paraId="07387916">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1058" w:type="dxa"/>
                  <w:tcBorders>
                    <w:tl2br w:val="nil"/>
                    <w:tr2bl w:val="nil"/>
                  </w:tcBorders>
                  <w:noWrap w:val="0"/>
                  <w:vAlign w:val="center"/>
                </w:tcPr>
                <w:p w14:paraId="58AC3733">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5080</w:t>
                  </w:r>
                </w:p>
              </w:tc>
              <w:tc>
                <w:tcPr>
                  <w:tcW w:w="2202" w:type="dxa"/>
                  <w:tcBorders>
                    <w:tl2br w:val="nil"/>
                    <w:tr2bl w:val="nil"/>
                  </w:tcBorders>
                  <w:noWrap w:val="0"/>
                  <w:vAlign w:val="center"/>
                </w:tcPr>
                <w:p w14:paraId="167AA8D9">
                  <w:pPr>
                    <w:spacing w:line="240" w:lineRule="auto"/>
                    <w:ind w:firstLine="0" w:firstLineChars="0"/>
                    <w:jc w:val="center"/>
                    <w:rPr>
                      <w:rFonts w:hint="default"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508</w:t>
                  </w:r>
                </w:p>
              </w:tc>
              <w:tc>
                <w:tcPr>
                  <w:tcW w:w="648" w:type="dxa"/>
                  <w:tcBorders>
                    <w:tl2br w:val="nil"/>
                    <w:tr2bl w:val="nil"/>
                  </w:tcBorders>
                  <w:noWrap w:val="0"/>
                  <w:vAlign w:val="center"/>
                </w:tcPr>
                <w:p w14:paraId="1A7C0650">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01FACE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206" w:hRule="atLeast"/>
                <w:jc w:val="center"/>
              </w:trPr>
              <w:tc>
                <w:tcPr>
                  <w:tcW w:w="539" w:type="dxa"/>
                  <w:tcBorders>
                    <w:tl2br w:val="nil"/>
                    <w:tr2bl w:val="nil"/>
                  </w:tcBorders>
                  <w:shd w:val="clear" w:color="auto" w:fill="auto"/>
                  <w:noWrap w:val="0"/>
                  <w:vAlign w:val="center"/>
                </w:tcPr>
                <w:p w14:paraId="69FB17D3">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18"/>
                      <w:szCs w:val="18"/>
                      <w:lang w:val="en-US" w:eastAsia="zh-CN" w:bidi="zh-CN"/>
                    </w:rPr>
                  </w:pPr>
                  <w:r>
                    <w:rPr>
                      <w:rFonts w:hint="default" w:ascii="Times New Roman" w:hAnsi="Times New Roman" w:eastAsia="宋体" w:cs="Times New Roman"/>
                      <w:color w:val="auto"/>
                      <w:sz w:val="18"/>
                      <w:szCs w:val="18"/>
                      <w:lang w:val="en-US" w:eastAsia="zh-CN" w:bidi="zh-CN"/>
                    </w:rPr>
                    <w:t>2</w:t>
                  </w:r>
                </w:p>
              </w:tc>
              <w:tc>
                <w:tcPr>
                  <w:tcW w:w="1695" w:type="dxa"/>
                  <w:tcBorders>
                    <w:tl2br w:val="nil"/>
                    <w:tr2bl w:val="nil"/>
                  </w:tcBorders>
                  <w:noWrap w:val="0"/>
                  <w:vAlign w:val="center"/>
                </w:tcPr>
                <w:p w14:paraId="400796E8">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聚丙烯（PP）</w:t>
                  </w:r>
                </w:p>
              </w:tc>
              <w:tc>
                <w:tcPr>
                  <w:tcW w:w="1126" w:type="dxa"/>
                  <w:tcBorders>
                    <w:tl2br w:val="nil"/>
                    <w:tr2bl w:val="nil"/>
                  </w:tcBorders>
                  <w:shd w:val="clear" w:color="auto" w:fill="auto"/>
                  <w:noWrap w:val="0"/>
                  <w:vAlign w:val="center"/>
                </w:tcPr>
                <w:p w14:paraId="1C347DA3">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聚丙烯</w:t>
                  </w:r>
                </w:p>
              </w:tc>
              <w:tc>
                <w:tcPr>
                  <w:tcW w:w="1008" w:type="dxa"/>
                  <w:tcBorders>
                    <w:tl2br w:val="nil"/>
                    <w:tr2bl w:val="nil"/>
                  </w:tcBorders>
                  <w:noWrap w:val="0"/>
                  <w:vAlign w:val="center"/>
                </w:tcPr>
                <w:p w14:paraId="1373B784">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1058" w:type="dxa"/>
                  <w:tcBorders>
                    <w:tl2br w:val="nil"/>
                    <w:tr2bl w:val="nil"/>
                  </w:tcBorders>
                  <w:noWrap w:val="0"/>
                  <w:vAlign w:val="center"/>
                </w:tcPr>
                <w:p w14:paraId="6F7934FF">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8000</w:t>
                  </w:r>
                </w:p>
              </w:tc>
              <w:tc>
                <w:tcPr>
                  <w:tcW w:w="2202" w:type="dxa"/>
                  <w:tcBorders>
                    <w:tl2br w:val="nil"/>
                    <w:tr2bl w:val="nil"/>
                  </w:tcBorders>
                  <w:noWrap w:val="0"/>
                  <w:vAlign w:val="center"/>
                </w:tcPr>
                <w:p w14:paraId="5B71F58B">
                  <w:pPr>
                    <w:spacing w:line="240" w:lineRule="auto"/>
                    <w:ind w:firstLine="0" w:firstLineChars="0"/>
                    <w:jc w:val="center"/>
                    <w:rPr>
                      <w:rFonts w:hint="default"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800</w:t>
                  </w:r>
                </w:p>
              </w:tc>
              <w:tc>
                <w:tcPr>
                  <w:tcW w:w="648" w:type="dxa"/>
                  <w:tcBorders>
                    <w:tl2br w:val="nil"/>
                    <w:tr2bl w:val="nil"/>
                  </w:tcBorders>
                  <w:noWrap w:val="0"/>
                  <w:vAlign w:val="center"/>
                </w:tcPr>
                <w:p w14:paraId="39981156">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4D15D0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609" w:hRule="atLeast"/>
                <w:jc w:val="center"/>
              </w:trPr>
              <w:tc>
                <w:tcPr>
                  <w:tcW w:w="539" w:type="dxa"/>
                  <w:tcBorders>
                    <w:tl2br w:val="nil"/>
                    <w:tr2bl w:val="nil"/>
                  </w:tcBorders>
                  <w:shd w:val="clear" w:color="auto" w:fill="auto"/>
                  <w:noWrap w:val="0"/>
                  <w:vAlign w:val="center"/>
                </w:tcPr>
                <w:p w14:paraId="11CB038F">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18"/>
                      <w:szCs w:val="18"/>
                      <w:lang w:val="en-US" w:eastAsia="zh-CN" w:bidi="zh-CN"/>
                    </w:rPr>
                  </w:pPr>
                  <w:r>
                    <w:rPr>
                      <w:rFonts w:hint="default" w:ascii="Times New Roman" w:hAnsi="Times New Roman" w:cs="Times New Roman"/>
                      <w:color w:val="auto"/>
                      <w:sz w:val="18"/>
                      <w:szCs w:val="18"/>
                      <w:lang w:val="en-US" w:eastAsia="zh-CN" w:bidi="zh-CN"/>
                    </w:rPr>
                    <w:t>3</w:t>
                  </w:r>
                </w:p>
              </w:tc>
              <w:tc>
                <w:tcPr>
                  <w:tcW w:w="1695" w:type="dxa"/>
                  <w:tcBorders>
                    <w:tl2br w:val="nil"/>
                    <w:tr2bl w:val="nil"/>
                  </w:tcBorders>
                  <w:noWrap w:val="0"/>
                  <w:vAlign w:val="center"/>
                </w:tcPr>
                <w:p w14:paraId="5A6FAF96">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聚对苯二甲酸丁二醇酯（PBT）</w:t>
                  </w:r>
                </w:p>
              </w:tc>
              <w:tc>
                <w:tcPr>
                  <w:tcW w:w="1126" w:type="dxa"/>
                  <w:tcBorders>
                    <w:tl2br w:val="nil"/>
                    <w:tr2bl w:val="nil"/>
                  </w:tcBorders>
                  <w:shd w:val="clear" w:color="auto" w:fill="auto"/>
                  <w:noWrap w:val="0"/>
                  <w:vAlign w:val="center"/>
                </w:tcPr>
                <w:p w14:paraId="5842DA46">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聚对苯二甲酸丁二醇酯（PBT）</w:t>
                  </w:r>
                </w:p>
              </w:tc>
              <w:tc>
                <w:tcPr>
                  <w:tcW w:w="1008" w:type="dxa"/>
                  <w:tcBorders>
                    <w:tl2br w:val="nil"/>
                    <w:tr2bl w:val="nil"/>
                  </w:tcBorders>
                  <w:noWrap w:val="0"/>
                  <w:vAlign w:val="center"/>
                </w:tcPr>
                <w:p w14:paraId="17F6133F">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1058" w:type="dxa"/>
                  <w:tcBorders>
                    <w:tl2br w:val="nil"/>
                    <w:tr2bl w:val="nil"/>
                  </w:tcBorders>
                  <w:noWrap w:val="0"/>
                  <w:vAlign w:val="center"/>
                </w:tcPr>
                <w:p w14:paraId="04D9A9A6">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2000</w:t>
                  </w:r>
                </w:p>
              </w:tc>
              <w:tc>
                <w:tcPr>
                  <w:tcW w:w="2202" w:type="dxa"/>
                  <w:tcBorders>
                    <w:tl2br w:val="nil"/>
                    <w:tr2bl w:val="nil"/>
                  </w:tcBorders>
                  <w:noWrap w:val="0"/>
                  <w:vAlign w:val="center"/>
                </w:tcPr>
                <w:p w14:paraId="31372B0E">
                  <w:pPr>
                    <w:spacing w:line="240" w:lineRule="auto"/>
                    <w:ind w:firstLine="0" w:firstLineChars="0"/>
                    <w:jc w:val="center"/>
                    <w:rPr>
                      <w:rFonts w:hint="default"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200</w:t>
                  </w:r>
                </w:p>
              </w:tc>
              <w:tc>
                <w:tcPr>
                  <w:tcW w:w="648" w:type="dxa"/>
                  <w:tcBorders>
                    <w:tl2br w:val="nil"/>
                    <w:tr2bl w:val="nil"/>
                  </w:tcBorders>
                  <w:noWrap w:val="0"/>
                  <w:vAlign w:val="center"/>
                </w:tcPr>
                <w:p w14:paraId="29E10FC9">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7EA888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206" w:hRule="atLeast"/>
                <w:jc w:val="center"/>
              </w:trPr>
              <w:tc>
                <w:tcPr>
                  <w:tcW w:w="539" w:type="dxa"/>
                  <w:tcBorders>
                    <w:tl2br w:val="nil"/>
                    <w:tr2bl w:val="nil"/>
                  </w:tcBorders>
                  <w:shd w:val="clear" w:color="auto" w:fill="auto"/>
                  <w:noWrap w:val="0"/>
                  <w:vAlign w:val="center"/>
                </w:tcPr>
                <w:p w14:paraId="1A356022">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18"/>
                      <w:szCs w:val="18"/>
                      <w:lang w:val="en-US" w:eastAsia="zh-CN" w:bidi="zh-CN"/>
                    </w:rPr>
                  </w:pPr>
                  <w:r>
                    <w:rPr>
                      <w:rFonts w:hint="default" w:ascii="Times New Roman" w:hAnsi="Times New Roman" w:cs="Times New Roman"/>
                      <w:color w:val="auto"/>
                      <w:sz w:val="18"/>
                      <w:szCs w:val="18"/>
                      <w:lang w:val="en-US" w:eastAsia="zh-CN" w:bidi="zh-CN"/>
                    </w:rPr>
                    <w:t>4</w:t>
                  </w:r>
                </w:p>
              </w:tc>
              <w:tc>
                <w:tcPr>
                  <w:tcW w:w="1695" w:type="dxa"/>
                  <w:tcBorders>
                    <w:tl2br w:val="nil"/>
                    <w:tr2bl w:val="nil"/>
                  </w:tcBorders>
                  <w:noWrap w:val="0"/>
                  <w:vAlign w:val="center"/>
                </w:tcPr>
                <w:p w14:paraId="42079A3C">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钢材</w:t>
                  </w:r>
                </w:p>
              </w:tc>
              <w:tc>
                <w:tcPr>
                  <w:tcW w:w="1126" w:type="dxa"/>
                  <w:tcBorders>
                    <w:tl2br w:val="nil"/>
                    <w:tr2bl w:val="nil"/>
                  </w:tcBorders>
                  <w:shd w:val="clear" w:color="auto" w:fill="auto"/>
                  <w:noWrap w:val="0"/>
                  <w:vAlign w:val="center"/>
                </w:tcPr>
                <w:p w14:paraId="60703FD8">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钢</w:t>
                  </w:r>
                </w:p>
              </w:tc>
              <w:tc>
                <w:tcPr>
                  <w:tcW w:w="1008" w:type="dxa"/>
                  <w:tcBorders>
                    <w:tl2br w:val="nil"/>
                    <w:tr2bl w:val="nil"/>
                  </w:tcBorders>
                  <w:noWrap w:val="0"/>
                  <w:vAlign w:val="center"/>
                </w:tcPr>
                <w:p w14:paraId="272FEAF0">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1058" w:type="dxa"/>
                  <w:tcBorders>
                    <w:tl2br w:val="nil"/>
                    <w:tr2bl w:val="nil"/>
                  </w:tcBorders>
                  <w:noWrap w:val="0"/>
                  <w:vAlign w:val="center"/>
                </w:tcPr>
                <w:p w14:paraId="2BAB0293">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1800</w:t>
                  </w:r>
                </w:p>
              </w:tc>
              <w:tc>
                <w:tcPr>
                  <w:tcW w:w="2202" w:type="dxa"/>
                  <w:tcBorders>
                    <w:tl2br w:val="nil"/>
                    <w:tr2bl w:val="nil"/>
                  </w:tcBorders>
                  <w:noWrap w:val="0"/>
                  <w:vAlign w:val="center"/>
                </w:tcPr>
                <w:p w14:paraId="5BCB0CB9">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180</w:t>
                  </w:r>
                </w:p>
              </w:tc>
              <w:tc>
                <w:tcPr>
                  <w:tcW w:w="648" w:type="dxa"/>
                  <w:tcBorders>
                    <w:tl2br w:val="nil"/>
                    <w:tr2bl w:val="nil"/>
                  </w:tcBorders>
                  <w:noWrap w:val="0"/>
                  <w:vAlign w:val="center"/>
                </w:tcPr>
                <w:p w14:paraId="3DDE3FB5">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7C0826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206" w:hRule="atLeast"/>
                <w:jc w:val="center"/>
              </w:trPr>
              <w:tc>
                <w:tcPr>
                  <w:tcW w:w="539" w:type="dxa"/>
                  <w:tcBorders>
                    <w:tl2br w:val="nil"/>
                    <w:tr2bl w:val="nil"/>
                  </w:tcBorders>
                  <w:shd w:val="clear" w:color="auto" w:fill="auto"/>
                  <w:noWrap w:val="0"/>
                  <w:vAlign w:val="center"/>
                </w:tcPr>
                <w:p w14:paraId="03D29C98">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18"/>
                      <w:szCs w:val="18"/>
                      <w:lang w:val="en-US" w:eastAsia="zh-CN" w:bidi="zh-CN"/>
                    </w:rPr>
                  </w:pPr>
                  <w:r>
                    <w:rPr>
                      <w:rFonts w:hint="eastAsia" w:cs="Times New Roman"/>
                      <w:color w:val="auto"/>
                      <w:sz w:val="18"/>
                      <w:szCs w:val="18"/>
                      <w:lang w:val="en-US" w:eastAsia="zh-CN" w:bidi="zh-CN"/>
                    </w:rPr>
                    <w:t>5</w:t>
                  </w:r>
                </w:p>
              </w:tc>
              <w:tc>
                <w:tcPr>
                  <w:tcW w:w="1695" w:type="dxa"/>
                  <w:tcBorders>
                    <w:tl2br w:val="nil"/>
                    <w:tr2bl w:val="nil"/>
                  </w:tcBorders>
                  <w:noWrap w:val="0"/>
                  <w:vAlign w:val="center"/>
                </w:tcPr>
                <w:p w14:paraId="299DBA5D">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切削液</w:t>
                  </w:r>
                </w:p>
              </w:tc>
              <w:tc>
                <w:tcPr>
                  <w:tcW w:w="1126" w:type="dxa"/>
                  <w:tcBorders>
                    <w:tl2br w:val="nil"/>
                    <w:tr2bl w:val="nil"/>
                  </w:tcBorders>
                  <w:shd w:val="clear" w:color="auto" w:fill="auto"/>
                  <w:noWrap w:val="0"/>
                  <w:vAlign w:val="center"/>
                </w:tcPr>
                <w:p w14:paraId="0A99E6D1">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切削液</w:t>
                  </w:r>
                </w:p>
              </w:tc>
              <w:tc>
                <w:tcPr>
                  <w:tcW w:w="1008" w:type="dxa"/>
                  <w:tcBorders>
                    <w:tl2br w:val="nil"/>
                    <w:tr2bl w:val="nil"/>
                  </w:tcBorders>
                  <w:noWrap w:val="0"/>
                  <w:vAlign w:val="center"/>
                </w:tcPr>
                <w:p w14:paraId="524A248B">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1058" w:type="dxa"/>
                  <w:tcBorders>
                    <w:tl2br w:val="nil"/>
                    <w:tr2bl w:val="nil"/>
                  </w:tcBorders>
                  <w:noWrap w:val="0"/>
                  <w:vAlign w:val="center"/>
                </w:tcPr>
                <w:p w14:paraId="61910462">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0.5</w:t>
                  </w:r>
                </w:p>
              </w:tc>
              <w:tc>
                <w:tcPr>
                  <w:tcW w:w="2202" w:type="dxa"/>
                  <w:tcBorders>
                    <w:tl2br w:val="nil"/>
                    <w:tr2bl w:val="nil"/>
                  </w:tcBorders>
                  <w:noWrap w:val="0"/>
                  <w:vAlign w:val="center"/>
                </w:tcPr>
                <w:p w14:paraId="2DC28CA5">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0.5</w:t>
                  </w:r>
                </w:p>
              </w:tc>
              <w:tc>
                <w:tcPr>
                  <w:tcW w:w="648" w:type="dxa"/>
                  <w:tcBorders>
                    <w:tl2br w:val="nil"/>
                    <w:tr2bl w:val="nil"/>
                  </w:tcBorders>
                  <w:noWrap w:val="0"/>
                  <w:vAlign w:val="center"/>
                </w:tcPr>
                <w:p w14:paraId="1E365D95">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37CBF6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97" w:hRule="atLeast"/>
                <w:jc w:val="center"/>
              </w:trPr>
              <w:tc>
                <w:tcPr>
                  <w:tcW w:w="539" w:type="dxa"/>
                  <w:tcBorders>
                    <w:tl2br w:val="nil"/>
                    <w:tr2bl w:val="nil"/>
                  </w:tcBorders>
                  <w:shd w:val="clear" w:color="auto" w:fill="auto"/>
                  <w:noWrap w:val="0"/>
                  <w:vAlign w:val="center"/>
                </w:tcPr>
                <w:p w14:paraId="761671DF">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18"/>
                      <w:szCs w:val="18"/>
                      <w:lang w:val="en-US" w:eastAsia="zh-CN" w:bidi="zh-CN"/>
                    </w:rPr>
                  </w:pPr>
                  <w:r>
                    <w:rPr>
                      <w:rFonts w:hint="eastAsia" w:cs="Times New Roman"/>
                      <w:color w:val="auto"/>
                      <w:sz w:val="18"/>
                      <w:szCs w:val="18"/>
                      <w:lang w:val="en-US" w:eastAsia="zh-CN" w:bidi="zh-CN"/>
                    </w:rPr>
                    <w:t>6</w:t>
                  </w:r>
                </w:p>
              </w:tc>
              <w:tc>
                <w:tcPr>
                  <w:tcW w:w="1695" w:type="dxa"/>
                  <w:tcBorders>
                    <w:tl2br w:val="nil"/>
                    <w:tr2bl w:val="nil"/>
                  </w:tcBorders>
                  <w:noWrap w:val="0"/>
                  <w:vAlign w:val="center"/>
                </w:tcPr>
                <w:p w14:paraId="3D16CE5A">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塑料颗粒（PVC 、 ABS 、PC+ABS 等）</w:t>
                  </w:r>
                </w:p>
              </w:tc>
              <w:tc>
                <w:tcPr>
                  <w:tcW w:w="1126" w:type="dxa"/>
                  <w:tcBorders>
                    <w:tl2br w:val="nil"/>
                    <w:tr2bl w:val="nil"/>
                  </w:tcBorders>
                  <w:shd w:val="clear" w:color="auto" w:fill="auto"/>
                  <w:noWrap w:val="0"/>
                  <w:vAlign w:val="center"/>
                </w:tcPr>
                <w:p w14:paraId="29F4D4B0">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PVC、 ABS 、PC、ABS</w:t>
                  </w:r>
                </w:p>
              </w:tc>
              <w:tc>
                <w:tcPr>
                  <w:tcW w:w="1008" w:type="dxa"/>
                  <w:tcBorders>
                    <w:tl2br w:val="nil"/>
                    <w:tr2bl w:val="nil"/>
                  </w:tcBorders>
                  <w:noWrap w:val="0"/>
                  <w:vAlign w:val="center"/>
                </w:tcPr>
                <w:p w14:paraId="6BAD66BD">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1058" w:type="dxa"/>
                  <w:tcBorders>
                    <w:tl2br w:val="nil"/>
                    <w:tr2bl w:val="nil"/>
                  </w:tcBorders>
                  <w:noWrap w:val="0"/>
                  <w:vAlign w:val="center"/>
                </w:tcPr>
                <w:p w14:paraId="5EA329D9">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5000</w:t>
                  </w:r>
                </w:p>
              </w:tc>
              <w:tc>
                <w:tcPr>
                  <w:tcW w:w="2202" w:type="dxa"/>
                  <w:tcBorders>
                    <w:tl2br w:val="nil"/>
                    <w:tr2bl w:val="nil"/>
                  </w:tcBorders>
                  <w:noWrap w:val="0"/>
                  <w:vAlign w:val="center"/>
                </w:tcPr>
                <w:p w14:paraId="700D6821">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500</w:t>
                  </w:r>
                </w:p>
              </w:tc>
              <w:tc>
                <w:tcPr>
                  <w:tcW w:w="648" w:type="dxa"/>
                  <w:tcBorders>
                    <w:tl2br w:val="nil"/>
                    <w:tr2bl w:val="nil"/>
                  </w:tcBorders>
                  <w:noWrap w:val="0"/>
                  <w:vAlign w:val="center"/>
                </w:tcPr>
                <w:p w14:paraId="6F9A90FB">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72C950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206" w:hRule="atLeast"/>
                <w:jc w:val="center"/>
              </w:trPr>
              <w:tc>
                <w:tcPr>
                  <w:tcW w:w="539" w:type="dxa"/>
                  <w:tcBorders>
                    <w:tl2br w:val="nil"/>
                    <w:tr2bl w:val="nil"/>
                  </w:tcBorders>
                  <w:shd w:val="clear" w:color="auto" w:fill="auto"/>
                  <w:noWrap w:val="0"/>
                  <w:vAlign w:val="center"/>
                </w:tcPr>
                <w:p w14:paraId="117D362C">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18"/>
                      <w:szCs w:val="18"/>
                      <w:lang w:val="en-US" w:eastAsia="zh-CN" w:bidi="zh-CN"/>
                    </w:rPr>
                  </w:pPr>
                  <w:r>
                    <w:rPr>
                      <w:rFonts w:hint="eastAsia" w:cs="Times New Roman"/>
                      <w:color w:val="auto"/>
                      <w:sz w:val="18"/>
                      <w:szCs w:val="18"/>
                      <w:lang w:val="en-US" w:eastAsia="zh-CN" w:bidi="zh-CN"/>
                    </w:rPr>
                    <w:t>7</w:t>
                  </w:r>
                </w:p>
              </w:tc>
              <w:tc>
                <w:tcPr>
                  <w:tcW w:w="1695" w:type="dxa"/>
                  <w:tcBorders>
                    <w:tl2br w:val="nil"/>
                    <w:tr2bl w:val="nil"/>
                  </w:tcBorders>
                  <w:noWrap w:val="0"/>
                  <w:vAlign w:val="center"/>
                </w:tcPr>
                <w:p w14:paraId="44AC419F">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电线</w:t>
                  </w:r>
                </w:p>
              </w:tc>
              <w:tc>
                <w:tcPr>
                  <w:tcW w:w="1126" w:type="dxa"/>
                  <w:tcBorders>
                    <w:tl2br w:val="nil"/>
                    <w:tr2bl w:val="nil"/>
                  </w:tcBorders>
                  <w:shd w:val="clear" w:color="auto" w:fill="auto"/>
                  <w:noWrap w:val="0"/>
                  <w:vAlign w:val="center"/>
                </w:tcPr>
                <w:p w14:paraId="780294ED">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电线</w:t>
                  </w:r>
                </w:p>
              </w:tc>
              <w:tc>
                <w:tcPr>
                  <w:tcW w:w="1008" w:type="dxa"/>
                  <w:tcBorders>
                    <w:tl2br w:val="nil"/>
                    <w:tr2bl w:val="nil"/>
                  </w:tcBorders>
                  <w:noWrap w:val="0"/>
                  <w:vAlign w:val="center"/>
                </w:tcPr>
                <w:p w14:paraId="11D1D42C">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1058" w:type="dxa"/>
                  <w:tcBorders>
                    <w:tl2br w:val="nil"/>
                    <w:tr2bl w:val="nil"/>
                  </w:tcBorders>
                  <w:noWrap w:val="0"/>
                  <w:vAlign w:val="center"/>
                </w:tcPr>
                <w:p w14:paraId="5C3A8314">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80</w:t>
                  </w:r>
                </w:p>
              </w:tc>
              <w:tc>
                <w:tcPr>
                  <w:tcW w:w="2202" w:type="dxa"/>
                  <w:tcBorders>
                    <w:tl2br w:val="nil"/>
                    <w:tr2bl w:val="nil"/>
                  </w:tcBorders>
                  <w:noWrap w:val="0"/>
                  <w:vAlign w:val="center"/>
                </w:tcPr>
                <w:p w14:paraId="535A4143">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80</w:t>
                  </w:r>
                </w:p>
              </w:tc>
              <w:tc>
                <w:tcPr>
                  <w:tcW w:w="648" w:type="dxa"/>
                  <w:tcBorders>
                    <w:tl2br w:val="nil"/>
                    <w:tr2bl w:val="nil"/>
                  </w:tcBorders>
                  <w:noWrap w:val="0"/>
                  <w:vAlign w:val="center"/>
                </w:tcPr>
                <w:p w14:paraId="15CB34A9">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1AAB56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307" w:hRule="atLeast"/>
                <w:jc w:val="center"/>
              </w:trPr>
              <w:tc>
                <w:tcPr>
                  <w:tcW w:w="539" w:type="dxa"/>
                  <w:tcBorders>
                    <w:tl2br w:val="nil"/>
                    <w:tr2bl w:val="nil"/>
                  </w:tcBorders>
                  <w:shd w:val="clear" w:color="auto" w:fill="auto"/>
                  <w:noWrap w:val="0"/>
                  <w:vAlign w:val="center"/>
                </w:tcPr>
                <w:p w14:paraId="60370DF9">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18"/>
                      <w:szCs w:val="18"/>
                      <w:lang w:val="en-US" w:eastAsia="zh-CN" w:bidi="zh-CN"/>
                    </w:rPr>
                  </w:pPr>
                  <w:r>
                    <w:rPr>
                      <w:rFonts w:hint="eastAsia" w:cs="Times New Roman"/>
                      <w:color w:val="auto"/>
                      <w:sz w:val="18"/>
                      <w:szCs w:val="18"/>
                      <w:lang w:val="en-US" w:eastAsia="zh-CN" w:bidi="zh-CN"/>
                    </w:rPr>
                    <w:t>8</w:t>
                  </w:r>
                </w:p>
              </w:tc>
              <w:tc>
                <w:tcPr>
                  <w:tcW w:w="1695" w:type="dxa"/>
                  <w:tcBorders>
                    <w:tl2br w:val="nil"/>
                    <w:tr2bl w:val="nil"/>
                  </w:tcBorders>
                  <w:noWrap w:val="0"/>
                  <w:vAlign w:val="center"/>
                </w:tcPr>
                <w:p w14:paraId="51ED0246">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金属材料（铁片、铜片等）</w:t>
                  </w:r>
                </w:p>
              </w:tc>
              <w:tc>
                <w:tcPr>
                  <w:tcW w:w="1126" w:type="dxa"/>
                  <w:tcBorders>
                    <w:tl2br w:val="nil"/>
                    <w:tr2bl w:val="nil"/>
                  </w:tcBorders>
                  <w:shd w:val="clear" w:color="auto" w:fill="auto"/>
                  <w:noWrap w:val="0"/>
                  <w:vAlign w:val="center"/>
                </w:tcPr>
                <w:p w14:paraId="364AE8F8">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铁片、铜片</w:t>
                  </w:r>
                </w:p>
              </w:tc>
              <w:tc>
                <w:tcPr>
                  <w:tcW w:w="1008" w:type="dxa"/>
                  <w:tcBorders>
                    <w:tl2br w:val="nil"/>
                    <w:tr2bl w:val="nil"/>
                  </w:tcBorders>
                  <w:noWrap w:val="0"/>
                  <w:vAlign w:val="center"/>
                </w:tcPr>
                <w:p w14:paraId="511A425A">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1058" w:type="dxa"/>
                  <w:tcBorders>
                    <w:tl2br w:val="nil"/>
                    <w:tr2bl w:val="nil"/>
                  </w:tcBorders>
                  <w:noWrap w:val="0"/>
                  <w:vAlign w:val="center"/>
                </w:tcPr>
                <w:p w14:paraId="730F9CBA">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50</w:t>
                  </w:r>
                </w:p>
              </w:tc>
              <w:tc>
                <w:tcPr>
                  <w:tcW w:w="2202" w:type="dxa"/>
                  <w:tcBorders>
                    <w:tl2br w:val="nil"/>
                    <w:tr2bl w:val="nil"/>
                  </w:tcBorders>
                  <w:noWrap w:val="0"/>
                  <w:vAlign w:val="center"/>
                </w:tcPr>
                <w:p w14:paraId="582EB26C">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50</w:t>
                  </w:r>
                </w:p>
              </w:tc>
              <w:tc>
                <w:tcPr>
                  <w:tcW w:w="648" w:type="dxa"/>
                  <w:tcBorders>
                    <w:tl2br w:val="nil"/>
                    <w:tr2bl w:val="nil"/>
                  </w:tcBorders>
                  <w:noWrap w:val="0"/>
                  <w:vAlign w:val="center"/>
                </w:tcPr>
                <w:p w14:paraId="0B285F79">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45BD91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206" w:hRule="atLeast"/>
                <w:jc w:val="center"/>
              </w:trPr>
              <w:tc>
                <w:tcPr>
                  <w:tcW w:w="539" w:type="dxa"/>
                  <w:tcBorders>
                    <w:tl2br w:val="nil"/>
                    <w:tr2bl w:val="nil"/>
                  </w:tcBorders>
                  <w:shd w:val="clear" w:color="auto" w:fill="auto"/>
                  <w:noWrap w:val="0"/>
                  <w:vAlign w:val="center"/>
                </w:tcPr>
                <w:p w14:paraId="5717A277">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18"/>
                      <w:szCs w:val="18"/>
                      <w:lang w:val="en-US" w:eastAsia="zh-CN" w:bidi="zh-CN"/>
                    </w:rPr>
                  </w:pPr>
                  <w:r>
                    <w:rPr>
                      <w:rFonts w:hint="eastAsia" w:cs="Times New Roman"/>
                      <w:color w:val="auto"/>
                      <w:sz w:val="18"/>
                      <w:szCs w:val="18"/>
                      <w:lang w:val="en-US" w:eastAsia="zh-CN" w:bidi="zh-CN"/>
                    </w:rPr>
                    <w:t>9</w:t>
                  </w:r>
                </w:p>
              </w:tc>
              <w:tc>
                <w:tcPr>
                  <w:tcW w:w="1695" w:type="dxa"/>
                  <w:tcBorders>
                    <w:tl2br w:val="nil"/>
                    <w:tr2bl w:val="nil"/>
                  </w:tcBorders>
                  <w:noWrap w:val="0"/>
                  <w:vAlign w:val="center"/>
                </w:tcPr>
                <w:p w14:paraId="3A706D57">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聚碳酸酯（PC）</w:t>
                  </w:r>
                </w:p>
              </w:tc>
              <w:tc>
                <w:tcPr>
                  <w:tcW w:w="1126" w:type="dxa"/>
                  <w:tcBorders>
                    <w:tl2br w:val="nil"/>
                    <w:tr2bl w:val="nil"/>
                  </w:tcBorders>
                  <w:shd w:val="clear" w:color="auto" w:fill="auto"/>
                  <w:noWrap w:val="0"/>
                  <w:vAlign w:val="center"/>
                </w:tcPr>
                <w:p w14:paraId="7BC0F35F">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聚碳酸酯</w:t>
                  </w:r>
                </w:p>
              </w:tc>
              <w:tc>
                <w:tcPr>
                  <w:tcW w:w="1008" w:type="dxa"/>
                  <w:tcBorders>
                    <w:tl2br w:val="nil"/>
                    <w:tr2bl w:val="nil"/>
                  </w:tcBorders>
                  <w:noWrap w:val="0"/>
                  <w:vAlign w:val="center"/>
                </w:tcPr>
                <w:p w14:paraId="39830C3D">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1058" w:type="dxa"/>
                  <w:tcBorders>
                    <w:tl2br w:val="nil"/>
                    <w:tr2bl w:val="nil"/>
                  </w:tcBorders>
                  <w:noWrap w:val="0"/>
                  <w:vAlign w:val="center"/>
                </w:tcPr>
                <w:p w14:paraId="446722B9">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c>
                <w:tcPr>
                  <w:tcW w:w="2202" w:type="dxa"/>
                  <w:tcBorders>
                    <w:tl2br w:val="nil"/>
                    <w:tr2bl w:val="nil"/>
                  </w:tcBorders>
                  <w:noWrap w:val="0"/>
                  <w:vAlign w:val="center"/>
                </w:tcPr>
                <w:p w14:paraId="25585780">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c>
                <w:tcPr>
                  <w:tcW w:w="648" w:type="dxa"/>
                  <w:tcBorders>
                    <w:tl2br w:val="nil"/>
                    <w:tr2bl w:val="nil"/>
                  </w:tcBorders>
                  <w:noWrap w:val="0"/>
                  <w:vAlign w:val="center"/>
                </w:tcPr>
                <w:p w14:paraId="66945C43">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33AAAF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497" w:hRule="atLeast"/>
                <w:jc w:val="center"/>
              </w:trPr>
              <w:tc>
                <w:tcPr>
                  <w:tcW w:w="539" w:type="dxa"/>
                  <w:tcBorders>
                    <w:tl2br w:val="nil"/>
                    <w:tr2bl w:val="nil"/>
                  </w:tcBorders>
                  <w:shd w:val="clear" w:color="auto" w:fill="auto"/>
                  <w:noWrap w:val="0"/>
                  <w:vAlign w:val="center"/>
                </w:tcPr>
                <w:p w14:paraId="6A5A6311">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18"/>
                      <w:szCs w:val="18"/>
                      <w:lang w:val="en-US" w:eastAsia="zh-CN" w:bidi="zh-CN"/>
                    </w:rPr>
                  </w:pPr>
                  <w:r>
                    <w:rPr>
                      <w:rFonts w:hint="eastAsia" w:cs="Times New Roman"/>
                      <w:color w:val="auto"/>
                      <w:sz w:val="18"/>
                      <w:szCs w:val="18"/>
                      <w:lang w:val="en-US" w:eastAsia="zh-CN" w:bidi="zh-CN"/>
                    </w:rPr>
                    <w:t>10</w:t>
                  </w:r>
                </w:p>
              </w:tc>
              <w:tc>
                <w:tcPr>
                  <w:tcW w:w="1695" w:type="dxa"/>
                  <w:tcBorders>
                    <w:tl2br w:val="nil"/>
                    <w:tr2bl w:val="nil"/>
                  </w:tcBorders>
                  <w:noWrap w:val="0"/>
                  <w:vAlign w:val="center"/>
                </w:tcPr>
                <w:p w14:paraId="04227CF8">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塑料颗粒（PVC 、 ABS 、PC+ABS 等）</w:t>
                  </w:r>
                </w:p>
              </w:tc>
              <w:tc>
                <w:tcPr>
                  <w:tcW w:w="1126" w:type="dxa"/>
                  <w:tcBorders>
                    <w:tl2br w:val="nil"/>
                    <w:tr2bl w:val="nil"/>
                  </w:tcBorders>
                  <w:shd w:val="clear" w:color="auto" w:fill="auto"/>
                  <w:noWrap w:val="0"/>
                  <w:vAlign w:val="center"/>
                </w:tcPr>
                <w:p w14:paraId="69514B63">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PVC 、 ABS 、PC、ABS</w:t>
                  </w:r>
                </w:p>
              </w:tc>
              <w:tc>
                <w:tcPr>
                  <w:tcW w:w="1008" w:type="dxa"/>
                  <w:tcBorders>
                    <w:tl2br w:val="nil"/>
                    <w:tr2bl w:val="nil"/>
                  </w:tcBorders>
                  <w:noWrap w:val="0"/>
                  <w:vAlign w:val="center"/>
                </w:tcPr>
                <w:p w14:paraId="42591B0D">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1058" w:type="dxa"/>
                  <w:tcBorders>
                    <w:tl2br w:val="nil"/>
                    <w:tr2bl w:val="nil"/>
                  </w:tcBorders>
                  <w:noWrap w:val="0"/>
                  <w:vAlign w:val="center"/>
                </w:tcPr>
                <w:p w14:paraId="4017EE46">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130</w:t>
                  </w:r>
                </w:p>
              </w:tc>
              <w:tc>
                <w:tcPr>
                  <w:tcW w:w="2202" w:type="dxa"/>
                  <w:tcBorders>
                    <w:tl2br w:val="nil"/>
                    <w:tr2bl w:val="nil"/>
                  </w:tcBorders>
                  <w:noWrap w:val="0"/>
                  <w:vAlign w:val="center"/>
                </w:tcPr>
                <w:p w14:paraId="42443E83">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130</w:t>
                  </w:r>
                </w:p>
              </w:tc>
              <w:tc>
                <w:tcPr>
                  <w:tcW w:w="648" w:type="dxa"/>
                  <w:tcBorders>
                    <w:tl2br w:val="nil"/>
                    <w:tr2bl w:val="nil"/>
                  </w:tcBorders>
                  <w:noWrap w:val="0"/>
                  <w:vAlign w:val="center"/>
                </w:tcPr>
                <w:p w14:paraId="748E7CB6">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03A723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206" w:hRule="atLeast"/>
                <w:jc w:val="center"/>
              </w:trPr>
              <w:tc>
                <w:tcPr>
                  <w:tcW w:w="539" w:type="dxa"/>
                  <w:tcBorders>
                    <w:tl2br w:val="nil"/>
                    <w:tr2bl w:val="nil"/>
                  </w:tcBorders>
                  <w:shd w:val="clear" w:color="auto" w:fill="auto"/>
                  <w:noWrap w:val="0"/>
                  <w:vAlign w:val="center"/>
                </w:tcPr>
                <w:p w14:paraId="50DF66FF">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18"/>
                      <w:szCs w:val="18"/>
                      <w:lang w:val="en-US" w:eastAsia="zh-CN" w:bidi="zh-CN"/>
                    </w:rPr>
                  </w:pPr>
                  <w:r>
                    <w:rPr>
                      <w:rFonts w:hint="eastAsia" w:cs="Times New Roman"/>
                      <w:color w:val="auto"/>
                      <w:sz w:val="18"/>
                      <w:szCs w:val="18"/>
                      <w:lang w:val="en-US" w:eastAsia="zh-CN" w:bidi="zh-CN"/>
                    </w:rPr>
                    <w:t>11</w:t>
                  </w:r>
                </w:p>
              </w:tc>
              <w:tc>
                <w:tcPr>
                  <w:tcW w:w="1695" w:type="dxa"/>
                  <w:tcBorders>
                    <w:tl2br w:val="nil"/>
                    <w:tr2bl w:val="nil"/>
                  </w:tcBorders>
                  <w:noWrap w:val="0"/>
                  <w:vAlign w:val="center"/>
                </w:tcPr>
                <w:p w14:paraId="371DAC8E">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TPS</w:t>
                  </w:r>
                </w:p>
              </w:tc>
              <w:tc>
                <w:tcPr>
                  <w:tcW w:w="1126" w:type="dxa"/>
                  <w:tcBorders>
                    <w:tl2br w:val="nil"/>
                    <w:tr2bl w:val="nil"/>
                  </w:tcBorders>
                  <w:shd w:val="clear" w:color="auto" w:fill="auto"/>
                  <w:noWrap w:val="0"/>
                  <w:vAlign w:val="center"/>
                </w:tcPr>
                <w:p w14:paraId="22062EB6">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TPS</w:t>
                  </w:r>
                </w:p>
              </w:tc>
              <w:tc>
                <w:tcPr>
                  <w:tcW w:w="1008" w:type="dxa"/>
                  <w:tcBorders>
                    <w:tl2br w:val="nil"/>
                    <w:tr2bl w:val="nil"/>
                  </w:tcBorders>
                  <w:noWrap w:val="0"/>
                  <w:vAlign w:val="center"/>
                </w:tcPr>
                <w:p w14:paraId="3BC68C22">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1058" w:type="dxa"/>
                  <w:tcBorders>
                    <w:tl2br w:val="nil"/>
                    <w:tr2bl w:val="nil"/>
                  </w:tcBorders>
                  <w:noWrap w:val="0"/>
                  <w:vAlign w:val="center"/>
                </w:tcPr>
                <w:p w14:paraId="533322A1">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24</w:t>
                  </w:r>
                </w:p>
              </w:tc>
              <w:tc>
                <w:tcPr>
                  <w:tcW w:w="2202" w:type="dxa"/>
                  <w:tcBorders>
                    <w:tl2br w:val="nil"/>
                    <w:tr2bl w:val="nil"/>
                  </w:tcBorders>
                  <w:noWrap w:val="0"/>
                  <w:vAlign w:val="center"/>
                </w:tcPr>
                <w:p w14:paraId="2495DF24">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24</w:t>
                  </w:r>
                </w:p>
              </w:tc>
              <w:tc>
                <w:tcPr>
                  <w:tcW w:w="648" w:type="dxa"/>
                  <w:tcBorders>
                    <w:tl2br w:val="nil"/>
                    <w:tr2bl w:val="nil"/>
                  </w:tcBorders>
                  <w:noWrap w:val="0"/>
                  <w:vAlign w:val="center"/>
                </w:tcPr>
                <w:p w14:paraId="2F5C80F6">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61AB68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206" w:hRule="atLeast"/>
                <w:jc w:val="center"/>
              </w:trPr>
              <w:tc>
                <w:tcPr>
                  <w:tcW w:w="539" w:type="dxa"/>
                  <w:tcBorders>
                    <w:tl2br w:val="nil"/>
                    <w:tr2bl w:val="nil"/>
                  </w:tcBorders>
                  <w:shd w:val="clear" w:color="auto" w:fill="auto"/>
                  <w:noWrap w:val="0"/>
                  <w:vAlign w:val="center"/>
                </w:tcPr>
                <w:p w14:paraId="2DAE5D79">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18"/>
                      <w:szCs w:val="18"/>
                      <w:lang w:val="en-US" w:eastAsia="zh-CN" w:bidi="zh-CN"/>
                    </w:rPr>
                  </w:pPr>
                  <w:r>
                    <w:rPr>
                      <w:rFonts w:hint="eastAsia" w:cs="Times New Roman"/>
                      <w:color w:val="auto"/>
                      <w:sz w:val="18"/>
                      <w:szCs w:val="18"/>
                      <w:lang w:val="en-US" w:eastAsia="zh-CN" w:bidi="zh-CN"/>
                    </w:rPr>
                    <w:t>12</w:t>
                  </w:r>
                </w:p>
              </w:tc>
              <w:tc>
                <w:tcPr>
                  <w:tcW w:w="1695" w:type="dxa"/>
                  <w:tcBorders>
                    <w:tl2br w:val="nil"/>
                    <w:tr2bl w:val="nil"/>
                  </w:tcBorders>
                  <w:noWrap w:val="0"/>
                  <w:vAlign w:val="center"/>
                </w:tcPr>
                <w:p w14:paraId="00884DB7">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PMMA</w:t>
                  </w:r>
                </w:p>
              </w:tc>
              <w:tc>
                <w:tcPr>
                  <w:tcW w:w="1126" w:type="dxa"/>
                  <w:tcBorders>
                    <w:tl2br w:val="nil"/>
                    <w:tr2bl w:val="nil"/>
                  </w:tcBorders>
                  <w:shd w:val="clear" w:color="auto" w:fill="auto"/>
                  <w:noWrap w:val="0"/>
                  <w:vAlign w:val="center"/>
                </w:tcPr>
                <w:p w14:paraId="4B147201">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PMMA</w:t>
                  </w:r>
                </w:p>
              </w:tc>
              <w:tc>
                <w:tcPr>
                  <w:tcW w:w="1008" w:type="dxa"/>
                  <w:tcBorders>
                    <w:tl2br w:val="nil"/>
                    <w:tr2bl w:val="nil"/>
                  </w:tcBorders>
                  <w:noWrap w:val="0"/>
                  <w:vAlign w:val="center"/>
                </w:tcPr>
                <w:p w14:paraId="1600C566">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1058" w:type="dxa"/>
                  <w:tcBorders>
                    <w:tl2br w:val="nil"/>
                    <w:tr2bl w:val="nil"/>
                  </w:tcBorders>
                  <w:noWrap w:val="0"/>
                  <w:vAlign w:val="center"/>
                </w:tcPr>
                <w:p w14:paraId="645094A3">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75</w:t>
                  </w:r>
                </w:p>
              </w:tc>
              <w:tc>
                <w:tcPr>
                  <w:tcW w:w="2202" w:type="dxa"/>
                  <w:tcBorders>
                    <w:tl2br w:val="nil"/>
                    <w:tr2bl w:val="nil"/>
                  </w:tcBorders>
                  <w:noWrap w:val="0"/>
                  <w:vAlign w:val="center"/>
                </w:tcPr>
                <w:p w14:paraId="77C5132F">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75</w:t>
                  </w:r>
                </w:p>
              </w:tc>
              <w:tc>
                <w:tcPr>
                  <w:tcW w:w="648" w:type="dxa"/>
                  <w:tcBorders>
                    <w:tl2br w:val="nil"/>
                    <w:tr2bl w:val="nil"/>
                  </w:tcBorders>
                  <w:noWrap w:val="0"/>
                  <w:vAlign w:val="center"/>
                </w:tcPr>
                <w:p w14:paraId="0B4DD9DC">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63A7F3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206" w:hRule="atLeast"/>
                <w:jc w:val="center"/>
              </w:trPr>
              <w:tc>
                <w:tcPr>
                  <w:tcW w:w="539" w:type="dxa"/>
                  <w:tcBorders>
                    <w:tl2br w:val="nil"/>
                    <w:tr2bl w:val="nil"/>
                  </w:tcBorders>
                  <w:shd w:val="clear" w:color="auto" w:fill="auto"/>
                  <w:noWrap w:val="0"/>
                  <w:vAlign w:val="center"/>
                </w:tcPr>
                <w:p w14:paraId="6B5D554D">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18"/>
                      <w:szCs w:val="18"/>
                      <w:lang w:val="en-US" w:eastAsia="zh-CN" w:bidi="zh-CN"/>
                    </w:rPr>
                  </w:pPr>
                  <w:r>
                    <w:rPr>
                      <w:rFonts w:hint="eastAsia" w:cs="Times New Roman"/>
                      <w:color w:val="auto"/>
                      <w:sz w:val="18"/>
                      <w:szCs w:val="18"/>
                      <w:lang w:val="en-US" w:eastAsia="zh-CN" w:bidi="zh-CN"/>
                    </w:rPr>
                    <w:t>13</w:t>
                  </w:r>
                </w:p>
              </w:tc>
              <w:tc>
                <w:tcPr>
                  <w:tcW w:w="1695" w:type="dxa"/>
                  <w:tcBorders>
                    <w:tl2br w:val="nil"/>
                    <w:tr2bl w:val="nil"/>
                  </w:tcBorders>
                  <w:noWrap w:val="0"/>
                  <w:vAlign w:val="center"/>
                </w:tcPr>
                <w:p w14:paraId="11CDCD9D">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胶水</w:t>
                  </w:r>
                </w:p>
              </w:tc>
              <w:tc>
                <w:tcPr>
                  <w:tcW w:w="1126" w:type="dxa"/>
                  <w:tcBorders>
                    <w:tl2br w:val="nil"/>
                    <w:tr2bl w:val="nil"/>
                  </w:tcBorders>
                  <w:shd w:val="clear" w:color="auto" w:fill="auto"/>
                  <w:noWrap w:val="0"/>
                  <w:vAlign w:val="center"/>
                </w:tcPr>
                <w:p w14:paraId="27962CE0">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胶水</w:t>
                  </w:r>
                </w:p>
              </w:tc>
              <w:tc>
                <w:tcPr>
                  <w:tcW w:w="1008" w:type="dxa"/>
                  <w:tcBorders>
                    <w:tl2br w:val="nil"/>
                    <w:tr2bl w:val="nil"/>
                  </w:tcBorders>
                  <w:noWrap w:val="0"/>
                  <w:vAlign w:val="center"/>
                </w:tcPr>
                <w:p w14:paraId="1BE9167E">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1058" w:type="dxa"/>
                  <w:tcBorders>
                    <w:tl2br w:val="nil"/>
                    <w:tr2bl w:val="nil"/>
                  </w:tcBorders>
                  <w:noWrap w:val="0"/>
                  <w:vAlign w:val="center"/>
                </w:tcPr>
                <w:p w14:paraId="7851E60D">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12</w:t>
                  </w:r>
                </w:p>
              </w:tc>
              <w:tc>
                <w:tcPr>
                  <w:tcW w:w="2202" w:type="dxa"/>
                  <w:tcBorders>
                    <w:tl2br w:val="nil"/>
                    <w:tr2bl w:val="nil"/>
                  </w:tcBorders>
                  <w:noWrap w:val="0"/>
                  <w:vAlign w:val="center"/>
                </w:tcPr>
                <w:p w14:paraId="6D311214">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12</w:t>
                  </w:r>
                </w:p>
              </w:tc>
              <w:tc>
                <w:tcPr>
                  <w:tcW w:w="648" w:type="dxa"/>
                  <w:tcBorders>
                    <w:tl2br w:val="nil"/>
                    <w:tr2bl w:val="nil"/>
                  </w:tcBorders>
                  <w:noWrap w:val="0"/>
                  <w:vAlign w:val="center"/>
                </w:tcPr>
                <w:p w14:paraId="35D29F44">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0EE264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206" w:hRule="atLeast"/>
                <w:jc w:val="center"/>
              </w:trPr>
              <w:tc>
                <w:tcPr>
                  <w:tcW w:w="539" w:type="dxa"/>
                  <w:tcBorders>
                    <w:tl2br w:val="nil"/>
                    <w:tr2bl w:val="nil"/>
                  </w:tcBorders>
                  <w:shd w:val="clear" w:color="auto" w:fill="auto"/>
                  <w:noWrap w:val="0"/>
                  <w:vAlign w:val="center"/>
                </w:tcPr>
                <w:p w14:paraId="12F47080">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18"/>
                      <w:szCs w:val="18"/>
                      <w:lang w:val="en-US" w:eastAsia="zh-CN" w:bidi="zh-CN"/>
                    </w:rPr>
                  </w:pPr>
                  <w:r>
                    <w:rPr>
                      <w:rFonts w:hint="eastAsia" w:cs="Times New Roman"/>
                      <w:color w:val="auto"/>
                      <w:sz w:val="18"/>
                      <w:szCs w:val="18"/>
                      <w:lang w:val="en-US" w:eastAsia="zh-CN" w:bidi="zh-CN"/>
                    </w:rPr>
                    <w:t>14</w:t>
                  </w:r>
                </w:p>
              </w:tc>
              <w:tc>
                <w:tcPr>
                  <w:tcW w:w="1695" w:type="dxa"/>
                  <w:tcBorders>
                    <w:tl2br w:val="nil"/>
                    <w:tr2bl w:val="nil"/>
                  </w:tcBorders>
                  <w:noWrap w:val="0"/>
                  <w:vAlign w:val="center"/>
                </w:tcPr>
                <w:p w14:paraId="175456C9">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卡扣/螺栓</w:t>
                  </w:r>
                </w:p>
              </w:tc>
              <w:tc>
                <w:tcPr>
                  <w:tcW w:w="1126" w:type="dxa"/>
                  <w:tcBorders>
                    <w:tl2br w:val="nil"/>
                    <w:tr2bl w:val="nil"/>
                  </w:tcBorders>
                  <w:shd w:val="clear" w:color="auto" w:fill="auto"/>
                  <w:noWrap w:val="0"/>
                  <w:vAlign w:val="center"/>
                </w:tcPr>
                <w:p w14:paraId="28E8D49C">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c>
                <w:tcPr>
                  <w:tcW w:w="1008" w:type="dxa"/>
                  <w:tcBorders>
                    <w:tl2br w:val="nil"/>
                    <w:tr2bl w:val="nil"/>
                  </w:tcBorders>
                  <w:noWrap w:val="0"/>
                  <w:vAlign w:val="center"/>
                </w:tcPr>
                <w:p w14:paraId="23CDDE84">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1058" w:type="dxa"/>
                  <w:tcBorders>
                    <w:tl2br w:val="nil"/>
                    <w:tr2bl w:val="nil"/>
                  </w:tcBorders>
                  <w:noWrap w:val="0"/>
                  <w:vAlign w:val="center"/>
                </w:tcPr>
                <w:p w14:paraId="374D9BFC">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0.5</w:t>
                  </w:r>
                </w:p>
              </w:tc>
              <w:tc>
                <w:tcPr>
                  <w:tcW w:w="2202" w:type="dxa"/>
                  <w:tcBorders>
                    <w:tl2br w:val="nil"/>
                    <w:tr2bl w:val="nil"/>
                  </w:tcBorders>
                  <w:noWrap w:val="0"/>
                  <w:vAlign w:val="center"/>
                </w:tcPr>
                <w:p w14:paraId="06C62146">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0.5</w:t>
                  </w:r>
                </w:p>
              </w:tc>
              <w:tc>
                <w:tcPr>
                  <w:tcW w:w="648" w:type="dxa"/>
                  <w:tcBorders>
                    <w:tl2br w:val="nil"/>
                    <w:tr2bl w:val="nil"/>
                  </w:tcBorders>
                  <w:noWrap w:val="0"/>
                  <w:vAlign w:val="center"/>
                </w:tcPr>
                <w:p w14:paraId="5BAB6418">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0CC71D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206" w:hRule="atLeast"/>
                <w:jc w:val="center"/>
              </w:trPr>
              <w:tc>
                <w:tcPr>
                  <w:tcW w:w="539" w:type="dxa"/>
                  <w:tcBorders>
                    <w:tl2br w:val="nil"/>
                    <w:tr2bl w:val="nil"/>
                  </w:tcBorders>
                  <w:shd w:val="clear" w:color="auto" w:fill="auto"/>
                  <w:noWrap w:val="0"/>
                  <w:vAlign w:val="center"/>
                </w:tcPr>
                <w:p w14:paraId="23A18243">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18"/>
                      <w:szCs w:val="18"/>
                      <w:lang w:val="en-US" w:eastAsia="zh-CN" w:bidi="zh-CN"/>
                    </w:rPr>
                  </w:pPr>
                  <w:r>
                    <w:rPr>
                      <w:rFonts w:hint="eastAsia" w:cs="Times New Roman"/>
                      <w:color w:val="auto"/>
                      <w:sz w:val="18"/>
                      <w:szCs w:val="18"/>
                      <w:lang w:val="en-US" w:eastAsia="zh-CN" w:bidi="zh-CN"/>
                    </w:rPr>
                    <w:t>15</w:t>
                  </w:r>
                </w:p>
              </w:tc>
              <w:tc>
                <w:tcPr>
                  <w:tcW w:w="1695" w:type="dxa"/>
                  <w:tcBorders>
                    <w:tl2br w:val="nil"/>
                    <w:tr2bl w:val="nil"/>
                  </w:tcBorders>
                  <w:noWrap w:val="0"/>
                  <w:vAlign w:val="center"/>
                </w:tcPr>
                <w:p w14:paraId="043C221C">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开关手柄</w:t>
                  </w:r>
                </w:p>
              </w:tc>
              <w:tc>
                <w:tcPr>
                  <w:tcW w:w="1126" w:type="dxa"/>
                  <w:tcBorders>
                    <w:tl2br w:val="nil"/>
                    <w:tr2bl w:val="nil"/>
                  </w:tcBorders>
                  <w:shd w:val="clear" w:color="auto" w:fill="auto"/>
                  <w:noWrap w:val="0"/>
                  <w:vAlign w:val="center"/>
                </w:tcPr>
                <w:p w14:paraId="51AAB5F5">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c>
                <w:tcPr>
                  <w:tcW w:w="1008" w:type="dxa"/>
                  <w:tcBorders>
                    <w:tl2br w:val="nil"/>
                    <w:tr2bl w:val="nil"/>
                  </w:tcBorders>
                  <w:noWrap w:val="0"/>
                  <w:vAlign w:val="center"/>
                </w:tcPr>
                <w:p w14:paraId="4FD17EF7">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1058" w:type="dxa"/>
                  <w:tcBorders>
                    <w:tl2br w:val="nil"/>
                    <w:tr2bl w:val="nil"/>
                  </w:tcBorders>
                  <w:noWrap w:val="0"/>
                  <w:vAlign w:val="center"/>
                </w:tcPr>
                <w:p w14:paraId="1E03DD6A">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0.5</w:t>
                  </w:r>
                </w:p>
              </w:tc>
              <w:tc>
                <w:tcPr>
                  <w:tcW w:w="2202" w:type="dxa"/>
                  <w:tcBorders>
                    <w:tl2br w:val="nil"/>
                    <w:tr2bl w:val="nil"/>
                  </w:tcBorders>
                  <w:noWrap w:val="0"/>
                  <w:vAlign w:val="center"/>
                </w:tcPr>
                <w:p w14:paraId="753B89B6">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0.5</w:t>
                  </w:r>
                </w:p>
              </w:tc>
              <w:tc>
                <w:tcPr>
                  <w:tcW w:w="648" w:type="dxa"/>
                  <w:tcBorders>
                    <w:tl2br w:val="nil"/>
                    <w:tr2bl w:val="nil"/>
                  </w:tcBorders>
                  <w:noWrap w:val="0"/>
                  <w:vAlign w:val="center"/>
                </w:tcPr>
                <w:p w14:paraId="29B02414">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038656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215" w:hRule="atLeast"/>
                <w:jc w:val="center"/>
              </w:trPr>
              <w:tc>
                <w:tcPr>
                  <w:tcW w:w="539" w:type="dxa"/>
                  <w:tcBorders>
                    <w:tl2br w:val="nil"/>
                    <w:tr2bl w:val="nil"/>
                  </w:tcBorders>
                  <w:shd w:val="clear" w:color="auto" w:fill="auto"/>
                  <w:noWrap w:val="0"/>
                  <w:vAlign w:val="center"/>
                </w:tcPr>
                <w:p w14:paraId="4D22948B">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18"/>
                      <w:szCs w:val="18"/>
                      <w:lang w:val="en-US" w:eastAsia="zh-CN" w:bidi="zh-CN"/>
                    </w:rPr>
                  </w:pPr>
                  <w:r>
                    <w:rPr>
                      <w:rFonts w:hint="eastAsia" w:cs="Times New Roman"/>
                      <w:color w:val="auto"/>
                      <w:sz w:val="18"/>
                      <w:szCs w:val="18"/>
                      <w:lang w:val="en-US" w:eastAsia="zh-CN" w:bidi="zh-CN"/>
                    </w:rPr>
                    <w:t>16</w:t>
                  </w:r>
                </w:p>
              </w:tc>
              <w:tc>
                <w:tcPr>
                  <w:tcW w:w="1695" w:type="dxa"/>
                  <w:tcBorders>
                    <w:tl2br w:val="nil"/>
                    <w:tr2bl w:val="nil"/>
                  </w:tcBorders>
                  <w:noWrap w:val="0"/>
                  <w:vAlign w:val="center"/>
                </w:tcPr>
                <w:p w14:paraId="5EC4E96F">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铝丝</w:t>
                  </w:r>
                </w:p>
              </w:tc>
              <w:tc>
                <w:tcPr>
                  <w:tcW w:w="1126" w:type="dxa"/>
                  <w:tcBorders>
                    <w:tl2br w:val="nil"/>
                    <w:tr2bl w:val="nil"/>
                  </w:tcBorders>
                  <w:shd w:val="clear" w:color="auto" w:fill="auto"/>
                  <w:noWrap w:val="0"/>
                  <w:vAlign w:val="center"/>
                </w:tcPr>
                <w:p w14:paraId="3C400376">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铝</w:t>
                  </w:r>
                </w:p>
              </w:tc>
              <w:tc>
                <w:tcPr>
                  <w:tcW w:w="1008" w:type="dxa"/>
                  <w:tcBorders>
                    <w:tl2br w:val="nil"/>
                    <w:tr2bl w:val="nil"/>
                  </w:tcBorders>
                  <w:noWrap w:val="0"/>
                  <w:vAlign w:val="center"/>
                </w:tcPr>
                <w:p w14:paraId="689EC6B0">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1058" w:type="dxa"/>
                  <w:tcBorders>
                    <w:tl2br w:val="nil"/>
                    <w:tr2bl w:val="nil"/>
                  </w:tcBorders>
                  <w:noWrap w:val="0"/>
                  <w:vAlign w:val="center"/>
                </w:tcPr>
                <w:p w14:paraId="32A6B0D0">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w:t>
                  </w:r>
                </w:p>
              </w:tc>
              <w:tc>
                <w:tcPr>
                  <w:tcW w:w="2202" w:type="dxa"/>
                  <w:tcBorders>
                    <w:tl2br w:val="nil"/>
                    <w:tr2bl w:val="nil"/>
                  </w:tcBorders>
                  <w:noWrap w:val="0"/>
                  <w:vAlign w:val="center"/>
                </w:tcPr>
                <w:p w14:paraId="15578700">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w:t>
                  </w:r>
                </w:p>
              </w:tc>
              <w:tc>
                <w:tcPr>
                  <w:tcW w:w="648" w:type="dxa"/>
                  <w:tcBorders>
                    <w:tl2br w:val="nil"/>
                    <w:tr2bl w:val="nil"/>
                  </w:tcBorders>
                  <w:noWrap w:val="0"/>
                  <w:vAlign w:val="center"/>
                </w:tcPr>
                <w:p w14:paraId="197C769C">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1F8A14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206" w:hRule="atLeast"/>
                <w:jc w:val="center"/>
              </w:trPr>
              <w:tc>
                <w:tcPr>
                  <w:tcW w:w="539" w:type="dxa"/>
                  <w:tcBorders>
                    <w:tl2br w:val="nil"/>
                    <w:tr2bl w:val="nil"/>
                  </w:tcBorders>
                  <w:shd w:val="clear" w:color="auto" w:fill="auto"/>
                  <w:noWrap w:val="0"/>
                  <w:vAlign w:val="center"/>
                </w:tcPr>
                <w:p w14:paraId="73697606">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18"/>
                      <w:szCs w:val="18"/>
                      <w:lang w:val="en-US" w:eastAsia="zh-CN" w:bidi="zh-CN"/>
                    </w:rPr>
                  </w:pPr>
                  <w:r>
                    <w:rPr>
                      <w:rFonts w:hint="eastAsia" w:cs="Times New Roman"/>
                      <w:color w:val="auto"/>
                      <w:sz w:val="18"/>
                      <w:szCs w:val="18"/>
                      <w:lang w:val="en-US" w:eastAsia="zh-CN" w:bidi="zh-CN"/>
                    </w:rPr>
                    <w:t>17</w:t>
                  </w:r>
                </w:p>
              </w:tc>
              <w:tc>
                <w:tcPr>
                  <w:tcW w:w="1695" w:type="dxa"/>
                  <w:tcBorders>
                    <w:tl2br w:val="nil"/>
                    <w:tr2bl w:val="nil"/>
                  </w:tcBorders>
                  <w:noWrap w:val="0"/>
                  <w:vAlign w:val="center"/>
                </w:tcPr>
                <w:p w14:paraId="614D1DA7">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钨丝</w:t>
                  </w:r>
                </w:p>
              </w:tc>
              <w:tc>
                <w:tcPr>
                  <w:tcW w:w="1126" w:type="dxa"/>
                  <w:tcBorders>
                    <w:tl2br w:val="nil"/>
                    <w:tr2bl w:val="nil"/>
                  </w:tcBorders>
                  <w:shd w:val="clear" w:color="auto" w:fill="auto"/>
                  <w:noWrap w:val="0"/>
                  <w:vAlign w:val="center"/>
                </w:tcPr>
                <w:p w14:paraId="212CF8F9">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钨</w:t>
                  </w:r>
                </w:p>
              </w:tc>
              <w:tc>
                <w:tcPr>
                  <w:tcW w:w="1008" w:type="dxa"/>
                  <w:tcBorders>
                    <w:tl2br w:val="nil"/>
                    <w:tr2bl w:val="nil"/>
                  </w:tcBorders>
                  <w:noWrap w:val="0"/>
                  <w:vAlign w:val="center"/>
                </w:tcPr>
                <w:p w14:paraId="50B75471">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1058" w:type="dxa"/>
                  <w:tcBorders>
                    <w:tl2br w:val="nil"/>
                    <w:tr2bl w:val="nil"/>
                  </w:tcBorders>
                  <w:noWrap w:val="0"/>
                  <w:vAlign w:val="center"/>
                </w:tcPr>
                <w:p w14:paraId="063C7B32">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1.5</w:t>
                  </w:r>
                </w:p>
              </w:tc>
              <w:tc>
                <w:tcPr>
                  <w:tcW w:w="2202" w:type="dxa"/>
                  <w:tcBorders>
                    <w:tl2br w:val="nil"/>
                    <w:tr2bl w:val="nil"/>
                  </w:tcBorders>
                  <w:noWrap w:val="0"/>
                  <w:vAlign w:val="center"/>
                </w:tcPr>
                <w:p w14:paraId="366377C4">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1.5</w:t>
                  </w:r>
                </w:p>
              </w:tc>
              <w:tc>
                <w:tcPr>
                  <w:tcW w:w="648" w:type="dxa"/>
                  <w:tcBorders>
                    <w:tl2br w:val="nil"/>
                    <w:tr2bl w:val="nil"/>
                  </w:tcBorders>
                  <w:noWrap w:val="0"/>
                  <w:vAlign w:val="center"/>
                </w:tcPr>
                <w:p w14:paraId="51BCD287">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248A4E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206" w:hRule="atLeast"/>
                <w:jc w:val="center"/>
              </w:trPr>
              <w:tc>
                <w:tcPr>
                  <w:tcW w:w="539" w:type="dxa"/>
                  <w:tcBorders>
                    <w:tl2br w:val="nil"/>
                    <w:tr2bl w:val="nil"/>
                  </w:tcBorders>
                  <w:shd w:val="clear" w:color="auto" w:fill="auto"/>
                  <w:noWrap w:val="0"/>
                  <w:vAlign w:val="center"/>
                </w:tcPr>
                <w:p w14:paraId="7719BAC4">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18"/>
                      <w:szCs w:val="18"/>
                      <w:lang w:val="en-US" w:eastAsia="zh-CN" w:bidi="zh-CN"/>
                    </w:rPr>
                  </w:pPr>
                  <w:r>
                    <w:rPr>
                      <w:rFonts w:hint="eastAsia" w:cs="Times New Roman"/>
                      <w:color w:val="auto"/>
                      <w:sz w:val="18"/>
                      <w:szCs w:val="18"/>
                      <w:lang w:val="en-US" w:eastAsia="zh-CN" w:bidi="zh-CN"/>
                    </w:rPr>
                    <w:t>18</w:t>
                  </w:r>
                </w:p>
              </w:tc>
              <w:tc>
                <w:tcPr>
                  <w:tcW w:w="1695" w:type="dxa"/>
                  <w:tcBorders>
                    <w:tl2br w:val="nil"/>
                    <w:tr2bl w:val="nil"/>
                  </w:tcBorders>
                  <w:noWrap w:val="0"/>
                  <w:vAlign w:val="center"/>
                </w:tcPr>
                <w:p w14:paraId="761628D3">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铝箔</w:t>
                  </w:r>
                </w:p>
              </w:tc>
              <w:tc>
                <w:tcPr>
                  <w:tcW w:w="1126" w:type="dxa"/>
                  <w:tcBorders>
                    <w:tl2br w:val="nil"/>
                    <w:tr2bl w:val="nil"/>
                  </w:tcBorders>
                  <w:shd w:val="clear" w:color="auto" w:fill="auto"/>
                  <w:noWrap w:val="0"/>
                  <w:vAlign w:val="center"/>
                </w:tcPr>
                <w:p w14:paraId="409C55C2">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铝箔</w:t>
                  </w:r>
                </w:p>
              </w:tc>
              <w:tc>
                <w:tcPr>
                  <w:tcW w:w="1008" w:type="dxa"/>
                  <w:tcBorders>
                    <w:tl2br w:val="nil"/>
                    <w:tr2bl w:val="nil"/>
                  </w:tcBorders>
                  <w:noWrap w:val="0"/>
                  <w:vAlign w:val="center"/>
                </w:tcPr>
                <w:p w14:paraId="4B354E72">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1058" w:type="dxa"/>
                  <w:tcBorders>
                    <w:tl2br w:val="nil"/>
                    <w:tr2bl w:val="nil"/>
                  </w:tcBorders>
                  <w:noWrap w:val="0"/>
                  <w:vAlign w:val="center"/>
                </w:tcPr>
                <w:p w14:paraId="53E431A4">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1.4</w:t>
                  </w:r>
                </w:p>
              </w:tc>
              <w:tc>
                <w:tcPr>
                  <w:tcW w:w="2202" w:type="dxa"/>
                  <w:tcBorders>
                    <w:tl2br w:val="nil"/>
                    <w:tr2bl w:val="nil"/>
                  </w:tcBorders>
                  <w:noWrap w:val="0"/>
                  <w:vAlign w:val="center"/>
                </w:tcPr>
                <w:p w14:paraId="4B48DFDB">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1.4</w:t>
                  </w:r>
                </w:p>
              </w:tc>
              <w:tc>
                <w:tcPr>
                  <w:tcW w:w="648" w:type="dxa"/>
                  <w:tcBorders>
                    <w:tl2br w:val="nil"/>
                    <w:tr2bl w:val="nil"/>
                  </w:tcBorders>
                  <w:noWrap w:val="0"/>
                  <w:vAlign w:val="center"/>
                </w:tcPr>
                <w:p w14:paraId="5B9BB35D">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61C499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307" w:hRule="atLeast"/>
                <w:jc w:val="center"/>
              </w:trPr>
              <w:tc>
                <w:tcPr>
                  <w:tcW w:w="539" w:type="dxa"/>
                  <w:tcBorders>
                    <w:tl2br w:val="nil"/>
                    <w:tr2bl w:val="nil"/>
                  </w:tcBorders>
                  <w:shd w:val="clear" w:color="auto" w:fill="auto"/>
                  <w:noWrap w:val="0"/>
                  <w:vAlign w:val="center"/>
                </w:tcPr>
                <w:p w14:paraId="24EE2F9F">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18"/>
                      <w:szCs w:val="18"/>
                      <w:lang w:val="en-US" w:eastAsia="zh-CN" w:bidi="zh-CN"/>
                    </w:rPr>
                  </w:pPr>
                  <w:r>
                    <w:rPr>
                      <w:rFonts w:hint="eastAsia" w:cs="Times New Roman"/>
                      <w:color w:val="auto"/>
                      <w:sz w:val="18"/>
                      <w:szCs w:val="18"/>
                      <w:lang w:val="en-US" w:eastAsia="zh-CN" w:bidi="zh-CN"/>
                    </w:rPr>
                    <w:t>19</w:t>
                  </w:r>
                </w:p>
              </w:tc>
              <w:tc>
                <w:tcPr>
                  <w:tcW w:w="1695" w:type="dxa"/>
                  <w:tcBorders>
                    <w:tl2br w:val="nil"/>
                    <w:tr2bl w:val="nil"/>
                  </w:tcBorders>
                  <w:noWrap w:val="0"/>
                  <w:vAlign w:val="center"/>
                </w:tcPr>
                <w:p w14:paraId="6A49FD60">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六甲基二硅氧烷</w:t>
                  </w:r>
                </w:p>
                <w:p w14:paraId="698DE7C0">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（硅醚）</w:t>
                  </w:r>
                </w:p>
              </w:tc>
              <w:tc>
                <w:tcPr>
                  <w:tcW w:w="1126" w:type="dxa"/>
                  <w:tcBorders>
                    <w:tl2br w:val="nil"/>
                    <w:tr2bl w:val="nil"/>
                  </w:tcBorders>
                  <w:shd w:val="clear" w:color="auto" w:fill="auto"/>
                  <w:noWrap w:val="0"/>
                  <w:vAlign w:val="center"/>
                </w:tcPr>
                <w:p w14:paraId="22A2AB59">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六甲基二硅氧烷</w:t>
                  </w:r>
                </w:p>
              </w:tc>
              <w:tc>
                <w:tcPr>
                  <w:tcW w:w="1008" w:type="dxa"/>
                  <w:tcBorders>
                    <w:tl2br w:val="nil"/>
                    <w:tr2bl w:val="nil"/>
                  </w:tcBorders>
                  <w:noWrap w:val="0"/>
                  <w:vAlign w:val="center"/>
                </w:tcPr>
                <w:p w14:paraId="74531DA8">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1058" w:type="dxa"/>
                  <w:tcBorders>
                    <w:tl2br w:val="nil"/>
                    <w:tr2bl w:val="nil"/>
                  </w:tcBorders>
                  <w:noWrap w:val="0"/>
                  <w:vAlign w:val="center"/>
                </w:tcPr>
                <w:p w14:paraId="38E78C1E">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0.6</w:t>
                  </w:r>
                </w:p>
              </w:tc>
              <w:tc>
                <w:tcPr>
                  <w:tcW w:w="2202" w:type="dxa"/>
                  <w:tcBorders>
                    <w:tl2br w:val="nil"/>
                    <w:tr2bl w:val="nil"/>
                  </w:tcBorders>
                  <w:noWrap w:val="0"/>
                  <w:vAlign w:val="center"/>
                </w:tcPr>
                <w:p w14:paraId="5F1C5F85">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0.6</w:t>
                  </w:r>
                </w:p>
              </w:tc>
              <w:tc>
                <w:tcPr>
                  <w:tcW w:w="648" w:type="dxa"/>
                  <w:tcBorders>
                    <w:tl2br w:val="nil"/>
                    <w:tr2bl w:val="nil"/>
                  </w:tcBorders>
                  <w:noWrap w:val="0"/>
                  <w:vAlign w:val="center"/>
                </w:tcPr>
                <w:p w14:paraId="486655A3">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71E20B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307" w:hRule="atLeast"/>
                <w:jc w:val="center"/>
              </w:trPr>
              <w:tc>
                <w:tcPr>
                  <w:tcW w:w="539" w:type="dxa"/>
                  <w:tcBorders>
                    <w:tl2br w:val="nil"/>
                    <w:tr2bl w:val="nil"/>
                  </w:tcBorders>
                  <w:shd w:val="clear" w:color="auto" w:fill="auto"/>
                  <w:noWrap w:val="0"/>
                  <w:vAlign w:val="center"/>
                </w:tcPr>
                <w:p w14:paraId="54A9A37A">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18"/>
                      <w:szCs w:val="18"/>
                      <w:lang w:val="en-US" w:eastAsia="zh-CN" w:bidi="zh-CN"/>
                    </w:rPr>
                  </w:pPr>
                  <w:r>
                    <w:rPr>
                      <w:rFonts w:hint="eastAsia" w:cs="Times New Roman"/>
                      <w:color w:val="auto"/>
                      <w:sz w:val="18"/>
                      <w:szCs w:val="18"/>
                      <w:lang w:val="en-US" w:eastAsia="zh-CN" w:bidi="zh-CN"/>
                    </w:rPr>
                    <w:t>20</w:t>
                  </w:r>
                </w:p>
              </w:tc>
              <w:tc>
                <w:tcPr>
                  <w:tcW w:w="1695" w:type="dxa"/>
                  <w:tcBorders>
                    <w:tl2br w:val="nil"/>
                    <w:tr2bl w:val="nil"/>
                  </w:tcBorders>
                  <w:noWrap w:val="0"/>
                  <w:vAlign w:val="center"/>
                </w:tcPr>
                <w:p w14:paraId="0231B79C">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UV光固化油墨</w:t>
                  </w:r>
                </w:p>
              </w:tc>
              <w:tc>
                <w:tcPr>
                  <w:tcW w:w="1126" w:type="dxa"/>
                  <w:tcBorders>
                    <w:tl2br w:val="nil"/>
                    <w:tr2bl w:val="nil"/>
                  </w:tcBorders>
                  <w:shd w:val="clear" w:color="auto" w:fill="auto"/>
                  <w:noWrap w:val="0"/>
                  <w:vAlign w:val="center"/>
                </w:tcPr>
                <w:p w14:paraId="00F0FB5D">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UV光固化油墨</w:t>
                  </w:r>
                </w:p>
              </w:tc>
              <w:tc>
                <w:tcPr>
                  <w:tcW w:w="1008" w:type="dxa"/>
                  <w:tcBorders>
                    <w:tl2br w:val="nil"/>
                    <w:tr2bl w:val="nil"/>
                  </w:tcBorders>
                  <w:noWrap w:val="0"/>
                  <w:vAlign w:val="center"/>
                </w:tcPr>
                <w:p w14:paraId="0C5B7D04">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1058" w:type="dxa"/>
                  <w:tcBorders>
                    <w:tl2br w:val="nil"/>
                    <w:tr2bl w:val="nil"/>
                  </w:tcBorders>
                  <w:noWrap w:val="0"/>
                  <w:vAlign w:val="center"/>
                </w:tcPr>
                <w:p w14:paraId="68D75A49">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0.5</w:t>
                  </w:r>
                </w:p>
              </w:tc>
              <w:tc>
                <w:tcPr>
                  <w:tcW w:w="2202" w:type="dxa"/>
                  <w:tcBorders>
                    <w:tl2br w:val="nil"/>
                    <w:tr2bl w:val="nil"/>
                  </w:tcBorders>
                  <w:noWrap w:val="0"/>
                  <w:vAlign w:val="center"/>
                </w:tcPr>
                <w:p w14:paraId="5CE91DB7">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0.5</w:t>
                  </w:r>
                </w:p>
              </w:tc>
              <w:tc>
                <w:tcPr>
                  <w:tcW w:w="648" w:type="dxa"/>
                  <w:tcBorders>
                    <w:tl2br w:val="nil"/>
                    <w:tr2bl w:val="nil"/>
                  </w:tcBorders>
                  <w:noWrap w:val="0"/>
                  <w:vAlign w:val="center"/>
                </w:tcPr>
                <w:p w14:paraId="5E82F185">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r w14:paraId="463122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36" w:type="dxa"/>
                  <w:bottom w:w="0" w:type="dxa"/>
                  <w:right w:w="136" w:type="dxa"/>
                </w:tblCellMar>
              </w:tblPrEx>
              <w:trPr>
                <w:trHeight w:val="219" w:hRule="atLeast"/>
                <w:jc w:val="center"/>
              </w:trPr>
              <w:tc>
                <w:tcPr>
                  <w:tcW w:w="539" w:type="dxa"/>
                  <w:tcBorders>
                    <w:tl2br w:val="nil"/>
                    <w:tr2bl w:val="nil"/>
                  </w:tcBorders>
                  <w:shd w:val="clear" w:color="auto" w:fill="auto"/>
                  <w:noWrap w:val="0"/>
                  <w:vAlign w:val="center"/>
                </w:tcPr>
                <w:p w14:paraId="1BC55461">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18"/>
                      <w:szCs w:val="18"/>
                      <w:lang w:val="en-US" w:eastAsia="zh-CN" w:bidi="zh-CN"/>
                    </w:rPr>
                  </w:pPr>
                  <w:r>
                    <w:rPr>
                      <w:rFonts w:hint="eastAsia" w:cs="Times New Roman"/>
                      <w:color w:val="auto"/>
                      <w:sz w:val="18"/>
                      <w:szCs w:val="18"/>
                      <w:lang w:val="en-US" w:eastAsia="zh-CN" w:bidi="zh-CN"/>
                    </w:rPr>
                    <w:t>21</w:t>
                  </w:r>
                </w:p>
              </w:tc>
              <w:tc>
                <w:tcPr>
                  <w:tcW w:w="1695" w:type="dxa"/>
                  <w:tcBorders>
                    <w:tl2br w:val="nil"/>
                    <w:tr2bl w:val="nil"/>
                  </w:tcBorders>
                  <w:noWrap w:val="0"/>
                  <w:vAlign w:val="center"/>
                </w:tcPr>
                <w:p w14:paraId="3BC5E624">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片状氢氧化钠</w:t>
                  </w:r>
                </w:p>
              </w:tc>
              <w:tc>
                <w:tcPr>
                  <w:tcW w:w="1126" w:type="dxa"/>
                  <w:tcBorders>
                    <w:tl2br w:val="nil"/>
                    <w:tr2bl w:val="nil"/>
                  </w:tcBorders>
                  <w:shd w:val="clear" w:color="auto" w:fill="auto"/>
                  <w:noWrap w:val="0"/>
                  <w:vAlign w:val="center"/>
                </w:tcPr>
                <w:p w14:paraId="173D0B42">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氢氧化钠</w:t>
                  </w:r>
                </w:p>
              </w:tc>
              <w:tc>
                <w:tcPr>
                  <w:tcW w:w="1008" w:type="dxa"/>
                  <w:tcBorders>
                    <w:tl2br w:val="nil"/>
                    <w:tr2bl w:val="nil"/>
                  </w:tcBorders>
                  <w:noWrap w:val="0"/>
                  <w:vAlign w:val="center"/>
                </w:tcPr>
                <w:p w14:paraId="117B3ADC">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sz w:val="18"/>
                      <w:szCs w:val="18"/>
                      <w:lang w:val="en-US" w:eastAsia="zh-CN"/>
                    </w:rPr>
                    <w:t>原料仓库</w:t>
                  </w:r>
                </w:p>
              </w:tc>
              <w:tc>
                <w:tcPr>
                  <w:tcW w:w="1058" w:type="dxa"/>
                  <w:tcBorders>
                    <w:tl2br w:val="nil"/>
                    <w:tr2bl w:val="nil"/>
                  </w:tcBorders>
                  <w:noWrap w:val="0"/>
                  <w:vAlign w:val="center"/>
                </w:tcPr>
                <w:p w14:paraId="7C13ED8F">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w:t>
                  </w:r>
                </w:p>
              </w:tc>
              <w:tc>
                <w:tcPr>
                  <w:tcW w:w="2202" w:type="dxa"/>
                  <w:tcBorders>
                    <w:tl2br w:val="nil"/>
                    <w:tr2bl w:val="nil"/>
                  </w:tcBorders>
                  <w:noWrap w:val="0"/>
                  <w:vAlign w:val="center"/>
                </w:tcPr>
                <w:p w14:paraId="0243CBA1">
                  <w:pPr>
                    <w:spacing w:line="240" w:lineRule="auto"/>
                    <w:ind w:firstLine="0" w:firstLineChars="0"/>
                    <w:jc w:val="center"/>
                    <w:rPr>
                      <w:rFonts w:hint="eastAsia"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w:t>
                  </w:r>
                </w:p>
              </w:tc>
              <w:tc>
                <w:tcPr>
                  <w:tcW w:w="648" w:type="dxa"/>
                  <w:tcBorders>
                    <w:tl2br w:val="nil"/>
                    <w:tr2bl w:val="nil"/>
                  </w:tcBorders>
                  <w:noWrap w:val="0"/>
                  <w:vAlign w:val="center"/>
                </w:tcPr>
                <w:p w14:paraId="36AD525C">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w:t>
                  </w:r>
                </w:p>
              </w:tc>
            </w:tr>
          </w:tbl>
          <w:p w14:paraId="5547E205">
            <w:pPr>
              <w:bidi w:val="0"/>
              <w:spacing w:line="240" w:lineRule="auto"/>
              <w:jc w:val="center"/>
              <w:rPr>
                <w:rFonts w:hint="default" w:ascii="Times New Roman" w:hAnsi="Times New Roman" w:eastAsia="宋体" w:cs="Times New Roman"/>
                <w:b/>
                <w:bCs/>
                <w:color w:val="auto"/>
                <w:lang w:val="en-US" w:eastAsia="zh-CN"/>
              </w:rPr>
            </w:pPr>
            <w:r>
              <w:rPr>
                <w:rFonts w:hint="eastAsia" w:cs="Times New Roman"/>
                <w:b/>
                <w:bCs/>
                <w:color w:val="auto"/>
                <w:lang w:val="en-US" w:eastAsia="zh-CN"/>
              </w:rPr>
              <w:t>表2-15</w:t>
            </w:r>
            <w:r>
              <w:rPr>
                <w:rFonts w:hint="default" w:ascii="Times New Roman" w:hAnsi="Times New Roman" w:eastAsia="宋体" w:cs="Times New Roman"/>
                <w:b/>
                <w:bCs/>
                <w:color w:val="auto"/>
                <w:lang w:val="en-US" w:eastAsia="zh-CN"/>
              </w:rPr>
              <w:t>主要生产单元、设施设备名称一览</w:t>
            </w:r>
            <w:r>
              <w:rPr>
                <w:rFonts w:hint="default" w:ascii="Times New Roman" w:hAnsi="Times New Roman" w:eastAsia="宋体" w:cs="Times New Roman"/>
                <w:b/>
                <w:bCs/>
                <w:color w:val="auto"/>
              </w:rPr>
              <w:t>表</w:t>
            </w:r>
          </w:p>
          <w:tbl>
            <w:tblPr>
              <w:tblStyle w:val="20"/>
              <w:tblW w:w="4911"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65"/>
              <w:gridCol w:w="1932"/>
              <w:gridCol w:w="1969"/>
              <w:gridCol w:w="1612"/>
              <w:gridCol w:w="2051"/>
            </w:tblGrid>
            <w:tr w14:paraId="7E49CC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1" w:hRule="atLeast"/>
                <w:jc w:val="center"/>
              </w:trPr>
              <w:tc>
                <w:tcPr>
                  <w:tcW w:w="348" w:type="pct"/>
                  <w:vMerge w:val="restart"/>
                  <w:tcBorders>
                    <w:tl2br w:val="nil"/>
                    <w:tr2bl w:val="nil"/>
                  </w:tcBorders>
                  <w:noWrap w:val="0"/>
                  <w:vAlign w:val="center"/>
                </w:tcPr>
                <w:p w14:paraId="6D5E52E9">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序号</w:t>
                  </w:r>
                </w:p>
              </w:tc>
              <w:tc>
                <w:tcPr>
                  <w:tcW w:w="1188" w:type="pct"/>
                  <w:vMerge w:val="restart"/>
                  <w:tcBorders>
                    <w:tl2br w:val="nil"/>
                    <w:tr2bl w:val="nil"/>
                  </w:tcBorders>
                  <w:noWrap w:val="0"/>
                  <w:vAlign w:val="center"/>
                </w:tcPr>
                <w:p w14:paraId="21FAEBD4">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设备名称</w:t>
                  </w:r>
                </w:p>
              </w:tc>
              <w:tc>
                <w:tcPr>
                  <w:tcW w:w="1211" w:type="pct"/>
                  <w:vMerge w:val="restart"/>
                  <w:tcBorders>
                    <w:tl2br w:val="nil"/>
                    <w:tr2bl w:val="nil"/>
                  </w:tcBorders>
                  <w:noWrap w:val="0"/>
                  <w:vAlign w:val="center"/>
                </w:tcPr>
                <w:p w14:paraId="470F6986">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lang w:val="en-US" w:eastAsia="zh-CN"/>
                    </w:rPr>
                    <w:t>型号规格</w:t>
                  </w:r>
                </w:p>
              </w:tc>
              <w:tc>
                <w:tcPr>
                  <w:tcW w:w="991" w:type="pct"/>
                  <w:tcBorders>
                    <w:tl2br w:val="nil"/>
                    <w:tr2bl w:val="nil"/>
                  </w:tcBorders>
                  <w:noWrap w:val="0"/>
                  <w:vAlign w:val="center"/>
                </w:tcPr>
                <w:p w14:paraId="3DB2DA7D">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数量</w:t>
                  </w:r>
                  <w:r>
                    <w:rPr>
                      <w:rFonts w:hint="default" w:ascii="Times New Roman" w:hAnsi="Times New Roman" w:cs="Times New Roman"/>
                      <w:b/>
                      <w:bCs/>
                      <w:color w:val="auto"/>
                      <w:sz w:val="18"/>
                      <w:szCs w:val="18"/>
                      <w:lang w:eastAsia="zh-CN"/>
                    </w:rPr>
                    <w:t>（</w:t>
                  </w:r>
                  <w:r>
                    <w:rPr>
                      <w:rFonts w:hint="default" w:ascii="Times New Roman" w:hAnsi="Times New Roman" w:cs="Times New Roman"/>
                      <w:b/>
                      <w:bCs/>
                      <w:color w:val="auto"/>
                      <w:sz w:val="18"/>
                      <w:szCs w:val="18"/>
                      <w:lang w:val="en-US" w:eastAsia="zh-CN"/>
                    </w:rPr>
                    <w:t>台</w:t>
                  </w:r>
                  <w:r>
                    <w:rPr>
                      <w:rFonts w:hint="default" w:ascii="Times New Roman" w:hAnsi="Times New Roman" w:cs="Times New Roman"/>
                      <w:b/>
                      <w:bCs/>
                      <w:color w:val="auto"/>
                      <w:sz w:val="18"/>
                      <w:szCs w:val="18"/>
                      <w:lang w:eastAsia="zh-CN"/>
                    </w:rPr>
                    <w:t>）</w:t>
                  </w:r>
                </w:p>
              </w:tc>
              <w:tc>
                <w:tcPr>
                  <w:tcW w:w="1261" w:type="pct"/>
                  <w:vMerge w:val="restart"/>
                  <w:tcBorders>
                    <w:tl2br w:val="nil"/>
                    <w:tr2bl w:val="nil"/>
                  </w:tcBorders>
                  <w:noWrap w:val="0"/>
                  <w:vAlign w:val="center"/>
                </w:tcPr>
                <w:p w14:paraId="4EE56717">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cs="Times New Roman"/>
                      <w:b/>
                      <w:bCs/>
                      <w:color w:val="auto"/>
                      <w:sz w:val="18"/>
                      <w:szCs w:val="18"/>
                      <w:lang w:val="en-US" w:eastAsia="zh-CN"/>
                    </w:rPr>
                    <w:t>备注</w:t>
                  </w:r>
                </w:p>
              </w:tc>
            </w:tr>
            <w:tr w14:paraId="272B9E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1" w:hRule="atLeast"/>
                <w:jc w:val="center"/>
              </w:trPr>
              <w:tc>
                <w:tcPr>
                  <w:tcW w:w="348" w:type="pct"/>
                  <w:vMerge w:val="continue"/>
                  <w:tcBorders>
                    <w:tl2br w:val="nil"/>
                    <w:tr2bl w:val="nil"/>
                  </w:tcBorders>
                  <w:noWrap w:val="0"/>
                  <w:vAlign w:val="center"/>
                </w:tcPr>
                <w:p w14:paraId="3E1019B5">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cs="Times New Roman"/>
                      <w:color w:val="auto"/>
                      <w:sz w:val="18"/>
                      <w:szCs w:val="18"/>
                    </w:rPr>
                  </w:pPr>
                </w:p>
              </w:tc>
              <w:tc>
                <w:tcPr>
                  <w:tcW w:w="1188" w:type="pct"/>
                  <w:vMerge w:val="continue"/>
                  <w:tcBorders>
                    <w:tl2br w:val="nil"/>
                    <w:tr2bl w:val="nil"/>
                  </w:tcBorders>
                  <w:noWrap w:val="0"/>
                  <w:vAlign w:val="center"/>
                </w:tcPr>
                <w:p w14:paraId="2C460701">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cs="Times New Roman"/>
                      <w:color w:val="auto"/>
                      <w:sz w:val="18"/>
                      <w:szCs w:val="18"/>
                    </w:rPr>
                  </w:pPr>
                </w:p>
              </w:tc>
              <w:tc>
                <w:tcPr>
                  <w:tcW w:w="1211" w:type="pct"/>
                  <w:vMerge w:val="continue"/>
                  <w:tcBorders>
                    <w:tl2br w:val="nil"/>
                    <w:tr2bl w:val="nil"/>
                  </w:tcBorders>
                  <w:noWrap w:val="0"/>
                  <w:vAlign w:val="center"/>
                </w:tcPr>
                <w:p w14:paraId="62B9E10E">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cs="Times New Roman"/>
                      <w:color w:val="auto"/>
                      <w:sz w:val="18"/>
                      <w:szCs w:val="18"/>
                    </w:rPr>
                  </w:pPr>
                </w:p>
              </w:tc>
              <w:tc>
                <w:tcPr>
                  <w:tcW w:w="991" w:type="pct"/>
                  <w:tcBorders>
                    <w:tl2br w:val="nil"/>
                    <w:tr2bl w:val="nil"/>
                  </w:tcBorders>
                  <w:noWrap w:val="0"/>
                  <w:vAlign w:val="center"/>
                </w:tcPr>
                <w:p w14:paraId="2DC051E5">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bCs/>
                      <w:color w:val="auto"/>
                      <w:sz w:val="18"/>
                      <w:szCs w:val="18"/>
                      <w:lang w:eastAsia="zh-CN"/>
                    </w:rPr>
                  </w:pPr>
                  <w:r>
                    <w:rPr>
                      <w:rFonts w:hint="default" w:ascii="Times New Roman" w:hAnsi="Times New Roman" w:cs="Times New Roman"/>
                      <w:b/>
                      <w:bCs/>
                      <w:color w:val="auto"/>
                      <w:sz w:val="18"/>
                      <w:szCs w:val="18"/>
                      <w:lang w:eastAsia="zh-CN"/>
                    </w:rPr>
                    <w:t>技改前</w:t>
                  </w:r>
                </w:p>
              </w:tc>
              <w:tc>
                <w:tcPr>
                  <w:tcW w:w="1261" w:type="pct"/>
                  <w:vMerge w:val="continue"/>
                  <w:tcBorders>
                    <w:tl2br w:val="nil"/>
                    <w:tr2bl w:val="nil"/>
                  </w:tcBorders>
                  <w:noWrap w:val="0"/>
                  <w:vAlign w:val="center"/>
                </w:tcPr>
                <w:p w14:paraId="39448419">
                  <w:pPr>
                    <w:keepNext w:val="0"/>
                    <w:keepLines w:val="0"/>
                    <w:pageBreakBefore w:val="0"/>
                    <w:widowControl/>
                    <w:kinsoku/>
                    <w:wordWrap/>
                    <w:overflowPunct/>
                    <w:topLinePunct w:val="0"/>
                    <w:autoSpaceDE/>
                    <w:autoSpaceDN/>
                    <w:bidi w:val="0"/>
                    <w:adjustRightInd/>
                    <w:snapToGrid/>
                    <w:spacing w:line="240" w:lineRule="auto"/>
                    <w:ind w:left="0"/>
                    <w:jc w:val="center"/>
                    <w:rPr>
                      <w:rFonts w:hint="default" w:ascii="Times New Roman" w:hAnsi="Times New Roman" w:eastAsia="宋体" w:cs="Times New Roman"/>
                      <w:b/>
                      <w:bCs/>
                      <w:color w:val="auto"/>
                      <w:sz w:val="18"/>
                      <w:szCs w:val="18"/>
                    </w:rPr>
                  </w:pPr>
                </w:p>
              </w:tc>
            </w:tr>
            <w:tr w14:paraId="65FAC8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348" w:type="pct"/>
                  <w:shd w:val="clear" w:color="auto" w:fill="auto"/>
                  <w:vAlign w:val="center"/>
                </w:tcPr>
                <w:p w14:paraId="54E569FF">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1</w:t>
                  </w:r>
                </w:p>
              </w:tc>
              <w:tc>
                <w:tcPr>
                  <w:tcW w:w="1188" w:type="pct"/>
                  <w:shd w:val="clear" w:color="auto" w:fill="auto"/>
                  <w:vAlign w:val="center"/>
                </w:tcPr>
                <w:p w14:paraId="2EA8380E">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注塑机</w:t>
                  </w:r>
                </w:p>
              </w:tc>
              <w:tc>
                <w:tcPr>
                  <w:tcW w:w="1211" w:type="pct"/>
                  <w:vAlign w:val="center"/>
                </w:tcPr>
                <w:p w14:paraId="3047981E">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40T-850T 等</w:t>
                  </w:r>
                </w:p>
              </w:tc>
              <w:tc>
                <w:tcPr>
                  <w:tcW w:w="991" w:type="pct"/>
                  <w:vAlign w:val="center"/>
                </w:tcPr>
                <w:p w14:paraId="4AF53B4E">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150</w:t>
                  </w:r>
                </w:p>
              </w:tc>
              <w:tc>
                <w:tcPr>
                  <w:tcW w:w="1261" w:type="pct"/>
                  <w:vMerge w:val="restart"/>
                  <w:vAlign w:val="center"/>
                </w:tcPr>
                <w:p w14:paraId="6B5E8A66">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塑料件与模具生产线</w:t>
                  </w:r>
                </w:p>
              </w:tc>
            </w:tr>
            <w:tr w14:paraId="600090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348" w:type="pct"/>
                  <w:shd w:val="clear" w:color="auto" w:fill="auto"/>
                  <w:vAlign w:val="center"/>
                </w:tcPr>
                <w:p w14:paraId="0A1F6202">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2</w:t>
                  </w:r>
                </w:p>
              </w:tc>
              <w:tc>
                <w:tcPr>
                  <w:tcW w:w="1188" w:type="pct"/>
                  <w:shd w:val="clear" w:color="auto" w:fill="auto"/>
                  <w:vAlign w:val="center"/>
                </w:tcPr>
                <w:p w14:paraId="0C9BFE8F">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注塑辅机</w:t>
                  </w:r>
                </w:p>
              </w:tc>
              <w:tc>
                <w:tcPr>
                  <w:tcW w:w="1211" w:type="pct"/>
                  <w:vAlign w:val="center"/>
                </w:tcPr>
                <w:p w14:paraId="16990DBB">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c>
                <w:tcPr>
                  <w:tcW w:w="991" w:type="pct"/>
                  <w:vAlign w:val="center"/>
                </w:tcPr>
                <w:p w14:paraId="2C0DA585">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750</w:t>
                  </w:r>
                </w:p>
              </w:tc>
              <w:tc>
                <w:tcPr>
                  <w:tcW w:w="1261" w:type="pct"/>
                  <w:vMerge w:val="continue"/>
                  <w:vAlign w:val="center"/>
                </w:tcPr>
                <w:p w14:paraId="09E32FC2">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default" w:ascii="Times New Roman" w:hAnsi="Times New Roman" w:eastAsia="宋体" w:cs="Times New Roman"/>
                      <w:color w:val="auto"/>
                      <w:kern w:val="2"/>
                      <w:sz w:val="18"/>
                      <w:szCs w:val="18"/>
                      <w:lang w:val="en-US" w:eastAsia="zh-CN" w:bidi="ar-SA"/>
                    </w:rPr>
                  </w:pPr>
                </w:p>
              </w:tc>
            </w:tr>
            <w:tr w14:paraId="4DC800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348" w:type="pct"/>
                  <w:shd w:val="clear" w:color="auto" w:fill="auto"/>
                  <w:vAlign w:val="center"/>
                </w:tcPr>
                <w:p w14:paraId="6CFD44D5">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3</w:t>
                  </w:r>
                </w:p>
              </w:tc>
              <w:tc>
                <w:tcPr>
                  <w:tcW w:w="1188" w:type="pct"/>
                  <w:shd w:val="clear" w:color="auto" w:fill="auto"/>
                  <w:vAlign w:val="center"/>
                </w:tcPr>
                <w:p w14:paraId="4D3428C5">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行车</w:t>
                  </w:r>
                </w:p>
              </w:tc>
              <w:tc>
                <w:tcPr>
                  <w:tcW w:w="1211" w:type="pct"/>
                  <w:vAlign w:val="center"/>
                </w:tcPr>
                <w:p w14:paraId="619A11A2">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c>
                <w:tcPr>
                  <w:tcW w:w="991" w:type="pct"/>
                  <w:vAlign w:val="center"/>
                </w:tcPr>
                <w:p w14:paraId="7707C309">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c>
                <w:tcPr>
                  <w:tcW w:w="1261" w:type="pct"/>
                  <w:vMerge w:val="continue"/>
                  <w:vAlign w:val="center"/>
                </w:tcPr>
                <w:p w14:paraId="53BCBA33">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default" w:ascii="Times New Roman" w:hAnsi="Times New Roman" w:eastAsia="宋体" w:cs="Times New Roman"/>
                      <w:color w:val="auto"/>
                      <w:kern w:val="2"/>
                      <w:sz w:val="18"/>
                      <w:szCs w:val="18"/>
                      <w:lang w:val="en-US" w:eastAsia="zh-CN" w:bidi="ar-SA"/>
                    </w:rPr>
                  </w:pPr>
                </w:p>
              </w:tc>
            </w:tr>
            <w:tr w14:paraId="30882C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348" w:type="pct"/>
                  <w:shd w:val="clear" w:color="auto" w:fill="auto"/>
                  <w:vAlign w:val="center"/>
                </w:tcPr>
                <w:p w14:paraId="19DD538D">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4</w:t>
                  </w:r>
                </w:p>
              </w:tc>
              <w:tc>
                <w:tcPr>
                  <w:tcW w:w="1188" w:type="pct"/>
                  <w:shd w:val="clear" w:color="auto" w:fill="auto"/>
                  <w:vAlign w:val="center"/>
                </w:tcPr>
                <w:p w14:paraId="68893603">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模具制造设备</w:t>
                  </w:r>
                </w:p>
              </w:tc>
              <w:tc>
                <w:tcPr>
                  <w:tcW w:w="1211" w:type="pct"/>
                  <w:vAlign w:val="center"/>
                </w:tcPr>
                <w:p w14:paraId="4659DE41">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c>
                <w:tcPr>
                  <w:tcW w:w="991" w:type="pct"/>
                  <w:vAlign w:val="center"/>
                </w:tcPr>
                <w:p w14:paraId="32616032">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70</w:t>
                  </w:r>
                </w:p>
              </w:tc>
              <w:tc>
                <w:tcPr>
                  <w:tcW w:w="1261" w:type="pct"/>
                  <w:vMerge w:val="continue"/>
                  <w:vAlign w:val="center"/>
                </w:tcPr>
                <w:p w14:paraId="021C27B0">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default" w:ascii="Times New Roman" w:hAnsi="Times New Roman" w:eastAsia="宋体" w:cs="Times New Roman"/>
                      <w:color w:val="auto"/>
                      <w:kern w:val="2"/>
                      <w:sz w:val="18"/>
                      <w:szCs w:val="18"/>
                      <w:lang w:val="en-US" w:eastAsia="zh-CN" w:bidi="ar-SA"/>
                    </w:rPr>
                  </w:pPr>
                </w:p>
              </w:tc>
            </w:tr>
            <w:tr w14:paraId="7F8922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348" w:type="pct"/>
                  <w:shd w:val="clear" w:color="auto" w:fill="auto"/>
                  <w:vAlign w:val="center"/>
                </w:tcPr>
                <w:p w14:paraId="60468D88">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5</w:t>
                  </w:r>
                </w:p>
              </w:tc>
              <w:tc>
                <w:tcPr>
                  <w:tcW w:w="1188" w:type="pct"/>
                  <w:shd w:val="clear" w:color="auto" w:fill="auto"/>
                  <w:vAlign w:val="center"/>
                </w:tcPr>
                <w:p w14:paraId="4F71D611">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冷却水循环统</w:t>
                  </w:r>
                </w:p>
              </w:tc>
              <w:tc>
                <w:tcPr>
                  <w:tcW w:w="1211" w:type="pct"/>
                  <w:vAlign w:val="center"/>
                </w:tcPr>
                <w:p w14:paraId="5B72F668">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c>
                <w:tcPr>
                  <w:tcW w:w="991" w:type="pct"/>
                  <w:vAlign w:val="center"/>
                </w:tcPr>
                <w:p w14:paraId="25AF83D6">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w:t>
                  </w:r>
                </w:p>
              </w:tc>
              <w:tc>
                <w:tcPr>
                  <w:tcW w:w="1261" w:type="pct"/>
                  <w:vMerge w:val="continue"/>
                  <w:vAlign w:val="center"/>
                </w:tcPr>
                <w:p w14:paraId="4DF05704">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default" w:ascii="Times New Roman" w:hAnsi="Times New Roman" w:eastAsia="宋体" w:cs="Times New Roman"/>
                      <w:color w:val="auto"/>
                      <w:kern w:val="2"/>
                      <w:sz w:val="18"/>
                      <w:szCs w:val="18"/>
                      <w:lang w:val="en-US" w:eastAsia="zh-CN" w:bidi="ar-SA"/>
                    </w:rPr>
                  </w:pPr>
                </w:p>
              </w:tc>
            </w:tr>
            <w:tr w14:paraId="263005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348" w:type="pct"/>
                  <w:shd w:val="clear" w:color="auto" w:fill="auto"/>
                  <w:vAlign w:val="center"/>
                </w:tcPr>
                <w:p w14:paraId="63C65FE7">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6</w:t>
                  </w:r>
                </w:p>
              </w:tc>
              <w:tc>
                <w:tcPr>
                  <w:tcW w:w="1188" w:type="pct"/>
                  <w:shd w:val="clear" w:color="auto" w:fill="auto"/>
                  <w:vAlign w:val="center"/>
                </w:tcPr>
                <w:p w14:paraId="1419CB33">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压缩空气机系统</w:t>
                  </w:r>
                </w:p>
              </w:tc>
              <w:tc>
                <w:tcPr>
                  <w:tcW w:w="1211" w:type="pct"/>
                  <w:vAlign w:val="center"/>
                </w:tcPr>
                <w:p w14:paraId="1B5562C4">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c>
                <w:tcPr>
                  <w:tcW w:w="991" w:type="pct"/>
                  <w:vAlign w:val="center"/>
                </w:tcPr>
                <w:p w14:paraId="52D90358">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7</w:t>
                  </w:r>
                </w:p>
              </w:tc>
              <w:tc>
                <w:tcPr>
                  <w:tcW w:w="1261" w:type="pct"/>
                  <w:vMerge w:val="continue"/>
                  <w:vAlign w:val="center"/>
                </w:tcPr>
                <w:p w14:paraId="5C1DECC3">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default" w:ascii="Times New Roman" w:hAnsi="Times New Roman" w:eastAsia="宋体" w:cs="Times New Roman"/>
                      <w:color w:val="auto"/>
                      <w:kern w:val="2"/>
                      <w:sz w:val="18"/>
                      <w:szCs w:val="18"/>
                      <w:lang w:val="en-US" w:eastAsia="zh-CN" w:bidi="ar-SA"/>
                    </w:rPr>
                  </w:pPr>
                </w:p>
              </w:tc>
            </w:tr>
            <w:tr w14:paraId="676D14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348" w:type="pct"/>
                  <w:shd w:val="clear" w:color="auto" w:fill="auto"/>
                  <w:vAlign w:val="center"/>
                </w:tcPr>
                <w:p w14:paraId="1F3B70F9">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7</w:t>
                  </w:r>
                </w:p>
              </w:tc>
              <w:tc>
                <w:tcPr>
                  <w:tcW w:w="1188" w:type="pct"/>
                  <w:shd w:val="clear" w:color="auto" w:fill="auto"/>
                  <w:vAlign w:val="center"/>
                </w:tcPr>
                <w:p w14:paraId="2BBDC5F1">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布胶生产线</w:t>
                  </w:r>
                </w:p>
              </w:tc>
              <w:tc>
                <w:tcPr>
                  <w:tcW w:w="1211" w:type="pct"/>
                  <w:vAlign w:val="center"/>
                </w:tcPr>
                <w:p w14:paraId="134FDB54">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c>
                <w:tcPr>
                  <w:tcW w:w="991" w:type="pct"/>
                  <w:vAlign w:val="center"/>
                </w:tcPr>
                <w:p w14:paraId="503B1D0C">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w:t>
                  </w:r>
                </w:p>
              </w:tc>
              <w:tc>
                <w:tcPr>
                  <w:tcW w:w="1261" w:type="pct"/>
                  <w:vAlign w:val="center"/>
                </w:tcPr>
                <w:p w14:paraId="206B2A1F">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布胶生产线</w:t>
                  </w:r>
                </w:p>
              </w:tc>
            </w:tr>
            <w:tr w14:paraId="5F0D3C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348" w:type="pct"/>
                  <w:shd w:val="clear" w:color="auto" w:fill="auto"/>
                  <w:vAlign w:val="center"/>
                </w:tcPr>
                <w:p w14:paraId="5BC9FBC0">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8</w:t>
                  </w:r>
                </w:p>
              </w:tc>
              <w:tc>
                <w:tcPr>
                  <w:tcW w:w="1188" w:type="pct"/>
                  <w:shd w:val="clear" w:color="auto" w:fill="auto"/>
                  <w:vAlign w:val="center"/>
                </w:tcPr>
                <w:p w14:paraId="495ABA12">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真空镀铝机</w:t>
                  </w:r>
                </w:p>
              </w:tc>
              <w:tc>
                <w:tcPr>
                  <w:tcW w:w="1211" w:type="pct"/>
                  <w:vAlign w:val="center"/>
                </w:tcPr>
                <w:p w14:paraId="01A6AF54">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JN-1600B 等</w:t>
                  </w:r>
                </w:p>
              </w:tc>
              <w:tc>
                <w:tcPr>
                  <w:tcW w:w="991" w:type="pct"/>
                  <w:vAlign w:val="center"/>
                </w:tcPr>
                <w:p w14:paraId="78C22DBC">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15</w:t>
                  </w:r>
                </w:p>
              </w:tc>
              <w:tc>
                <w:tcPr>
                  <w:tcW w:w="1261" w:type="pct"/>
                  <w:vMerge w:val="restart"/>
                  <w:vAlign w:val="center"/>
                </w:tcPr>
                <w:p w14:paraId="428E630F">
                  <w:pPr>
                    <w:keepNext w:val="0"/>
                    <w:keepLines w:val="0"/>
                    <w:pageBreakBefore w:val="0"/>
                    <w:kinsoku/>
                    <w:wordWrap/>
                    <w:overflowPunct/>
                    <w:topLinePunct w:val="0"/>
                    <w:autoSpaceDE/>
                    <w:autoSpaceDN/>
                    <w:bidi w:val="0"/>
                    <w:adjustRightInd/>
                    <w:snapToGrid/>
                    <w:spacing w:line="240" w:lineRule="auto"/>
                    <w:ind w:left="0"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真空镀铝与油墨印刷生产线</w:t>
                  </w:r>
                </w:p>
              </w:tc>
            </w:tr>
            <w:tr w14:paraId="31E75C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3" w:hRule="atLeast"/>
                <w:jc w:val="center"/>
              </w:trPr>
              <w:tc>
                <w:tcPr>
                  <w:tcW w:w="348" w:type="pct"/>
                  <w:shd w:val="clear" w:color="auto" w:fill="auto"/>
                  <w:vAlign w:val="center"/>
                </w:tcPr>
                <w:p w14:paraId="17FAABEB">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9</w:t>
                  </w:r>
                </w:p>
              </w:tc>
              <w:tc>
                <w:tcPr>
                  <w:tcW w:w="1188" w:type="pct"/>
                  <w:shd w:val="clear" w:color="auto" w:fill="auto"/>
                  <w:vAlign w:val="center"/>
                </w:tcPr>
                <w:p w14:paraId="5F1852D9">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C 1UB 移动印刷工装</w:t>
                  </w:r>
                </w:p>
              </w:tc>
              <w:tc>
                <w:tcPr>
                  <w:tcW w:w="1211" w:type="pct"/>
                  <w:vAlign w:val="center"/>
                </w:tcPr>
                <w:p w14:paraId="07F08D2F">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c>
                <w:tcPr>
                  <w:tcW w:w="991" w:type="pct"/>
                  <w:vAlign w:val="center"/>
                </w:tcPr>
                <w:p w14:paraId="18150DE2">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w:t>
                  </w:r>
                </w:p>
              </w:tc>
              <w:tc>
                <w:tcPr>
                  <w:tcW w:w="1261" w:type="pct"/>
                  <w:vMerge w:val="continue"/>
                  <w:vAlign w:val="center"/>
                </w:tcPr>
                <w:p w14:paraId="3AD9ED01">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cs="Times New Roman"/>
                      <w:color w:val="auto"/>
                      <w:kern w:val="2"/>
                      <w:sz w:val="18"/>
                      <w:szCs w:val="18"/>
                      <w:lang w:val="en-US" w:eastAsia="zh-CN" w:bidi="ar-SA"/>
                    </w:rPr>
                  </w:pPr>
                </w:p>
              </w:tc>
            </w:tr>
            <w:tr w14:paraId="2B398B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348" w:type="pct"/>
                  <w:shd w:val="clear" w:color="auto" w:fill="auto"/>
                  <w:vAlign w:val="center"/>
                </w:tcPr>
                <w:p w14:paraId="1B75CC4C">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10</w:t>
                  </w:r>
                </w:p>
              </w:tc>
              <w:tc>
                <w:tcPr>
                  <w:tcW w:w="1188" w:type="pct"/>
                  <w:shd w:val="clear" w:color="auto" w:fill="auto"/>
                  <w:vAlign w:val="center"/>
                </w:tcPr>
                <w:p w14:paraId="71F53194">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油墨印刷机</w:t>
                  </w:r>
                </w:p>
              </w:tc>
              <w:tc>
                <w:tcPr>
                  <w:tcW w:w="1211" w:type="pct"/>
                  <w:vAlign w:val="center"/>
                </w:tcPr>
                <w:p w14:paraId="342BCD27">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c>
                <w:tcPr>
                  <w:tcW w:w="991" w:type="pct"/>
                  <w:vAlign w:val="center"/>
                </w:tcPr>
                <w:p w14:paraId="48099B22">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w:t>
                  </w:r>
                </w:p>
              </w:tc>
              <w:tc>
                <w:tcPr>
                  <w:tcW w:w="1261" w:type="pct"/>
                  <w:vMerge w:val="continue"/>
                  <w:vAlign w:val="center"/>
                </w:tcPr>
                <w:p w14:paraId="0C0A66AD">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cs="Times New Roman"/>
                      <w:color w:val="auto"/>
                      <w:kern w:val="2"/>
                      <w:sz w:val="18"/>
                      <w:szCs w:val="18"/>
                      <w:lang w:val="en-US" w:eastAsia="zh-CN" w:bidi="ar-SA"/>
                    </w:rPr>
                  </w:pPr>
                </w:p>
              </w:tc>
            </w:tr>
            <w:tr w14:paraId="3ACB75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9" w:hRule="atLeast"/>
                <w:jc w:val="center"/>
              </w:trPr>
              <w:tc>
                <w:tcPr>
                  <w:tcW w:w="348" w:type="pct"/>
                  <w:shd w:val="clear" w:color="auto" w:fill="auto"/>
                  <w:vAlign w:val="center"/>
                </w:tcPr>
                <w:p w14:paraId="2D9157C5">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11</w:t>
                  </w:r>
                </w:p>
              </w:tc>
              <w:tc>
                <w:tcPr>
                  <w:tcW w:w="1188" w:type="pct"/>
                  <w:shd w:val="clear" w:color="auto" w:fill="auto"/>
                  <w:vAlign w:val="center"/>
                </w:tcPr>
                <w:p w14:paraId="092F0173">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机器人</w:t>
                  </w:r>
                </w:p>
              </w:tc>
              <w:tc>
                <w:tcPr>
                  <w:tcW w:w="1211" w:type="pct"/>
                  <w:vAlign w:val="center"/>
                </w:tcPr>
                <w:p w14:paraId="01B150B8">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c>
                <w:tcPr>
                  <w:tcW w:w="991" w:type="pct"/>
                  <w:vAlign w:val="center"/>
                </w:tcPr>
                <w:p w14:paraId="4074B25C">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w:t>
                  </w:r>
                </w:p>
              </w:tc>
              <w:tc>
                <w:tcPr>
                  <w:tcW w:w="1261" w:type="pct"/>
                  <w:vMerge w:val="continue"/>
                  <w:vAlign w:val="center"/>
                </w:tcPr>
                <w:p w14:paraId="5703794A">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cs="Times New Roman"/>
                      <w:color w:val="auto"/>
                      <w:kern w:val="2"/>
                      <w:sz w:val="18"/>
                      <w:szCs w:val="18"/>
                      <w:lang w:val="en-US" w:eastAsia="zh-CN" w:bidi="ar-SA"/>
                    </w:rPr>
                  </w:pPr>
                </w:p>
              </w:tc>
            </w:tr>
            <w:tr w14:paraId="6156B5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atLeast"/>
                <w:jc w:val="center"/>
              </w:trPr>
              <w:tc>
                <w:tcPr>
                  <w:tcW w:w="348" w:type="pct"/>
                  <w:shd w:val="clear" w:color="auto" w:fill="auto"/>
                  <w:vAlign w:val="center"/>
                </w:tcPr>
                <w:p w14:paraId="6F397119">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12</w:t>
                  </w:r>
                </w:p>
              </w:tc>
              <w:tc>
                <w:tcPr>
                  <w:tcW w:w="1188" w:type="pct"/>
                  <w:shd w:val="clear" w:color="auto" w:fill="auto"/>
                  <w:vAlign w:val="center"/>
                </w:tcPr>
                <w:p w14:paraId="78EFE5DE">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装配工装</w:t>
                  </w:r>
                </w:p>
              </w:tc>
              <w:tc>
                <w:tcPr>
                  <w:tcW w:w="1211" w:type="pct"/>
                  <w:vAlign w:val="center"/>
                </w:tcPr>
                <w:p w14:paraId="01F96005">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c>
                <w:tcPr>
                  <w:tcW w:w="991" w:type="pct"/>
                  <w:vAlign w:val="center"/>
                </w:tcPr>
                <w:p w14:paraId="3E2A6AF7">
                  <w:pPr>
                    <w:spacing w:line="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w:t>
                  </w:r>
                </w:p>
              </w:tc>
              <w:tc>
                <w:tcPr>
                  <w:tcW w:w="1261" w:type="pct"/>
                  <w:vMerge w:val="continue"/>
                  <w:vAlign w:val="center"/>
                </w:tcPr>
                <w:p w14:paraId="1F5E97BA">
                  <w:pPr>
                    <w:keepNext w:val="0"/>
                    <w:keepLines w:val="0"/>
                    <w:pageBreakBefore w:val="0"/>
                    <w:widowControl/>
                    <w:kinsoku/>
                    <w:wordWrap/>
                    <w:overflowPunct/>
                    <w:topLinePunct w:val="0"/>
                    <w:autoSpaceDE/>
                    <w:autoSpaceDN/>
                    <w:bidi w:val="0"/>
                    <w:adjustRightInd/>
                    <w:snapToGrid/>
                    <w:spacing w:line="240" w:lineRule="auto"/>
                    <w:ind w:left="0"/>
                    <w:jc w:val="center"/>
                    <w:textAlignment w:val="center"/>
                    <w:rPr>
                      <w:rFonts w:hint="default" w:ascii="Times New Roman" w:hAnsi="Times New Roman" w:cs="Times New Roman"/>
                      <w:color w:val="auto"/>
                      <w:kern w:val="2"/>
                      <w:sz w:val="18"/>
                      <w:szCs w:val="18"/>
                      <w:lang w:val="en-US" w:eastAsia="zh-CN" w:bidi="ar-SA"/>
                    </w:rPr>
                  </w:pPr>
                </w:p>
              </w:tc>
            </w:tr>
          </w:tbl>
          <w:p w14:paraId="3E1271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color w:val="auto"/>
                <w:highlight w:val="none"/>
                <w:lang w:val="en-US" w:eastAsia="zh-CN"/>
              </w:rPr>
            </w:pPr>
            <w:r>
              <w:rPr>
                <w:rFonts w:hint="eastAsia"/>
                <w:color w:val="auto"/>
                <w:highlight w:val="none"/>
                <w:lang w:val="en-US" w:eastAsia="zh-CN"/>
              </w:rPr>
              <w:t>现有项目实际现场建设情况均未超环评建设，详见附件5。</w:t>
            </w:r>
          </w:p>
          <w:p w14:paraId="50FD24F3">
            <w:pPr>
              <w:pStyle w:val="4"/>
              <w:numPr>
                <w:ilvl w:val="0"/>
                <w:numId w:val="0"/>
              </w:numPr>
              <w:suppressLineNumbers w:val="0"/>
              <w:tabs>
                <w:tab w:val="left" w:pos="1363"/>
              </w:tabs>
              <w:spacing w:beforeAutospacing="0" w:after="5" w:afterAutospacing="0" w:line="360" w:lineRule="auto"/>
              <w:ind w:right="0" w:rightChars="0"/>
              <w:rPr>
                <w:rFonts w:hint="eastAsia"/>
                <w:b/>
                <w:bCs w:val="0"/>
                <w:color w:val="auto"/>
                <w:highlight w:val="none"/>
                <w:lang w:val="en-US" w:eastAsia="zh-CN"/>
              </w:rPr>
            </w:pPr>
            <w:r>
              <w:rPr>
                <w:rFonts w:hint="eastAsia"/>
                <w:b/>
                <w:bCs w:val="0"/>
                <w:color w:val="auto"/>
                <w:highlight w:val="none"/>
                <w:lang w:val="en-US" w:eastAsia="zh-CN"/>
              </w:rPr>
              <w:t>3、现有</w:t>
            </w:r>
            <w:r>
              <w:rPr>
                <w:rFonts w:hint="default"/>
                <w:b/>
                <w:bCs w:val="0"/>
                <w:color w:val="auto"/>
                <w:highlight w:val="none"/>
                <w:lang w:val="en-US" w:eastAsia="zh-CN"/>
              </w:rPr>
              <w:t>项目</w:t>
            </w:r>
            <w:r>
              <w:rPr>
                <w:rFonts w:hint="eastAsia"/>
                <w:b/>
                <w:bCs w:val="0"/>
                <w:color w:val="auto"/>
                <w:highlight w:val="none"/>
                <w:lang w:val="en-US" w:eastAsia="zh-CN"/>
              </w:rPr>
              <w:t>环境守法和环境信访情况</w:t>
            </w:r>
          </w:p>
          <w:p w14:paraId="1DCD7C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color w:val="auto"/>
                <w:highlight w:val="none"/>
                <w:lang w:val="en-US" w:eastAsia="zh-CN"/>
              </w:rPr>
            </w:pPr>
            <w:r>
              <w:rPr>
                <w:rFonts w:hint="default"/>
                <w:color w:val="auto"/>
                <w:highlight w:val="none"/>
                <w:lang w:val="en-US" w:eastAsia="zh-CN"/>
              </w:rPr>
              <w:t>公司所有项目均执行环评、“三同时”制度，并按照环保要求保证各项环保设施正常运行。公司近三年没有环境信访、环保处罚或违规排污事件发生。环评批复、项目竣工验收批复见附件。</w:t>
            </w:r>
          </w:p>
          <w:p w14:paraId="66509E4B">
            <w:pPr>
              <w:pStyle w:val="4"/>
              <w:numPr>
                <w:ilvl w:val="0"/>
                <w:numId w:val="0"/>
              </w:numPr>
              <w:suppressLineNumbers w:val="0"/>
              <w:tabs>
                <w:tab w:val="left" w:pos="1363"/>
              </w:tabs>
              <w:spacing w:beforeAutospacing="0" w:after="5" w:afterAutospacing="0" w:line="360" w:lineRule="auto"/>
              <w:ind w:right="0" w:rightChars="0"/>
              <w:rPr>
                <w:rFonts w:hint="default"/>
                <w:b/>
                <w:bCs w:val="0"/>
                <w:color w:val="auto"/>
                <w:highlight w:val="none"/>
                <w:lang w:val="en-US" w:eastAsia="zh-CN"/>
              </w:rPr>
            </w:pPr>
            <w:r>
              <w:rPr>
                <w:rFonts w:hint="eastAsia"/>
                <w:b/>
                <w:bCs w:val="0"/>
                <w:color w:val="auto"/>
                <w:highlight w:val="none"/>
                <w:lang w:val="en-US" w:eastAsia="zh-CN"/>
              </w:rPr>
              <w:t>4、现有项目污染措施及达标情况</w:t>
            </w:r>
          </w:p>
          <w:p w14:paraId="6482B593">
            <w:pPr>
              <w:autoSpaceDE w:val="0"/>
              <w:autoSpaceDN w:val="0"/>
              <w:adjustRightInd w:val="0"/>
              <w:snapToGrid w:val="0"/>
              <w:spacing w:line="400" w:lineRule="exact"/>
              <w:ind w:firstLine="420" w:firstLineChars="200"/>
              <w:jc w:val="left"/>
              <w:rPr>
                <w:color w:val="auto"/>
                <w:szCs w:val="21"/>
              </w:rPr>
            </w:pPr>
            <w:r>
              <w:rPr>
                <w:rFonts w:hint="eastAsia" w:ascii="Times New Roman" w:hAnsi="Times New Roman" w:eastAsia="宋体" w:cs="Times New Roman"/>
                <w:color w:val="auto"/>
                <w:highlight w:val="none"/>
                <w:lang w:val="en-US" w:eastAsia="zh-CN"/>
              </w:rPr>
              <w:t>（1）</w:t>
            </w:r>
            <w:r>
              <w:rPr>
                <w:color w:val="auto"/>
                <w:szCs w:val="21"/>
              </w:rPr>
              <w:t>废水</w:t>
            </w:r>
          </w:p>
          <w:p w14:paraId="6FA3BB6E">
            <w:pPr>
              <w:autoSpaceDE w:val="0"/>
              <w:autoSpaceDN w:val="0"/>
              <w:adjustRightInd w:val="0"/>
              <w:snapToGrid w:val="0"/>
              <w:spacing w:line="400" w:lineRule="exact"/>
              <w:ind w:firstLine="420" w:firstLineChars="200"/>
              <w:jc w:val="left"/>
              <w:rPr>
                <w:color w:val="auto"/>
                <w:szCs w:val="21"/>
              </w:rPr>
            </w:pPr>
            <w:r>
              <w:rPr>
                <w:rFonts w:hint="eastAsia"/>
                <w:color w:val="auto"/>
                <w:szCs w:val="21"/>
              </w:rPr>
              <w:t>现有</w:t>
            </w:r>
            <w:r>
              <w:rPr>
                <w:color w:val="auto"/>
                <w:szCs w:val="21"/>
              </w:rPr>
              <w:t>项目</w:t>
            </w:r>
            <w:r>
              <w:rPr>
                <w:rFonts w:hint="eastAsia"/>
                <w:color w:val="auto"/>
                <w:szCs w:val="21"/>
              </w:rPr>
              <w:t>废水</w:t>
            </w:r>
            <w:r>
              <w:rPr>
                <w:color w:val="auto"/>
                <w:szCs w:val="21"/>
              </w:rPr>
              <w:t>污染</w:t>
            </w:r>
            <w:r>
              <w:rPr>
                <w:rFonts w:hint="eastAsia"/>
                <w:color w:val="auto"/>
                <w:szCs w:val="21"/>
              </w:rPr>
              <w:t>物</w:t>
            </w:r>
            <w:r>
              <w:rPr>
                <w:color w:val="auto"/>
                <w:szCs w:val="21"/>
              </w:rPr>
              <w:t>产生、处理及排放情况见表2-1</w:t>
            </w:r>
            <w:r>
              <w:rPr>
                <w:rFonts w:hint="eastAsia"/>
                <w:color w:val="auto"/>
                <w:szCs w:val="21"/>
                <w:lang w:val="en-US" w:eastAsia="zh-CN"/>
              </w:rPr>
              <w:t>6</w:t>
            </w:r>
            <w:r>
              <w:rPr>
                <w:color w:val="auto"/>
                <w:szCs w:val="21"/>
              </w:rPr>
              <w:t>。</w:t>
            </w:r>
          </w:p>
          <w:p w14:paraId="6406BCB4">
            <w:pPr>
              <w:pStyle w:val="10"/>
              <w:spacing w:line="400" w:lineRule="exact"/>
              <w:ind w:firstLine="0" w:firstLineChars="0"/>
              <w:jc w:val="center"/>
              <w:outlineLvl w:val="0"/>
              <w:rPr>
                <w:rFonts w:ascii="Times New Roman" w:hAnsi="Times New Roman"/>
                <w:b/>
                <w:color w:val="auto"/>
                <w:szCs w:val="21"/>
              </w:rPr>
            </w:pPr>
            <w:r>
              <w:rPr>
                <w:rFonts w:ascii="Times New Roman" w:hAnsi="Times New Roman"/>
                <w:b/>
                <w:color w:val="auto"/>
                <w:szCs w:val="21"/>
              </w:rPr>
              <w:t>表2-1</w:t>
            </w:r>
            <w:r>
              <w:rPr>
                <w:rFonts w:hint="eastAsia" w:ascii="Times New Roman" w:hAnsi="Times New Roman"/>
                <w:b/>
                <w:color w:val="auto"/>
                <w:szCs w:val="21"/>
                <w:lang w:val="en-US" w:eastAsia="zh-CN"/>
              </w:rPr>
              <w:t>6</w:t>
            </w:r>
            <w:r>
              <w:rPr>
                <w:rFonts w:ascii="Times New Roman" w:hAnsi="Times New Roman"/>
                <w:b/>
                <w:color w:val="auto"/>
                <w:szCs w:val="21"/>
              </w:rPr>
              <w:t xml:space="preserve">  </w:t>
            </w:r>
            <w:r>
              <w:rPr>
                <w:rFonts w:hint="eastAsia" w:ascii="Times New Roman" w:hAnsi="Times New Roman"/>
                <w:b/>
                <w:color w:val="auto"/>
                <w:szCs w:val="21"/>
              </w:rPr>
              <w:t>现有</w:t>
            </w:r>
            <w:r>
              <w:rPr>
                <w:rFonts w:ascii="Times New Roman" w:hAnsi="Times New Roman"/>
                <w:b/>
                <w:color w:val="auto"/>
                <w:szCs w:val="21"/>
              </w:rPr>
              <w:t>项目</w:t>
            </w:r>
            <w:r>
              <w:rPr>
                <w:rFonts w:hint="eastAsia" w:ascii="Times New Roman" w:hAnsi="Times New Roman"/>
                <w:b/>
                <w:color w:val="auto"/>
                <w:szCs w:val="21"/>
              </w:rPr>
              <w:t>废水</w:t>
            </w:r>
            <w:r>
              <w:rPr>
                <w:rFonts w:ascii="Times New Roman" w:hAnsi="Times New Roman"/>
                <w:b/>
                <w:color w:val="auto"/>
                <w:szCs w:val="21"/>
              </w:rPr>
              <w:t>污染</w:t>
            </w:r>
            <w:r>
              <w:rPr>
                <w:rFonts w:hint="eastAsia" w:ascii="Times New Roman" w:hAnsi="Times New Roman"/>
                <w:b/>
                <w:color w:val="auto"/>
                <w:szCs w:val="21"/>
              </w:rPr>
              <w:t>物</w:t>
            </w:r>
            <w:r>
              <w:rPr>
                <w:rFonts w:ascii="Times New Roman" w:hAnsi="Times New Roman"/>
                <w:b/>
                <w:color w:val="auto"/>
                <w:szCs w:val="21"/>
              </w:rPr>
              <w:t>产生、处理及排放情况</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181"/>
              <w:gridCol w:w="1289"/>
              <w:gridCol w:w="2294"/>
              <w:gridCol w:w="1289"/>
              <w:gridCol w:w="1223"/>
            </w:tblGrid>
            <w:tr w14:paraId="626D7F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190" w:type="dxa"/>
                  <w:tcBorders>
                    <w:top w:val="single" w:color="auto" w:sz="12" w:space="0"/>
                    <w:bottom w:val="single" w:color="auto" w:sz="12" w:space="0"/>
                  </w:tcBorders>
                  <w:vAlign w:val="center"/>
                </w:tcPr>
                <w:p w14:paraId="2AA9ACF1">
                  <w:pPr>
                    <w:pStyle w:val="51"/>
                    <w:ind w:left="-8" w:leftChars="-4" w:firstLine="27" w:firstLineChars="15"/>
                    <w:rPr>
                      <w:b/>
                      <w:bCs/>
                      <w:color w:val="auto"/>
                      <w:sz w:val="18"/>
                      <w:szCs w:val="18"/>
                    </w:rPr>
                  </w:pPr>
                  <w:r>
                    <w:rPr>
                      <w:rFonts w:hint="eastAsia"/>
                      <w:b/>
                      <w:bCs/>
                      <w:color w:val="auto"/>
                      <w:sz w:val="18"/>
                      <w:szCs w:val="18"/>
                    </w:rPr>
                    <w:t>废水类别</w:t>
                  </w:r>
                </w:p>
              </w:tc>
              <w:tc>
                <w:tcPr>
                  <w:tcW w:w="1293" w:type="dxa"/>
                  <w:tcBorders>
                    <w:top w:val="single" w:color="auto" w:sz="12" w:space="0"/>
                    <w:bottom w:val="single" w:color="auto" w:sz="12" w:space="0"/>
                  </w:tcBorders>
                  <w:vAlign w:val="center"/>
                </w:tcPr>
                <w:p w14:paraId="345F490E">
                  <w:pPr>
                    <w:pStyle w:val="51"/>
                    <w:ind w:left="-8" w:leftChars="-4" w:firstLine="27" w:firstLineChars="15"/>
                    <w:rPr>
                      <w:b/>
                      <w:bCs/>
                      <w:color w:val="auto"/>
                      <w:sz w:val="18"/>
                      <w:szCs w:val="18"/>
                    </w:rPr>
                  </w:pPr>
                  <w:r>
                    <w:rPr>
                      <w:rFonts w:hint="eastAsia"/>
                      <w:b/>
                      <w:bCs/>
                      <w:color w:val="auto"/>
                      <w:sz w:val="18"/>
                      <w:szCs w:val="18"/>
                    </w:rPr>
                    <w:t>来源</w:t>
                  </w:r>
                </w:p>
              </w:tc>
              <w:tc>
                <w:tcPr>
                  <w:tcW w:w="2301" w:type="dxa"/>
                  <w:tcBorders>
                    <w:top w:val="single" w:color="auto" w:sz="12" w:space="0"/>
                    <w:bottom w:val="single" w:color="auto" w:sz="12" w:space="0"/>
                  </w:tcBorders>
                  <w:vAlign w:val="center"/>
                </w:tcPr>
                <w:p w14:paraId="4A5C50EC">
                  <w:pPr>
                    <w:pStyle w:val="51"/>
                    <w:ind w:left="-8" w:leftChars="-4" w:firstLine="27" w:firstLineChars="15"/>
                    <w:rPr>
                      <w:b/>
                      <w:bCs/>
                      <w:color w:val="auto"/>
                      <w:sz w:val="18"/>
                      <w:szCs w:val="18"/>
                    </w:rPr>
                  </w:pPr>
                  <w:r>
                    <w:rPr>
                      <w:b/>
                      <w:bCs/>
                      <w:color w:val="auto"/>
                      <w:sz w:val="18"/>
                      <w:szCs w:val="18"/>
                    </w:rPr>
                    <w:t>污染物种类</w:t>
                  </w:r>
                </w:p>
              </w:tc>
              <w:tc>
                <w:tcPr>
                  <w:tcW w:w="1294" w:type="dxa"/>
                  <w:tcBorders>
                    <w:top w:val="single" w:color="auto" w:sz="12" w:space="0"/>
                    <w:bottom w:val="single" w:color="auto" w:sz="12" w:space="0"/>
                  </w:tcBorders>
                  <w:vAlign w:val="center"/>
                </w:tcPr>
                <w:p w14:paraId="5299507D">
                  <w:pPr>
                    <w:pStyle w:val="51"/>
                    <w:ind w:left="-8" w:leftChars="-4" w:firstLine="27" w:firstLineChars="15"/>
                    <w:rPr>
                      <w:b/>
                      <w:bCs/>
                      <w:color w:val="auto"/>
                      <w:sz w:val="18"/>
                      <w:szCs w:val="18"/>
                    </w:rPr>
                  </w:pPr>
                  <w:r>
                    <w:rPr>
                      <w:b/>
                      <w:bCs/>
                      <w:color w:val="auto"/>
                      <w:sz w:val="18"/>
                      <w:szCs w:val="18"/>
                    </w:rPr>
                    <w:t>处理措施</w:t>
                  </w:r>
                </w:p>
              </w:tc>
              <w:tc>
                <w:tcPr>
                  <w:tcW w:w="1228" w:type="dxa"/>
                  <w:tcBorders>
                    <w:top w:val="single" w:color="auto" w:sz="12" w:space="0"/>
                    <w:bottom w:val="single" w:color="auto" w:sz="12" w:space="0"/>
                  </w:tcBorders>
                  <w:vAlign w:val="center"/>
                </w:tcPr>
                <w:p w14:paraId="5EB1B4AF">
                  <w:pPr>
                    <w:pStyle w:val="51"/>
                    <w:ind w:left="-8" w:leftChars="-4" w:firstLine="27" w:firstLineChars="15"/>
                    <w:rPr>
                      <w:b/>
                      <w:bCs/>
                      <w:color w:val="auto"/>
                      <w:sz w:val="18"/>
                      <w:szCs w:val="18"/>
                    </w:rPr>
                  </w:pPr>
                  <w:r>
                    <w:rPr>
                      <w:rFonts w:hint="eastAsia"/>
                      <w:b/>
                      <w:bCs/>
                      <w:color w:val="auto"/>
                      <w:sz w:val="18"/>
                      <w:szCs w:val="18"/>
                    </w:rPr>
                    <w:t>排放去向</w:t>
                  </w:r>
                </w:p>
              </w:tc>
            </w:tr>
            <w:tr w14:paraId="0D9B38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190" w:type="dxa"/>
                  <w:vAlign w:val="center"/>
                </w:tcPr>
                <w:p w14:paraId="640E1152">
                  <w:pPr>
                    <w:pStyle w:val="51"/>
                    <w:ind w:left="-8" w:leftChars="-4" w:firstLine="27" w:firstLineChars="15"/>
                    <w:rPr>
                      <w:color w:val="auto"/>
                      <w:sz w:val="18"/>
                      <w:szCs w:val="18"/>
                    </w:rPr>
                  </w:pPr>
                  <w:r>
                    <w:rPr>
                      <w:rFonts w:hint="eastAsia"/>
                      <w:color w:val="auto"/>
                      <w:sz w:val="18"/>
                      <w:szCs w:val="18"/>
                    </w:rPr>
                    <w:t>生活污水</w:t>
                  </w:r>
                </w:p>
              </w:tc>
              <w:tc>
                <w:tcPr>
                  <w:tcW w:w="1293" w:type="dxa"/>
                  <w:vAlign w:val="center"/>
                </w:tcPr>
                <w:p w14:paraId="2CE03796">
                  <w:pPr>
                    <w:pStyle w:val="51"/>
                    <w:ind w:left="-8" w:leftChars="-4" w:firstLine="27" w:firstLineChars="15"/>
                    <w:rPr>
                      <w:rFonts w:hint="default" w:eastAsia="宋体"/>
                      <w:color w:val="auto"/>
                      <w:sz w:val="18"/>
                      <w:szCs w:val="18"/>
                      <w:lang w:val="en-US" w:eastAsia="zh-CN"/>
                    </w:rPr>
                  </w:pPr>
                  <w:r>
                    <w:rPr>
                      <w:rFonts w:hint="eastAsia"/>
                      <w:color w:val="auto"/>
                      <w:sz w:val="18"/>
                      <w:szCs w:val="18"/>
                    </w:rPr>
                    <w:t>职工生活</w:t>
                  </w:r>
                  <w:r>
                    <w:rPr>
                      <w:rFonts w:hint="eastAsia"/>
                      <w:color w:val="auto"/>
                      <w:sz w:val="18"/>
                      <w:szCs w:val="18"/>
                      <w:lang w:eastAsia="zh-CN"/>
                    </w:rPr>
                    <w:t>、</w:t>
                  </w:r>
                  <w:r>
                    <w:rPr>
                      <w:rFonts w:hint="eastAsia"/>
                      <w:color w:val="auto"/>
                      <w:sz w:val="18"/>
                      <w:szCs w:val="18"/>
                      <w:lang w:val="en-US" w:eastAsia="zh-CN"/>
                    </w:rPr>
                    <w:t>食堂废水</w:t>
                  </w:r>
                </w:p>
              </w:tc>
              <w:tc>
                <w:tcPr>
                  <w:tcW w:w="2301" w:type="dxa"/>
                  <w:shd w:val="clear" w:color="auto" w:fill="auto"/>
                  <w:vAlign w:val="center"/>
                </w:tcPr>
                <w:p w14:paraId="0ABB5D38">
                  <w:pPr>
                    <w:pStyle w:val="51"/>
                    <w:ind w:left="-8" w:leftChars="-4" w:firstLine="27" w:firstLineChars="15"/>
                    <w:rPr>
                      <w:color w:val="auto"/>
                      <w:sz w:val="18"/>
                      <w:szCs w:val="18"/>
                    </w:rPr>
                  </w:pPr>
                  <w:r>
                    <w:rPr>
                      <w:color w:val="auto"/>
                      <w:sz w:val="18"/>
                      <w:szCs w:val="18"/>
                    </w:rPr>
                    <w:t>COD、SS、</w:t>
                  </w:r>
                  <w:r>
                    <w:rPr>
                      <w:rFonts w:hint="eastAsia"/>
                      <w:color w:val="auto"/>
                      <w:sz w:val="18"/>
                      <w:szCs w:val="18"/>
                    </w:rPr>
                    <w:t>NH</w:t>
                  </w:r>
                  <w:r>
                    <w:rPr>
                      <w:rFonts w:hint="eastAsia"/>
                      <w:color w:val="auto"/>
                      <w:sz w:val="18"/>
                      <w:szCs w:val="18"/>
                      <w:vertAlign w:val="subscript"/>
                    </w:rPr>
                    <w:t>3</w:t>
                  </w:r>
                  <w:r>
                    <w:rPr>
                      <w:rFonts w:hint="eastAsia"/>
                      <w:color w:val="auto"/>
                      <w:sz w:val="18"/>
                      <w:szCs w:val="18"/>
                    </w:rPr>
                    <w:t>-N</w:t>
                  </w:r>
                  <w:r>
                    <w:rPr>
                      <w:color w:val="auto"/>
                      <w:sz w:val="18"/>
                      <w:szCs w:val="18"/>
                    </w:rPr>
                    <w:t>、</w:t>
                  </w:r>
                  <w:r>
                    <w:rPr>
                      <w:rFonts w:hint="eastAsia"/>
                      <w:color w:val="auto"/>
                      <w:sz w:val="18"/>
                      <w:szCs w:val="18"/>
                    </w:rPr>
                    <w:t>TN</w:t>
                  </w:r>
                  <w:r>
                    <w:rPr>
                      <w:color w:val="auto"/>
                      <w:sz w:val="18"/>
                      <w:szCs w:val="18"/>
                    </w:rPr>
                    <w:t>、TP</w:t>
                  </w:r>
                  <w:r>
                    <w:rPr>
                      <w:rFonts w:hint="eastAsia"/>
                      <w:color w:val="auto"/>
                      <w:sz w:val="18"/>
                      <w:szCs w:val="18"/>
                    </w:rPr>
                    <w:t>、动植物油</w:t>
                  </w:r>
                </w:p>
              </w:tc>
              <w:tc>
                <w:tcPr>
                  <w:tcW w:w="1294" w:type="dxa"/>
                  <w:shd w:val="clear" w:color="auto" w:fill="auto"/>
                  <w:vAlign w:val="center"/>
                </w:tcPr>
                <w:p w14:paraId="50F3EC6F">
                  <w:pPr>
                    <w:pStyle w:val="51"/>
                    <w:ind w:left="-8" w:leftChars="-4" w:firstLine="27" w:firstLineChars="15"/>
                    <w:rPr>
                      <w:color w:val="auto"/>
                      <w:sz w:val="18"/>
                      <w:szCs w:val="18"/>
                    </w:rPr>
                  </w:pPr>
                  <w:r>
                    <w:rPr>
                      <w:rFonts w:hint="eastAsia"/>
                      <w:color w:val="auto"/>
                      <w:sz w:val="18"/>
                      <w:szCs w:val="18"/>
                    </w:rPr>
                    <w:t>隔油池/化粪池</w:t>
                  </w:r>
                </w:p>
              </w:tc>
              <w:tc>
                <w:tcPr>
                  <w:tcW w:w="1228" w:type="dxa"/>
                  <w:shd w:val="clear" w:color="auto" w:fill="auto"/>
                  <w:vAlign w:val="center"/>
                </w:tcPr>
                <w:p w14:paraId="38C235EB">
                  <w:pPr>
                    <w:pStyle w:val="51"/>
                    <w:ind w:left="-8" w:leftChars="-4" w:firstLine="27" w:firstLineChars="15"/>
                    <w:rPr>
                      <w:color w:val="auto"/>
                      <w:sz w:val="18"/>
                      <w:szCs w:val="18"/>
                    </w:rPr>
                  </w:pPr>
                  <w:r>
                    <w:rPr>
                      <w:rFonts w:hint="eastAsia"/>
                      <w:color w:val="auto"/>
                      <w:sz w:val="18"/>
                      <w:szCs w:val="18"/>
                    </w:rPr>
                    <w:t>接管至</w:t>
                  </w:r>
                  <w:r>
                    <w:rPr>
                      <w:rFonts w:hint="eastAsia" w:ascii="Times New Roman" w:hAnsi="Times New Roman" w:eastAsia="宋体" w:cs="Times New Roman"/>
                      <w:color w:val="auto"/>
                      <w:sz w:val="18"/>
                      <w:szCs w:val="18"/>
                      <w:lang w:eastAsia="zh-CN"/>
                    </w:rPr>
                    <w:t>南通海门经开水务有限公司</w:t>
                  </w:r>
                </w:p>
              </w:tc>
            </w:tr>
          </w:tbl>
          <w:p w14:paraId="62719A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highlight w:val="none"/>
                <w:lang w:val="en-US" w:eastAsia="zh-CN"/>
              </w:rPr>
            </w:pPr>
            <w:r>
              <w:rPr>
                <w:rFonts w:hint="eastAsia"/>
                <w:color w:val="auto"/>
                <w:szCs w:val="21"/>
              </w:rPr>
              <w:t>根据</w:t>
            </w:r>
            <w:r>
              <w:rPr>
                <w:rFonts w:hint="eastAsia"/>
                <w:color w:val="auto"/>
                <w:szCs w:val="21"/>
                <w:lang w:val="en-US" w:eastAsia="zh-CN"/>
              </w:rPr>
              <w:t>企业日常</w:t>
            </w:r>
            <w:r>
              <w:rPr>
                <w:rFonts w:hint="eastAsia"/>
                <w:color w:val="auto"/>
                <w:szCs w:val="21"/>
              </w:rPr>
              <w:t>检测数据（报告编号：（20</w:t>
            </w:r>
            <w:r>
              <w:rPr>
                <w:rFonts w:hint="eastAsia"/>
                <w:color w:val="auto"/>
                <w:szCs w:val="21"/>
                <w:lang w:val="en-US" w:eastAsia="zh-CN"/>
              </w:rPr>
              <w:t>25</w:t>
            </w:r>
            <w:r>
              <w:rPr>
                <w:rFonts w:hint="eastAsia"/>
                <w:color w:val="auto"/>
                <w:szCs w:val="21"/>
              </w:rPr>
              <w:t>）环检（高晟）字第（</w:t>
            </w:r>
            <w:r>
              <w:rPr>
                <w:rFonts w:hint="eastAsia"/>
                <w:color w:val="auto"/>
                <w:szCs w:val="21"/>
                <w:lang w:val="en-US" w:eastAsia="zh-CN"/>
              </w:rPr>
              <w:t>2111</w:t>
            </w:r>
            <w:r>
              <w:rPr>
                <w:rFonts w:hint="eastAsia"/>
                <w:color w:val="auto"/>
                <w:szCs w:val="21"/>
              </w:rPr>
              <w:t>）号，检测时间：202</w:t>
            </w:r>
            <w:r>
              <w:rPr>
                <w:rFonts w:hint="eastAsia"/>
                <w:color w:val="auto"/>
                <w:szCs w:val="21"/>
                <w:lang w:val="en-US" w:eastAsia="zh-CN"/>
              </w:rPr>
              <w:t>5.7.14</w:t>
            </w:r>
            <w:r>
              <w:rPr>
                <w:rFonts w:hint="eastAsia"/>
                <w:color w:val="auto"/>
                <w:szCs w:val="21"/>
              </w:rPr>
              <w:t>），生活污水排口pH、</w:t>
            </w:r>
            <w:r>
              <w:rPr>
                <w:color w:val="auto"/>
                <w:szCs w:val="21"/>
              </w:rPr>
              <w:t>COD、SS</w:t>
            </w:r>
            <w:r>
              <w:rPr>
                <w:rFonts w:hint="eastAsia"/>
                <w:color w:val="auto"/>
                <w:szCs w:val="21"/>
              </w:rPr>
              <w:t>及动植物油排放满足</w:t>
            </w:r>
            <w:r>
              <w:rPr>
                <w:color w:val="auto"/>
                <w:szCs w:val="21"/>
              </w:rPr>
              <w:t>《污水综合排放标准》（GB8978-1996）</w:t>
            </w:r>
            <w:r>
              <w:rPr>
                <w:rFonts w:hint="eastAsia"/>
                <w:color w:val="auto"/>
                <w:szCs w:val="21"/>
              </w:rPr>
              <w:t>表4三级标准</w:t>
            </w:r>
            <w:r>
              <w:rPr>
                <w:color w:val="auto"/>
                <w:szCs w:val="21"/>
              </w:rPr>
              <w:t>，</w:t>
            </w:r>
            <w:r>
              <w:rPr>
                <w:rFonts w:hint="eastAsia"/>
                <w:color w:val="auto"/>
                <w:szCs w:val="21"/>
              </w:rPr>
              <w:t>氨氮、</w:t>
            </w:r>
            <w:r>
              <w:rPr>
                <w:color w:val="auto"/>
                <w:szCs w:val="21"/>
              </w:rPr>
              <w:t>总磷</w:t>
            </w:r>
            <w:r>
              <w:rPr>
                <w:rFonts w:hint="eastAsia"/>
                <w:color w:val="auto"/>
                <w:szCs w:val="21"/>
              </w:rPr>
              <w:t>、</w:t>
            </w:r>
            <w:r>
              <w:rPr>
                <w:color w:val="auto"/>
                <w:szCs w:val="21"/>
              </w:rPr>
              <w:t>总氮</w:t>
            </w:r>
            <w:r>
              <w:rPr>
                <w:rFonts w:hint="eastAsia"/>
                <w:color w:val="auto"/>
                <w:szCs w:val="21"/>
              </w:rPr>
              <w:t>排放满足</w:t>
            </w:r>
            <w:r>
              <w:rPr>
                <w:color w:val="auto"/>
                <w:szCs w:val="21"/>
              </w:rPr>
              <w:t>《污水</w:t>
            </w:r>
            <w:r>
              <w:rPr>
                <w:rFonts w:hint="eastAsia"/>
                <w:color w:val="auto"/>
                <w:szCs w:val="21"/>
              </w:rPr>
              <w:t>排入</w:t>
            </w:r>
            <w:r>
              <w:rPr>
                <w:color w:val="auto"/>
                <w:szCs w:val="21"/>
              </w:rPr>
              <w:t>城市下水道水质标准》（GB</w:t>
            </w:r>
            <w:r>
              <w:rPr>
                <w:rFonts w:hint="eastAsia"/>
                <w:color w:val="auto"/>
                <w:szCs w:val="21"/>
              </w:rPr>
              <w:t>/</w:t>
            </w:r>
            <w:r>
              <w:rPr>
                <w:color w:val="auto"/>
                <w:szCs w:val="21"/>
              </w:rPr>
              <w:t>T31962-2015）</w:t>
            </w:r>
            <w:r>
              <w:rPr>
                <w:rFonts w:hint="eastAsia"/>
                <w:color w:val="auto"/>
                <w:szCs w:val="21"/>
              </w:rPr>
              <w:t>表1中B等级标准。检测数据及达标分析见表2-1</w:t>
            </w:r>
            <w:r>
              <w:rPr>
                <w:rFonts w:hint="eastAsia"/>
                <w:color w:val="auto"/>
                <w:szCs w:val="21"/>
                <w:lang w:val="en-US" w:eastAsia="zh-CN"/>
              </w:rPr>
              <w:t>7</w:t>
            </w:r>
            <w:r>
              <w:rPr>
                <w:rFonts w:hint="eastAsia"/>
                <w:color w:val="auto"/>
                <w:szCs w:val="21"/>
              </w:rPr>
              <w:t>。</w:t>
            </w:r>
          </w:p>
          <w:p w14:paraId="59D36F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表2-1</w:t>
            </w:r>
            <w:r>
              <w:rPr>
                <w:rFonts w:hint="eastAsia" w:cs="Times New Roman"/>
                <w:b/>
                <w:bCs/>
                <w:color w:val="auto"/>
                <w:highlight w:val="none"/>
                <w:lang w:val="en-US" w:eastAsia="zh-CN"/>
              </w:rPr>
              <w:t xml:space="preserve">7 </w:t>
            </w:r>
            <w:r>
              <w:rPr>
                <w:rFonts w:hint="eastAsia" w:ascii="Times New Roman" w:hAnsi="Times New Roman"/>
                <w:b/>
                <w:color w:val="auto"/>
                <w:szCs w:val="21"/>
              </w:rPr>
              <w:t>污水</w:t>
            </w:r>
            <w:r>
              <w:rPr>
                <w:rFonts w:ascii="Times New Roman" w:hAnsi="Times New Roman"/>
                <w:b/>
                <w:color w:val="auto"/>
                <w:szCs w:val="21"/>
              </w:rPr>
              <w:t>检测数据</w:t>
            </w:r>
            <w:r>
              <w:rPr>
                <w:rFonts w:hint="eastAsia" w:ascii="Times New Roman" w:hAnsi="Times New Roman"/>
                <w:b/>
                <w:color w:val="auto"/>
                <w:szCs w:val="21"/>
              </w:rPr>
              <w:t>及达标分析</w:t>
            </w:r>
            <w:r>
              <w:rPr>
                <w:rFonts w:hint="eastAsia"/>
                <w:b/>
                <w:bCs/>
                <w:color w:val="auto"/>
              </w:rPr>
              <w:t>（单位：</w:t>
            </w:r>
            <w:r>
              <w:rPr>
                <w:rFonts w:ascii="Times New Roman" w:hAnsi="Times New Roman"/>
                <w:b/>
                <w:color w:val="auto"/>
                <w:szCs w:val="21"/>
              </w:rPr>
              <w:t>mg/L</w:t>
            </w:r>
            <w:r>
              <w:rPr>
                <w:rFonts w:hint="eastAsia" w:ascii="Times New Roman" w:hAnsi="Times New Roman"/>
                <w:b/>
                <w:color w:val="auto"/>
                <w:szCs w:val="21"/>
              </w:rPr>
              <w:t>，pH</w:t>
            </w:r>
            <w:r>
              <w:rPr>
                <w:rFonts w:hint="eastAsia"/>
                <w:b/>
                <w:bCs/>
                <w:color w:val="auto"/>
              </w:rPr>
              <w:t>无量纲）</w:t>
            </w:r>
          </w:p>
          <w:tbl>
            <w:tblPr>
              <w:tblStyle w:val="69"/>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469"/>
              <w:gridCol w:w="893"/>
              <w:gridCol w:w="1475"/>
              <w:gridCol w:w="1475"/>
              <w:gridCol w:w="1483"/>
              <w:gridCol w:w="740"/>
              <w:gridCol w:w="738"/>
            </w:tblGrid>
            <w:tr w14:paraId="297F3B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428" w:type="pct"/>
                  <w:gridSpan w:val="2"/>
                  <w:tcBorders>
                    <w:tl2br w:val="nil"/>
                    <w:tr2bl w:val="nil"/>
                  </w:tcBorders>
                  <w:vAlign w:val="center"/>
                </w:tcPr>
                <w:p w14:paraId="38C9AEBB">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jc w:val="center"/>
                    <w:textAlignment w:val="baseline"/>
                    <w:rPr>
                      <w:rFonts w:hint="default" w:ascii="Times New Roman" w:hAnsi="Times New Roman" w:cs="Times New Roman"/>
                      <w:b/>
                      <w:bCs/>
                      <w:color w:val="auto"/>
                      <w:sz w:val="18"/>
                      <w:szCs w:val="18"/>
                    </w:rPr>
                  </w:pPr>
                  <w:r>
                    <w:rPr>
                      <w:rFonts w:hint="default" w:ascii="Times New Roman" w:hAnsi="Times New Roman" w:cs="Times New Roman"/>
                      <w:b/>
                      <w:bCs/>
                      <w:color w:val="auto"/>
                      <w:spacing w:val="3"/>
                      <w:sz w:val="18"/>
                      <w:szCs w:val="18"/>
                    </w:rPr>
                    <w:t>采样日期</w:t>
                  </w:r>
                </w:p>
              </w:tc>
              <w:tc>
                <w:tcPr>
                  <w:tcW w:w="891" w:type="pct"/>
                  <w:tcBorders>
                    <w:tl2br w:val="nil"/>
                    <w:tr2bl w:val="nil"/>
                  </w:tcBorders>
                  <w:vAlign w:val="center"/>
                </w:tcPr>
                <w:p w14:paraId="39A03D47">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3"/>
                      <w:sz w:val="18"/>
                      <w:szCs w:val="18"/>
                    </w:rPr>
                    <w:t>2025年7月14日</w:t>
                  </w:r>
                </w:p>
              </w:tc>
              <w:tc>
                <w:tcPr>
                  <w:tcW w:w="891" w:type="pct"/>
                  <w:tcBorders>
                    <w:tl2br w:val="nil"/>
                    <w:tr2bl w:val="nil"/>
                  </w:tcBorders>
                  <w:vAlign w:val="center"/>
                </w:tcPr>
                <w:p w14:paraId="3EA3457B">
                  <w:pPr>
                    <w:pStyle w:val="67"/>
                    <w:keepNext w:val="0"/>
                    <w:keepLines w:val="0"/>
                    <w:pageBreakBefore w:val="0"/>
                    <w:widowControl/>
                    <w:kinsoku w:val="0"/>
                    <w:wordWrap/>
                    <w:overflowPunct/>
                    <w:topLinePunct w:val="0"/>
                    <w:autoSpaceDE w:val="0"/>
                    <w:autoSpaceDN w:val="0"/>
                    <w:bidi w:val="0"/>
                    <w:adjustRightInd w:val="0"/>
                    <w:snapToGrid w:val="0"/>
                    <w:spacing w:line="220" w:lineRule="auto"/>
                    <w:ind w:left="0"/>
                    <w:jc w:val="center"/>
                    <w:textAlignment w:val="baseline"/>
                    <w:rPr>
                      <w:rFonts w:hint="default" w:ascii="Times New Roman" w:hAnsi="Times New Roman" w:cs="Times New Roman"/>
                      <w:color w:val="auto"/>
                      <w:sz w:val="18"/>
                      <w:szCs w:val="18"/>
                    </w:rPr>
                  </w:pPr>
                  <w:r>
                    <w:rPr>
                      <w:rFonts w:hint="default" w:ascii="Times New Roman" w:hAnsi="Times New Roman" w:cs="Times New Roman"/>
                      <w:b/>
                      <w:bCs/>
                      <w:color w:val="auto"/>
                      <w:spacing w:val="7"/>
                      <w:sz w:val="18"/>
                      <w:szCs w:val="18"/>
                    </w:rPr>
                    <w:t>天气</w:t>
                  </w:r>
                </w:p>
              </w:tc>
              <w:tc>
                <w:tcPr>
                  <w:tcW w:w="1788" w:type="pct"/>
                  <w:gridSpan w:val="3"/>
                  <w:tcBorders>
                    <w:tl2br w:val="nil"/>
                    <w:tr2bl w:val="nil"/>
                  </w:tcBorders>
                  <w:vAlign w:val="center"/>
                </w:tcPr>
                <w:p w14:paraId="6E6D36CD">
                  <w:pPr>
                    <w:pStyle w:val="67"/>
                    <w:keepNext w:val="0"/>
                    <w:keepLines w:val="0"/>
                    <w:pageBreakBefore w:val="0"/>
                    <w:widowControl/>
                    <w:kinsoku w:val="0"/>
                    <w:wordWrap/>
                    <w:overflowPunct/>
                    <w:topLinePunct w:val="0"/>
                    <w:autoSpaceDE w:val="0"/>
                    <w:autoSpaceDN w:val="0"/>
                    <w:bidi w:val="0"/>
                    <w:adjustRightInd w:val="0"/>
                    <w:snapToGrid w:val="0"/>
                    <w:spacing w:line="220" w:lineRule="auto"/>
                    <w:ind w:lef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晴</w:t>
                  </w:r>
                </w:p>
              </w:tc>
            </w:tr>
            <w:tr w14:paraId="00F6AC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428" w:type="pct"/>
                  <w:gridSpan w:val="2"/>
                  <w:tcBorders>
                    <w:tl2br w:val="nil"/>
                    <w:tr2bl w:val="nil"/>
                  </w:tcBorders>
                  <w:vAlign w:val="center"/>
                </w:tcPr>
                <w:p w14:paraId="3FAE25CA">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jc w:val="center"/>
                    <w:textAlignment w:val="baseline"/>
                    <w:rPr>
                      <w:rFonts w:hint="default" w:ascii="Times New Roman" w:hAnsi="Times New Roman" w:cs="Times New Roman"/>
                      <w:b/>
                      <w:bCs/>
                      <w:color w:val="auto"/>
                      <w:sz w:val="18"/>
                      <w:szCs w:val="18"/>
                    </w:rPr>
                  </w:pPr>
                  <w:r>
                    <w:rPr>
                      <w:rFonts w:hint="default" w:ascii="Times New Roman" w:hAnsi="Times New Roman" w:cs="Times New Roman"/>
                      <w:b/>
                      <w:bCs/>
                      <w:color w:val="auto"/>
                      <w:spacing w:val="-2"/>
                      <w:sz w:val="18"/>
                      <w:szCs w:val="18"/>
                    </w:rPr>
                    <w:t>检测点位</w:t>
                  </w:r>
                </w:p>
              </w:tc>
              <w:tc>
                <w:tcPr>
                  <w:tcW w:w="3571" w:type="pct"/>
                  <w:gridSpan w:val="5"/>
                  <w:tcBorders>
                    <w:tl2br w:val="nil"/>
                    <w:tr2bl w:val="nil"/>
                  </w:tcBorders>
                  <w:vAlign w:val="center"/>
                </w:tcPr>
                <w:p w14:paraId="46AF9CC5">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DW</w:t>
                  </w:r>
                  <w:r>
                    <w:rPr>
                      <w:rFonts w:hint="default" w:ascii="Times New Roman" w:hAnsi="Times New Roman" w:cs="Times New Roman"/>
                      <w:color w:val="auto"/>
                      <w:spacing w:val="4"/>
                      <w:sz w:val="18"/>
                      <w:szCs w:val="18"/>
                    </w:rPr>
                    <w:t>001污水排放口</w:t>
                  </w:r>
                </w:p>
              </w:tc>
            </w:tr>
            <w:tr w14:paraId="4B2F62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888" w:type="pct"/>
                  <w:tcBorders>
                    <w:tl2br w:val="nil"/>
                    <w:tr2bl w:val="nil"/>
                  </w:tcBorders>
                  <w:vAlign w:val="center"/>
                </w:tcPr>
                <w:p w14:paraId="16EA6CDA">
                  <w:pPr>
                    <w:pStyle w:val="67"/>
                    <w:keepNext w:val="0"/>
                    <w:keepLines w:val="0"/>
                    <w:pageBreakBefore w:val="0"/>
                    <w:widowControl/>
                    <w:kinsoku w:val="0"/>
                    <w:wordWrap/>
                    <w:overflowPunct/>
                    <w:topLinePunct w:val="0"/>
                    <w:autoSpaceDE w:val="0"/>
                    <w:autoSpaceDN w:val="0"/>
                    <w:bidi w:val="0"/>
                    <w:adjustRightInd w:val="0"/>
                    <w:snapToGrid w:val="0"/>
                    <w:spacing w:line="220" w:lineRule="auto"/>
                    <w:ind w:left="0"/>
                    <w:jc w:val="center"/>
                    <w:textAlignment w:val="baseline"/>
                    <w:rPr>
                      <w:rFonts w:hint="default" w:ascii="Times New Roman" w:hAnsi="Times New Roman" w:cs="Times New Roman"/>
                      <w:b/>
                      <w:bCs/>
                      <w:color w:val="auto"/>
                      <w:sz w:val="18"/>
                      <w:szCs w:val="18"/>
                    </w:rPr>
                  </w:pPr>
                  <w:r>
                    <w:rPr>
                      <w:rFonts w:hint="default" w:ascii="Times New Roman" w:hAnsi="Times New Roman" w:cs="Times New Roman"/>
                      <w:b/>
                      <w:bCs/>
                      <w:color w:val="auto"/>
                      <w:spacing w:val="10"/>
                      <w:sz w:val="18"/>
                      <w:szCs w:val="18"/>
                    </w:rPr>
                    <w:t>分析项目</w:t>
                  </w:r>
                </w:p>
              </w:tc>
              <w:tc>
                <w:tcPr>
                  <w:tcW w:w="539" w:type="pct"/>
                  <w:tcBorders>
                    <w:tl2br w:val="nil"/>
                    <w:tr2bl w:val="nil"/>
                  </w:tcBorders>
                  <w:vAlign w:val="center"/>
                </w:tcPr>
                <w:p w14:paraId="20F32A5E">
                  <w:pPr>
                    <w:pStyle w:val="67"/>
                    <w:keepNext w:val="0"/>
                    <w:keepLines w:val="0"/>
                    <w:pageBreakBefore w:val="0"/>
                    <w:widowControl/>
                    <w:kinsoku w:val="0"/>
                    <w:wordWrap/>
                    <w:overflowPunct/>
                    <w:topLinePunct w:val="0"/>
                    <w:autoSpaceDE w:val="0"/>
                    <w:autoSpaceDN w:val="0"/>
                    <w:bidi w:val="0"/>
                    <w:adjustRightInd w:val="0"/>
                    <w:snapToGrid w:val="0"/>
                    <w:spacing w:line="220" w:lineRule="auto"/>
                    <w:ind w:left="0"/>
                    <w:jc w:val="center"/>
                    <w:textAlignment w:val="baseline"/>
                    <w:rPr>
                      <w:rFonts w:hint="default" w:ascii="Times New Roman" w:hAnsi="Times New Roman" w:cs="Times New Roman"/>
                      <w:b/>
                      <w:bCs/>
                      <w:color w:val="auto"/>
                      <w:sz w:val="18"/>
                      <w:szCs w:val="18"/>
                    </w:rPr>
                  </w:pPr>
                  <w:r>
                    <w:rPr>
                      <w:rFonts w:hint="default" w:ascii="Times New Roman" w:hAnsi="Times New Roman" w:cs="Times New Roman"/>
                      <w:b/>
                      <w:bCs/>
                      <w:color w:val="auto"/>
                      <w:spacing w:val="-3"/>
                      <w:sz w:val="18"/>
                      <w:szCs w:val="18"/>
                    </w:rPr>
                    <w:t>单位</w:t>
                  </w:r>
                </w:p>
              </w:tc>
              <w:tc>
                <w:tcPr>
                  <w:tcW w:w="2678" w:type="pct"/>
                  <w:gridSpan w:val="3"/>
                  <w:tcBorders>
                    <w:tl2br w:val="nil"/>
                    <w:tr2bl w:val="nil"/>
                  </w:tcBorders>
                  <w:vAlign w:val="center"/>
                </w:tcPr>
                <w:p w14:paraId="6076972F">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jc w:val="center"/>
                    <w:textAlignment w:val="baseline"/>
                    <w:rPr>
                      <w:rFonts w:hint="default" w:ascii="Times New Roman" w:hAnsi="Times New Roman" w:cs="Times New Roman"/>
                      <w:b/>
                      <w:bCs/>
                      <w:color w:val="auto"/>
                      <w:sz w:val="18"/>
                      <w:szCs w:val="18"/>
                    </w:rPr>
                  </w:pPr>
                  <w:r>
                    <w:rPr>
                      <w:rFonts w:hint="default" w:ascii="Times New Roman" w:hAnsi="Times New Roman" w:cs="Times New Roman"/>
                      <w:b/>
                      <w:bCs/>
                      <w:color w:val="auto"/>
                      <w:spacing w:val="3"/>
                      <w:sz w:val="18"/>
                      <w:szCs w:val="18"/>
                    </w:rPr>
                    <w:t>检测结果</w:t>
                  </w:r>
                </w:p>
              </w:tc>
              <w:tc>
                <w:tcPr>
                  <w:tcW w:w="447" w:type="pct"/>
                  <w:tcBorders>
                    <w:tl2br w:val="nil"/>
                    <w:tr2bl w:val="nil"/>
                  </w:tcBorders>
                  <w:vAlign w:val="center"/>
                </w:tcPr>
                <w:p w14:paraId="59022543">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jc w:val="center"/>
                    <w:textAlignment w:val="baseline"/>
                    <w:rPr>
                      <w:rFonts w:hint="default" w:ascii="Times New Roman" w:hAnsi="Times New Roman" w:eastAsia="宋体" w:cs="Times New Roman"/>
                      <w:b/>
                      <w:bCs/>
                      <w:color w:val="auto"/>
                      <w:spacing w:val="3"/>
                      <w:sz w:val="18"/>
                      <w:szCs w:val="18"/>
                      <w:lang w:val="en-US" w:eastAsia="zh-CN"/>
                    </w:rPr>
                  </w:pPr>
                  <w:r>
                    <w:rPr>
                      <w:rFonts w:hint="eastAsia" w:ascii="Times New Roman" w:hAnsi="Times New Roman" w:cs="Times New Roman"/>
                      <w:b/>
                      <w:bCs/>
                      <w:color w:val="auto"/>
                      <w:spacing w:val="3"/>
                      <w:sz w:val="18"/>
                      <w:szCs w:val="18"/>
                      <w:lang w:val="en-US" w:eastAsia="zh-CN"/>
                    </w:rPr>
                    <w:t>标准限值</w:t>
                  </w:r>
                </w:p>
              </w:tc>
              <w:tc>
                <w:tcPr>
                  <w:tcW w:w="445" w:type="pct"/>
                  <w:tcBorders>
                    <w:tl2br w:val="nil"/>
                    <w:tr2bl w:val="nil"/>
                  </w:tcBorders>
                  <w:vAlign w:val="center"/>
                </w:tcPr>
                <w:p w14:paraId="063FC50C">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jc w:val="center"/>
                    <w:textAlignment w:val="baseline"/>
                    <w:rPr>
                      <w:rFonts w:hint="eastAsia" w:ascii="Times New Roman" w:hAnsi="Times New Roman" w:eastAsia="宋体" w:cs="Times New Roman"/>
                      <w:b/>
                      <w:bCs/>
                      <w:color w:val="auto"/>
                      <w:spacing w:val="3"/>
                      <w:sz w:val="18"/>
                      <w:szCs w:val="18"/>
                      <w:lang w:val="en-US" w:eastAsia="zh-CN"/>
                    </w:rPr>
                  </w:pPr>
                  <w:r>
                    <w:rPr>
                      <w:rFonts w:hint="eastAsia" w:ascii="Times New Roman" w:hAnsi="Times New Roman" w:cs="Times New Roman"/>
                      <w:b/>
                      <w:bCs/>
                      <w:color w:val="auto"/>
                      <w:spacing w:val="3"/>
                      <w:sz w:val="18"/>
                      <w:szCs w:val="18"/>
                      <w:lang w:val="en-US" w:eastAsia="zh-CN"/>
                    </w:rPr>
                    <w:t>评价</w:t>
                  </w:r>
                </w:p>
              </w:tc>
            </w:tr>
            <w:tr w14:paraId="3ACEA8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888" w:type="pct"/>
                  <w:tcBorders>
                    <w:tl2br w:val="nil"/>
                    <w:tr2bl w:val="nil"/>
                  </w:tcBorders>
                  <w:vAlign w:val="center"/>
                </w:tcPr>
                <w:p w14:paraId="204B0FB7">
                  <w:pPr>
                    <w:pStyle w:val="67"/>
                    <w:keepNext w:val="0"/>
                    <w:keepLines w:val="0"/>
                    <w:pageBreakBefore w:val="0"/>
                    <w:widowControl/>
                    <w:kinsoku w:val="0"/>
                    <w:wordWrap/>
                    <w:overflowPunct/>
                    <w:topLinePunct w:val="0"/>
                    <w:autoSpaceDE w:val="0"/>
                    <w:autoSpaceDN w:val="0"/>
                    <w:bidi w:val="0"/>
                    <w:adjustRightInd w:val="0"/>
                    <w:snapToGrid w:val="0"/>
                    <w:spacing w:line="214" w:lineRule="auto"/>
                    <w:ind w:lef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4"/>
                      <w:sz w:val="18"/>
                      <w:szCs w:val="18"/>
                    </w:rPr>
                    <w:t>p</w:t>
                  </w:r>
                  <w:r>
                    <w:rPr>
                      <w:rFonts w:hint="default" w:ascii="Times New Roman" w:hAnsi="Times New Roman" w:cs="Times New Roman"/>
                      <w:color w:val="auto"/>
                      <w:spacing w:val="-38"/>
                      <w:sz w:val="18"/>
                      <w:szCs w:val="18"/>
                    </w:rPr>
                    <w:t xml:space="preserve"> </w:t>
                  </w:r>
                  <w:r>
                    <w:rPr>
                      <w:rFonts w:hint="default" w:ascii="Times New Roman" w:hAnsi="Times New Roman" w:cs="Times New Roman"/>
                      <w:color w:val="auto"/>
                      <w:spacing w:val="-4"/>
                      <w:sz w:val="18"/>
                      <w:szCs w:val="18"/>
                    </w:rPr>
                    <w:t>H</w:t>
                  </w:r>
                  <w:r>
                    <w:rPr>
                      <w:rFonts w:hint="default" w:ascii="Times New Roman" w:hAnsi="Times New Roman" w:cs="Times New Roman"/>
                      <w:color w:val="auto"/>
                      <w:spacing w:val="-34"/>
                      <w:sz w:val="18"/>
                      <w:szCs w:val="18"/>
                    </w:rPr>
                    <w:t xml:space="preserve"> </w:t>
                  </w:r>
                  <w:r>
                    <w:rPr>
                      <w:rFonts w:hint="default" w:ascii="Times New Roman" w:hAnsi="Times New Roman" w:cs="Times New Roman"/>
                      <w:color w:val="auto"/>
                      <w:spacing w:val="-4"/>
                      <w:sz w:val="18"/>
                      <w:szCs w:val="18"/>
                    </w:rPr>
                    <w:t>值</w:t>
                  </w:r>
                </w:p>
              </w:tc>
              <w:tc>
                <w:tcPr>
                  <w:tcW w:w="539" w:type="pct"/>
                  <w:tcBorders>
                    <w:tl2br w:val="nil"/>
                    <w:tr2bl w:val="nil"/>
                  </w:tcBorders>
                  <w:vAlign w:val="center"/>
                </w:tcPr>
                <w:p w14:paraId="164A94AE">
                  <w:pPr>
                    <w:pStyle w:val="67"/>
                    <w:keepNext w:val="0"/>
                    <w:keepLines w:val="0"/>
                    <w:pageBreakBefore w:val="0"/>
                    <w:widowControl/>
                    <w:kinsoku w:val="0"/>
                    <w:wordWrap/>
                    <w:overflowPunct/>
                    <w:topLinePunct w:val="0"/>
                    <w:autoSpaceDE w:val="0"/>
                    <w:autoSpaceDN w:val="0"/>
                    <w:bidi w:val="0"/>
                    <w:adjustRightInd w:val="0"/>
                    <w:snapToGrid w:val="0"/>
                    <w:spacing w:line="220" w:lineRule="auto"/>
                    <w:ind w:lef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4"/>
                      <w:sz w:val="18"/>
                      <w:szCs w:val="18"/>
                    </w:rPr>
                    <w:t>无量纲</w:t>
                  </w:r>
                </w:p>
              </w:tc>
              <w:tc>
                <w:tcPr>
                  <w:tcW w:w="891" w:type="pct"/>
                  <w:tcBorders>
                    <w:tl2br w:val="nil"/>
                    <w:tr2bl w:val="nil"/>
                  </w:tcBorders>
                  <w:vAlign w:val="center"/>
                </w:tcPr>
                <w:p w14:paraId="6EF562BA">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4"/>
                      <w:sz w:val="18"/>
                      <w:szCs w:val="18"/>
                    </w:rPr>
                    <w:t>7.8</w:t>
                  </w:r>
                </w:p>
              </w:tc>
              <w:tc>
                <w:tcPr>
                  <w:tcW w:w="891" w:type="pct"/>
                  <w:tcBorders>
                    <w:tl2br w:val="nil"/>
                    <w:tr2bl w:val="nil"/>
                  </w:tcBorders>
                  <w:vAlign w:val="center"/>
                </w:tcPr>
                <w:p w14:paraId="04B65F12">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4"/>
                      <w:sz w:val="18"/>
                      <w:szCs w:val="18"/>
                    </w:rPr>
                    <w:t>7.8</w:t>
                  </w:r>
                </w:p>
              </w:tc>
              <w:tc>
                <w:tcPr>
                  <w:tcW w:w="895" w:type="pct"/>
                  <w:tcBorders>
                    <w:tl2br w:val="nil"/>
                    <w:tr2bl w:val="nil"/>
                  </w:tcBorders>
                  <w:vAlign w:val="center"/>
                </w:tcPr>
                <w:p w14:paraId="625A129D">
                  <w:pPr>
                    <w:pStyle w:val="67"/>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4"/>
                      <w:sz w:val="18"/>
                      <w:szCs w:val="18"/>
                    </w:rPr>
                    <w:t>78</w:t>
                  </w:r>
                </w:p>
              </w:tc>
              <w:tc>
                <w:tcPr>
                  <w:tcW w:w="447" w:type="pct"/>
                  <w:tcBorders>
                    <w:tl2br w:val="nil"/>
                    <w:tr2bl w:val="nil"/>
                  </w:tcBorders>
                  <w:vAlign w:val="center"/>
                </w:tcPr>
                <w:p w14:paraId="35C2EF80">
                  <w:pPr>
                    <w:pStyle w:val="67"/>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hint="default" w:ascii="Times New Roman" w:hAnsi="Times New Roman" w:eastAsia="宋体" w:cs="Times New Roman"/>
                      <w:color w:val="auto"/>
                      <w:spacing w:val="-4"/>
                      <w:sz w:val="18"/>
                      <w:szCs w:val="18"/>
                      <w:lang w:val="en-US" w:eastAsia="zh-CN"/>
                    </w:rPr>
                  </w:pPr>
                  <w:r>
                    <w:rPr>
                      <w:rFonts w:hint="eastAsia" w:ascii="Times New Roman" w:hAnsi="Times New Roman" w:cs="Times New Roman"/>
                      <w:color w:val="auto"/>
                      <w:spacing w:val="-4"/>
                      <w:sz w:val="18"/>
                      <w:szCs w:val="18"/>
                      <w:lang w:val="en-US" w:eastAsia="zh-CN"/>
                    </w:rPr>
                    <w:t>6-9</w:t>
                  </w:r>
                </w:p>
              </w:tc>
              <w:tc>
                <w:tcPr>
                  <w:tcW w:w="445" w:type="pct"/>
                  <w:tcBorders>
                    <w:tl2br w:val="nil"/>
                    <w:tr2bl w:val="nil"/>
                  </w:tcBorders>
                  <w:vAlign w:val="center"/>
                </w:tcPr>
                <w:p w14:paraId="799D2E38">
                  <w:pPr>
                    <w:pStyle w:val="67"/>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hint="eastAsia" w:ascii="Times New Roman" w:hAnsi="Times New Roman" w:eastAsia="宋体" w:cs="Times New Roman"/>
                      <w:color w:val="auto"/>
                      <w:spacing w:val="-4"/>
                      <w:sz w:val="18"/>
                      <w:szCs w:val="18"/>
                      <w:lang w:val="en-US" w:eastAsia="zh-CN"/>
                    </w:rPr>
                  </w:pPr>
                  <w:r>
                    <w:rPr>
                      <w:rFonts w:hint="eastAsia" w:ascii="Times New Roman" w:hAnsi="Times New Roman" w:cs="Times New Roman"/>
                      <w:color w:val="auto"/>
                      <w:spacing w:val="-4"/>
                      <w:sz w:val="18"/>
                      <w:szCs w:val="18"/>
                      <w:lang w:val="en-US" w:eastAsia="zh-CN"/>
                    </w:rPr>
                    <w:t>达标</w:t>
                  </w:r>
                </w:p>
              </w:tc>
            </w:tr>
            <w:tr w14:paraId="7EEBA6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3" w:hRule="atLeast"/>
                <w:jc w:val="center"/>
              </w:trPr>
              <w:tc>
                <w:tcPr>
                  <w:tcW w:w="888" w:type="pct"/>
                  <w:tcBorders>
                    <w:tl2br w:val="nil"/>
                    <w:tr2bl w:val="nil"/>
                  </w:tcBorders>
                  <w:vAlign w:val="center"/>
                </w:tcPr>
                <w:p w14:paraId="174C7D2D">
                  <w:pPr>
                    <w:pStyle w:val="67"/>
                    <w:keepNext w:val="0"/>
                    <w:keepLines w:val="0"/>
                    <w:pageBreakBefore w:val="0"/>
                    <w:widowControl/>
                    <w:kinsoku w:val="0"/>
                    <w:wordWrap/>
                    <w:overflowPunct/>
                    <w:topLinePunct w:val="0"/>
                    <w:autoSpaceDE w:val="0"/>
                    <w:autoSpaceDN w:val="0"/>
                    <w:bidi w:val="0"/>
                    <w:adjustRightInd w:val="0"/>
                    <w:snapToGrid w:val="0"/>
                    <w:spacing w:line="221" w:lineRule="auto"/>
                    <w:ind w:lef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3"/>
                      <w:sz w:val="18"/>
                      <w:szCs w:val="18"/>
                    </w:rPr>
                    <w:t>悬浮物</w:t>
                  </w:r>
                </w:p>
              </w:tc>
              <w:tc>
                <w:tcPr>
                  <w:tcW w:w="539" w:type="pct"/>
                  <w:tcBorders>
                    <w:tl2br w:val="nil"/>
                    <w:tr2bl w:val="nil"/>
                  </w:tcBorders>
                  <w:vAlign w:val="center"/>
                </w:tcPr>
                <w:p w14:paraId="05A8674F">
                  <w:pPr>
                    <w:pStyle w:val="67"/>
                    <w:keepNext w:val="0"/>
                    <w:keepLines w:val="0"/>
                    <w:pageBreakBefore w:val="0"/>
                    <w:widowControl/>
                    <w:kinsoku w:val="0"/>
                    <w:wordWrap/>
                    <w:overflowPunct/>
                    <w:topLinePunct w:val="0"/>
                    <w:autoSpaceDE w:val="0"/>
                    <w:autoSpaceDN w:val="0"/>
                    <w:bidi w:val="0"/>
                    <w:adjustRightInd w:val="0"/>
                    <w:snapToGrid w:val="0"/>
                    <w:spacing w:line="214" w:lineRule="auto"/>
                    <w:ind w:lef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1"/>
                      <w:sz w:val="18"/>
                      <w:szCs w:val="18"/>
                    </w:rPr>
                    <w:t>mg/L</w:t>
                  </w:r>
                </w:p>
              </w:tc>
              <w:tc>
                <w:tcPr>
                  <w:tcW w:w="891" w:type="pct"/>
                  <w:tcBorders>
                    <w:tl2br w:val="nil"/>
                    <w:tr2bl w:val="nil"/>
                  </w:tcBorders>
                  <w:vAlign w:val="center"/>
                </w:tcPr>
                <w:p w14:paraId="4A057484">
                  <w:pPr>
                    <w:pStyle w:val="67"/>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7"/>
                      <w:sz w:val="18"/>
                      <w:szCs w:val="18"/>
                    </w:rPr>
                    <w:t>15</w:t>
                  </w:r>
                </w:p>
              </w:tc>
              <w:tc>
                <w:tcPr>
                  <w:tcW w:w="891" w:type="pct"/>
                  <w:tcBorders>
                    <w:tl2br w:val="nil"/>
                    <w:tr2bl w:val="nil"/>
                  </w:tcBorders>
                  <w:vAlign w:val="center"/>
                </w:tcPr>
                <w:p w14:paraId="6C32EB7E">
                  <w:pPr>
                    <w:pStyle w:val="67"/>
                    <w:keepNext w:val="0"/>
                    <w:keepLines w:val="0"/>
                    <w:pageBreakBefore w:val="0"/>
                    <w:widowControl/>
                    <w:kinsoku w:val="0"/>
                    <w:wordWrap/>
                    <w:overflowPunct/>
                    <w:topLinePunct w:val="0"/>
                    <w:autoSpaceDE w:val="0"/>
                    <w:autoSpaceDN w:val="0"/>
                    <w:bidi w:val="0"/>
                    <w:adjustRightInd w:val="0"/>
                    <w:snapToGrid w:val="0"/>
                    <w:spacing w:line="241" w:lineRule="auto"/>
                    <w:ind w:lef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7"/>
                      <w:sz w:val="18"/>
                      <w:szCs w:val="18"/>
                    </w:rPr>
                    <w:t>14</w:t>
                  </w:r>
                </w:p>
              </w:tc>
              <w:tc>
                <w:tcPr>
                  <w:tcW w:w="895" w:type="pct"/>
                  <w:tcBorders>
                    <w:tl2br w:val="nil"/>
                    <w:tr2bl w:val="nil"/>
                  </w:tcBorders>
                  <w:vAlign w:val="center"/>
                </w:tcPr>
                <w:p w14:paraId="2554C172">
                  <w:pPr>
                    <w:pStyle w:val="67"/>
                    <w:keepNext w:val="0"/>
                    <w:keepLines w:val="0"/>
                    <w:pageBreakBefore w:val="0"/>
                    <w:widowControl/>
                    <w:kinsoku w:val="0"/>
                    <w:wordWrap/>
                    <w:overflowPunct/>
                    <w:topLinePunct w:val="0"/>
                    <w:autoSpaceDE w:val="0"/>
                    <w:autoSpaceDN w:val="0"/>
                    <w:bidi w:val="0"/>
                    <w:adjustRightInd w:val="0"/>
                    <w:snapToGrid w:val="0"/>
                    <w:spacing w:line="241" w:lineRule="auto"/>
                    <w:ind w:lef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7"/>
                      <w:sz w:val="18"/>
                      <w:szCs w:val="18"/>
                    </w:rPr>
                    <w:t>14</w:t>
                  </w:r>
                </w:p>
              </w:tc>
              <w:tc>
                <w:tcPr>
                  <w:tcW w:w="447" w:type="pct"/>
                  <w:tcBorders>
                    <w:tl2br w:val="nil"/>
                    <w:tr2bl w:val="nil"/>
                  </w:tcBorders>
                  <w:vAlign w:val="center"/>
                </w:tcPr>
                <w:p w14:paraId="5BC55046">
                  <w:pPr>
                    <w:pStyle w:val="67"/>
                    <w:keepNext w:val="0"/>
                    <w:keepLines w:val="0"/>
                    <w:pageBreakBefore w:val="0"/>
                    <w:widowControl/>
                    <w:kinsoku w:val="0"/>
                    <w:wordWrap/>
                    <w:overflowPunct/>
                    <w:topLinePunct w:val="0"/>
                    <w:autoSpaceDE w:val="0"/>
                    <w:autoSpaceDN w:val="0"/>
                    <w:bidi w:val="0"/>
                    <w:adjustRightInd w:val="0"/>
                    <w:snapToGrid w:val="0"/>
                    <w:spacing w:line="241" w:lineRule="auto"/>
                    <w:ind w:left="0"/>
                    <w:jc w:val="center"/>
                    <w:textAlignment w:val="baseline"/>
                    <w:rPr>
                      <w:rFonts w:hint="default" w:ascii="Times New Roman" w:hAnsi="Times New Roman" w:eastAsia="宋体" w:cs="Times New Roman"/>
                      <w:color w:val="auto"/>
                      <w:spacing w:val="-7"/>
                      <w:sz w:val="18"/>
                      <w:szCs w:val="18"/>
                      <w:lang w:val="en-US" w:eastAsia="zh-CN"/>
                    </w:rPr>
                  </w:pPr>
                  <w:r>
                    <w:rPr>
                      <w:rFonts w:hint="eastAsia" w:ascii="Times New Roman" w:hAnsi="Times New Roman" w:cs="Times New Roman"/>
                      <w:color w:val="auto"/>
                      <w:spacing w:val="-7"/>
                      <w:sz w:val="18"/>
                      <w:szCs w:val="18"/>
                      <w:lang w:val="en-US" w:eastAsia="zh-CN"/>
                    </w:rPr>
                    <w:t>400</w:t>
                  </w:r>
                </w:p>
              </w:tc>
              <w:tc>
                <w:tcPr>
                  <w:tcW w:w="445" w:type="pct"/>
                  <w:tcBorders>
                    <w:tl2br w:val="nil"/>
                    <w:tr2bl w:val="nil"/>
                  </w:tcBorders>
                  <w:vAlign w:val="center"/>
                </w:tcPr>
                <w:p w14:paraId="79ADED4C">
                  <w:pPr>
                    <w:keepNext w:val="0"/>
                    <w:keepLines w:val="0"/>
                    <w:pageBreakBefore w:val="0"/>
                    <w:widowControl/>
                    <w:kinsoku w:val="0"/>
                    <w:wordWrap/>
                    <w:overflowPunct/>
                    <w:topLinePunct w:val="0"/>
                    <w:autoSpaceDE w:val="0"/>
                    <w:autoSpaceDN w:val="0"/>
                    <w:bidi w:val="0"/>
                    <w:adjustRightInd w:val="0"/>
                    <w:snapToGrid w:val="0"/>
                    <w:spacing w:line="241" w:lineRule="auto"/>
                    <w:ind w:left="0"/>
                    <w:jc w:val="center"/>
                    <w:textAlignment w:val="baseline"/>
                    <w:rPr>
                      <w:rFonts w:hint="default" w:ascii="Times New Roman" w:hAnsi="Times New Roman" w:cs="Times New Roman"/>
                      <w:color w:val="auto"/>
                      <w:spacing w:val="-7"/>
                      <w:sz w:val="18"/>
                      <w:szCs w:val="18"/>
                    </w:rPr>
                  </w:pPr>
                  <w:r>
                    <w:rPr>
                      <w:rFonts w:hint="eastAsia" w:ascii="Times New Roman" w:hAnsi="Times New Roman" w:cs="Times New Roman"/>
                      <w:color w:val="auto"/>
                      <w:spacing w:val="-4"/>
                      <w:sz w:val="18"/>
                      <w:szCs w:val="18"/>
                      <w:lang w:val="en-US" w:eastAsia="zh-CN"/>
                    </w:rPr>
                    <w:t>达标</w:t>
                  </w:r>
                </w:p>
              </w:tc>
            </w:tr>
            <w:tr w14:paraId="121249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888" w:type="pct"/>
                  <w:tcBorders>
                    <w:tl2br w:val="nil"/>
                    <w:tr2bl w:val="nil"/>
                  </w:tcBorders>
                  <w:vAlign w:val="center"/>
                </w:tcPr>
                <w:p w14:paraId="2CA985D7">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2"/>
                      <w:sz w:val="18"/>
                      <w:szCs w:val="18"/>
                    </w:rPr>
                    <w:t>化学需氧量</w:t>
                  </w:r>
                </w:p>
              </w:tc>
              <w:tc>
                <w:tcPr>
                  <w:tcW w:w="539" w:type="pct"/>
                  <w:tcBorders>
                    <w:tl2br w:val="nil"/>
                    <w:tr2bl w:val="nil"/>
                  </w:tcBorders>
                  <w:vAlign w:val="center"/>
                </w:tcPr>
                <w:p w14:paraId="0396BB12">
                  <w:pPr>
                    <w:pStyle w:val="67"/>
                    <w:keepNext w:val="0"/>
                    <w:keepLines w:val="0"/>
                    <w:pageBreakBefore w:val="0"/>
                    <w:widowControl/>
                    <w:kinsoku w:val="0"/>
                    <w:wordWrap/>
                    <w:overflowPunct/>
                    <w:topLinePunct w:val="0"/>
                    <w:autoSpaceDE w:val="0"/>
                    <w:autoSpaceDN w:val="0"/>
                    <w:bidi w:val="0"/>
                    <w:adjustRightInd w:val="0"/>
                    <w:snapToGrid w:val="0"/>
                    <w:spacing w:line="214" w:lineRule="auto"/>
                    <w:ind w:lef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1"/>
                      <w:sz w:val="18"/>
                      <w:szCs w:val="18"/>
                    </w:rPr>
                    <w:t>mg/L</w:t>
                  </w:r>
                </w:p>
              </w:tc>
              <w:tc>
                <w:tcPr>
                  <w:tcW w:w="891" w:type="pct"/>
                  <w:tcBorders>
                    <w:tl2br w:val="nil"/>
                    <w:tr2bl w:val="nil"/>
                  </w:tcBorders>
                  <w:vAlign w:val="center"/>
                </w:tcPr>
                <w:p w14:paraId="33506B90">
                  <w:pPr>
                    <w:pStyle w:val="67"/>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3"/>
                      <w:sz w:val="18"/>
                      <w:szCs w:val="18"/>
                    </w:rPr>
                    <w:t>97</w:t>
                  </w:r>
                </w:p>
              </w:tc>
              <w:tc>
                <w:tcPr>
                  <w:tcW w:w="891" w:type="pct"/>
                  <w:tcBorders>
                    <w:tl2br w:val="nil"/>
                    <w:tr2bl w:val="nil"/>
                  </w:tcBorders>
                  <w:vAlign w:val="center"/>
                </w:tcPr>
                <w:p w14:paraId="099AA97C">
                  <w:pPr>
                    <w:pStyle w:val="67"/>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3"/>
                      <w:sz w:val="18"/>
                      <w:szCs w:val="18"/>
                    </w:rPr>
                    <w:t>98</w:t>
                  </w:r>
                </w:p>
              </w:tc>
              <w:tc>
                <w:tcPr>
                  <w:tcW w:w="895" w:type="pct"/>
                  <w:tcBorders>
                    <w:tl2br w:val="nil"/>
                    <w:tr2bl w:val="nil"/>
                  </w:tcBorders>
                  <w:vAlign w:val="center"/>
                </w:tcPr>
                <w:p w14:paraId="537324B5">
                  <w:pPr>
                    <w:pStyle w:val="67"/>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3"/>
                      <w:sz w:val="18"/>
                      <w:szCs w:val="18"/>
                    </w:rPr>
                    <w:t>94</w:t>
                  </w:r>
                </w:p>
              </w:tc>
              <w:tc>
                <w:tcPr>
                  <w:tcW w:w="447" w:type="pct"/>
                  <w:tcBorders>
                    <w:tl2br w:val="nil"/>
                    <w:tr2bl w:val="nil"/>
                  </w:tcBorders>
                  <w:vAlign w:val="center"/>
                </w:tcPr>
                <w:p w14:paraId="69DFA71A">
                  <w:pPr>
                    <w:pStyle w:val="67"/>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hint="default" w:ascii="Times New Roman" w:hAnsi="Times New Roman" w:eastAsia="宋体" w:cs="Times New Roman"/>
                      <w:color w:val="auto"/>
                      <w:spacing w:val="-3"/>
                      <w:sz w:val="18"/>
                      <w:szCs w:val="18"/>
                      <w:lang w:val="en-US" w:eastAsia="zh-CN"/>
                    </w:rPr>
                  </w:pPr>
                  <w:r>
                    <w:rPr>
                      <w:rFonts w:hint="eastAsia" w:ascii="Times New Roman" w:hAnsi="Times New Roman" w:cs="Times New Roman"/>
                      <w:color w:val="auto"/>
                      <w:spacing w:val="-3"/>
                      <w:sz w:val="18"/>
                      <w:szCs w:val="18"/>
                      <w:lang w:val="en-US" w:eastAsia="zh-CN"/>
                    </w:rPr>
                    <w:t>500</w:t>
                  </w:r>
                </w:p>
              </w:tc>
              <w:tc>
                <w:tcPr>
                  <w:tcW w:w="445" w:type="pct"/>
                  <w:tcBorders>
                    <w:tl2br w:val="nil"/>
                    <w:tr2bl w:val="nil"/>
                  </w:tcBorders>
                  <w:vAlign w:val="center"/>
                </w:tcPr>
                <w:p w14:paraId="430E09F1">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hint="default" w:ascii="Times New Roman" w:hAnsi="Times New Roman" w:cs="Times New Roman"/>
                      <w:color w:val="auto"/>
                      <w:spacing w:val="-3"/>
                      <w:sz w:val="18"/>
                      <w:szCs w:val="18"/>
                    </w:rPr>
                  </w:pPr>
                  <w:r>
                    <w:rPr>
                      <w:rFonts w:hint="eastAsia" w:ascii="Times New Roman" w:hAnsi="Times New Roman" w:cs="Times New Roman"/>
                      <w:color w:val="auto"/>
                      <w:spacing w:val="-4"/>
                      <w:sz w:val="18"/>
                      <w:szCs w:val="18"/>
                      <w:lang w:val="en-US" w:eastAsia="zh-CN"/>
                    </w:rPr>
                    <w:t>达标</w:t>
                  </w:r>
                </w:p>
              </w:tc>
            </w:tr>
            <w:tr w14:paraId="28CA2D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888" w:type="pct"/>
                  <w:tcBorders>
                    <w:tl2br w:val="nil"/>
                    <w:tr2bl w:val="nil"/>
                  </w:tcBorders>
                  <w:vAlign w:val="center"/>
                </w:tcPr>
                <w:p w14:paraId="198ACB9D">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2"/>
                      <w:sz w:val="18"/>
                      <w:szCs w:val="18"/>
                    </w:rPr>
                    <w:t>氮氮</w:t>
                  </w:r>
                </w:p>
              </w:tc>
              <w:tc>
                <w:tcPr>
                  <w:tcW w:w="539" w:type="pct"/>
                  <w:tcBorders>
                    <w:tl2br w:val="nil"/>
                    <w:tr2bl w:val="nil"/>
                  </w:tcBorders>
                  <w:vAlign w:val="center"/>
                </w:tcPr>
                <w:p w14:paraId="2C140A73">
                  <w:pPr>
                    <w:pStyle w:val="67"/>
                    <w:keepNext w:val="0"/>
                    <w:keepLines w:val="0"/>
                    <w:pageBreakBefore w:val="0"/>
                    <w:widowControl/>
                    <w:kinsoku w:val="0"/>
                    <w:wordWrap/>
                    <w:overflowPunct/>
                    <w:topLinePunct w:val="0"/>
                    <w:autoSpaceDE w:val="0"/>
                    <w:autoSpaceDN w:val="0"/>
                    <w:bidi w:val="0"/>
                    <w:adjustRightInd w:val="0"/>
                    <w:snapToGrid w:val="0"/>
                    <w:spacing w:line="214" w:lineRule="auto"/>
                    <w:ind w:lef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1"/>
                      <w:sz w:val="18"/>
                      <w:szCs w:val="18"/>
                    </w:rPr>
                    <w:t>mg/L</w:t>
                  </w:r>
                </w:p>
              </w:tc>
              <w:tc>
                <w:tcPr>
                  <w:tcW w:w="891" w:type="pct"/>
                  <w:tcBorders>
                    <w:tl2br w:val="nil"/>
                    <w:tr2bl w:val="nil"/>
                  </w:tcBorders>
                  <w:vAlign w:val="center"/>
                </w:tcPr>
                <w:p w14:paraId="7C493C44">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3"/>
                      <w:sz w:val="18"/>
                      <w:szCs w:val="18"/>
                    </w:rPr>
                    <w:t>37.7</w:t>
                  </w:r>
                </w:p>
              </w:tc>
              <w:tc>
                <w:tcPr>
                  <w:tcW w:w="891" w:type="pct"/>
                  <w:tcBorders>
                    <w:tl2br w:val="nil"/>
                    <w:tr2bl w:val="nil"/>
                  </w:tcBorders>
                  <w:vAlign w:val="center"/>
                </w:tcPr>
                <w:p w14:paraId="39F84246">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3"/>
                      <w:sz w:val="18"/>
                      <w:szCs w:val="18"/>
                    </w:rPr>
                    <w:t>37.6</w:t>
                  </w:r>
                </w:p>
              </w:tc>
              <w:tc>
                <w:tcPr>
                  <w:tcW w:w="895" w:type="pct"/>
                  <w:tcBorders>
                    <w:tl2br w:val="nil"/>
                    <w:tr2bl w:val="nil"/>
                  </w:tcBorders>
                  <w:vAlign w:val="center"/>
                </w:tcPr>
                <w:p w14:paraId="51249B06">
                  <w:pPr>
                    <w:pStyle w:val="67"/>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3"/>
                      <w:sz w:val="18"/>
                      <w:szCs w:val="18"/>
                    </w:rPr>
                    <w:t>37</w:t>
                  </w:r>
                  <w:r>
                    <w:rPr>
                      <w:rFonts w:hint="eastAsia" w:ascii="Times New Roman" w:hAnsi="Times New Roman" w:cs="Times New Roman"/>
                      <w:color w:val="auto"/>
                      <w:spacing w:val="-3"/>
                      <w:sz w:val="18"/>
                      <w:szCs w:val="18"/>
                      <w:lang w:val="en-US" w:eastAsia="zh-CN"/>
                    </w:rPr>
                    <w:t>.</w:t>
                  </w:r>
                  <w:r>
                    <w:rPr>
                      <w:rFonts w:hint="default" w:ascii="Times New Roman" w:hAnsi="Times New Roman" w:cs="Times New Roman"/>
                      <w:color w:val="auto"/>
                      <w:spacing w:val="-3"/>
                      <w:sz w:val="18"/>
                      <w:szCs w:val="18"/>
                    </w:rPr>
                    <w:t>6</w:t>
                  </w:r>
                </w:p>
              </w:tc>
              <w:tc>
                <w:tcPr>
                  <w:tcW w:w="447" w:type="pct"/>
                  <w:tcBorders>
                    <w:tl2br w:val="nil"/>
                    <w:tr2bl w:val="nil"/>
                  </w:tcBorders>
                  <w:vAlign w:val="center"/>
                </w:tcPr>
                <w:p w14:paraId="66B5DB20">
                  <w:pPr>
                    <w:pStyle w:val="67"/>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hint="default" w:ascii="Times New Roman" w:hAnsi="Times New Roman" w:eastAsia="宋体" w:cs="Times New Roman"/>
                      <w:color w:val="auto"/>
                      <w:spacing w:val="-3"/>
                      <w:sz w:val="18"/>
                      <w:szCs w:val="18"/>
                      <w:lang w:val="en-US" w:eastAsia="zh-CN"/>
                    </w:rPr>
                  </w:pPr>
                  <w:r>
                    <w:rPr>
                      <w:rFonts w:hint="eastAsia" w:ascii="Times New Roman" w:hAnsi="Times New Roman" w:cs="Times New Roman"/>
                      <w:color w:val="auto"/>
                      <w:spacing w:val="-3"/>
                      <w:sz w:val="18"/>
                      <w:szCs w:val="18"/>
                      <w:lang w:val="en-US" w:eastAsia="zh-CN"/>
                    </w:rPr>
                    <w:t>45</w:t>
                  </w:r>
                </w:p>
              </w:tc>
              <w:tc>
                <w:tcPr>
                  <w:tcW w:w="445" w:type="pct"/>
                  <w:tcBorders>
                    <w:tl2br w:val="nil"/>
                    <w:tr2bl w:val="nil"/>
                  </w:tcBorders>
                  <w:vAlign w:val="center"/>
                </w:tcPr>
                <w:p w14:paraId="6C62CE7E">
                  <w:pPr>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hint="default" w:ascii="Times New Roman" w:hAnsi="Times New Roman" w:cs="Times New Roman"/>
                      <w:color w:val="auto"/>
                      <w:spacing w:val="-3"/>
                      <w:sz w:val="18"/>
                      <w:szCs w:val="18"/>
                    </w:rPr>
                  </w:pPr>
                  <w:r>
                    <w:rPr>
                      <w:rFonts w:hint="eastAsia" w:ascii="Times New Roman" w:hAnsi="Times New Roman" w:cs="Times New Roman"/>
                      <w:color w:val="auto"/>
                      <w:spacing w:val="-4"/>
                      <w:sz w:val="18"/>
                      <w:szCs w:val="18"/>
                      <w:lang w:val="en-US" w:eastAsia="zh-CN"/>
                    </w:rPr>
                    <w:t>达标</w:t>
                  </w:r>
                </w:p>
              </w:tc>
            </w:tr>
            <w:tr w14:paraId="50C794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888" w:type="pct"/>
                  <w:tcBorders>
                    <w:tl2br w:val="nil"/>
                    <w:tr2bl w:val="nil"/>
                  </w:tcBorders>
                  <w:vAlign w:val="center"/>
                </w:tcPr>
                <w:p w14:paraId="2D3DE3E4">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5"/>
                      <w:sz w:val="18"/>
                      <w:szCs w:val="18"/>
                    </w:rPr>
                    <w:t>总磷</w:t>
                  </w:r>
                </w:p>
              </w:tc>
              <w:tc>
                <w:tcPr>
                  <w:tcW w:w="539" w:type="pct"/>
                  <w:tcBorders>
                    <w:tl2br w:val="nil"/>
                    <w:tr2bl w:val="nil"/>
                  </w:tcBorders>
                  <w:vAlign w:val="center"/>
                </w:tcPr>
                <w:p w14:paraId="51DD27DE">
                  <w:pPr>
                    <w:pStyle w:val="67"/>
                    <w:keepNext w:val="0"/>
                    <w:keepLines w:val="0"/>
                    <w:pageBreakBefore w:val="0"/>
                    <w:widowControl/>
                    <w:kinsoku w:val="0"/>
                    <w:wordWrap/>
                    <w:overflowPunct/>
                    <w:topLinePunct w:val="0"/>
                    <w:autoSpaceDE w:val="0"/>
                    <w:autoSpaceDN w:val="0"/>
                    <w:bidi w:val="0"/>
                    <w:adjustRightInd w:val="0"/>
                    <w:snapToGrid w:val="0"/>
                    <w:spacing w:line="214" w:lineRule="auto"/>
                    <w:ind w:lef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1"/>
                      <w:sz w:val="18"/>
                      <w:szCs w:val="18"/>
                    </w:rPr>
                    <w:t>mg/L</w:t>
                  </w:r>
                </w:p>
              </w:tc>
              <w:tc>
                <w:tcPr>
                  <w:tcW w:w="891" w:type="pct"/>
                  <w:tcBorders>
                    <w:tl2br w:val="nil"/>
                    <w:tr2bl w:val="nil"/>
                  </w:tcBorders>
                  <w:vAlign w:val="center"/>
                </w:tcPr>
                <w:p w14:paraId="3B9317ED">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2"/>
                      <w:sz w:val="18"/>
                      <w:szCs w:val="18"/>
                    </w:rPr>
                    <w:t>0.15</w:t>
                  </w:r>
                </w:p>
              </w:tc>
              <w:tc>
                <w:tcPr>
                  <w:tcW w:w="891" w:type="pct"/>
                  <w:tcBorders>
                    <w:tl2br w:val="nil"/>
                    <w:tr2bl w:val="nil"/>
                  </w:tcBorders>
                  <w:vAlign w:val="center"/>
                </w:tcPr>
                <w:p w14:paraId="5EE241F7">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2"/>
                      <w:sz w:val="18"/>
                      <w:szCs w:val="18"/>
                    </w:rPr>
                    <w:t>0.16</w:t>
                  </w:r>
                </w:p>
              </w:tc>
              <w:tc>
                <w:tcPr>
                  <w:tcW w:w="895" w:type="pct"/>
                  <w:tcBorders>
                    <w:tl2br w:val="nil"/>
                    <w:tr2bl w:val="nil"/>
                  </w:tcBorders>
                  <w:vAlign w:val="center"/>
                </w:tcPr>
                <w:p w14:paraId="13D950D4">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2"/>
                      <w:sz w:val="18"/>
                      <w:szCs w:val="18"/>
                    </w:rPr>
                    <w:t>0.14</w:t>
                  </w:r>
                </w:p>
              </w:tc>
              <w:tc>
                <w:tcPr>
                  <w:tcW w:w="447" w:type="pct"/>
                  <w:tcBorders>
                    <w:tl2br w:val="nil"/>
                    <w:tr2bl w:val="nil"/>
                  </w:tcBorders>
                  <w:vAlign w:val="center"/>
                </w:tcPr>
                <w:p w14:paraId="66929655">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eastAsia" w:ascii="Times New Roman" w:hAnsi="Times New Roman" w:eastAsia="宋体" w:cs="Times New Roman"/>
                      <w:color w:val="auto"/>
                      <w:spacing w:val="-2"/>
                      <w:sz w:val="18"/>
                      <w:szCs w:val="18"/>
                      <w:lang w:val="en-US" w:eastAsia="zh-CN"/>
                    </w:rPr>
                  </w:pPr>
                  <w:r>
                    <w:rPr>
                      <w:rFonts w:hint="eastAsia" w:ascii="Times New Roman" w:hAnsi="Times New Roman" w:cs="Times New Roman"/>
                      <w:color w:val="auto"/>
                      <w:spacing w:val="-2"/>
                      <w:sz w:val="18"/>
                      <w:szCs w:val="18"/>
                      <w:lang w:val="en-US" w:eastAsia="zh-CN"/>
                    </w:rPr>
                    <w:t>8</w:t>
                  </w:r>
                </w:p>
              </w:tc>
              <w:tc>
                <w:tcPr>
                  <w:tcW w:w="445" w:type="pct"/>
                  <w:tcBorders>
                    <w:tl2br w:val="nil"/>
                    <w:tr2bl w:val="nil"/>
                  </w:tcBorders>
                  <w:vAlign w:val="center"/>
                </w:tcPr>
                <w:p w14:paraId="61839563">
                  <w:pPr>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default" w:ascii="Times New Roman" w:hAnsi="Times New Roman" w:cs="Times New Roman"/>
                      <w:color w:val="auto"/>
                      <w:spacing w:val="-2"/>
                      <w:sz w:val="18"/>
                      <w:szCs w:val="18"/>
                    </w:rPr>
                  </w:pPr>
                  <w:r>
                    <w:rPr>
                      <w:rFonts w:hint="eastAsia" w:ascii="Times New Roman" w:hAnsi="Times New Roman" w:cs="Times New Roman"/>
                      <w:color w:val="auto"/>
                      <w:spacing w:val="-4"/>
                      <w:sz w:val="18"/>
                      <w:szCs w:val="18"/>
                      <w:lang w:val="en-US" w:eastAsia="zh-CN"/>
                    </w:rPr>
                    <w:t>达标</w:t>
                  </w:r>
                </w:p>
              </w:tc>
            </w:tr>
          </w:tbl>
          <w:p w14:paraId="523C609D">
            <w:pPr>
              <w:autoSpaceDE w:val="0"/>
              <w:autoSpaceDN w:val="0"/>
              <w:adjustRightInd w:val="0"/>
              <w:snapToGrid w:val="0"/>
              <w:spacing w:line="400" w:lineRule="exact"/>
              <w:ind w:firstLine="420" w:firstLineChars="200"/>
              <w:jc w:val="left"/>
              <w:rPr>
                <w:color w:val="auto"/>
                <w:szCs w:val="21"/>
              </w:rPr>
            </w:pPr>
            <w:r>
              <w:rPr>
                <w:rFonts w:hint="eastAsia" w:ascii="Times New Roman" w:hAnsi="Times New Roman" w:eastAsia="宋体" w:cs="Times New Roman"/>
                <w:color w:val="auto"/>
                <w:highlight w:val="none"/>
                <w:lang w:val="en-US" w:eastAsia="zh-CN"/>
              </w:rPr>
              <w:t>（2）</w:t>
            </w:r>
            <w:r>
              <w:rPr>
                <w:color w:val="auto"/>
                <w:szCs w:val="21"/>
              </w:rPr>
              <w:t>废气</w:t>
            </w:r>
          </w:p>
          <w:p w14:paraId="715338EE">
            <w:pPr>
              <w:autoSpaceDE w:val="0"/>
              <w:autoSpaceDN w:val="0"/>
              <w:adjustRightInd w:val="0"/>
              <w:snapToGrid w:val="0"/>
              <w:spacing w:line="400" w:lineRule="exact"/>
              <w:ind w:firstLine="420" w:firstLineChars="200"/>
              <w:jc w:val="left"/>
              <w:rPr>
                <w:color w:val="auto"/>
                <w:szCs w:val="21"/>
              </w:rPr>
            </w:pPr>
            <w:r>
              <w:rPr>
                <w:rFonts w:hint="eastAsia"/>
                <w:color w:val="auto"/>
                <w:szCs w:val="21"/>
              </w:rPr>
              <w:t>现有</w:t>
            </w:r>
            <w:r>
              <w:rPr>
                <w:color w:val="auto"/>
                <w:szCs w:val="21"/>
              </w:rPr>
              <w:t>项目废气污染</w:t>
            </w:r>
            <w:r>
              <w:rPr>
                <w:rFonts w:hint="eastAsia"/>
                <w:color w:val="auto"/>
                <w:szCs w:val="21"/>
              </w:rPr>
              <w:t>物</w:t>
            </w:r>
            <w:r>
              <w:rPr>
                <w:color w:val="auto"/>
                <w:szCs w:val="21"/>
              </w:rPr>
              <w:t>产生、处理及排放情况见表2-</w:t>
            </w:r>
            <w:r>
              <w:rPr>
                <w:rFonts w:hint="eastAsia"/>
                <w:color w:val="auto"/>
                <w:szCs w:val="21"/>
              </w:rPr>
              <w:t>1</w:t>
            </w:r>
            <w:r>
              <w:rPr>
                <w:rFonts w:hint="eastAsia"/>
                <w:color w:val="auto"/>
                <w:szCs w:val="21"/>
                <w:lang w:val="en-US" w:eastAsia="zh-CN"/>
              </w:rPr>
              <w:t>8</w:t>
            </w:r>
            <w:r>
              <w:rPr>
                <w:color w:val="auto"/>
                <w:szCs w:val="21"/>
              </w:rPr>
              <w:t>。</w:t>
            </w:r>
          </w:p>
          <w:p w14:paraId="65100456">
            <w:pPr>
              <w:pStyle w:val="10"/>
              <w:spacing w:line="400" w:lineRule="exact"/>
              <w:ind w:firstLine="0" w:firstLineChars="0"/>
              <w:jc w:val="center"/>
              <w:outlineLvl w:val="0"/>
              <w:rPr>
                <w:rFonts w:ascii="Times New Roman" w:hAnsi="Times New Roman"/>
                <w:b/>
                <w:color w:val="auto"/>
                <w:szCs w:val="21"/>
              </w:rPr>
            </w:pPr>
            <w:r>
              <w:rPr>
                <w:rFonts w:ascii="Times New Roman" w:hAnsi="Times New Roman"/>
                <w:b/>
                <w:color w:val="auto"/>
                <w:szCs w:val="21"/>
              </w:rPr>
              <w:t>表2-</w:t>
            </w:r>
            <w:r>
              <w:rPr>
                <w:rFonts w:hint="eastAsia" w:ascii="Times New Roman" w:hAnsi="Times New Roman"/>
                <w:b/>
                <w:color w:val="auto"/>
                <w:szCs w:val="21"/>
              </w:rPr>
              <w:t>1</w:t>
            </w:r>
            <w:r>
              <w:rPr>
                <w:rFonts w:hint="eastAsia" w:ascii="Times New Roman" w:hAnsi="Times New Roman"/>
                <w:b/>
                <w:color w:val="auto"/>
                <w:szCs w:val="21"/>
                <w:lang w:val="en-US" w:eastAsia="zh-CN"/>
              </w:rPr>
              <w:t>8</w:t>
            </w:r>
            <w:r>
              <w:rPr>
                <w:rFonts w:ascii="Times New Roman" w:hAnsi="Times New Roman"/>
                <w:b/>
                <w:color w:val="auto"/>
                <w:szCs w:val="21"/>
              </w:rPr>
              <w:t xml:space="preserve">  </w:t>
            </w:r>
            <w:r>
              <w:rPr>
                <w:rFonts w:hint="eastAsia" w:ascii="Times New Roman" w:hAnsi="Times New Roman"/>
                <w:b/>
                <w:color w:val="auto"/>
                <w:szCs w:val="21"/>
              </w:rPr>
              <w:t>现有</w:t>
            </w:r>
            <w:r>
              <w:rPr>
                <w:rFonts w:ascii="Times New Roman" w:hAnsi="Times New Roman"/>
                <w:b/>
                <w:color w:val="auto"/>
                <w:szCs w:val="21"/>
              </w:rPr>
              <w:t>项目废气污染</w:t>
            </w:r>
            <w:r>
              <w:rPr>
                <w:rFonts w:hint="eastAsia" w:ascii="Times New Roman" w:hAnsi="Times New Roman"/>
                <w:b/>
                <w:color w:val="auto"/>
                <w:szCs w:val="21"/>
              </w:rPr>
              <w:t>物</w:t>
            </w:r>
            <w:r>
              <w:rPr>
                <w:rFonts w:ascii="Times New Roman" w:hAnsi="Times New Roman"/>
                <w:b/>
                <w:color w:val="auto"/>
                <w:szCs w:val="21"/>
              </w:rPr>
              <w:t>产生、处理及排放情况</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574"/>
              <w:gridCol w:w="1389"/>
              <w:gridCol w:w="2075"/>
              <w:gridCol w:w="3585"/>
              <w:gridCol w:w="620"/>
            </w:tblGrid>
            <w:tr w14:paraId="098C6A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348" w:type="pct"/>
                  <w:tcBorders>
                    <w:top w:val="single" w:color="auto" w:sz="12" w:space="0"/>
                    <w:left w:val="nil"/>
                    <w:bottom w:val="single" w:color="auto" w:sz="12" w:space="0"/>
                  </w:tcBorders>
                  <w:vAlign w:val="center"/>
                </w:tcPr>
                <w:p w14:paraId="32834A7C">
                  <w:pPr>
                    <w:pStyle w:val="51"/>
                    <w:ind w:left="-8" w:leftChars="-4" w:firstLine="27" w:firstLineChars="15"/>
                    <w:rPr>
                      <w:b/>
                      <w:bCs/>
                      <w:color w:val="auto"/>
                      <w:sz w:val="18"/>
                      <w:szCs w:val="18"/>
                    </w:rPr>
                  </w:pPr>
                  <w:r>
                    <w:rPr>
                      <w:rFonts w:hint="eastAsia"/>
                      <w:b/>
                      <w:bCs/>
                      <w:color w:val="auto"/>
                      <w:sz w:val="18"/>
                      <w:szCs w:val="18"/>
                    </w:rPr>
                    <w:t>所属部门</w:t>
                  </w:r>
                </w:p>
              </w:tc>
              <w:tc>
                <w:tcPr>
                  <w:tcW w:w="842" w:type="pct"/>
                  <w:tcBorders>
                    <w:top w:val="single" w:color="auto" w:sz="12" w:space="0"/>
                    <w:bottom w:val="single" w:color="auto" w:sz="12" w:space="0"/>
                  </w:tcBorders>
                  <w:vAlign w:val="center"/>
                </w:tcPr>
                <w:p w14:paraId="71CD3875">
                  <w:pPr>
                    <w:pStyle w:val="51"/>
                    <w:ind w:left="-8" w:leftChars="-4" w:firstLine="27" w:firstLineChars="15"/>
                    <w:rPr>
                      <w:b/>
                      <w:bCs/>
                      <w:color w:val="auto"/>
                      <w:sz w:val="18"/>
                      <w:szCs w:val="18"/>
                    </w:rPr>
                  </w:pPr>
                  <w:r>
                    <w:rPr>
                      <w:b/>
                      <w:bCs/>
                      <w:color w:val="auto"/>
                      <w:sz w:val="18"/>
                      <w:szCs w:val="18"/>
                    </w:rPr>
                    <w:t>工序</w:t>
                  </w:r>
                </w:p>
              </w:tc>
              <w:tc>
                <w:tcPr>
                  <w:tcW w:w="1258" w:type="pct"/>
                  <w:tcBorders>
                    <w:top w:val="single" w:color="auto" w:sz="12" w:space="0"/>
                    <w:bottom w:val="single" w:color="auto" w:sz="12" w:space="0"/>
                  </w:tcBorders>
                  <w:vAlign w:val="center"/>
                </w:tcPr>
                <w:p w14:paraId="68FBD04B">
                  <w:pPr>
                    <w:pStyle w:val="51"/>
                    <w:ind w:left="-8" w:leftChars="-4" w:firstLine="27" w:firstLineChars="15"/>
                    <w:rPr>
                      <w:b/>
                      <w:bCs/>
                      <w:color w:val="auto"/>
                      <w:sz w:val="18"/>
                      <w:szCs w:val="18"/>
                    </w:rPr>
                  </w:pPr>
                  <w:r>
                    <w:rPr>
                      <w:b/>
                      <w:bCs/>
                      <w:color w:val="auto"/>
                      <w:sz w:val="18"/>
                      <w:szCs w:val="18"/>
                    </w:rPr>
                    <w:t>污染物种类</w:t>
                  </w:r>
                </w:p>
              </w:tc>
              <w:tc>
                <w:tcPr>
                  <w:tcW w:w="2174" w:type="pct"/>
                  <w:tcBorders>
                    <w:top w:val="single" w:color="auto" w:sz="12" w:space="0"/>
                    <w:bottom w:val="single" w:color="auto" w:sz="12" w:space="0"/>
                    <w:right w:val="nil"/>
                  </w:tcBorders>
                  <w:vAlign w:val="center"/>
                </w:tcPr>
                <w:p w14:paraId="1F72CDC0">
                  <w:pPr>
                    <w:pStyle w:val="51"/>
                    <w:ind w:left="-8" w:leftChars="-4" w:firstLine="27" w:firstLineChars="15"/>
                    <w:rPr>
                      <w:b/>
                      <w:bCs/>
                      <w:color w:val="auto"/>
                      <w:sz w:val="18"/>
                      <w:szCs w:val="18"/>
                    </w:rPr>
                  </w:pPr>
                  <w:r>
                    <w:rPr>
                      <w:b/>
                      <w:bCs/>
                      <w:color w:val="auto"/>
                      <w:sz w:val="18"/>
                      <w:szCs w:val="18"/>
                    </w:rPr>
                    <w:t>废气处理措施及排放方式</w:t>
                  </w:r>
                </w:p>
              </w:tc>
              <w:tc>
                <w:tcPr>
                  <w:tcW w:w="376" w:type="pct"/>
                  <w:tcBorders>
                    <w:top w:val="single" w:color="auto" w:sz="12" w:space="0"/>
                    <w:bottom w:val="single" w:color="auto" w:sz="12" w:space="0"/>
                    <w:right w:val="nil"/>
                  </w:tcBorders>
                  <w:vAlign w:val="center"/>
                </w:tcPr>
                <w:p w14:paraId="124C05EF">
                  <w:pPr>
                    <w:pStyle w:val="51"/>
                    <w:ind w:left="-8" w:leftChars="-4" w:firstLine="27" w:firstLineChars="15"/>
                    <w:rPr>
                      <w:b/>
                      <w:bCs/>
                      <w:color w:val="auto"/>
                      <w:sz w:val="18"/>
                      <w:szCs w:val="18"/>
                    </w:rPr>
                  </w:pPr>
                  <w:r>
                    <w:rPr>
                      <w:rFonts w:hint="eastAsia"/>
                      <w:b/>
                      <w:bCs/>
                      <w:color w:val="auto"/>
                      <w:sz w:val="18"/>
                      <w:szCs w:val="18"/>
                    </w:rPr>
                    <w:t>备注</w:t>
                  </w:r>
                </w:p>
              </w:tc>
            </w:tr>
            <w:tr w14:paraId="4E69F7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348" w:type="pct"/>
                  <w:tcBorders>
                    <w:top w:val="single" w:color="auto" w:sz="12" w:space="0"/>
                    <w:left w:val="nil"/>
                  </w:tcBorders>
                  <w:vAlign w:val="center"/>
                </w:tcPr>
                <w:p w14:paraId="481AAC0F">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注塑</w:t>
                  </w:r>
                </w:p>
              </w:tc>
              <w:tc>
                <w:tcPr>
                  <w:tcW w:w="842" w:type="pct"/>
                  <w:tcBorders>
                    <w:top w:val="single" w:color="auto" w:sz="12" w:space="0"/>
                  </w:tcBorders>
                  <w:shd w:val="clear" w:color="auto" w:fill="auto"/>
                  <w:vAlign w:val="center"/>
                </w:tcPr>
                <w:p w14:paraId="4247A82C">
                  <w:pPr>
                    <w:pStyle w:val="51"/>
                    <w:ind w:left="-8" w:leftChars="-4" w:firstLine="27" w:firstLineChars="15"/>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注塑</w:t>
                  </w:r>
                </w:p>
              </w:tc>
              <w:tc>
                <w:tcPr>
                  <w:tcW w:w="1258" w:type="pct"/>
                  <w:tcBorders>
                    <w:top w:val="single" w:color="auto" w:sz="12" w:space="0"/>
                  </w:tcBorders>
                  <w:shd w:val="clear" w:color="auto" w:fill="auto"/>
                  <w:vAlign w:val="center"/>
                </w:tcPr>
                <w:p w14:paraId="520B68F7">
                  <w:pPr>
                    <w:pStyle w:val="51"/>
                    <w:ind w:left="-8" w:leftChars="-4" w:firstLine="27" w:firstLineChars="15"/>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非甲烷总烃</w:t>
                  </w:r>
                  <w:r>
                    <w:rPr>
                      <w:rFonts w:hint="eastAsia" w:cs="Times New Roman"/>
                      <w:color w:val="auto"/>
                      <w:sz w:val="18"/>
                      <w:szCs w:val="18"/>
                      <w:lang w:val="en-US" w:eastAsia="zh-CN"/>
                    </w:rPr>
                    <w:t>、</w:t>
                  </w:r>
                  <w:r>
                    <w:rPr>
                      <w:rFonts w:hint="eastAsia" w:cs="Times New Roman"/>
                      <w:color w:val="auto"/>
                      <w:sz w:val="18"/>
                      <w:szCs w:val="18"/>
                      <w:lang w:val="en-US" w:eastAsia="zh-CN"/>
                    </w:rPr>
                    <w:t>苯乙烯、丙烯腈、甲苯、乙苯、二氯甲烷、氯苯</w:t>
                  </w:r>
                </w:p>
              </w:tc>
              <w:tc>
                <w:tcPr>
                  <w:tcW w:w="2174" w:type="pct"/>
                  <w:tcBorders>
                    <w:top w:val="single" w:color="auto" w:sz="12" w:space="0"/>
                  </w:tcBorders>
                  <w:shd w:val="clear" w:color="auto" w:fill="auto"/>
                  <w:vAlign w:val="center"/>
                </w:tcPr>
                <w:p w14:paraId="1AC6A26D">
                  <w:pPr>
                    <w:spacing w:line="240" w:lineRule="atLeast"/>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olor w:val="auto"/>
                      <w:sz w:val="18"/>
                      <w:szCs w:val="18"/>
                      <w:lang w:val="en-US" w:eastAsia="zh-CN"/>
                    </w:rPr>
                    <w:t>集气罩</w:t>
                  </w:r>
                  <w:r>
                    <w:rPr>
                      <w:rFonts w:hint="default" w:ascii="Times New Roman" w:hAnsi="Times New Roman"/>
                      <w:color w:val="auto"/>
                      <w:sz w:val="18"/>
                      <w:szCs w:val="18"/>
                      <w:lang w:val="en-US" w:eastAsia="zh-CN"/>
                    </w:rPr>
                    <w:t>+</w:t>
                  </w:r>
                  <w:r>
                    <w:rPr>
                      <w:rFonts w:hint="eastAsia" w:ascii="Times New Roman" w:hAnsi="Times New Roman"/>
                      <w:color w:val="auto"/>
                      <w:sz w:val="18"/>
                      <w:szCs w:val="18"/>
                      <w:lang w:val="en-US" w:eastAsia="zh-CN"/>
                    </w:rPr>
                    <w:t>二级活性炭吸附</w:t>
                  </w:r>
                  <w:r>
                    <w:rPr>
                      <w:rFonts w:hint="default" w:ascii="Times New Roman" w:hAnsi="Times New Roman"/>
                      <w:color w:val="auto"/>
                      <w:sz w:val="18"/>
                      <w:szCs w:val="18"/>
                      <w:lang w:val="en-US" w:eastAsia="zh-CN"/>
                    </w:rPr>
                    <w:t>+15m</w:t>
                  </w:r>
                  <w:r>
                    <w:rPr>
                      <w:rFonts w:hint="eastAsia" w:ascii="Times New Roman" w:hAnsi="Times New Roman"/>
                      <w:color w:val="auto"/>
                      <w:sz w:val="18"/>
                      <w:szCs w:val="18"/>
                      <w:lang w:val="en-US" w:eastAsia="zh-CN"/>
                    </w:rPr>
                    <w:t>排气筒</w:t>
                  </w:r>
                  <w:r>
                    <w:rPr>
                      <w:rFonts w:hint="eastAsia"/>
                      <w:color w:val="auto"/>
                      <w:sz w:val="18"/>
                      <w:szCs w:val="18"/>
                      <w:lang w:val="en-US" w:eastAsia="zh-CN"/>
                    </w:rPr>
                    <w:t>（DA004~DA009、DA011）</w:t>
                  </w:r>
                </w:p>
              </w:tc>
              <w:tc>
                <w:tcPr>
                  <w:tcW w:w="376" w:type="pct"/>
                  <w:tcBorders>
                    <w:top w:val="single" w:color="auto" w:sz="12" w:space="0"/>
                    <w:right w:val="nil"/>
                  </w:tcBorders>
                  <w:vAlign w:val="center"/>
                </w:tcPr>
                <w:p w14:paraId="5151E924">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已建</w:t>
                  </w:r>
                </w:p>
              </w:tc>
            </w:tr>
            <w:tr w14:paraId="7F573A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348" w:type="pct"/>
                  <w:tcBorders>
                    <w:left w:val="nil"/>
                  </w:tcBorders>
                  <w:vAlign w:val="center"/>
                </w:tcPr>
                <w:p w14:paraId="1A534BB4">
                  <w:pPr>
                    <w:pStyle w:val="51"/>
                    <w:ind w:left="-8" w:leftChars="-4" w:firstLine="27" w:firstLineChars="15"/>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真空镀铝塑料件生产</w:t>
                  </w:r>
                </w:p>
              </w:tc>
              <w:tc>
                <w:tcPr>
                  <w:tcW w:w="842" w:type="pct"/>
                  <w:tcBorders>
                    <w:top w:val="single" w:color="auto" w:sz="4" w:space="0"/>
                    <w:bottom w:val="single" w:color="auto" w:sz="4" w:space="0"/>
                  </w:tcBorders>
                  <w:shd w:val="clear" w:color="auto" w:fill="auto"/>
                  <w:vAlign w:val="center"/>
                </w:tcPr>
                <w:p w14:paraId="088BF9F5">
                  <w:pPr>
                    <w:pStyle w:val="51"/>
                    <w:ind w:left="-8" w:leftChars="-4" w:firstLine="27" w:firstLineChars="15"/>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真空镀铝</w:t>
                  </w:r>
                </w:p>
              </w:tc>
              <w:tc>
                <w:tcPr>
                  <w:tcW w:w="1258" w:type="pct"/>
                  <w:tcBorders>
                    <w:top w:val="single" w:color="auto" w:sz="4" w:space="0"/>
                    <w:bottom w:val="single" w:color="auto" w:sz="4" w:space="0"/>
                  </w:tcBorders>
                  <w:shd w:val="clear" w:color="auto" w:fill="auto"/>
                  <w:vAlign w:val="center"/>
                </w:tcPr>
                <w:p w14:paraId="7D00DD01">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非甲烷总烃</w:t>
                  </w:r>
                </w:p>
              </w:tc>
              <w:tc>
                <w:tcPr>
                  <w:tcW w:w="2174" w:type="pct"/>
                  <w:tcBorders>
                    <w:top w:val="single" w:color="auto" w:sz="4" w:space="0"/>
                    <w:bottom w:val="single" w:color="auto" w:sz="4" w:space="0"/>
                  </w:tcBorders>
                  <w:shd w:val="clear" w:color="auto" w:fill="auto"/>
                  <w:vAlign w:val="center"/>
                </w:tcPr>
                <w:p w14:paraId="252B67A0">
                  <w:pPr>
                    <w:pStyle w:val="46"/>
                    <w:keepNext w:val="0"/>
                    <w:keepLines w:val="0"/>
                    <w:pageBreakBefore w:val="0"/>
                    <w:kinsoku/>
                    <w:wordWrap/>
                    <w:overflowPunct/>
                    <w:topLinePunct w:val="0"/>
                    <w:autoSpaceDE/>
                    <w:autoSpaceDN/>
                    <w:bidi w:val="0"/>
                    <w:adjustRightInd/>
                    <w:spacing w:line="240" w:lineRule="auto"/>
                    <w:ind w:right="0" w:right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b w:val="0"/>
                      <w:bCs w:val="0"/>
                      <w:color w:val="auto"/>
                      <w:sz w:val="18"/>
                      <w:szCs w:val="18"/>
                      <w:highlight w:val="none"/>
                      <w:lang w:val="en-US" w:eastAsia="zh-CN"/>
                    </w:rPr>
                    <w:t>集气罩+二级活性炭吸附+15m排气筒（DA0013~DA015，其中DA013、DA015为生产使用，DA014作为备用），车间设置排风扇，加强车间自然通风及机械排风，废气处理装置与排风扇依托现有</w:t>
                  </w:r>
                </w:p>
              </w:tc>
              <w:tc>
                <w:tcPr>
                  <w:tcW w:w="376" w:type="pct"/>
                  <w:tcBorders>
                    <w:top w:val="single" w:color="auto" w:sz="4" w:space="0"/>
                    <w:bottom w:val="single" w:color="auto" w:sz="4" w:space="0"/>
                    <w:right w:val="nil"/>
                  </w:tcBorders>
                  <w:shd w:val="clear" w:color="auto" w:fill="auto"/>
                  <w:vAlign w:val="center"/>
                </w:tcPr>
                <w:p w14:paraId="0D332D22">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已建</w:t>
                  </w:r>
                </w:p>
              </w:tc>
            </w:tr>
            <w:tr w14:paraId="1C0CE0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348" w:type="pct"/>
                  <w:tcBorders>
                    <w:left w:val="nil"/>
                  </w:tcBorders>
                  <w:vAlign w:val="center"/>
                </w:tcPr>
                <w:p w14:paraId="12E4422A">
                  <w:pPr>
                    <w:pStyle w:val="51"/>
                    <w:ind w:left="-8" w:leftChars="-4" w:firstLine="27" w:firstLineChars="15"/>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油墨印刷塑料件生产</w:t>
                  </w:r>
                </w:p>
              </w:tc>
              <w:tc>
                <w:tcPr>
                  <w:tcW w:w="842" w:type="pct"/>
                  <w:tcBorders>
                    <w:top w:val="single" w:color="auto" w:sz="4" w:space="0"/>
                    <w:bottom w:val="single" w:color="auto" w:sz="4" w:space="0"/>
                  </w:tcBorders>
                  <w:shd w:val="clear" w:color="auto" w:fill="auto"/>
                  <w:vAlign w:val="center"/>
                </w:tcPr>
                <w:p w14:paraId="59CB058C">
                  <w:pPr>
                    <w:pStyle w:val="51"/>
                    <w:ind w:left="-8" w:leftChars="-4" w:firstLine="27" w:firstLineChars="15"/>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印刷</w:t>
                  </w:r>
                </w:p>
              </w:tc>
              <w:tc>
                <w:tcPr>
                  <w:tcW w:w="1258" w:type="pct"/>
                  <w:tcBorders>
                    <w:top w:val="single" w:color="auto" w:sz="4" w:space="0"/>
                    <w:bottom w:val="single" w:color="auto" w:sz="4" w:space="0"/>
                  </w:tcBorders>
                  <w:shd w:val="clear" w:color="auto" w:fill="auto"/>
                  <w:vAlign w:val="center"/>
                </w:tcPr>
                <w:p w14:paraId="5CA09FDA">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非甲烷总烃</w:t>
                  </w:r>
                </w:p>
              </w:tc>
              <w:tc>
                <w:tcPr>
                  <w:tcW w:w="2174" w:type="pct"/>
                  <w:tcBorders>
                    <w:top w:val="single" w:color="auto" w:sz="4" w:space="0"/>
                    <w:bottom w:val="single" w:color="auto" w:sz="4" w:space="0"/>
                  </w:tcBorders>
                  <w:shd w:val="clear" w:color="auto" w:fill="auto"/>
                  <w:vAlign w:val="center"/>
                </w:tcPr>
                <w:p w14:paraId="19215FCA">
                  <w:pPr>
                    <w:pStyle w:val="46"/>
                    <w:keepNext w:val="0"/>
                    <w:keepLines w:val="0"/>
                    <w:pageBreakBefore w:val="0"/>
                    <w:kinsoku/>
                    <w:wordWrap/>
                    <w:overflowPunct/>
                    <w:topLinePunct w:val="0"/>
                    <w:autoSpaceDE/>
                    <w:autoSpaceDN/>
                    <w:bidi w:val="0"/>
                    <w:adjustRightInd/>
                    <w:spacing w:line="240" w:lineRule="auto"/>
                    <w:ind w:right="0" w:rightChars="0"/>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b w:val="0"/>
                      <w:bCs w:val="0"/>
                      <w:color w:val="auto"/>
                      <w:sz w:val="18"/>
                      <w:szCs w:val="18"/>
                      <w:highlight w:val="none"/>
                      <w:lang w:val="en-US" w:eastAsia="zh-CN"/>
                    </w:rPr>
                    <w:t>集气罩+二级活性炭吸附+15m排气筒（DA012），车间设置排风扇，加强车间自然通风及机械排风</w:t>
                  </w:r>
                </w:p>
              </w:tc>
              <w:tc>
                <w:tcPr>
                  <w:tcW w:w="376" w:type="pct"/>
                  <w:tcBorders>
                    <w:top w:val="single" w:color="auto" w:sz="4" w:space="0"/>
                    <w:bottom w:val="single" w:color="auto" w:sz="4" w:space="0"/>
                    <w:right w:val="nil"/>
                  </w:tcBorders>
                  <w:shd w:val="clear" w:color="auto" w:fill="auto"/>
                  <w:vAlign w:val="center"/>
                </w:tcPr>
                <w:p w14:paraId="306489F2">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已建</w:t>
                  </w:r>
                </w:p>
              </w:tc>
            </w:tr>
            <w:tr w14:paraId="6EE5AA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348" w:type="pct"/>
                  <w:tcBorders>
                    <w:left w:val="nil"/>
                  </w:tcBorders>
                  <w:vAlign w:val="center"/>
                </w:tcPr>
                <w:p w14:paraId="189B30A1">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公辅及环保工程</w:t>
                  </w:r>
                </w:p>
              </w:tc>
              <w:tc>
                <w:tcPr>
                  <w:tcW w:w="842" w:type="pct"/>
                  <w:tcBorders>
                    <w:top w:val="single" w:color="auto" w:sz="4" w:space="0"/>
                  </w:tcBorders>
                  <w:shd w:val="clear" w:color="auto" w:fill="auto"/>
                  <w:vAlign w:val="center"/>
                </w:tcPr>
                <w:p w14:paraId="14A5507B">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危废仓库</w:t>
                  </w:r>
                </w:p>
              </w:tc>
              <w:tc>
                <w:tcPr>
                  <w:tcW w:w="1258" w:type="pct"/>
                  <w:tcBorders>
                    <w:top w:val="single" w:color="auto" w:sz="4" w:space="0"/>
                  </w:tcBorders>
                  <w:shd w:val="clear" w:color="auto" w:fill="auto"/>
                  <w:vAlign w:val="center"/>
                </w:tcPr>
                <w:p w14:paraId="250D36CF">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非甲烷总烃</w:t>
                  </w:r>
                </w:p>
              </w:tc>
              <w:tc>
                <w:tcPr>
                  <w:tcW w:w="2174" w:type="pct"/>
                  <w:tcBorders>
                    <w:top w:val="single" w:color="auto" w:sz="4" w:space="0"/>
                  </w:tcBorders>
                  <w:vAlign w:val="center"/>
                </w:tcPr>
                <w:p w14:paraId="06FC588D">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集气罩</w:t>
                  </w:r>
                  <w:r>
                    <w:rPr>
                      <w:rFonts w:hint="default"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val="en-US" w:eastAsia="zh-CN"/>
                    </w:rPr>
                    <w:t>活性炭吸附</w:t>
                  </w:r>
                  <w:r>
                    <w:rPr>
                      <w:rFonts w:hint="default" w:ascii="Times New Roman" w:hAnsi="Times New Roman" w:eastAsia="宋体" w:cs="Times New Roman"/>
                      <w:color w:val="auto"/>
                      <w:sz w:val="18"/>
                      <w:szCs w:val="18"/>
                      <w:lang w:val="en-US" w:eastAsia="zh-CN"/>
                    </w:rPr>
                    <w:t>+15m</w:t>
                  </w:r>
                  <w:r>
                    <w:rPr>
                      <w:rFonts w:hint="eastAsia" w:ascii="Times New Roman" w:hAnsi="Times New Roman" w:eastAsia="宋体" w:cs="Times New Roman"/>
                      <w:color w:val="auto"/>
                      <w:sz w:val="18"/>
                      <w:szCs w:val="18"/>
                      <w:lang w:val="en-US" w:eastAsia="zh-CN"/>
                    </w:rPr>
                    <w:t>排气筒（DA010）</w:t>
                  </w:r>
                </w:p>
              </w:tc>
              <w:tc>
                <w:tcPr>
                  <w:tcW w:w="376" w:type="pct"/>
                  <w:tcBorders>
                    <w:top w:val="single" w:color="auto" w:sz="4" w:space="0"/>
                    <w:right w:val="nil"/>
                  </w:tcBorders>
                  <w:vAlign w:val="center"/>
                </w:tcPr>
                <w:p w14:paraId="19DDD94A">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已建</w:t>
                  </w:r>
                </w:p>
              </w:tc>
            </w:tr>
            <w:tr w14:paraId="094A1C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348" w:type="pct"/>
                  <w:tcBorders>
                    <w:left w:val="nil"/>
                  </w:tcBorders>
                  <w:vAlign w:val="center"/>
                </w:tcPr>
                <w:p w14:paraId="6EBB4DCE">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食堂</w:t>
                  </w:r>
                </w:p>
              </w:tc>
              <w:tc>
                <w:tcPr>
                  <w:tcW w:w="842" w:type="pct"/>
                  <w:tcBorders>
                    <w:top w:val="single" w:color="auto" w:sz="4" w:space="0"/>
                  </w:tcBorders>
                  <w:shd w:val="clear" w:color="auto" w:fill="auto"/>
                  <w:vAlign w:val="center"/>
                </w:tcPr>
                <w:p w14:paraId="22A4B7BF">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烹饪</w:t>
                  </w:r>
                </w:p>
              </w:tc>
              <w:tc>
                <w:tcPr>
                  <w:tcW w:w="1258" w:type="pct"/>
                  <w:tcBorders>
                    <w:top w:val="single" w:color="auto" w:sz="4" w:space="0"/>
                  </w:tcBorders>
                  <w:shd w:val="clear" w:color="auto" w:fill="auto"/>
                  <w:vAlign w:val="center"/>
                </w:tcPr>
                <w:p w14:paraId="2429E10C">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食堂油烟</w:t>
                  </w:r>
                </w:p>
              </w:tc>
              <w:tc>
                <w:tcPr>
                  <w:tcW w:w="2174" w:type="pct"/>
                  <w:tcBorders>
                    <w:top w:val="single" w:color="auto" w:sz="4" w:space="0"/>
                  </w:tcBorders>
                  <w:vAlign w:val="center"/>
                </w:tcPr>
                <w:p w14:paraId="75AB47D9">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油烟净化装置+8m（DA001）排气筒</w:t>
                  </w:r>
                </w:p>
              </w:tc>
              <w:tc>
                <w:tcPr>
                  <w:tcW w:w="376" w:type="pct"/>
                  <w:tcBorders>
                    <w:top w:val="single" w:color="auto" w:sz="4" w:space="0"/>
                    <w:right w:val="nil"/>
                  </w:tcBorders>
                  <w:vAlign w:val="center"/>
                </w:tcPr>
                <w:p w14:paraId="46F03C67">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已建</w:t>
                  </w:r>
                </w:p>
              </w:tc>
            </w:tr>
          </w:tbl>
          <w:p w14:paraId="4C8BA553">
            <w:pPr>
              <w:autoSpaceDE w:val="0"/>
              <w:autoSpaceDN w:val="0"/>
              <w:adjustRightInd w:val="0"/>
              <w:snapToGrid w:val="0"/>
              <w:spacing w:line="400" w:lineRule="exact"/>
              <w:ind w:firstLine="420" w:firstLineChars="200"/>
              <w:jc w:val="left"/>
              <w:rPr>
                <w:rFonts w:hint="eastAsia" w:ascii="Times New Roman" w:hAnsi="Times New Roman" w:eastAsia="宋体" w:cs="Times New Roman"/>
                <w:color w:val="auto"/>
                <w:szCs w:val="21"/>
                <w:lang w:eastAsia="zh-CN"/>
              </w:rPr>
            </w:pPr>
            <w:r>
              <w:rPr>
                <w:rFonts w:hint="eastAsia"/>
                <w:color w:val="auto"/>
                <w:szCs w:val="21"/>
              </w:rPr>
              <w:t>根据</w:t>
            </w:r>
            <w:r>
              <w:rPr>
                <w:rFonts w:hint="eastAsia"/>
                <w:color w:val="auto"/>
                <w:szCs w:val="21"/>
                <w:lang w:val="en-US" w:eastAsia="zh-CN"/>
              </w:rPr>
              <w:t>企业日常</w:t>
            </w:r>
            <w:r>
              <w:rPr>
                <w:rFonts w:hint="eastAsia"/>
                <w:color w:val="auto"/>
                <w:szCs w:val="21"/>
              </w:rPr>
              <w:t>检测数据（报告编号：（20</w:t>
            </w:r>
            <w:r>
              <w:rPr>
                <w:rFonts w:hint="eastAsia"/>
                <w:color w:val="auto"/>
                <w:szCs w:val="21"/>
                <w:lang w:val="en-US" w:eastAsia="zh-CN"/>
              </w:rPr>
              <w:t>25</w:t>
            </w:r>
            <w:r>
              <w:rPr>
                <w:rFonts w:hint="eastAsia"/>
                <w:color w:val="auto"/>
                <w:szCs w:val="21"/>
              </w:rPr>
              <w:t>）环检（高晟）字第（</w:t>
            </w:r>
            <w:r>
              <w:rPr>
                <w:rFonts w:hint="eastAsia"/>
                <w:color w:val="auto"/>
                <w:szCs w:val="21"/>
                <w:lang w:val="en-US" w:eastAsia="zh-CN"/>
              </w:rPr>
              <w:t>2111</w:t>
            </w:r>
            <w:r>
              <w:rPr>
                <w:rFonts w:hint="eastAsia"/>
                <w:color w:val="auto"/>
                <w:szCs w:val="21"/>
              </w:rPr>
              <w:t>）号，检测时间：202</w:t>
            </w:r>
            <w:r>
              <w:rPr>
                <w:rFonts w:hint="eastAsia"/>
                <w:color w:val="auto"/>
                <w:szCs w:val="21"/>
                <w:lang w:val="en-US" w:eastAsia="zh-CN"/>
              </w:rPr>
              <w:t>5.7.14</w:t>
            </w:r>
            <w:r>
              <w:rPr>
                <w:rFonts w:hint="eastAsia"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注塑</w:t>
            </w:r>
            <w:r>
              <w:rPr>
                <w:rFonts w:hint="eastAsia" w:ascii="Times New Roman" w:hAnsi="Times New Roman" w:eastAsia="宋体" w:cs="Times New Roman"/>
                <w:color w:val="auto"/>
                <w:szCs w:val="21"/>
              </w:rPr>
              <w:t>废气（</w:t>
            </w:r>
            <w:r>
              <w:rPr>
                <w:rFonts w:hint="eastAsia" w:ascii="Times New Roman" w:hAnsi="Times New Roman" w:eastAsia="宋体" w:cs="Times New Roman"/>
                <w:color w:val="auto"/>
                <w:szCs w:val="21"/>
                <w:lang w:val="en-US" w:eastAsia="zh-CN"/>
              </w:rPr>
              <w:t>DA004~DA009、DA011</w:t>
            </w:r>
            <w:r>
              <w:rPr>
                <w:rFonts w:hint="eastAsia"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镀铝</w:t>
            </w:r>
            <w:r>
              <w:rPr>
                <w:rFonts w:hint="eastAsia" w:ascii="Times New Roman" w:hAnsi="Times New Roman" w:eastAsia="宋体" w:cs="Times New Roman"/>
                <w:color w:val="auto"/>
                <w:szCs w:val="21"/>
              </w:rPr>
              <w:t>废气（</w:t>
            </w:r>
            <w:r>
              <w:rPr>
                <w:rFonts w:hint="eastAsia" w:ascii="Times New Roman" w:hAnsi="Times New Roman" w:eastAsia="宋体" w:cs="Times New Roman"/>
                <w:color w:val="auto"/>
                <w:szCs w:val="21"/>
                <w:lang w:val="en-US" w:eastAsia="zh-CN"/>
              </w:rPr>
              <w:t>DA0013、DA015</w:t>
            </w:r>
            <w:r>
              <w:rPr>
                <w:rFonts w:hint="eastAsia"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危废仓库</w:t>
            </w:r>
            <w:r>
              <w:rPr>
                <w:rFonts w:hint="eastAsia" w:ascii="Times New Roman" w:hAnsi="Times New Roman" w:eastAsia="宋体" w:cs="Times New Roman"/>
                <w:color w:val="auto"/>
                <w:szCs w:val="21"/>
              </w:rPr>
              <w:t>废气（</w:t>
            </w:r>
            <w:r>
              <w:rPr>
                <w:rFonts w:hint="eastAsia" w:ascii="Times New Roman" w:hAnsi="Times New Roman" w:eastAsia="宋体" w:cs="Times New Roman"/>
                <w:color w:val="auto"/>
                <w:szCs w:val="21"/>
                <w:lang w:val="en-US" w:eastAsia="zh-CN"/>
              </w:rPr>
              <w:t>DA010</w:t>
            </w:r>
            <w:r>
              <w:rPr>
                <w:rFonts w:hint="eastAsia" w:ascii="Times New Roman" w:hAnsi="Times New Roman" w:eastAsia="宋体" w:cs="Times New Roman"/>
                <w:color w:val="auto"/>
                <w:szCs w:val="21"/>
              </w:rPr>
              <w:t>）满足《合成树脂工业污染物排放标准》（GB31572-2015，含2024年修改单）表5排放标准；</w:t>
            </w:r>
            <w:r>
              <w:rPr>
                <w:rFonts w:hint="eastAsia" w:ascii="Times New Roman" w:hAnsi="Times New Roman" w:eastAsia="宋体" w:cs="Times New Roman"/>
                <w:color w:val="auto"/>
                <w:szCs w:val="21"/>
                <w:lang w:val="en-US" w:eastAsia="zh-CN"/>
              </w:rPr>
              <w:t>印刷</w:t>
            </w:r>
            <w:r>
              <w:rPr>
                <w:rFonts w:hint="eastAsia" w:ascii="Times New Roman" w:hAnsi="Times New Roman" w:eastAsia="宋体" w:cs="Times New Roman"/>
                <w:color w:val="auto"/>
                <w:szCs w:val="21"/>
              </w:rPr>
              <w:t>废气（</w:t>
            </w:r>
            <w:r>
              <w:rPr>
                <w:rFonts w:hint="eastAsia" w:ascii="Times New Roman" w:hAnsi="Times New Roman" w:eastAsia="宋体" w:cs="Times New Roman"/>
                <w:color w:val="auto"/>
                <w:szCs w:val="21"/>
                <w:lang w:val="en-US" w:eastAsia="zh-CN"/>
              </w:rPr>
              <w:t>DA012</w:t>
            </w:r>
            <w:r>
              <w:rPr>
                <w:rFonts w:hint="eastAsia" w:ascii="Times New Roman" w:hAnsi="Times New Roman" w:eastAsia="宋体" w:cs="Times New Roman"/>
                <w:color w:val="auto"/>
                <w:szCs w:val="21"/>
              </w:rPr>
              <w:t>）排放满足《印刷工业大气污染物排放标准》（DB32/4438-2022）表1中标准。厂界非甲烷总烃满足《合成树脂工业污染物排放标准》（GB31572-2015，含2024年修改单）表9中标准限值</w:t>
            </w:r>
            <w:r>
              <w:rPr>
                <w:rFonts w:hint="eastAsia" w:ascii="Times New Roman" w:hAnsi="Times New Roman" w:eastAsia="宋体" w:cs="Times New Roman"/>
                <w:color w:val="auto"/>
                <w:szCs w:val="21"/>
                <w:lang w:eastAsia="zh-CN"/>
              </w:rPr>
              <w:t>。</w:t>
            </w:r>
            <w:r>
              <w:rPr>
                <w:rFonts w:hint="eastAsia"/>
                <w:color w:val="auto"/>
                <w:kern w:val="0"/>
                <w:szCs w:val="21"/>
              </w:rPr>
              <w:t>食堂油烟</w:t>
            </w:r>
            <w:r>
              <w:rPr>
                <w:rFonts w:hint="eastAsia"/>
                <w:color w:val="auto"/>
                <w:kern w:val="0"/>
                <w:szCs w:val="21"/>
                <w:lang w:val="en-US" w:eastAsia="zh-CN"/>
              </w:rPr>
              <w:t>满足</w:t>
            </w:r>
            <w:r>
              <w:rPr>
                <w:rFonts w:hint="eastAsia"/>
                <w:color w:val="auto"/>
                <w:kern w:val="0"/>
                <w:szCs w:val="21"/>
              </w:rPr>
              <w:t>《饮食业油烟排放标准（试行）》（GB18483-2001）表2“大型”规模的相应标准</w:t>
            </w:r>
            <w:r>
              <w:rPr>
                <w:rFonts w:hint="eastAsia"/>
                <w:color w:val="auto"/>
                <w:kern w:val="0"/>
                <w:szCs w:val="21"/>
                <w:lang w:eastAsia="zh-CN"/>
              </w:rPr>
              <w:t>。</w:t>
            </w:r>
          </w:p>
          <w:p w14:paraId="5A60C677">
            <w:pPr>
              <w:autoSpaceDE w:val="0"/>
              <w:autoSpaceDN w:val="0"/>
              <w:adjustRightInd w:val="0"/>
              <w:snapToGrid w:val="0"/>
              <w:spacing w:line="400" w:lineRule="exact"/>
              <w:ind w:firstLine="420" w:firstLineChars="200"/>
              <w:jc w:val="left"/>
              <w:rPr>
                <w:color w:val="auto"/>
                <w:szCs w:val="21"/>
              </w:rPr>
            </w:pPr>
            <w:bookmarkStart w:id="12" w:name="_Hlk535310495"/>
            <w:r>
              <w:rPr>
                <w:rFonts w:hint="eastAsia"/>
                <w:color w:val="auto"/>
                <w:szCs w:val="21"/>
              </w:rPr>
              <w:t>检测结果及分析详见表2-1</w:t>
            </w:r>
            <w:r>
              <w:rPr>
                <w:rFonts w:hint="eastAsia"/>
                <w:color w:val="auto"/>
                <w:szCs w:val="21"/>
                <w:lang w:val="en-US" w:eastAsia="zh-CN"/>
              </w:rPr>
              <w:t>9</w:t>
            </w:r>
            <w:r>
              <w:rPr>
                <w:rFonts w:hint="eastAsia"/>
                <w:color w:val="auto"/>
                <w:szCs w:val="21"/>
              </w:rPr>
              <w:t>和表2-</w:t>
            </w:r>
            <w:r>
              <w:rPr>
                <w:rFonts w:hint="eastAsia"/>
                <w:color w:val="auto"/>
                <w:szCs w:val="21"/>
                <w:lang w:val="en-US" w:eastAsia="zh-CN"/>
              </w:rPr>
              <w:t>20</w:t>
            </w:r>
            <w:r>
              <w:rPr>
                <w:rFonts w:hint="eastAsia"/>
                <w:color w:val="auto"/>
                <w:szCs w:val="21"/>
              </w:rPr>
              <w:t>。</w:t>
            </w:r>
          </w:p>
          <w:bookmarkEnd w:id="12"/>
          <w:p w14:paraId="6C993B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表2-1</w:t>
            </w:r>
            <w:r>
              <w:rPr>
                <w:rFonts w:hint="eastAsia" w:cs="Times New Roman"/>
                <w:b/>
                <w:bCs/>
                <w:color w:val="auto"/>
                <w:highlight w:val="none"/>
                <w:lang w:val="en-US" w:eastAsia="zh-CN"/>
              </w:rPr>
              <w:t>9</w:t>
            </w:r>
            <w:r>
              <w:rPr>
                <w:rFonts w:hint="eastAsia" w:ascii="Times New Roman" w:hAnsi="Times New Roman" w:eastAsia="宋体" w:cs="Times New Roman"/>
                <w:b/>
                <w:bCs/>
                <w:color w:val="auto"/>
                <w:highlight w:val="none"/>
                <w:lang w:val="en-US" w:eastAsia="zh-CN"/>
              </w:rPr>
              <w:t>有组织废气监测结果</w:t>
            </w:r>
          </w:p>
          <w:tbl>
            <w:tblPr>
              <w:tblStyle w:val="20"/>
              <w:tblW w:w="4993"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126"/>
              <w:gridCol w:w="1127"/>
              <w:gridCol w:w="1126"/>
              <w:gridCol w:w="1615"/>
              <w:gridCol w:w="1665"/>
              <w:gridCol w:w="1605"/>
            </w:tblGrid>
            <w:tr w14:paraId="2334B8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413" w:hRule="atLeast"/>
                <w:jc w:val="center"/>
              </w:trPr>
              <w:tc>
                <w:tcPr>
                  <w:tcW w:w="681" w:type="pct"/>
                  <w:tcBorders>
                    <w:tl2br w:val="nil"/>
                    <w:tr2bl w:val="nil"/>
                  </w:tcBorders>
                  <w:noWrap w:val="0"/>
                  <w:tcMar>
                    <w:top w:w="0" w:type="dxa"/>
                    <w:left w:w="0" w:type="dxa"/>
                    <w:bottom w:w="0" w:type="dxa"/>
                    <w:right w:w="0" w:type="dxa"/>
                  </w:tcMar>
                  <w:vAlign w:val="center"/>
                </w:tcPr>
                <w:p w14:paraId="22976AE7">
                  <w:pPr>
                    <w:pageBreakBefore w:val="0"/>
                    <w:wordWrap/>
                    <w:overflowPunct/>
                    <w:topLinePunct w:val="0"/>
                    <w:bidi w:val="0"/>
                    <w:jc w:val="center"/>
                    <w:outlineLvl w:val="9"/>
                    <w:rPr>
                      <w:rFonts w:hint="eastAsia" w:cs="Times New Roman"/>
                      <w:b/>
                      <w:bCs/>
                      <w:color w:val="auto"/>
                      <w:sz w:val="18"/>
                      <w:szCs w:val="18"/>
                      <w:lang w:val="en-US" w:eastAsia="zh-CN"/>
                    </w:rPr>
                  </w:pPr>
                  <w:r>
                    <w:rPr>
                      <w:rFonts w:hint="eastAsia" w:cs="Times New Roman"/>
                      <w:b/>
                      <w:bCs/>
                      <w:color w:val="auto"/>
                      <w:sz w:val="18"/>
                      <w:szCs w:val="18"/>
                      <w:lang w:val="en-US" w:eastAsia="zh-CN"/>
                    </w:rPr>
                    <w:t>日期</w:t>
                  </w:r>
                </w:p>
              </w:tc>
              <w:tc>
                <w:tcPr>
                  <w:tcW w:w="682" w:type="pct"/>
                  <w:tcBorders>
                    <w:tl2br w:val="nil"/>
                    <w:tr2bl w:val="nil"/>
                  </w:tcBorders>
                  <w:noWrap w:val="0"/>
                  <w:tcMar>
                    <w:top w:w="0" w:type="dxa"/>
                    <w:left w:w="0" w:type="dxa"/>
                    <w:bottom w:w="0" w:type="dxa"/>
                    <w:right w:w="0" w:type="dxa"/>
                  </w:tcMar>
                  <w:vAlign w:val="center"/>
                </w:tcPr>
                <w:p w14:paraId="3419EACB">
                  <w:pPr>
                    <w:pageBreakBefore w:val="0"/>
                    <w:wordWrap/>
                    <w:overflowPunct/>
                    <w:topLinePunct w:val="0"/>
                    <w:bidi w:val="0"/>
                    <w:jc w:val="center"/>
                    <w:outlineLvl w:val="9"/>
                    <w:rPr>
                      <w:rFonts w:hint="eastAsia" w:cs="Times New Roman"/>
                      <w:b/>
                      <w:bCs/>
                      <w:color w:val="auto"/>
                      <w:sz w:val="18"/>
                      <w:szCs w:val="18"/>
                      <w:lang w:val="en-US" w:eastAsia="zh-CN"/>
                    </w:rPr>
                  </w:pPr>
                  <w:r>
                    <w:rPr>
                      <w:rFonts w:hint="eastAsia" w:cs="Times New Roman"/>
                      <w:b/>
                      <w:bCs/>
                      <w:color w:val="auto"/>
                      <w:sz w:val="18"/>
                      <w:szCs w:val="18"/>
                      <w:lang w:val="en-US" w:eastAsia="zh-CN"/>
                    </w:rPr>
                    <w:t>排气筒名称、点位</w:t>
                  </w:r>
                </w:p>
              </w:tc>
              <w:tc>
                <w:tcPr>
                  <w:tcW w:w="1657" w:type="pct"/>
                  <w:gridSpan w:val="2"/>
                  <w:tcBorders>
                    <w:tl2br w:val="nil"/>
                    <w:tr2bl w:val="nil"/>
                  </w:tcBorders>
                  <w:noWrap w:val="0"/>
                  <w:tcMar>
                    <w:top w:w="0" w:type="dxa"/>
                    <w:left w:w="0" w:type="dxa"/>
                    <w:bottom w:w="0" w:type="dxa"/>
                    <w:right w:w="0" w:type="dxa"/>
                  </w:tcMar>
                  <w:vAlign w:val="center"/>
                </w:tcPr>
                <w:p w14:paraId="20BE0686">
                  <w:pPr>
                    <w:pageBreakBefore w:val="0"/>
                    <w:tabs>
                      <w:tab w:val="left" w:pos="7020"/>
                    </w:tabs>
                    <w:wordWrap/>
                    <w:overflowPunct/>
                    <w:topLinePunct w:val="0"/>
                    <w:bidi w:val="0"/>
                    <w:jc w:val="center"/>
                    <w:outlineLvl w:val="9"/>
                    <w:rPr>
                      <w:rFonts w:hint="eastAsia" w:cs="Times New Roman"/>
                      <w:b/>
                      <w:bCs/>
                      <w:color w:val="auto"/>
                      <w:sz w:val="18"/>
                      <w:szCs w:val="18"/>
                      <w:lang w:val="en-US" w:eastAsia="zh-CN"/>
                    </w:rPr>
                  </w:pPr>
                  <w:r>
                    <w:rPr>
                      <w:rFonts w:hint="eastAsia" w:cs="Times New Roman"/>
                      <w:b/>
                      <w:bCs/>
                      <w:color w:val="auto"/>
                      <w:sz w:val="18"/>
                      <w:szCs w:val="18"/>
                      <w:lang w:val="en-US" w:eastAsia="zh-CN"/>
                    </w:rPr>
                    <w:t>检测项目</w:t>
                  </w:r>
                </w:p>
              </w:tc>
              <w:tc>
                <w:tcPr>
                  <w:tcW w:w="1007" w:type="pct"/>
                  <w:tcBorders>
                    <w:tl2br w:val="nil"/>
                    <w:tr2bl w:val="nil"/>
                  </w:tcBorders>
                  <w:noWrap w:val="0"/>
                  <w:tcMar>
                    <w:top w:w="0" w:type="dxa"/>
                    <w:left w:w="0" w:type="dxa"/>
                    <w:bottom w:w="0" w:type="dxa"/>
                    <w:right w:w="0" w:type="dxa"/>
                  </w:tcMar>
                  <w:vAlign w:val="center"/>
                </w:tcPr>
                <w:p w14:paraId="702817BB">
                  <w:pPr>
                    <w:pageBreakBefore w:val="0"/>
                    <w:tabs>
                      <w:tab w:val="left" w:pos="7020"/>
                    </w:tabs>
                    <w:wordWrap/>
                    <w:overflowPunct/>
                    <w:topLinePunct w:val="0"/>
                    <w:bidi w:val="0"/>
                    <w:jc w:val="center"/>
                    <w:outlineLvl w:val="9"/>
                    <w:rPr>
                      <w:rFonts w:hint="eastAsia" w:cs="Times New Roman"/>
                      <w:b/>
                      <w:bCs/>
                      <w:color w:val="auto"/>
                      <w:sz w:val="18"/>
                      <w:szCs w:val="18"/>
                      <w:lang w:val="en-US" w:eastAsia="zh-CN"/>
                    </w:rPr>
                  </w:pPr>
                  <w:r>
                    <w:rPr>
                      <w:rFonts w:hint="eastAsia" w:cs="Times New Roman"/>
                      <w:b/>
                      <w:bCs/>
                      <w:color w:val="auto"/>
                      <w:sz w:val="18"/>
                      <w:szCs w:val="18"/>
                      <w:lang w:val="en-US" w:eastAsia="zh-CN"/>
                    </w:rPr>
                    <w:t>浓度</w:t>
                  </w:r>
                </w:p>
                <w:p w14:paraId="4EF6AD21">
                  <w:pPr>
                    <w:pageBreakBefore w:val="0"/>
                    <w:tabs>
                      <w:tab w:val="left" w:pos="7020"/>
                    </w:tabs>
                    <w:wordWrap/>
                    <w:overflowPunct/>
                    <w:topLinePunct w:val="0"/>
                    <w:bidi w:val="0"/>
                    <w:jc w:val="center"/>
                    <w:outlineLvl w:val="9"/>
                    <w:rPr>
                      <w:rFonts w:hint="eastAsia" w:cs="Times New Roman"/>
                      <w:b/>
                      <w:bCs/>
                      <w:color w:val="auto"/>
                      <w:sz w:val="18"/>
                      <w:szCs w:val="18"/>
                      <w:lang w:val="en-US" w:eastAsia="zh-CN"/>
                    </w:rPr>
                  </w:pPr>
                  <w:r>
                    <w:rPr>
                      <w:rFonts w:hint="default" w:cs="Times New Roman"/>
                      <w:b/>
                      <w:bCs/>
                      <w:color w:val="auto"/>
                      <w:sz w:val="18"/>
                      <w:szCs w:val="18"/>
                      <w:lang w:val="en-US" w:eastAsia="zh-CN"/>
                    </w:rPr>
                    <w:t>（mg/m</w:t>
                  </w:r>
                  <w:r>
                    <w:rPr>
                      <w:rFonts w:hint="default" w:cs="Times New Roman"/>
                      <w:b/>
                      <w:bCs/>
                      <w:color w:val="auto"/>
                      <w:sz w:val="18"/>
                      <w:szCs w:val="18"/>
                      <w:vertAlign w:val="superscript"/>
                      <w:lang w:val="en-US" w:eastAsia="zh-CN"/>
                    </w:rPr>
                    <w:t>3</w:t>
                  </w:r>
                  <w:r>
                    <w:rPr>
                      <w:rFonts w:hint="default" w:cs="Times New Roman"/>
                      <w:b/>
                      <w:bCs/>
                      <w:color w:val="auto"/>
                      <w:sz w:val="18"/>
                      <w:szCs w:val="18"/>
                      <w:lang w:val="en-US" w:eastAsia="zh-CN"/>
                    </w:rPr>
                    <w:t>）</w:t>
                  </w:r>
                </w:p>
              </w:tc>
              <w:tc>
                <w:tcPr>
                  <w:tcW w:w="971" w:type="pct"/>
                  <w:tcBorders>
                    <w:tl2br w:val="nil"/>
                    <w:tr2bl w:val="nil"/>
                  </w:tcBorders>
                  <w:noWrap w:val="0"/>
                  <w:tcMar>
                    <w:top w:w="0" w:type="dxa"/>
                    <w:left w:w="0" w:type="dxa"/>
                    <w:bottom w:w="0" w:type="dxa"/>
                    <w:right w:w="0" w:type="dxa"/>
                  </w:tcMar>
                  <w:vAlign w:val="center"/>
                </w:tcPr>
                <w:p w14:paraId="7724D44B">
                  <w:pPr>
                    <w:pageBreakBefore w:val="0"/>
                    <w:tabs>
                      <w:tab w:val="left" w:pos="7020"/>
                    </w:tabs>
                    <w:wordWrap/>
                    <w:overflowPunct/>
                    <w:topLinePunct w:val="0"/>
                    <w:bidi w:val="0"/>
                    <w:jc w:val="center"/>
                    <w:outlineLvl w:val="9"/>
                    <w:rPr>
                      <w:rFonts w:hint="eastAsia" w:cs="Times New Roman"/>
                      <w:b/>
                      <w:bCs/>
                      <w:color w:val="auto"/>
                      <w:sz w:val="18"/>
                      <w:szCs w:val="18"/>
                      <w:lang w:val="en-US" w:eastAsia="zh-CN"/>
                    </w:rPr>
                  </w:pPr>
                  <w:r>
                    <w:rPr>
                      <w:rFonts w:hint="eastAsia" w:cs="Times New Roman"/>
                      <w:b/>
                      <w:bCs/>
                      <w:color w:val="auto"/>
                      <w:sz w:val="18"/>
                      <w:szCs w:val="18"/>
                      <w:lang w:val="en-US" w:eastAsia="zh-CN"/>
                    </w:rPr>
                    <w:t>速率</w:t>
                  </w:r>
                </w:p>
                <w:p w14:paraId="7665B6AE">
                  <w:pPr>
                    <w:pageBreakBefore w:val="0"/>
                    <w:tabs>
                      <w:tab w:val="left" w:pos="7020"/>
                    </w:tabs>
                    <w:wordWrap/>
                    <w:overflowPunct/>
                    <w:topLinePunct w:val="0"/>
                    <w:bidi w:val="0"/>
                    <w:jc w:val="center"/>
                    <w:outlineLvl w:val="9"/>
                    <w:rPr>
                      <w:rFonts w:hint="eastAsia" w:cs="Times New Roman"/>
                      <w:b/>
                      <w:bCs/>
                      <w:color w:val="auto"/>
                      <w:sz w:val="18"/>
                      <w:szCs w:val="18"/>
                      <w:lang w:val="en-US" w:eastAsia="zh-CN"/>
                    </w:rPr>
                  </w:pPr>
                  <w:r>
                    <w:rPr>
                      <w:rFonts w:hint="default" w:cs="Times New Roman"/>
                      <w:b/>
                      <w:bCs/>
                      <w:color w:val="auto"/>
                      <w:sz w:val="18"/>
                      <w:szCs w:val="18"/>
                      <w:lang w:val="en-US" w:eastAsia="zh-CN"/>
                    </w:rPr>
                    <w:t>（kg/h）</w:t>
                  </w:r>
                </w:p>
              </w:tc>
            </w:tr>
            <w:tr w14:paraId="336738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restart"/>
                  <w:tcBorders>
                    <w:tl2br w:val="nil"/>
                    <w:tr2bl w:val="nil"/>
                  </w:tcBorders>
                  <w:noWrap w:val="0"/>
                  <w:tcMar>
                    <w:top w:w="0" w:type="dxa"/>
                    <w:left w:w="0" w:type="dxa"/>
                    <w:bottom w:w="0" w:type="dxa"/>
                    <w:right w:w="0" w:type="dxa"/>
                  </w:tcMar>
                  <w:vAlign w:val="center"/>
                </w:tcPr>
                <w:p w14:paraId="3448E3D5">
                  <w:pPr>
                    <w:pStyle w:val="73"/>
                    <w:keepNext w:val="0"/>
                    <w:keepLines w:val="0"/>
                    <w:pageBreakBefore w:val="0"/>
                    <w:widowControl w:val="0"/>
                    <w:shd w:val="clear" w:color="auto" w:fill="auto"/>
                    <w:wordWrap/>
                    <w:overflowPunct/>
                    <w:topLinePunct w:val="0"/>
                    <w:bidi w:val="0"/>
                    <w:spacing w:before="0" w:after="0" w:line="240" w:lineRule="auto"/>
                    <w:ind w:right="0" w:rightChars="0"/>
                    <w:jc w:val="center"/>
                    <w:outlineLvl w:val="9"/>
                    <w:rPr>
                      <w:rFonts w:hint="default" w:cs="Times New Roman"/>
                      <w:color w:val="auto"/>
                      <w:sz w:val="18"/>
                      <w:szCs w:val="18"/>
                      <w:lang w:val="en-US" w:eastAsia="zh-CN"/>
                    </w:rPr>
                  </w:pPr>
                  <w:r>
                    <w:rPr>
                      <w:rFonts w:hint="eastAsia" w:ascii="Times New Roman" w:hAnsi="Times New Roman" w:eastAsia="宋体" w:cs="Times New Roman"/>
                      <w:color w:val="auto"/>
                      <w:spacing w:val="0"/>
                      <w:w w:val="100"/>
                      <w:position w:val="0"/>
                      <w:sz w:val="18"/>
                      <w:szCs w:val="18"/>
                      <w:lang w:val="en-US" w:eastAsia="zh-CN" w:bidi="en-US"/>
                    </w:rPr>
                    <w:t>2025.7.14</w:t>
                  </w:r>
                </w:p>
              </w:tc>
              <w:tc>
                <w:tcPr>
                  <w:tcW w:w="682" w:type="pct"/>
                  <w:vMerge w:val="restart"/>
                  <w:tcBorders>
                    <w:tl2br w:val="nil"/>
                    <w:tr2bl w:val="nil"/>
                  </w:tcBorders>
                  <w:noWrap w:val="0"/>
                  <w:tcMar>
                    <w:top w:w="0" w:type="dxa"/>
                    <w:left w:w="0" w:type="dxa"/>
                    <w:bottom w:w="0" w:type="dxa"/>
                    <w:right w:w="0" w:type="dxa"/>
                  </w:tcMar>
                  <w:vAlign w:val="center"/>
                </w:tcPr>
                <w:p w14:paraId="7F90C249">
                  <w:pPr>
                    <w:pageBreakBefore w:val="0"/>
                    <w:wordWrap/>
                    <w:overflowPunct/>
                    <w:topLinePunct w:val="0"/>
                    <w:bidi w:val="0"/>
                    <w:jc w:val="center"/>
                    <w:outlineLvl w:val="9"/>
                    <w:rPr>
                      <w:rFonts w:hint="default" w:cs="Times New Roman"/>
                      <w:color w:val="auto"/>
                      <w:sz w:val="18"/>
                      <w:szCs w:val="18"/>
                      <w:lang w:val="en-US" w:eastAsia="zh-CN"/>
                    </w:rPr>
                  </w:pPr>
                  <w:r>
                    <w:rPr>
                      <w:rFonts w:hint="eastAsia" w:cs="Times New Roman"/>
                      <w:color w:val="auto"/>
                      <w:sz w:val="18"/>
                      <w:szCs w:val="18"/>
                      <w:lang w:val="en-US" w:eastAsia="zh-CN"/>
                    </w:rPr>
                    <w:t>DA004</w:t>
                  </w:r>
                </w:p>
              </w:tc>
              <w:tc>
                <w:tcPr>
                  <w:tcW w:w="681" w:type="pct"/>
                  <w:tcBorders>
                    <w:tl2br w:val="nil"/>
                    <w:tr2bl w:val="nil"/>
                  </w:tcBorders>
                  <w:noWrap w:val="0"/>
                  <w:tcMar>
                    <w:top w:w="0" w:type="dxa"/>
                    <w:left w:w="0" w:type="dxa"/>
                    <w:bottom w:w="0" w:type="dxa"/>
                    <w:right w:w="0" w:type="dxa"/>
                  </w:tcMar>
                  <w:vAlign w:val="center"/>
                </w:tcPr>
                <w:p w14:paraId="029D316F">
                  <w:pPr>
                    <w:pageBreakBefore w:val="0"/>
                    <w:tabs>
                      <w:tab w:val="left" w:pos="7020"/>
                    </w:tabs>
                    <w:wordWrap/>
                    <w:overflowPunct/>
                    <w:topLinePunct w:val="0"/>
                    <w:bidi w:val="0"/>
                    <w:jc w:val="center"/>
                    <w:outlineLvl w:val="9"/>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第一次</w:t>
                  </w:r>
                </w:p>
              </w:tc>
              <w:tc>
                <w:tcPr>
                  <w:tcW w:w="975" w:type="pct"/>
                  <w:tcBorders>
                    <w:tl2br w:val="nil"/>
                    <w:tr2bl w:val="nil"/>
                  </w:tcBorders>
                  <w:noWrap w:val="0"/>
                  <w:tcMar>
                    <w:top w:w="0" w:type="dxa"/>
                    <w:left w:w="0" w:type="dxa"/>
                    <w:bottom w:w="0" w:type="dxa"/>
                    <w:right w:w="0" w:type="dxa"/>
                  </w:tcMar>
                  <w:vAlign w:val="center"/>
                </w:tcPr>
                <w:p w14:paraId="6E8C4626">
                  <w:pPr>
                    <w:pageBreakBefore w:val="0"/>
                    <w:wordWrap/>
                    <w:overflowPunct/>
                    <w:topLinePunct w:val="0"/>
                    <w:bidi w:val="0"/>
                    <w:jc w:val="center"/>
                    <w:outlineLvl w:val="9"/>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44D0A43F">
                  <w:pPr>
                    <w:pageBreakBefore w:val="0"/>
                    <w:tabs>
                      <w:tab w:val="left" w:pos="7020"/>
                    </w:tabs>
                    <w:wordWrap/>
                    <w:overflowPunct/>
                    <w:topLinePunct w:val="0"/>
                    <w:bidi w:val="0"/>
                    <w:jc w:val="center"/>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1.74</w:t>
                  </w:r>
                </w:p>
              </w:tc>
              <w:tc>
                <w:tcPr>
                  <w:tcW w:w="971" w:type="pct"/>
                  <w:tcBorders>
                    <w:tl2br w:val="nil"/>
                    <w:tr2bl w:val="nil"/>
                  </w:tcBorders>
                  <w:noWrap w:val="0"/>
                  <w:tcMar>
                    <w:top w:w="0" w:type="dxa"/>
                    <w:left w:w="0" w:type="dxa"/>
                    <w:bottom w:w="0" w:type="dxa"/>
                    <w:right w:w="0" w:type="dxa"/>
                  </w:tcMar>
                  <w:vAlign w:val="center"/>
                </w:tcPr>
                <w:p w14:paraId="7F3D5CE8">
                  <w:pPr>
                    <w:pageBreakBefore w:val="0"/>
                    <w:wordWrap/>
                    <w:overflowPunct/>
                    <w:topLinePunct w:val="0"/>
                    <w:bidi w:val="0"/>
                    <w:jc w:val="center"/>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5.33×10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145970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24"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30ED7B08">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2" w:type="pct"/>
                  <w:vMerge w:val="continue"/>
                  <w:tcBorders>
                    <w:tl2br w:val="nil"/>
                    <w:tr2bl w:val="nil"/>
                  </w:tcBorders>
                  <w:noWrap w:val="0"/>
                  <w:tcMar>
                    <w:top w:w="0" w:type="dxa"/>
                    <w:left w:w="0" w:type="dxa"/>
                    <w:bottom w:w="0" w:type="dxa"/>
                    <w:right w:w="0" w:type="dxa"/>
                  </w:tcMar>
                  <w:vAlign w:val="center"/>
                </w:tcPr>
                <w:p w14:paraId="4A710D94">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1" w:type="pct"/>
                  <w:tcBorders>
                    <w:tl2br w:val="nil"/>
                    <w:tr2bl w:val="nil"/>
                  </w:tcBorders>
                  <w:noWrap w:val="0"/>
                  <w:tcMar>
                    <w:top w:w="0" w:type="dxa"/>
                    <w:left w:w="0" w:type="dxa"/>
                    <w:bottom w:w="0" w:type="dxa"/>
                    <w:right w:w="0" w:type="dxa"/>
                  </w:tcMar>
                  <w:vAlign w:val="center"/>
                </w:tcPr>
                <w:p w14:paraId="3954772A">
                  <w:pPr>
                    <w:pageBreakBefore w:val="0"/>
                    <w:tabs>
                      <w:tab w:val="left" w:pos="7020"/>
                    </w:tabs>
                    <w:wordWrap/>
                    <w:overflowPunct/>
                    <w:topLinePunct w:val="0"/>
                    <w:bidi w:val="0"/>
                    <w:jc w:val="center"/>
                    <w:outlineLvl w:val="9"/>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第二次</w:t>
                  </w:r>
                </w:p>
              </w:tc>
              <w:tc>
                <w:tcPr>
                  <w:tcW w:w="975" w:type="pct"/>
                  <w:tcBorders>
                    <w:tl2br w:val="nil"/>
                    <w:tr2bl w:val="nil"/>
                  </w:tcBorders>
                  <w:noWrap w:val="0"/>
                  <w:tcMar>
                    <w:top w:w="0" w:type="dxa"/>
                    <w:left w:w="0" w:type="dxa"/>
                    <w:bottom w:w="0" w:type="dxa"/>
                    <w:right w:w="0" w:type="dxa"/>
                  </w:tcMar>
                  <w:vAlign w:val="center"/>
                </w:tcPr>
                <w:p w14:paraId="0BE8EE71">
                  <w:pPr>
                    <w:pageBreakBefore w:val="0"/>
                    <w:wordWrap/>
                    <w:overflowPunct/>
                    <w:topLinePunct w:val="0"/>
                    <w:bidi w:val="0"/>
                    <w:jc w:val="center"/>
                    <w:outlineLvl w:val="9"/>
                    <w:rPr>
                      <w:rFonts w:hint="eastAsia" w:ascii="Times New Roman" w:hAnsi="Times New Roman" w:eastAsia="宋体" w:cs="Times New Roman"/>
                      <w:b w:val="0"/>
                      <w:bCs w:val="0"/>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6C5DAC00">
                  <w:pPr>
                    <w:pageBreakBefore w:val="0"/>
                    <w:tabs>
                      <w:tab w:val="left" w:pos="7020"/>
                    </w:tabs>
                    <w:wordWrap/>
                    <w:overflowPunct/>
                    <w:topLinePunct w:val="0"/>
                    <w:bidi w:val="0"/>
                    <w:jc w:val="center"/>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1.74</w:t>
                  </w:r>
                </w:p>
              </w:tc>
              <w:tc>
                <w:tcPr>
                  <w:tcW w:w="971" w:type="pct"/>
                  <w:tcBorders>
                    <w:tl2br w:val="nil"/>
                    <w:tr2bl w:val="nil"/>
                  </w:tcBorders>
                  <w:noWrap w:val="0"/>
                  <w:tcMar>
                    <w:top w:w="0" w:type="dxa"/>
                    <w:left w:w="0" w:type="dxa"/>
                    <w:bottom w:w="0" w:type="dxa"/>
                    <w:right w:w="0" w:type="dxa"/>
                  </w:tcMar>
                  <w:vAlign w:val="center"/>
                </w:tcPr>
                <w:p w14:paraId="498391E0">
                  <w:pPr>
                    <w:pageBreakBefore w:val="0"/>
                    <w:wordWrap/>
                    <w:overflowPunct/>
                    <w:topLinePunct w:val="0"/>
                    <w:bidi w:val="0"/>
                    <w:jc w:val="center"/>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5.39×10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41C1EB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339"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7E36AD19">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2" w:type="pct"/>
                  <w:vMerge w:val="continue"/>
                  <w:tcBorders>
                    <w:tl2br w:val="nil"/>
                    <w:tr2bl w:val="nil"/>
                  </w:tcBorders>
                  <w:noWrap w:val="0"/>
                  <w:tcMar>
                    <w:top w:w="0" w:type="dxa"/>
                    <w:left w:w="0" w:type="dxa"/>
                    <w:bottom w:w="0" w:type="dxa"/>
                    <w:right w:w="0" w:type="dxa"/>
                  </w:tcMar>
                  <w:vAlign w:val="center"/>
                </w:tcPr>
                <w:p w14:paraId="5FB5A414">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1" w:type="pct"/>
                  <w:tcBorders>
                    <w:tl2br w:val="nil"/>
                    <w:tr2bl w:val="nil"/>
                  </w:tcBorders>
                  <w:noWrap w:val="0"/>
                  <w:tcMar>
                    <w:top w:w="0" w:type="dxa"/>
                    <w:left w:w="0" w:type="dxa"/>
                    <w:bottom w:w="0" w:type="dxa"/>
                    <w:right w:w="0" w:type="dxa"/>
                  </w:tcMar>
                  <w:vAlign w:val="center"/>
                </w:tcPr>
                <w:p w14:paraId="4879BE3C">
                  <w:pPr>
                    <w:pageBreakBefore w:val="0"/>
                    <w:tabs>
                      <w:tab w:val="left" w:pos="7020"/>
                    </w:tabs>
                    <w:wordWrap/>
                    <w:overflowPunct/>
                    <w:topLinePunct w:val="0"/>
                    <w:bidi w:val="0"/>
                    <w:jc w:val="center"/>
                    <w:outlineLvl w:val="9"/>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第三次</w:t>
                  </w:r>
                </w:p>
              </w:tc>
              <w:tc>
                <w:tcPr>
                  <w:tcW w:w="975" w:type="pct"/>
                  <w:tcBorders>
                    <w:tl2br w:val="nil"/>
                    <w:tr2bl w:val="nil"/>
                  </w:tcBorders>
                  <w:noWrap w:val="0"/>
                  <w:tcMar>
                    <w:top w:w="0" w:type="dxa"/>
                    <w:left w:w="0" w:type="dxa"/>
                    <w:bottom w:w="0" w:type="dxa"/>
                    <w:right w:w="0" w:type="dxa"/>
                  </w:tcMar>
                  <w:vAlign w:val="center"/>
                </w:tcPr>
                <w:p w14:paraId="4B4759E4">
                  <w:pPr>
                    <w:pageBreakBefore w:val="0"/>
                    <w:wordWrap/>
                    <w:overflowPunct/>
                    <w:topLinePunct w:val="0"/>
                    <w:bidi w:val="0"/>
                    <w:jc w:val="center"/>
                    <w:outlineLvl w:val="9"/>
                    <w:rPr>
                      <w:rFonts w:hint="eastAsia" w:ascii="Times New Roman" w:hAnsi="Times New Roman" w:eastAsia="宋体" w:cs="Times New Roman"/>
                      <w:b w:val="0"/>
                      <w:bCs w:val="0"/>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3CE56C79">
                  <w:pPr>
                    <w:pageBreakBefore w:val="0"/>
                    <w:tabs>
                      <w:tab w:val="left" w:pos="7020"/>
                    </w:tabs>
                    <w:wordWrap/>
                    <w:overflowPunct/>
                    <w:topLinePunct w:val="0"/>
                    <w:bidi w:val="0"/>
                    <w:jc w:val="center"/>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1.77</w:t>
                  </w:r>
                </w:p>
              </w:tc>
              <w:tc>
                <w:tcPr>
                  <w:tcW w:w="971" w:type="pct"/>
                  <w:tcBorders>
                    <w:tl2br w:val="nil"/>
                    <w:tr2bl w:val="nil"/>
                  </w:tcBorders>
                  <w:noWrap w:val="0"/>
                  <w:tcMar>
                    <w:top w:w="0" w:type="dxa"/>
                    <w:left w:w="0" w:type="dxa"/>
                    <w:bottom w:w="0" w:type="dxa"/>
                    <w:right w:w="0" w:type="dxa"/>
                  </w:tcMar>
                  <w:vAlign w:val="center"/>
                </w:tcPr>
                <w:p w14:paraId="2AF973E4">
                  <w:pPr>
                    <w:pageBreakBefore w:val="0"/>
                    <w:wordWrap/>
                    <w:overflowPunct/>
                    <w:topLinePunct w:val="0"/>
                    <w:bidi w:val="0"/>
                    <w:jc w:val="center"/>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5.35×10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562059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39083849">
                  <w:pPr>
                    <w:keepNext w:val="0"/>
                    <w:keepLines w:val="0"/>
                    <w:pageBreakBefore w:val="0"/>
                    <w:widowControl w:val="0"/>
                    <w:shd w:val="clear" w:color="auto" w:fill="auto"/>
                    <w:wordWrap/>
                    <w:overflowPunct/>
                    <w:topLinePunct w:val="0"/>
                    <w:bidi w:val="0"/>
                    <w:spacing w:before="0" w:after="0" w:line="240" w:lineRule="auto"/>
                    <w:ind w:left="0" w:leftChars="0" w:right="0" w:rightChars="0" w:firstLine="0" w:firstLineChars="0"/>
                    <w:jc w:val="center"/>
                    <w:outlineLvl w:val="9"/>
                    <w:rPr>
                      <w:rFonts w:hint="default" w:ascii="Times New Roman" w:hAnsi="Times New Roman" w:eastAsia="宋体" w:cs="Times New Roman"/>
                      <w:color w:val="auto"/>
                      <w:spacing w:val="0"/>
                      <w:w w:val="100"/>
                      <w:position w:val="0"/>
                      <w:sz w:val="18"/>
                      <w:szCs w:val="18"/>
                      <w:lang w:val="en-US" w:eastAsia="zh-CN" w:bidi="en-US"/>
                    </w:rPr>
                  </w:pPr>
                </w:p>
              </w:tc>
              <w:tc>
                <w:tcPr>
                  <w:tcW w:w="682" w:type="pct"/>
                  <w:vMerge w:val="restart"/>
                  <w:tcBorders>
                    <w:tl2br w:val="nil"/>
                    <w:tr2bl w:val="nil"/>
                  </w:tcBorders>
                  <w:noWrap w:val="0"/>
                  <w:tcMar>
                    <w:top w:w="0" w:type="dxa"/>
                    <w:left w:w="0" w:type="dxa"/>
                    <w:bottom w:w="0" w:type="dxa"/>
                    <w:right w:w="0" w:type="dxa"/>
                  </w:tcMar>
                  <w:vAlign w:val="center"/>
                </w:tcPr>
                <w:p w14:paraId="1A8BD3F5">
                  <w:pPr>
                    <w:pageBreakBefore w:val="0"/>
                    <w:wordWrap/>
                    <w:overflowPunct/>
                    <w:topLinePunct w:val="0"/>
                    <w:bidi w:val="0"/>
                    <w:jc w:val="center"/>
                    <w:outlineLvl w:val="9"/>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DA005</w:t>
                  </w:r>
                </w:p>
              </w:tc>
              <w:tc>
                <w:tcPr>
                  <w:tcW w:w="681" w:type="pct"/>
                  <w:tcBorders>
                    <w:tl2br w:val="nil"/>
                    <w:tr2bl w:val="nil"/>
                  </w:tcBorders>
                  <w:noWrap w:val="0"/>
                  <w:tcMar>
                    <w:top w:w="0" w:type="dxa"/>
                    <w:left w:w="0" w:type="dxa"/>
                    <w:bottom w:w="0" w:type="dxa"/>
                    <w:right w:w="0" w:type="dxa"/>
                  </w:tcMar>
                  <w:vAlign w:val="center"/>
                </w:tcPr>
                <w:p w14:paraId="7F882C16">
                  <w:pPr>
                    <w:pageBreakBefore w:val="0"/>
                    <w:tabs>
                      <w:tab w:val="left" w:pos="7020"/>
                    </w:tabs>
                    <w:wordWrap/>
                    <w:overflowPunct/>
                    <w:topLinePunct w:val="0"/>
                    <w:bidi w:val="0"/>
                    <w:jc w:val="center"/>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第一次</w:t>
                  </w:r>
                </w:p>
              </w:tc>
              <w:tc>
                <w:tcPr>
                  <w:tcW w:w="975" w:type="pct"/>
                  <w:tcBorders>
                    <w:tl2br w:val="nil"/>
                    <w:tr2bl w:val="nil"/>
                  </w:tcBorders>
                  <w:noWrap w:val="0"/>
                  <w:tcMar>
                    <w:top w:w="0" w:type="dxa"/>
                    <w:left w:w="0" w:type="dxa"/>
                    <w:bottom w:w="0" w:type="dxa"/>
                    <w:right w:w="0" w:type="dxa"/>
                  </w:tcMar>
                  <w:vAlign w:val="center"/>
                </w:tcPr>
                <w:p w14:paraId="0CF196C5">
                  <w:pPr>
                    <w:pageBreakBefore w:val="0"/>
                    <w:wordWrap/>
                    <w:overflowPunct/>
                    <w:topLinePunct w:val="0"/>
                    <w:bidi w:val="0"/>
                    <w:jc w:val="center"/>
                    <w:outlineLvl w:val="9"/>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79CD8712">
                  <w:pPr>
                    <w:pageBreakBefore w:val="0"/>
                    <w:tabs>
                      <w:tab w:val="left" w:pos="7020"/>
                    </w:tabs>
                    <w:wordWrap/>
                    <w:overflowPunct/>
                    <w:topLinePunct w:val="0"/>
                    <w:bidi w:val="0"/>
                    <w:jc w:val="center"/>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1.59</w:t>
                  </w:r>
                </w:p>
              </w:tc>
              <w:tc>
                <w:tcPr>
                  <w:tcW w:w="971" w:type="pct"/>
                  <w:tcBorders>
                    <w:tl2br w:val="nil"/>
                    <w:tr2bl w:val="nil"/>
                  </w:tcBorders>
                  <w:noWrap w:val="0"/>
                  <w:tcMar>
                    <w:top w:w="0" w:type="dxa"/>
                    <w:left w:w="0" w:type="dxa"/>
                    <w:bottom w:w="0" w:type="dxa"/>
                    <w:right w:w="0" w:type="dxa"/>
                  </w:tcMar>
                  <w:vAlign w:val="center"/>
                </w:tcPr>
                <w:p w14:paraId="4AE2FA03">
                  <w:pPr>
                    <w:pageBreakBefore w:val="0"/>
                    <w:wordWrap/>
                    <w:overflowPunct/>
                    <w:topLinePunct w:val="0"/>
                    <w:bidi w:val="0"/>
                    <w:jc w:val="center"/>
                    <w:outlineLvl w:val="9"/>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4.36</w:t>
                  </w:r>
                  <w:r>
                    <w:rPr>
                      <w:rFonts w:hint="eastAsia" w:ascii="Times New Roman" w:hAnsi="Times New Roman" w:eastAsia="宋体" w:cs="Times New Roman"/>
                      <w:color w:val="auto"/>
                      <w:sz w:val="18"/>
                      <w:szCs w:val="18"/>
                      <w:lang w:val="en-US" w:eastAsia="zh-CN"/>
                    </w:rPr>
                    <w:t>×10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5B164A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3BB7C98A">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2" w:type="pct"/>
                  <w:vMerge w:val="continue"/>
                  <w:tcBorders>
                    <w:tl2br w:val="nil"/>
                    <w:tr2bl w:val="nil"/>
                  </w:tcBorders>
                  <w:noWrap w:val="0"/>
                  <w:tcMar>
                    <w:top w:w="0" w:type="dxa"/>
                    <w:left w:w="0" w:type="dxa"/>
                    <w:bottom w:w="0" w:type="dxa"/>
                    <w:right w:w="0" w:type="dxa"/>
                  </w:tcMar>
                  <w:vAlign w:val="center"/>
                </w:tcPr>
                <w:p w14:paraId="53825189">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1" w:type="pct"/>
                  <w:tcBorders>
                    <w:tl2br w:val="nil"/>
                    <w:tr2bl w:val="nil"/>
                  </w:tcBorders>
                  <w:noWrap w:val="0"/>
                  <w:tcMar>
                    <w:top w:w="0" w:type="dxa"/>
                    <w:left w:w="0" w:type="dxa"/>
                    <w:bottom w:w="0" w:type="dxa"/>
                    <w:right w:w="0" w:type="dxa"/>
                  </w:tcMar>
                  <w:vAlign w:val="center"/>
                </w:tcPr>
                <w:p w14:paraId="6C10FDE7">
                  <w:pPr>
                    <w:pageBreakBefore w:val="0"/>
                    <w:tabs>
                      <w:tab w:val="left" w:pos="7020"/>
                    </w:tabs>
                    <w:wordWrap/>
                    <w:overflowPunct/>
                    <w:topLinePunct w:val="0"/>
                    <w:bidi w:val="0"/>
                    <w:jc w:val="center"/>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第二次</w:t>
                  </w:r>
                </w:p>
              </w:tc>
              <w:tc>
                <w:tcPr>
                  <w:tcW w:w="975" w:type="pct"/>
                  <w:tcBorders>
                    <w:tl2br w:val="nil"/>
                    <w:tr2bl w:val="nil"/>
                  </w:tcBorders>
                  <w:noWrap w:val="0"/>
                  <w:tcMar>
                    <w:top w:w="0" w:type="dxa"/>
                    <w:left w:w="0" w:type="dxa"/>
                    <w:bottom w:w="0" w:type="dxa"/>
                    <w:right w:w="0" w:type="dxa"/>
                  </w:tcMar>
                  <w:vAlign w:val="center"/>
                </w:tcPr>
                <w:p w14:paraId="05F4BFEB">
                  <w:pPr>
                    <w:pageBreakBefore w:val="0"/>
                    <w:wordWrap/>
                    <w:overflowPunct/>
                    <w:topLinePunct w:val="0"/>
                    <w:bidi w:val="0"/>
                    <w:jc w:val="center"/>
                    <w:outlineLvl w:val="9"/>
                    <w:rPr>
                      <w:rFonts w:hint="eastAsia" w:ascii="Times New Roman" w:hAnsi="Times New Roman" w:eastAsia="宋体" w:cs="Times New Roman"/>
                      <w:b w:val="0"/>
                      <w:bCs w:val="0"/>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002CE1B9">
                  <w:pPr>
                    <w:pageBreakBefore w:val="0"/>
                    <w:tabs>
                      <w:tab w:val="left" w:pos="7020"/>
                    </w:tabs>
                    <w:wordWrap/>
                    <w:overflowPunct/>
                    <w:topLinePunct w:val="0"/>
                    <w:bidi w:val="0"/>
                    <w:jc w:val="center"/>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1.60</w:t>
                  </w:r>
                </w:p>
              </w:tc>
              <w:tc>
                <w:tcPr>
                  <w:tcW w:w="971" w:type="pct"/>
                  <w:tcBorders>
                    <w:tl2br w:val="nil"/>
                    <w:tr2bl w:val="nil"/>
                  </w:tcBorders>
                  <w:noWrap w:val="0"/>
                  <w:tcMar>
                    <w:top w:w="0" w:type="dxa"/>
                    <w:left w:w="0" w:type="dxa"/>
                    <w:bottom w:w="0" w:type="dxa"/>
                    <w:right w:w="0" w:type="dxa"/>
                  </w:tcMar>
                  <w:vAlign w:val="center"/>
                </w:tcPr>
                <w:p w14:paraId="0451862D">
                  <w:pPr>
                    <w:pageBreakBefore w:val="0"/>
                    <w:wordWrap/>
                    <w:overflowPunct/>
                    <w:topLinePunct w:val="0"/>
                    <w:bidi w:val="0"/>
                    <w:jc w:val="center"/>
                    <w:outlineLvl w:val="9"/>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4.51</w:t>
                  </w:r>
                  <w:r>
                    <w:rPr>
                      <w:rFonts w:hint="eastAsia" w:ascii="Times New Roman" w:hAnsi="Times New Roman" w:eastAsia="宋体" w:cs="Times New Roman"/>
                      <w:color w:val="auto"/>
                      <w:sz w:val="18"/>
                      <w:szCs w:val="18"/>
                      <w:lang w:val="en-US" w:eastAsia="zh-CN"/>
                    </w:rPr>
                    <w:t>×10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13AF76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3338F6CB">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2" w:type="pct"/>
                  <w:vMerge w:val="continue"/>
                  <w:tcBorders>
                    <w:tl2br w:val="nil"/>
                    <w:tr2bl w:val="nil"/>
                  </w:tcBorders>
                  <w:noWrap w:val="0"/>
                  <w:tcMar>
                    <w:top w:w="0" w:type="dxa"/>
                    <w:left w:w="0" w:type="dxa"/>
                    <w:bottom w:w="0" w:type="dxa"/>
                    <w:right w:w="0" w:type="dxa"/>
                  </w:tcMar>
                  <w:vAlign w:val="center"/>
                </w:tcPr>
                <w:p w14:paraId="12B83E11">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1" w:type="pct"/>
                  <w:tcBorders>
                    <w:tl2br w:val="nil"/>
                    <w:tr2bl w:val="nil"/>
                  </w:tcBorders>
                  <w:noWrap w:val="0"/>
                  <w:tcMar>
                    <w:top w:w="0" w:type="dxa"/>
                    <w:left w:w="0" w:type="dxa"/>
                    <w:bottom w:w="0" w:type="dxa"/>
                    <w:right w:w="0" w:type="dxa"/>
                  </w:tcMar>
                  <w:vAlign w:val="center"/>
                </w:tcPr>
                <w:p w14:paraId="5DA726A6">
                  <w:pPr>
                    <w:pageBreakBefore w:val="0"/>
                    <w:tabs>
                      <w:tab w:val="left" w:pos="7020"/>
                    </w:tabs>
                    <w:wordWrap/>
                    <w:overflowPunct/>
                    <w:topLinePunct w:val="0"/>
                    <w:bidi w:val="0"/>
                    <w:jc w:val="center"/>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第三次</w:t>
                  </w:r>
                </w:p>
              </w:tc>
              <w:tc>
                <w:tcPr>
                  <w:tcW w:w="975" w:type="pct"/>
                  <w:tcBorders>
                    <w:tl2br w:val="nil"/>
                    <w:tr2bl w:val="nil"/>
                  </w:tcBorders>
                  <w:noWrap w:val="0"/>
                  <w:tcMar>
                    <w:top w:w="0" w:type="dxa"/>
                    <w:left w:w="0" w:type="dxa"/>
                    <w:bottom w:w="0" w:type="dxa"/>
                    <w:right w:w="0" w:type="dxa"/>
                  </w:tcMar>
                  <w:vAlign w:val="center"/>
                </w:tcPr>
                <w:p w14:paraId="7AAF9B5C">
                  <w:pPr>
                    <w:pageBreakBefore w:val="0"/>
                    <w:wordWrap/>
                    <w:overflowPunct/>
                    <w:topLinePunct w:val="0"/>
                    <w:bidi w:val="0"/>
                    <w:jc w:val="center"/>
                    <w:outlineLvl w:val="9"/>
                    <w:rPr>
                      <w:rFonts w:hint="eastAsia" w:ascii="Times New Roman" w:hAnsi="Times New Roman" w:eastAsia="宋体" w:cs="Times New Roman"/>
                      <w:b w:val="0"/>
                      <w:bCs w:val="0"/>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01A48397">
                  <w:pPr>
                    <w:pageBreakBefore w:val="0"/>
                    <w:tabs>
                      <w:tab w:val="left" w:pos="7020"/>
                    </w:tabs>
                    <w:wordWrap/>
                    <w:overflowPunct/>
                    <w:topLinePunct w:val="0"/>
                    <w:bidi w:val="0"/>
                    <w:jc w:val="center"/>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1.62</w:t>
                  </w:r>
                </w:p>
              </w:tc>
              <w:tc>
                <w:tcPr>
                  <w:tcW w:w="971" w:type="pct"/>
                  <w:tcBorders>
                    <w:tl2br w:val="nil"/>
                    <w:tr2bl w:val="nil"/>
                  </w:tcBorders>
                  <w:noWrap w:val="0"/>
                  <w:tcMar>
                    <w:top w:w="0" w:type="dxa"/>
                    <w:left w:w="0" w:type="dxa"/>
                    <w:bottom w:w="0" w:type="dxa"/>
                    <w:right w:w="0" w:type="dxa"/>
                  </w:tcMar>
                  <w:vAlign w:val="center"/>
                </w:tcPr>
                <w:p w14:paraId="7004331F">
                  <w:pPr>
                    <w:pageBreakBefore w:val="0"/>
                    <w:wordWrap/>
                    <w:overflowPunct/>
                    <w:topLinePunct w:val="0"/>
                    <w:bidi w:val="0"/>
                    <w:jc w:val="center"/>
                    <w:outlineLvl w:val="9"/>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4.50</w:t>
                  </w:r>
                  <w:r>
                    <w:rPr>
                      <w:rFonts w:hint="eastAsia" w:ascii="Times New Roman" w:hAnsi="Times New Roman" w:eastAsia="宋体" w:cs="Times New Roman"/>
                      <w:color w:val="auto"/>
                      <w:sz w:val="18"/>
                      <w:szCs w:val="18"/>
                      <w:lang w:val="en-US" w:eastAsia="zh-CN"/>
                    </w:rPr>
                    <w:t>×10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3C6FA7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1D979BBA">
                  <w:pPr>
                    <w:keepNext w:val="0"/>
                    <w:keepLines w:val="0"/>
                    <w:pageBreakBefore w:val="0"/>
                    <w:widowControl w:val="0"/>
                    <w:shd w:val="clear" w:color="auto" w:fill="auto"/>
                    <w:wordWrap/>
                    <w:overflowPunct/>
                    <w:topLinePunct w:val="0"/>
                    <w:bidi w:val="0"/>
                    <w:spacing w:before="0" w:after="0" w:line="240" w:lineRule="auto"/>
                    <w:ind w:right="0" w:rightChars="0"/>
                    <w:jc w:val="center"/>
                    <w:outlineLvl w:val="9"/>
                    <w:rPr>
                      <w:rFonts w:hint="default" w:ascii="Times New Roman" w:hAnsi="Times New Roman" w:eastAsia="宋体" w:cs="Times New Roman"/>
                      <w:color w:val="auto"/>
                      <w:spacing w:val="0"/>
                      <w:w w:val="100"/>
                      <w:position w:val="0"/>
                      <w:sz w:val="18"/>
                      <w:szCs w:val="18"/>
                      <w:lang w:val="en-US" w:eastAsia="zh-CN" w:bidi="en-US"/>
                    </w:rPr>
                  </w:pPr>
                </w:p>
              </w:tc>
              <w:tc>
                <w:tcPr>
                  <w:tcW w:w="682" w:type="pct"/>
                  <w:vMerge w:val="restart"/>
                  <w:tcBorders>
                    <w:tl2br w:val="nil"/>
                    <w:tr2bl w:val="nil"/>
                  </w:tcBorders>
                  <w:noWrap w:val="0"/>
                  <w:tcMar>
                    <w:top w:w="0" w:type="dxa"/>
                    <w:left w:w="0" w:type="dxa"/>
                    <w:bottom w:w="0" w:type="dxa"/>
                    <w:right w:w="0" w:type="dxa"/>
                  </w:tcMar>
                  <w:vAlign w:val="center"/>
                </w:tcPr>
                <w:p w14:paraId="3B7F4AAF">
                  <w:pPr>
                    <w:pageBreakBefore w:val="0"/>
                    <w:wordWrap/>
                    <w:overflowPunct/>
                    <w:topLinePunct w:val="0"/>
                    <w:bidi w:val="0"/>
                    <w:jc w:val="center"/>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DA006</w:t>
                  </w:r>
                </w:p>
              </w:tc>
              <w:tc>
                <w:tcPr>
                  <w:tcW w:w="681" w:type="pct"/>
                  <w:tcBorders>
                    <w:tl2br w:val="nil"/>
                    <w:tr2bl w:val="nil"/>
                  </w:tcBorders>
                  <w:noWrap w:val="0"/>
                  <w:tcMar>
                    <w:top w:w="0" w:type="dxa"/>
                    <w:left w:w="0" w:type="dxa"/>
                    <w:bottom w:w="0" w:type="dxa"/>
                    <w:right w:w="0" w:type="dxa"/>
                  </w:tcMar>
                  <w:vAlign w:val="center"/>
                </w:tcPr>
                <w:p w14:paraId="19B23567">
                  <w:pPr>
                    <w:pageBreakBefore w:val="0"/>
                    <w:tabs>
                      <w:tab w:val="left" w:pos="7020"/>
                    </w:tabs>
                    <w:wordWrap/>
                    <w:overflowPunct/>
                    <w:topLinePunct w:val="0"/>
                    <w:bidi w:val="0"/>
                    <w:jc w:val="center"/>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第一次</w:t>
                  </w:r>
                </w:p>
              </w:tc>
              <w:tc>
                <w:tcPr>
                  <w:tcW w:w="975" w:type="pct"/>
                  <w:tcBorders>
                    <w:tl2br w:val="nil"/>
                    <w:tr2bl w:val="nil"/>
                  </w:tcBorders>
                  <w:noWrap w:val="0"/>
                  <w:tcMar>
                    <w:top w:w="0" w:type="dxa"/>
                    <w:left w:w="0" w:type="dxa"/>
                    <w:bottom w:w="0" w:type="dxa"/>
                    <w:right w:w="0" w:type="dxa"/>
                  </w:tcMar>
                  <w:vAlign w:val="center"/>
                </w:tcPr>
                <w:p w14:paraId="3C445F1B">
                  <w:pPr>
                    <w:pageBreakBefore w:val="0"/>
                    <w:wordWrap/>
                    <w:overflowPunct/>
                    <w:topLinePunct w:val="0"/>
                    <w:bidi w:val="0"/>
                    <w:jc w:val="center"/>
                    <w:outlineLvl w:val="9"/>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01792199">
                  <w:pPr>
                    <w:pageBreakBefore w:val="0"/>
                    <w:tabs>
                      <w:tab w:val="left" w:pos="7020"/>
                    </w:tabs>
                    <w:wordWrap/>
                    <w:overflowPunct/>
                    <w:topLinePunct w:val="0"/>
                    <w:bidi w:val="0"/>
                    <w:jc w:val="center"/>
                    <w:outlineLvl w:val="9"/>
                    <w:rPr>
                      <w:rFonts w:hint="default" w:cs="Times New Roman"/>
                      <w:color w:val="auto"/>
                      <w:sz w:val="18"/>
                      <w:szCs w:val="18"/>
                      <w:lang w:val="en-US" w:eastAsia="zh-CN"/>
                    </w:rPr>
                  </w:pPr>
                  <w:r>
                    <w:rPr>
                      <w:rFonts w:hint="eastAsia" w:cs="Times New Roman"/>
                      <w:color w:val="auto"/>
                      <w:sz w:val="18"/>
                      <w:szCs w:val="18"/>
                      <w:lang w:val="en-US" w:eastAsia="zh-CN"/>
                    </w:rPr>
                    <w:t>2.03</w:t>
                  </w:r>
                </w:p>
              </w:tc>
              <w:tc>
                <w:tcPr>
                  <w:tcW w:w="971" w:type="pct"/>
                  <w:tcBorders>
                    <w:tl2br w:val="nil"/>
                    <w:tr2bl w:val="nil"/>
                  </w:tcBorders>
                  <w:noWrap w:val="0"/>
                  <w:tcMar>
                    <w:top w:w="0" w:type="dxa"/>
                    <w:left w:w="0" w:type="dxa"/>
                    <w:bottom w:w="0" w:type="dxa"/>
                    <w:right w:w="0" w:type="dxa"/>
                  </w:tcMar>
                  <w:vAlign w:val="center"/>
                </w:tcPr>
                <w:p w14:paraId="1321043E">
                  <w:pPr>
                    <w:pageBreakBefore w:val="0"/>
                    <w:wordWrap/>
                    <w:overflowPunct/>
                    <w:topLinePunct w:val="0"/>
                    <w:bidi w:val="0"/>
                    <w:jc w:val="center"/>
                    <w:outlineLvl w:val="9"/>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8.75</w:t>
                  </w:r>
                  <w:r>
                    <w:rPr>
                      <w:rFonts w:hint="eastAsia" w:ascii="Times New Roman" w:hAnsi="Times New Roman" w:eastAsia="宋体" w:cs="Times New Roman"/>
                      <w:color w:val="auto"/>
                      <w:sz w:val="18"/>
                      <w:szCs w:val="18"/>
                      <w:lang w:val="en-US" w:eastAsia="zh-CN"/>
                    </w:rPr>
                    <w:t>×10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41537A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14AC4D75">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2" w:type="pct"/>
                  <w:vMerge w:val="continue"/>
                  <w:tcBorders>
                    <w:tl2br w:val="nil"/>
                    <w:tr2bl w:val="nil"/>
                  </w:tcBorders>
                  <w:noWrap w:val="0"/>
                  <w:tcMar>
                    <w:top w:w="0" w:type="dxa"/>
                    <w:left w:w="0" w:type="dxa"/>
                    <w:bottom w:w="0" w:type="dxa"/>
                    <w:right w:w="0" w:type="dxa"/>
                  </w:tcMar>
                  <w:vAlign w:val="center"/>
                </w:tcPr>
                <w:p w14:paraId="590AF027">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1" w:type="pct"/>
                  <w:tcBorders>
                    <w:tl2br w:val="nil"/>
                    <w:tr2bl w:val="nil"/>
                  </w:tcBorders>
                  <w:noWrap w:val="0"/>
                  <w:tcMar>
                    <w:top w:w="0" w:type="dxa"/>
                    <w:left w:w="0" w:type="dxa"/>
                    <w:bottom w:w="0" w:type="dxa"/>
                    <w:right w:w="0" w:type="dxa"/>
                  </w:tcMar>
                  <w:vAlign w:val="center"/>
                </w:tcPr>
                <w:p w14:paraId="1493126C">
                  <w:pPr>
                    <w:pageBreakBefore w:val="0"/>
                    <w:tabs>
                      <w:tab w:val="left" w:pos="7020"/>
                    </w:tabs>
                    <w:wordWrap/>
                    <w:overflowPunct/>
                    <w:topLinePunct w:val="0"/>
                    <w:bidi w:val="0"/>
                    <w:jc w:val="center"/>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第二次</w:t>
                  </w:r>
                </w:p>
              </w:tc>
              <w:tc>
                <w:tcPr>
                  <w:tcW w:w="975" w:type="pct"/>
                  <w:tcBorders>
                    <w:tl2br w:val="nil"/>
                    <w:tr2bl w:val="nil"/>
                  </w:tcBorders>
                  <w:noWrap w:val="0"/>
                  <w:tcMar>
                    <w:top w:w="0" w:type="dxa"/>
                    <w:left w:w="0" w:type="dxa"/>
                    <w:bottom w:w="0" w:type="dxa"/>
                    <w:right w:w="0" w:type="dxa"/>
                  </w:tcMar>
                  <w:vAlign w:val="center"/>
                </w:tcPr>
                <w:p w14:paraId="0042FE4A">
                  <w:pPr>
                    <w:pageBreakBefore w:val="0"/>
                    <w:wordWrap/>
                    <w:overflowPunct/>
                    <w:topLinePunct w:val="0"/>
                    <w:bidi w:val="0"/>
                    <w:jc w:val="center"/>
                    <w:outlineLvl w:val="9"/>
                    <w:rPr>
                      <w:rFonts w:hint="eastAsia" w:ascii="Times New Roman" w:hAnsi="Times New Roman" w:eastAsia="宋体" w:cs="Times New Roman"/>
                      <w:b w:val="0"/>
                      <w:bCs w:val="0"/>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79CFFF15">
                  <w:pPr>
                    <w:pageBreakBefore w:val="0"/>
                    <w:wordWrap/>
                    <w:overflowPunct/>
                    <w:topLinePunct w:val="0"/>
                    <w:bidi w:val="0"/>
                    <w:jc w:val="center"/>
                    <w:outlineLvl w:val="9"/>
                    <w:rPr>
                      <w:rFonts w:hint="default" w:cs="Times New Roman"/>
                      <w:color w:val="auto"/>
                      <w:sz w:val="18"/>
                      <w:szCs w:val="18"/>
                      <w:lang w:val="en-US" w:eastAsia="zh-CN"/>
                    </w:rPr>
                  </w:pPr>
                  <w:r>
                    <w:rPr>
                      <w:rFonts w:hint="eastAsia" w:cs="Times New Roman"/>
                      <w:color w:val="auto"/>
                      <w:sz w:val="18"/>
                      <w:szCs w:val="18"/>
                      <w:lang w:val="en-US" w:eastAsia="zh-CN"/>
                    </w:rPr>
                    <w:t>2.11</w:t>
                  </w:r>
                </w:p>
              </w:tc>
              <w:tc>
                <w:tcPr>
                  <w:tcW w:w="971" w:type="pct"/>
                  <w:tcBorders>
                    <w:tl2br w:val="nil"/>
                    <w:tr2bl w:val="nil"/>
                  </w:tcBorders>
                  <w:noWrap w:val="0"/>
                  <w:tcMar>
                    <w:top w:w="0" w:type="dxa"/>
                    <w:left w:w="0" w:type="dxa"/>
                    <w:bottom w:w="0" w:type="dxa"/>
                    <w:right w:w="0" w:type="dxa"/>
                  </w:tcMar>
                  <w:vAlign w:val="center"/>
                </w:tcPr>
                <w:p w14:paraId="4850B8C0">
                  <w:pPr>
                    <w:pageBreakBefore w:val="0"/>
                    <w:wordWrap/>
                    <w:overflowPunct/>
                    <w:topLinePunct w:val="0"/>
                    <w:bidi w:val="0"/>
                    <w:jc w:val="center"/>
                    <w:outlineLvl w:val="9"/>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8.96</w:t>
                  </w:r>
                  <w:r>
                    <w:rPr>
                      <w:rFonts w:hint="eastAsia" w:ascii="Times New Roman" w:hAnsi="Times New Roman" w:eastAsia="宋体" w:cs="Times New Roman"/>
                      <w:color w:val="auto"/>
                      <w:sz w:val="18"/>
                      <w:szCs w:val="18"/>
                      <w:lang w:val="en-US" w:eastAsia="zh-CN"/>
                    </w:rPr>
                    <w:t>×10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7A302A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53C47E86">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2" w:type="pct"/>
                  <w:vMerge w:val="continue"/>
                  <w:tcBorders>
                    <w:tl2br w:val="nil"/>
                    <w:tr2bl w:val="nil"/>
                  </w:tcBorders>
                  <w:noWrap w:val="0"/>
                  <w:tcMar>
                    <w:top w:w="0" w:type="dxa"/>
                    <w:left w:w="0" w:type="dxa"/>
                    <w:bottom w:w="0" w:type="dxa"/>
                    <w:right w:w="0" w:type="dxa"/>
                  </w:tcMar>
                  <w:vAlign w:val="center"/>
                </w:tcPr>
                <w:p w14:paraId="05247C44">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1" w:type="pct"/>
                  <w:tcBorders>
                    <w:tl2br w:val="nil"/>
                    <w:tr2bl w:val="nil"/>
                  </w:tcBorders>
                  <w:noWrap w:val="0"/>
                  <w:tcMar>
                    <w:top w:w="0" w:type="dxa"/>
                    <w:left w:w="0" w:type="dxa"/>
                    <w:bottom w:w="0" w:type="dxa"/>
                    <w:right w:w="0" w:type="dxa"/>
                  </w:tcMar>
                  <w:vAlign w:val="center"/>
                </w:tcPr>
                <w:p w14:paraId="5969CC40">
                  <w:pPr>
                    <w:pageBreakBefore w:val="0"/>
                    <w:tabs>
                      <w:tab w:val="left" w:pos="7020"/>
                    </w:tabs>
                    <w:wordWrap/>
                    <w:overflowPunct/>
                    <w:topLinePunct w:val="0"/>
                    <w:bidi w:val="0"/>
                    <w:jc w:val="center"/>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第三次</w:t>
                  </w:r>
                </w:p>
              </w:tc>
              <w:tc>
                <w:tcPr>
                  <w:tcW w:w="975" w:type="pct"/>
                  <w:tcBorders>
                    <w:tl2br w:val="nil"/>
                    <w:tr2bl w:val="nil"/>
                  </w:tcBorders>
                  <w:noWrap w:val="0"/>
                  <w:tcMar>
                    <w:top w:w="0" w:type="dxa"/>
                    <w:left w:w="0" w:type="dxa"/>
                    <w:bottom w:w="0" w:type="dxa"/>
                    <w:right w:w="0" w:type="dxa"/>
                  </w:tcMar>
                  <w:vAlign w:val="center"/>
                </w:tcPr>
                <w:p w14:paraId="668BBA0F">
                  <w:pPr>
                    <w:pageBreakBefore w:val="0"/>
                    <w:wordWrap/>
                    <w:overflowPunct/>
                    <w:topLinePunct w:val="0"/>
                    <w:bidi w:val="0"/>
                    <w:jc w:val="center"/>
                    <w:outlineLvl w:val="9"/>
                    <w:rPr>
                      <w:rFonts w:hint="eastAsia" w:ascii="Times New Roman" w:hAnsi="Times New Roman" w:eastAsia="宋体" w:cs="Times New Roman"/>
                      <w:b w:val="0"/>
                      <w:bCs w:val="0"/>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0D90CC78">
                  <w:pPr>
                    <w:pageBreakBefore w:val="0"/>
                    <w:wordWrap/>
                    <w:overflowPunct/>
                    <w:topLinePunct w:val="0"/>
                    <w:bidi w:val="0"/>
                    <w:jc w:val="center"/>
                    <w:outlineLvl w:val="9"/>
                    <w:rPr>
                      <w:rFonts w:hint="default" w:cs="Times New Roman"/>
                      <w:color w:val="auto"/>
                      <w:sz w:val="18"/>
                      <w:szCs w:val="18"/>
                      <w:lang w:val="en-US" w:eastAsia="zh-CN"/>
                    </w:rPr>
                  </w:pPr>
                  <w:r>
                    <w:rPr>
                      <w:rFonts w:hint="eastAsia" w:cs="Times New Roman"/>
                      <w:color w:val="auto"/>
                      <w:sz w:val="18"/>
                      <w:szCs w:val="18"/>
                      <w:lang w:val="en-US" w:eastAsia="zh-CN"/>
                    </w:rPr>
                    <w:t>2.10</w:t>
                  </w:r>
                </w:p>
              </w:tc>
              <w:tc>
                <w:tcPr>
                  <w:tcW w:w="971" w:type="pct"/>
                  <w:tcBorders>
                    <w:tl2br w:val="nil"/>
                    <w:tr2bl w:val="nil"/>
                  </w:tcBorders>
                  <w:noWrap w:val="0"/>
                  <w:tcMar>
                    <w:top w:w="0" w:type="dxa"/>
                    <w:left w:w="0" w:type="dxa"/>
                    <w:bottom w:w="0" w:type="dxa"/>
                    <w:right w:w="0" w:type="dxa"/>
                  </w:tcMar>
                  <w:vAlign w:val="center"/>
                </w:tcPr>
                <w:p w14:paraId="7673D958">
                  <w:pPr>
                    <w:pageBreakBefore w:val="0"/>
                    <w:wordWrap/>
                    <w:overflowPunct/>
                    <w:topLinePunct w:val="0"/>
                    <w:bidi w:val="0"/>
                    <w:jc w:val="center"/>
                    <w:outlineLvl w:val="9"/>
                    <w:rPr>
                      <w:rFonts w:hint="eastAsia" w:ascii="Times New Roman" w:hAnsi="Times New Roman"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8.91×10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641459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20324310">
                  <w:pPr>
                    <w:keepNext w:val="0"/>
                    <w:keepLines w:val="0"/>
                    <w:pageBreakBefore w:val="0"/>
                    <w:widowControl w:val="0"/>
                    <w:shd w:val="clear" w:color="auto" w:fill="auto"/>
                    <w:wordWrap/>
                    <w:overflowPunct/>
                    <w:topLinePunct w:val="0"/>
                    <w:bidi w:val="0"/>
                    <w:spacing w:before="0" w:after="0" w:line="240" w:lineRule="auto"/>
                    <w:ind w:left="0" w:leftChars="0" w:right="0" w:rightChars="0" w:firstLine="0" w:firstLineChars="0"/>
                    <w:jc w:val="center"/>
                    <w:outlineLvl w:val="9"/>
                    <w:rPr>
                      <w:rFonts w:hint="default" w:ascii="Times New Roman" w:hAnsi="Times New Roman" w:eastAsia="宋体" w:cs="Times New Roman"/>
                      <w:color w:val="auto"/>
                      <w:spacing w:val="0"/>
                      <w:w w:val="100"/>
                      <w:position w:val="0"/>
                      <w:sz w:val="18"/>
                      <w:szCs w:val="18"/>
                      <w:lang w:val="en-US" w:eastAsia="zh-CN" w:bidi="en-US"/>
                    </w:rPr>
                  </w:pPr>
                </w:p>
              </w:tc>
              <w:tc>
                <w:tcPr>
                  <w:tcW w:w="682" w:type="pct"/>
                  <w:vMerge w:val="restart"/>
                  <w:tcBorders>
                    <w:tl2br w:val="nil"/>
                    <w:tr2bl w:val="nil"/>
                  </w:tcBorders>
                  <w:noWrap w:val="0"/>
                  <w:tcMar>
                    <w:top w:w="0" w:type="dxa"/>
                    <w:left w:w="0" w:type="dxa"/>
                    <w:bottom w:w="0" w:type="dxa"/>
                    <w:right w:w="0" w:type="dxa"/>
                  </w:tcMar>
                  <w:vAlign w:val="center"/>
                </w:tcPr>
                <w:p w14:paraId="4B1B9CC8">
                  <w:pPr>
                    <w:pageBreakBefore w:val="0"/>
                    <w:wordWrap/>
                    <w:overflowPunct/>
                    <w:topLinePunct w:val="0"/>
                    <w:bidi w:val="0"/>
                    <w:jc w:val="center"/>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DA007</w:t>
                  </w:r>
                </w:p>
              </w:tc>
              <w:tc>
                <w:tcPr>
                  <w:tcW w:w="681" w:type="pct"/>
                  <w:tcBorders>
                    <w:tl2br w:val="nil"/>
                    <w:tr2bl w:val="nil"/>
                  </w:tcBorders>
                  <w:noWrap w:val="0"/>
                  <w:tcMar>
                    <w:top w:w="0" w:type="dxa"/>
                    <w:left w:w="0" w:type="dxa"/>
                    <w:bottom w:w="0" w:type="dxa"/>
                    <w:right w:w="0" w:type="dxa"/>
                  </w:tcMar>
                  <w:vAlign w:val="center"/>
                </w:tcPr>
                <w:p w14:paraId="0777DA1A">
                  <w:pPr>
                    <w:pageBreakBefore w:val="0"/>
                    <w:tabs>
                      <w:tab w:val="left" w:pos="7020"/>
                    </w:tabs>
                    <w:wordWrap/>
                    <w:overflowPunct/>
                    <w:topLinePunct w:val="0"/>
                    <w:bidi w:val="0"/>
                    <w:jc w:val="center"/>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第一次</w:t>
                  </w:r>
                </w:p>
              </w:tc>
              <w:tc>
                <w:tcPr>
                  <w:tcW w:w="975" w:type="pct"/>
                  <w:tcBorders>
                    <w:tl2br w:val="nil"/>
                    <w:tr2bl w:val="nil"/>
                  </w:tcBorders>
                  <w:noWrap w:val="0"/>
                  <w:tcMar>
                    <w:top w:w="0" w:type="dxa"/>
                    <w:left w:w="0" w:type="dxa"/>
                    <w:bottom w:w="0" w:type="dxa"/>
                    <w:right w:w="0" w:type="dxa"/>
                  </w:tcMar>
                  <w:vAlign w:val="center"/>
                </w:tcPr>
                <w:p w14:paraId="2914BAA4">
                  <w:pPr>
                    <w:pageBreakBefore w:val="0"/>
                    <w:wordWrap/>
                    <w:overflowPunct/>
                    <w:topLinePunct w:val="0"/>
                    <w:bidi w:val="0"/>
                    <w:jc w:val="center"/>
                    <w:outlineLvl w:val="9"/>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204F580C">
                  <w:pPr>
                    <w:pageBreakBefore w:val="0"/>
                    <w:wordWrap/>
                    <w:overflowPunct/>
                    <w:topLinePunct w:val="0"/>
                    <w:bidi w:val="0"/>
                    <w:jc w:val="center"/>
                    <w:outlineLvl w:val="9"/>
                    <w:rPr>
                      <w:rFonts w:hint="default" w:cs="Times New Roman"/>
                      <w:color w:val="auto"/>
                      <w:sz w:val="18"/>
                      <w:szCs w:val="18"/>
                      <w:lang w:val="en-US" w:eastAsia="zh-CN"/>
                    </w:rPr>
                  </w:pPr>
                  <w:r>
                    <w:rPr>
                      <w:rFonts w:hint="eastAsia" w:cs="Times New Roman"/>
                      <w:color w:val="auto"/>
                      <w:sz w:val="18"/>
                      <w:szCs w:val="18"/>
                      <w:lang w:val="en-US" w:eastAsia="zh-CN"/>
                    </w:rPr>
                    <w:t>1.93</w:t>
                  </w:r>
                </w:p>
              </w:tc>
              <w:tc>
                <w:tcPr>
                  <w:tcW w:w="971" w:type="pct"/>
                  <w:tcBorders>
                    <w:tl2br w:val="nil"/>
                    <w:tr2bl w:val="nil"/>
                  </w:tcBorders>
                  <w:noWrap w:val="0"/>
                  <w:tcMar>
                    <w:top w:w="0" w:type="dxa"/>
                    <w:left w:w="0" w:type="dxa"/>
                    <w:bottom w:w="0" w:type="dxa"/>
                    <w:right w:w="0" w:type="dxa"/>
                  </w:tcMar>
                  <w:vAlign w:val="center"/>
                </w:tcPr>
                <w:p w14:paraId="3356FC46">
                  <w:pPr>
                    <w:pageBreakBefore w:val="0"/>
                    <w:wordWrap/>
                    <w:overflowPunct/>
                    <w:topLinePunct w:val="0"/>
                    <w:bidi w:val="0"/>
                    <w:jc w:val="center"/>
                    <w:outlineLvl w:val="9"/>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4.79</w:t>
                  </w:r>
                  <w:r>
                    <w:rPr>
                      <w:rFonts w:hint="eastAsia" w:ascii="Times New Roman" w:hAnsi="Times New Roman" w:eastAsia="宋体" w:cs="Times New Roman"/>
                      <w:color w:val="auto"/>
                      <w:sz w:val="18"/>
                      <w:szCs w:val="18"/>
                      <w:lang w:val="en-US" w:eastAsia="zh-CN"/>
                    </w:rPr>
                    <w:t>×10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292FA8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72EB68F5">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2" w:type="pct"/>
                  <w:vMerge w:val="continue"/>
                  <w:tcBorders>
                    <w:tl2br w:val="nil"/>
                    <w:tr2bl w:val="nil"/>
                  </w:tcBorders>
                  <w:noWrap w:val="0"/>
                  <w:tcMar>
                    <w:top w:w="0" w:type="dxa"/>
                    <w:left w:w="0" w:type="dxa"/>
                    <w:bottom w:w="0" w:type="dxa"/>
                    <w:right w:w="0" w:type="dxa"/>
                  </w:tcMar>
                  <w:vAlign w:val="center"/>
                </w:tcPr>
                <w:p w14:paraId="63266105">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1" w:type="pct"/>
                  <w:tcBorders>
                    <w:tl2br w:val="nil"/>
                    <w:tr2bl w:val="nil"/>
                  </w:tcBorders>
                  <w:noWrap w:val="0"/>
                  <w:tcMar>
                    <w:top w:w="0" w:type="dxa"/>
                    <w:left w:w="0" w:type="dxa"/>
                    <w:bottom w:w="0" w:type="dxa"/>
                    <w:right w:w="0" w:type="dxa"/>
                  </w:tcMar>
                  <w:vAlign w:val="center"/>
                </w:tcPr>
                <w:p w14:paraId="074E472E">
                  <w:pPr>
                    <w:pageBreakBefore w:val="0"/>
                    <w:tabs>
                      <w:tab w:val="left" w:pos="7020"/>
                    </w:tabs>
                    <w:wordWrap/>
                    <w:overflowPunct/>
                    <w:topLinePunct w:val="0"/>
                    <w:bidi w:val="0"/>
                    <w:jc w:val="center"/>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第二次</w:t>
                  </w:r>
                </w:p>
              </w:tc>
              <w:tc>
                <w:tcPr>
                  <w:tcW w:w="975" w:type="pct"/>
                  <w:tcBorders>
                    <w:tl2br w:val="nil"/>
                    <w:tr2bl w:val="nil"/>
                  </w:tcBorders>
                  <w:noWrap w:val="0"/>
                  <w:tcMar>
                    <w:top w:w="0" w:type="dxa"/>
                    <w:left w:w="0" w:type="dxa"/>
                    <w:bottom w:w="0" w:type="dxa"/>
                    <w:right w:w="0" w:type="dxa"/>
                  </w:tcMar>
                  <w:vAlign w:val="center"/>
                </w:tcPr>
                <w:p w14:paraId="46F7F204">
                  <w:pPr>
                    <w:pageBreakBefore w:val="0"/>
                    <w:wordWrap/>
                    <w:overflowPunct/>
                    <w:topLinePunct w:val="0"/>
                    <w:bidi w:val="0"/>
                    <w:jc w:val="center"/>
                    <w:outlineLvl w:val="9"/>
                    <w:rPr>
                      <w:rFonts w:hint="eastAsia" w:ascii="Times New Roman" w:hAnsi="Times New Roman" w:eastAsia="宋体" w:cs="Times New Roman"/>
                      <w:b w:val="0"/>
                      <w:bCs w:val="0"/>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76B2BCFB">
                  <w:pPr>
                    <w:pageBreakBefore w:val="0"/>
                    <w:wordWrap/>
                    <w:overflowPunct/>
                    <w:topLinePunct w:val="0"/>
                    <w:bidi w:val="0"/>
                    <w:jc w:val="center"/>
                    <w:outlineLvl w:val="9"/>
                    <w:rPr>
                      <w:rFonts w:hint="default" w:cs="Times New Roman"/>
                      <w:color w:val="auto"/>
                      <w:sz w:val="18"/>
                      <w:szCs w:val="18"/>
                      <w:lang w:val="en-US" w:eastAsia="zh-CN"/>
                    </w:rPr>
                  </w:pPr>
                  <w:r>
                    <w:rPr>
                      <w:rFonts w:hint="eastAsia" w:cs="Times New Roman"/>
                      <w:color w:val="auto"/>
                      <w:sz w:val="18"/>
                      <w:szCs w:val="18"/>
                      <w:lang w:val="en-US" w:eastAsia="zh-CN"/>
                    </w:rPr>
                    <w:t>1.95</w:t>
                  </w:r>
                </w:p>
              </w:tc>
              <w:tc>
                <w:tcPr>
                  <w:tcW w:w="971" w:type="pct"/>
                  <w:tcBorders>
                    <w:tl2br w:val="nil"/>
                    <w:tr2bl w:val="nil"/>
                  </w:tcBorders>
                  <w:noWrap w:val="0"/>
                  <w:tcMar>
                    <w:top w:w="0" w:type="dxa"/>
                    <w:left w:w="0" w:type="dxa"/>
                    <w:bottom w:w="0" w:type="dxa"/>
                    <w:right w:w="0" w:type="dxa"/>
                  </w:tcMar>
                  <w:vAlign w:val="center"/>
                </w:tcPr>
                <w:p w14:paraId="195F3852">
                  <w:pPr>
                    <w:pageBreakBefore w:val="0"/>
                    <w:wordWrap/>
                    <w:overflowPunct/>
                    <w:topLinePunct w:val="0"/>
                    <w:bidi w:val="0"/>
                    <w:jc w:val="center"/>
                    <w:outlineLvl w:val="9"/>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5.03</w:t>
                  </w:r>
                  <w:r>
                    <w:rPr>
                      <w:rFonts w:hint="eastAsia" w:ascii="Times New Roman" w:hAnsi="Times New Roman" w:eastAsia="宋体" w:cs="Times New Roman"/>
                      <w:color w:val="auto"/>
                      <w:sz w:val="18"/>
                      <w:szCs w:val="18"/>
                      <w:lang w:val="en-US" w:eastAsia="zh-CN"/>
                    </w:rPr>
                    <w:t>×10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09C385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2A329B6E">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2" w:type="pct"/>
                  <w:vMerge w:val="continue"/>
                  <w:tcBorders>
                    <w:tl2br w:val="nil"/>
                    <w:tr2bl w:val="nil"/>
                  </w:tcBorders>
                  <w:noWrap w:val="0"/>
                  <w:tcMar>
                    <w:top w:w="0" w:type="dxa"/>
                    <w:left w:w="0" w:type="dxa"/>
                    <w:bottom w:w="0" w:type="dxa"/>
                    <w:right w:w="0" w:type="dxa"/>
                  </w:tcMar>
                  <w:vAlign w:val="center"/>
                </w:tcPr>
                <w:p w14:paraId="75382EAD">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1" w:type="pct"/>
                  <w:tcBorders>
                    <w:tl2br w:val="nil"/>
                    <w:tr2bl w:val="nil"/>
                  </w:tcBorders>
                  <w:noWrap w:val="0"/>
                  <w:tcMar>
                    <w:top w:w="0" w:type="dxa"/>
                    <w:left w:w="0" w:type="dxa"/>
                    <w:bottom w:w="0" w:type="dxa"/>
                    <w:right w:w="0" w:type="dxa"/>
                  </w:tcMar>
                  <w:vAlign w:val="center"/>
                </w:tcPr>
                <w:p w14:paraId="194FDC4D">
                  <w:pPr>
                    <w:pageBreakBefore w:val="0"/>
                    <w:tabs>
                      <w:tab w:val="left" w:pos="7020"/>
                    </w:tabs>
                    <w:wordWrap/>
                    <w:overflowPunct/>
                    <w:topLinePunct w:val="0"/>
                    <w:bidi w:val="0"/>
                    <w:jc w:val="center"/>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第三次</w:t>
                  </w:r>
                </w:p>
              </w:tc>
              <w:tc>
                <w:tcPr>
                  <w:tcW w:w="975" w:type="pct"/>
                  <w:tcBorders>
                    <w:tl2br w:val="nil"/>
                    <w:tr2bl w:val="nil"/>
                  </w:tcBorders>
                  <w:noWrap w:val="0"/>
                  <w:tcMar>
                    <w:top w:w="0" w:type="dxa"/>
                    <w:left w:w="0" w:type="dxa"/>
                    <w:bottom w:w="0" w:type="dxa"/>
                    <w:right w:w="0" w:type="dxa"/>
                  </w:tcMar>
                  <w:vAlign w:val="center"/>
                </w:tcPr>
                <w:p w14:paraId="532B6347">
                  <w:pPr>
                    <w:pageBreakBefore w:val="0"/>
                    <w:wordWrap/>
                    <w:overflowPunct/>
                    <w:topLinePunct w:val="0"/>
                    <w:bidi w:val="0"/>
                    <w:jc w:val="center"/>
                    <w:outlineLvl w:val="9"/>
                    <w:rPr>
                      <w:rFonts w:hint="eastAsia" w:ascii="Times New Roman" w:hAnsi="Times New Roman" w:eastAsia="宋体" w:cs="Times New Roman"/>
                      <w:b w:val="0"/>
                      <w:bCs w:val="0"/>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16306733">
                  <w:pPr>
                    <w:pageBreakBefore w:val="0"/>
                    <w:wordWrap/>
                    <w:overflowPunct/>
                    <w:topLinePunct w:val="0"/>
                    <w:bidi w:val="0"/>
                    <w:jc w:val="center"/>
                    <w:outlineLvl w:val="9"/>
                    <w:rPr>
                      <w:rFonts w:hint="default" w:cs="Times New Roman"/>
                      <w:color w:val="auto"/>
                      <w:sz w:val="18"/>
                      <w:szCs w:val="18"/>
                      <w:lang w:val="en-US" w:eastAsia="zh-CN"/>
                    </w:rPr>
                  </w:pPr>
                  <w:r>
                    <w:rPr>
                      <w:rFonts w:hint="eastAsia" w:cs="Times New Roman"/>
                      <w:color w:val="auto"/>
                      <w:sz w:val="18"/>
                      <w:szCs w:val="18"/>
                      <w:lang w:val="en-US" w:eastAsia="zh-CN"/>
                    </w:rPr>
                    <w:t>1.95</w:t>
                  </w:r>
                </w:p>
              </w:tc>
              <w:tc>
                <w:tcPr>
                  <w:tcW w:w="971" w:type="pct"/>
                  <w:tcBorders>
                    <w:tl2br w:val="nil"/>
                    <w:tr2bl w:val="nil"/>
                  </w:tcBorders>
                  <w:noWrap w:val="0"/>
                  <w:tcMar>
                    <w:top w:w="0" w:type="dxa"/>
                    <w:left w:w="0" w:type="dxa"/>
                    <w:bottom w:w="0" w:type="dxa"/>
                    <w:right w:w="0" w:type="dxa"/>
                  </w:tcMar>
                  <w:vAlign w:val="center"/>
                </w:tcPr>
                <w:p w14:paraId="7D6B89D8">
                  <w:pPr>
                    <w:pageBreakBefore w:val="0"/>
                    <w:wordWrap/>
                    <w:overflowPunct/>
                    <w:topLinePunct w:val="0"/>
                    <w:bidi w:val="0"/>
                    <w:jc w:val="center"/>
                    <w:outlineLvl w:val="9"/>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5.02</w:t>
                  </w:r>
                  <w:r>
                    <w:rPr>
                      <w:rFonts w:hint="eastAsia" w:ascii="Times New Roman" w:hAnsi="Times New Roman" w:eastAsia="宋体" w:cs="Times New Roman"/>
                      <w:color w:val="auto"/>
                      <w:sz w:val="18"/>
                      <w:szCs w:val="18"/>
                      <w:lang w:val="en-US" w:eastAsia="zh-CN"/>
                    </w:rPr>
                    <w:t>×10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28B62C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27E68635">
                  <w:pPr>
                    <w:keepNext w:val="0"/>
                    <w:keepLines w:val="0"/>
                    <w:pageBreakBefore w:val="0"/>
                    <w:widowControl w:val="0"/>
                    <w:shd w:val="clear" w:color="auto" w:fill="auto"/>
                    <w:wordWrap/>
                    <w:overflowPunct/>
                    <w:topLinePunct w:val="0"/>
                    <w:bidi w:val="0"/>
                    <w:spacing w:before="0" w:after="0" w:line="240" w:lineRule="auto"/>
                    <w:ind w:right="0" w:rightChars="0"/>
                    <w:jc w:val="center"/>
                    <w:outlineLvl w:val="9"/>
                    <w:rPr>
                      <w:rFonts w:hint="default" w:ascii="Times New Roman" w:hAnsi="Times New Roman" w:eastAsia="宋体" w:cs="Times New Roman"/>
                      <w:color w:val="auto"/>
                      <w:spacing w:val="0"/>
                      <w:w w:val="100"/>
                      <w:position w:val="0"/>
                      <w:sz w:val="18"/>
                      <w:szCs w:val="18"/>
                      <w:lang w:val="en-US" w:eastAsia="zh-CN" w:bidi="en-US"/>
                    </w:rPr>
                  </w:pPr>
                </w:p>
              </w:tc>
              <w:tc>
                <w:tcPr>
                  <w:tcW w:w="682" w:type="pct"/>
                  <w:vMerge w:val="restart"/>
                  <w:tcBorders>
                    <w:tl2br w:val="nil"/>
                    <w:tr2bl w:val="nil"/>
                  </w:tcBorders>
                  <w:noWrap w:val="0"/>
                  <w:tcMar>
                    <w:top w:w="0" w:type="dxa"/>
                    <w:left w:w="0" w:type="dxa"/>
                    <w:bottom w:w="0" w:type="dxa"/>
                    <w:right w:w="0" w:type="dxa"/>
                  </w:tcMar>
                  <w:vAlign w:val="center"/>
                </w:tcPr>
                <w:p w14:paraId="1B2521A8">
                  <w:pPr>
                    <w:pageBreakBefore w:val="0"/>
                    <w:wordWrap/>
                    <w:overflowPunct/>
                    <w:topLinePunct w:val="0"/>
                    <w:bidi w:val="0"/>
                    <w:jc w:val="center"/>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DA008</w:t>
                  </w:r>
                </w:p>
              </w:tc>
              <w:tc>
                <w:tcPr>
                  <w:tcW w:w="681" w:type="pct"/>
                  <w:tcBorders>
                    <w:tl2br w:val="nil"/>
                    <w:tr2bl w:val="nil"/>
                  </w:tcBorders>
                  <w:noWrap w:val="0"/>
                  <w:tcMar>
                    <w:top w:w="0" w:type="dxa"/>
                    <w:left w:w="0" w:type="dxa"/>
                    <w:bottom w:w="0" w:type="dxa"/>
                    <w:right w:w="0" w:type="dxa"/>
                  </w:tcMar>
                  <w:vAlign w:val="center"/>
                </w:tcPr>
                <w:p w14:paraId="7434F266">
                  <w:pPr>
                    <w:pageBreakBefore w:val="0"/>
                    <w:tabs>
                      <w:tab w:val="left" w:pos="7020"/>
                    </w:tabs>
                    <w:wordWrap/>
                    <w:overflowPunct/>
                    <w:topLinePunct w:val="0"/>
                    <w:bidi w:val="0"/>
                    <w:jc w:val="center"/>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第一次</w:t>
                  </w:r>
                </w:p>
              </w:tc>
              <w:tc>
                <w:tcPr>
                  <w:tcW w:w="975" w:type="pct"/>
                  <w:tcBorders>
                    <w:tl2br w:val="nil"/>
                    <w:tr2bl w:val="nil"/>
                  </w:tcBorders>
                  <w:noWrap w:val="0"/>
                  <w:tcMar>
                    <w:top w:w="0" w:type="dxa"/>
                    <w:left w:w="0" w:type="dxa"/>
                    <w:bottom w:w="0" w:type="dxa"/>
                    <w:right w:w="0" w:type="dxa"/>
                  </w:tcMar>
                  <w:vAlign w:val="center"/>
                </w:tcPr>
                <w:p w14:paraId="4EFD6E27">
                  <w:pPr>
                    <w:pageBreakBefore w:val="0"/>
                    <w:wordWrap/>
                    <w:overflowPunct/>
                    <w:topLinePunct w:val="0"/>
                    <w:bidi w:val="0"/>
                    <w:jc w:val="center"/>
                    <w:outlineLvl w:val="9"/>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640E2FE6">
                  <w:pPr>
                    <w:pageBreakBefore w:val="0"/>
                    <w:wordWrap/>
                    <w:overflowPunct/>
                    <w:topLinePunct w:val="0"/>
                    <w:bidi w:val="0"/>
                    <w:jc w:val="center"/>
                    <w:outlineLvl w:val="9"/>
                    <w:rPr>
                      <w:rFonts w:hint="default" w:cs="Times New Roman"/>
                      <w:color w:val="auto"/>
                      <w:sz w:val="18"/>
                      <w:szCs w:val="18"/>
                      <w:lang w:val="en-US" w:eastAsia="zh-CN"/>
                    </w:rPr>
                  </w:pPr>
                  <w:r>
                    <w:rPr>
                      <w:rFonts w:hint="eastAsia" w:cs="Times New Roman"/>
                      <w:color w:val="auto"/>
                      <w:sz w:val="18"/>
                      <w:szCs w:val="18"/>
                      <w:lang w:val="en-US" w:eastAsia="zh-CN"/>
                    </w:rPr>
                    <w:t>1.59</w:t>
                  </w:r>
                </w:p>
              </w:tc>
              <w:tc>
                <w:tcPr>
                  <w:tcW w:w="971" w:type="pct"/>
                  <w:tcBorders>
                    <w:tl2br w:val="nil"/>
                    <w:tr2bl w:val="nil"/>
                  </w:tcBorders>
                  <w:noWrap w:val="0"/>
                  <w:tcMar>
                    <w:top w:w="0" w:type="dxa"/>
                    <w:left w:w="0" w:type="dxa"/>
                    <w:bottom w:w="0" w:type="dxa"/>
                    <w:right w:w="0" w:type="dxa"/>
                  </w:tcMar>
                  <w:vAlign w:val="center"/>
                </w:tcPr>
                <w:p w14:paraId="3180581C">
                  <w:pPr>
                    <w:pageBreakBefore w:val="0"/>
                    <w:wordWrap/>
                    <w:overflowPunct/>
                    <w:topLinePunct w:val="0"/>
                    <w:bidi w:val="0"/>
                    <w:jc w:val="center"/>
                    <w:outlineLvl w:val="9"/>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2.40</w:t>
                  </w:r>
                  <w:r>
                    <w:rPr>
                      <w:rFonts w:hint="eastAsia" w:ascii="Times New Roman" w:hAnsi="Times New Roman" w:eastAsia="宋体" w:cs="Times New Roman"/>
                      <w:color w:val="auto"/>
                      <w:sz w:val="18"/>
                      <w:szCs w:val="18"/>
                      <w:lang w:val="en-US" w:eastAsia="zh-CN"/>
                    </w:rPr>
                    <w:t>×10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54D263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661B9C61">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2" w:type="pct"/>
                  <w:vMerge w:val="continue"/>
                  <w:tcBorders>
                    <w:tl2br w:val="nil"/>
                    <w:tr2bl w:val="nil"/>
                  </w:tcBorders>
                  <w:noWrap w:val="0"/>
                  <w:tcMar>
                    <w:top w:w="0" w:type="dxa"/>
                    <w:left w:w="0" w:type="dxa"/>
                    <w:bottom w:w="0" w:type="dxa"/>
                    <w:right w:w="0" w:type="dxa"/>
                  </w:tcMar>
                  <w:vAlign w:val="center"/>
                </w:tcPr>
                <w:p w14:paraId="7B78D8FC">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1" w:type="pct"/>
                  <w:tcBorders>
                    <w:tl2br w:val="nil"/>
                    <w:tr2bl w:val="nil"/>
                  </w:tcBorders>
                  <w:noWrap w:val="0"/>
                  <w:tcMar>
                    <w:top w:w="0" w:type="dxa"/>
                    <w:left w:w="0" w:type="dxa"/>
                    <w:bottom w:w="0" w:type="dxa"/>
                    <w:right w:w="0" w:type="dxa"/>
                  </w:tcMar>
                  <w:vAlign w:val="center"/>
                </w:tcPr>
                <w:p w14:paraId="1D752743">
                  <w:pPr>
                    <w:pageBreakBefore w:val="0"/>
                    <w:tabs>
                      <w:tab w:val="left" w:pos="7020"/>
                    </w:tabs>
                    <w:wordWrap/>
                    <w:overflowPunct/>
                    <w:topLinePunct w:val="0"/>
                    <w:bidi w:val="0"/>
                    <w:jc w:val="center"/>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第二次</w:t>
                  </w:r>
                </w:p>
              </w:tc>
              <w:tc>
                <w:tcPr>
                  <w:tcW w:w="975" w:type="pct"/>
                  <w:tcBorders>
                    <w:tl2br w:val="nil"/>
                    <w:tr2bl w:val="nil"/>
                  </w:tcBorders>
                  <w:noWrap w:val="0"/>
                  <w:tcMar>
                    <w:top w:w="0" w:type="dxa"/>
                    <w:left w:w="0" w:type="dxa"/>
                    <w:bottom w:w="0" w:type="dxa"/>
                    <w:right w:w="0" w:type="dxa"/>
                  </w:tcMar>
                  <w:vAlign w:val="center"/>
                </w:tcPr>
                <w:p w14:paraId="6A55E786">
                  <w:pPr>
                    <w:pageBreakBefore w:val="0"/>
                    <w:wordWrap/>
                    <w:overflowPunct/>
                    <w:topLinePunct w:val="0"/>
                    <w:bidi w:val="0"/>
                    <w:jc w:val="center"/>
                    <w:outlineLvl w:val="9"/>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3D1B68B5">
                  <w:pPr>
                    <w:pageBreakBefore w:val="0"/>
                    <w:wordWrap/>
                    <w:overflowPunct/>
                    <w:topLinePunct w:val="0"/>
                    <w:bidi w:val="0"/>
                    <w:jc w:val="center"/>
                    <w:outlineLvl w:val="9"/>
                    <w:rPr>
                      <w:rFonts w:hint="default" w:cs="Times New Roman"/>
                      <w:color w:val="auto"/>
                      <w:sz w:val="18"/>
                      <w:szCs w:val="18"/>
                      <w:lang w:val="en-US" w:eastAsia="zh-CN"/>
                    </w:rPr>
                  </w:pPr>
                  <w:r>
                    <w:rPr>
                      <w:rFonts w:hint="eastAsia" w:cs="Times New Roman"/>
                      <w:color w:val="auto"/>
                      <w:sz w:val="18"/>
                      <w:szCs w:val="18"/>
                      <w:lang w:val="en-US" w:eastAsia="zh-CN"/>
                    </w:rPr>
                    <w:t>1.63</w:t>
                  </w:r>
                </w:p>
              </w:tc>
              <w:tc>
                <w:tcPr>
                  <w:tcW w:w="971" w:type="pct"/>
                  <w:tcBorders>
                    <w:tl2br w:val="nil"/>
                    <w:tr2bl w:val="nil"/>
                  </w:tcBorders>
                  <w:noWrap w:val="0"/>
                  <w:tcMar>
                    <w:top w:w="0" w:type="dxa"/>
                    <w:left w:w="0" w:type="dxa"/>
                    <w:bottom w:w="0" w:type="dxa"/>
                    <w:right w:w="0" w:type="dxa"/>
                  </w:tcMar>
                  <w:vAlign w:val="center"/>
                </w:tcPr>
                <w:p w14:paraId="2D338989">
                  <w:pPr>
                    <w:pageBreakBefore w:val="0"/>
                    <w:wordWrap/>
                    <w:overflowPunct/>
                    <w:topLinePunct w:val="0"/>
                    <w:bidi w:val="0"/>
                    <w:jc w:val="center"/>
                    <w:outlineLvl w:val="9"/>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2.71</w:t>
                  </w:r>
                  <w:r>
                    <w:rPr>
                      <w:rFonts w:hint="eastAsia" w:ascii="Times New Roman" w:hAnsi="Times New Roman" w:eastAsia="宋体" w:cs="Times New Roman"/>
                      <w:color w:val="auto"/>
                      <w:sz w:val="18"/>
                      <w:szCs w:val="18"/>
                      <w:lang w:val="en-US" w:eastAsia="zh-CN"/>
                    </w:rPr>
                    <w:t>×10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01800F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262C5741">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2" w:type="pct"/>
                  <w:vMerge w:val="continue"/>
                  <w:tcBorders>
                    <w:tl2br w:val="nil"/>
                    <w:tr2bl w:val="nil"/>
                  </w:tcBorders>
                  <w:noWrap w:val="0"/>
                  <w:tcMar>
                    <w:top w:w="0" w:type="dxa"/>
                    <w:left w:w="0" w:type="dxa"/>
                    <w:bottom w:w="0" w:type="dxa"/>
                    <w:right w:w="0" w:type="dxa"/>
                  </w:tcMar>
                  <w:vAlign w:val="center"/>
                </w:tcPr>
                <w:p w14:paraId="49394521">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1" w:type="pct"/>
                  <w:tcBorders>
                    <w:tl2br w:val="nil"/>
                    <w:tr2bl w:val="nil"/>
                  </w:tcBorders>
                  <w:noWrap w:val="0"/>
                  <w:tcMar>
                    <w:top w:w="0" w:type="dxa"/>
                    <w:left w:w="0" w:type="dxa"/>
                    <w:bottom w:w="0" w:type="dxa"/>
                    <w:right w:w="0" w:type="dxa"/>
                  </w:tcMar>
                  <w:vAlign w:val="center"/>
                </w:tcPr>
                <w:p w14:paraId="5D42D8AC">
                  <w:pPr>
                    <w:pageBreakBefore w:val="0"/>
                    <w:tabs>
                      <w:tab w:val="left" w:pos="7020"/>
                    </w:tabs>
                    <w:wordWrap/>
                    <w:overflowPunct/>
                    <w:topLinePunct w:val="0"/>
                    <w:bidi w:val="0"/>
                    <w:jc w:val="center"/>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第三次</w:t>
                  </w:r>
                </w:p>
              </w:tc>
              <w:tc>
                <w:tcPr>
                  <w:tcW w:w="975" w:type="pct"/>
                  <w:tcBorders>
                    <w:tl2br w:val="nil"/>
                    <w:tr2bl w:val="nil"/>
                  </w:tcBorders>
                  <w:noWrap w:val="0"/>
                  <w:tcMar>
                    <w:top w:w="0" w:type="dxa"/>
                    <w:left w:w="0" w:type="dxa"/>
                    <w:bottom w:w="0" w:type="dxa"/>
                    <w:right w:w="0" w:type="dxa"/>
                  </w:tcMar>
                  <w:vAlign w:val="center"/>
                </w:tcPr>
                <w:p w14:paraId="615AD472">
                  <w:pPr>
                    <w:pageBreakBefore w:val="0"/>
                    <w:wordWrap/>
                    <w:overflowPunct/>
                    <w:topLinePunct w:val="0"/>
                    <w:bidi w:val="0"/>
                    <w:jc w:val="center"/>
                    <w:outlineLvl w:val="9"/>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2B63AA8B">
                  <w:pPr>
                    <w:pageBreakBefore w:val="0"/>
                    <w:wordWrap/>
                    <w:overflowPunct/>
                    <w:topLinePunct w:val="0"/>
                    <w:bidi w:val="0"/>
                    <w:jc w:val="center"/>
                    <w:outlineLvl w:val="9"/>
                    <w:rPr>
                      <w:rFonts w:hint="default" w:cs="Times New Roman"/>
                      <w:color w:val="auto"/>
                      <w:sz w:val="18"/>
                      <w:szCs w:val="18"/>
                      <w:lang w:val="en-US" w:eastAsia="zh-CN"/>
                    </w:rPr>
                  </w:pPr>
                  <w:r>
                    <w:rPr>
                      <w:rFonts w:hint="eastAsia" w:cs="Times New Roman"/>
                      <w:color w:val="auto"/>
                      <w:sz w:val="18"/>
                      <w:szCs w:val="18"/>
                      <w:lang w:val="en-US" w:eastAsia="zh-CN"/>
                    </w:rPr>
                    <w:t>1.68</w:t>
                  </w:r>
                </w:p>
              </w:tc>
              <w:tc>
                <w:tcPr>
                  <w:tcW w:w="971" w:type="pct"/>
                  <w:tcBorders>
                    <w:tl2br w:val="nil"/>
                    <w:tr2bl w:val="nil"/>
                  </w:tcBorders>
                  <w:noWrap w:val="0"/>
                  <w:tcMar>
                    <w:top w:w="0" w:type="dxa"/>
                    <w:left w:w="0" w:type="dxa"/>
                    <w:bottom w:w="0" w:type="dxa"/>
                    <w:right w:w="0" w:type="dxa"/>
                  </w:tcMar>
                  <w:vAlign w:val="center"/>
                </w:tcPr>
                <w:p w14:paraId="56B69BB9">
                  <w:pPr>
                    <w:pageBreakBefore w:val="0"/>
                    <w:wordWrap/>
                    <w:overflowPunct/>
                    <w:topLinePunct w:val="0"/>
                    <w:bidi w:val="0"/>
                    <w:jc w:val="center"/>
                    <w:outlineLvl w:val="9"/>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2.72</w:t>
                  </w:r>
                  <w:r>
                    <w:rPr>
                      <w:rFonts w:hint="eastAsia" w:ascii="Times New Roman" w:hAnsi="Times New Roman" w:eastAsia="宋体" w:cs="Times New Roman"/>
                      <w:color w:val="auto"/>
                      <w:sz w:val="18"/>
                      <w:szCs w:val="18"/>
                      <w:lang w:val="en-US" w:eastAsia="zh-CN"/>
                    </w:rPr>
                    <w:t>×10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0C45E6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4D0FE4E2">
                  <w:pPr>
                    <w:keepNext w:val="0"/>
                    <w:keepLines w:val="0"/>
                    <w:pageBreakBefore w:val="0"/>
                    <w:widowControl w:val="0"/>
                    <w:shd w:val="clear" w:color="auto" w:fill="auto"/>
                    <w:wordWrap/>
                    <w:overflowPunct/>
                    <w:topLinePunct w:val="0"/>
                    <w:bidi w:val="0"/>
                    <w:spacing w:before="0" w:after="0" w:line="240" w:lineRule="auto"/>
                    <w:ind w:left="0" w:leftChars="0" w:right="0" w:rightChars="0" w:firstLine="0" w:firstLineChars="0"/>
                    <w:jc w:val="center"/>
                    <w:outlineLvl w:val="9"/>
                    <w:rPr>
                      <w:rFonts w:hint="default" w:ascii="Times New Roman" w:hAnsi="Times New Roman" w:eastAsia="宋体" w:cs="Times New Roman"/>
                      <w:color w:val="auto"/>
                      <w:spacing w:val="0"/>
                      <w:w w:val="100"/>
                      <w:position w:val="0"/>
                      <w:sz w:val="18"/>
                      <w:szCs w:val="18"/>
                      <w:lang w:val="en-US" w:eastAsia="zh-CN" w:bidi="en-US"/>
                    </w:rPr>
                  </w:pPr>
                </w:p>
              </w:tc>
              <w:tc>
                <w:tcPr>
                  <w:tcW w:w="682" w:type="pct"/>
                  <w:vMerge w:val="restart"/>
                  <w:tcBorders>
                    <w:tl2br w:val="nil"/>
                    <w:tr2bl w:val="nil"/>
                  </w:tcBorders>
                  <w:noWrap w:val="0"/>
                  <w:tcMar>
                    <w:top w:w="0" w:type="dxa"/>
                    <w:left w:w="0" w:type="dxa"/>
                    <w:bottom w:w="0" w:type="dxa"/>
                    <w:right w:w="0" w:type="dxa"/>
                  </w:tcMar>
                  <w:vAlign w:val="center"/>
                </w:tcPr>
                <w:p w14:paraId="2B30E91B">
                  <w:pPr>
                    <w:pageBreakBefore w:val="0"/>
                    <w:wordWrap/>
                    <w:overflowPunct/>
                    <w:topLinePunct w:val="0"/>
                    <w:bidi w:val="0"/>
                    <w:jc w:val="center"/>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DA009</w:t>
                  </w:r>
                </w:p>
              </w:tc>
              <w:tc>
                <w:tcPr>
                  <w:tcW w:w="681" w:type="pct"/>
                  <w:tcBorders>
                    <w:tl2br w:val="nil"/>
                    <w:tr2bl w:val="nil"/>
                  </w:tcBorders>
                  <w:noWrap w:val="0"/>
                  <w:tcMar>
                    <w:top w:w="0" w:type="dxa"/>
                    <w:left w:w="0" w:type="dxa"/>
                    <w:bottom w:w="0" w:type="dxa"/>
                    <w:right w:w="0" w:type="dxa"/>
                  </w:tcMar>
                  <w:vAlign w:val="center"/>
                </w:tcPr>
                <w:p w14:paraId="5B435B45">
                  <w:pPr>
                    <w:pageBreakBefore w:val="0"/>
                    <w:tabs>
                      <w:tab w:val="left" w:pos="7020"/>
                    </w:tabs>
                    <w:wordWrap/>
                    <w:overflowPunct/>
                    <w:topLinePunct w:val="0"/>
                    <w:bidi w:val="0"/>
                    <w:jc w:val="center"/>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第一次</w:t>
                  </w:r>
                </w:p>
              </w:tc>
              <w:tc>
                <w:tcPr>
                  <w:tcW w:w="975" w:type="pct"/>
                  <w:tcBorders>
                    <w:tl2br w:val="nil"/>
                    <w:tr2bl w:val="nil"/>
                  </w:tcBorders>
                  <w:noWrap w:val="0"/>
                  <w:tcMar>
                    <w:top w:w="0" w:type="dxa"/>
                    <w:left w:w="0" w:type="dxa"/>
                    <w:bottom w:w="0" w:type="dxa"/>
                    <w:right w:w="0" w:type="dxa"/>
                  </w:tcMar>
                  <w:vAlign w:val="center"/>
                </w:tcPr>
                <w:p w14:paraId="50CA42A8">
                  <w:pPr>
                    <w:pageBreakBefore w:val="0"/>
                    <w:wordWrap/>
                    <w:overflowPunct/>
                    <w:topLinePunct w:val="0"/>
                    <w:bidi w:val="0"/>
                    <w:jc w:val="center"/>
                    <w:outlineLvl w:val="9"/>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492E3E23">
                  <w:pPr>
                    <w:pageBreakBefore w:val="0"/>
                    <w:wordWrap/>
                    <w:overflowPunct/>
                    <w:topLinePunct w:val="0"/>
                    <w:bidi w:val="0"/>
                    <w:jc w:val="center"/>
                    <w:outlineLvl w:val="9"/>
                    <w:rPr>
                      <w:rFonts w:hint="default" w:cs="Times New Roman"/>
                      <w:color w:val="auto"/>
                      <w:sz w:val="18"/>
                      <w:szCs w:val="18"/>
                      <w:lang w:val="en-US" w:eastAsia="zh-CN"/>
                    </w:rPr>
                  </w:pPr>
                  <w:r>
                    <w:rPr>
                      <w:rFonts w:hint="eastAsia" w:cs="Times New Roman"/>
                      <w:color w:val="auto"/>
                      <w:sz w:val="18"/>
                      <w:szCs w:val="18"/>
                      <w:lang w:val="en-US" w:eastAsia="zh-CN"/>
                    </w:rPr>
                    <w:t>1.98</w:t>
                  </w:r>
                </w:p>
              </w:tc>
              <w:tc>
                <w:tcPr>
                  <w:tcW w:w="971" w:type="pct"/>
                  <w:tcBorders>
                    <w:tl2br w:val="nil"/>
                    <w:tr2bl w:val="nil"/>
                  </w:tcBorders>
                  <w:noWrap w:val="0"/>
                  <w:tcMar>
                    <w:top w:w="0" w:type="dxa"/>
                    <w:left w:w="0" w:type="dxa"/>
                    <w:bottom w:w="0" w:type="dxa"/>
                    <w:right w:w="0" w:type="dxa"/>
                  </w:tcMar>
                  <w:vAlign w:val="center"/>
                </w:tcPr>
                <w:p w14:paraId="747F6888">
                  <w:pPr>
                    <w:pageBreakBefore w:val="0"/>
                    <w:wordWrap/>
                    <w:overflowPunct/>
                    <w:topLinePunct w:val="0"/>
                    <w:bidi w:val="0"/>
                    <w:jc w:val="center"/>
                    <w:outlineLvl w:val="9"/>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2.80</w:t>
                  </w:r>
                  <w:r>
                    <w:rPr>
                      <w:rFonts w:hint="eastAsia" w:ascii="Times New Roman" w:hAnsi="Times New Roman" w:eastAsia="宋体" w:cs="Times New Roman"/>
                      <w:color w:val="auto"/>
                      <w:sz w:val="18"/>
                      <w:szCs w:val="18"/>
                      <w:lang w:val="en-US" w:eastAsia="zh-CN"/>
                    </w:rPr>
                    <w:t>×10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6F7333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6C8A3063">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2" w:type="pct"/>
                  <w:vMerge w:val="continue"/>
                  <w:tcBorders>
                    <w:tl2br w:val="nil"/>
                    <w:tr2bl w:val="nil"/>
                  </w:tcBorders>
                  <w:noWrap w:val="0"/>
                  <w:tcMar>
                    <w:top w:w="0" w:type="dxa"/>
                    <w:left w:w="0" w:type="dxa"/>
                    <w:bottom w:w="0" w:type="dxa"/>
                    <w:right w:w="0" w:type="dxa"/>
                  </w:tcMar>
                  <w:vAlign w:val="center"/>
                </w:tcPr>
                <w:p w14:paraId="1BC1A97D">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1" w:type="pct"/>
                  <w:tcBorders>
                    <w:tl2br w:val="nil"/>
                    <w:tr2bl w:val="nil"/>
                  </w:tcBorders>
                  <w:noWrap w:val="0"/>
                  <w:tcMar>
                    <w:top w:w="0" w:type="dxa"/>
                    <w:left w:w="0" w:type="dxa"/>
                    <w:bottom w:w="0" w:type="dxa"/>
                    <w:right w:w="0" w:type="dxa"/>
                  </w:tcMar>
                  <w:vAlign w:val="center"/>
                </w:tcPr>
                <w:p w14:paraId="4B30482D">
                  <w:pPr>
                    <w:pageBreakBefore w:val="0"/>
                    <w:tabs>
                      <w:tab w:val="left" w:pos="7020"/>
                    </w:tabs>
                    <w:wordWrap/>
                    <w:overflowPunct/>
                    <w:topLinePunct w:val="0"/>
                    <w:bidi w:val="0"/>
                    <w:jc w:val="center"/>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第二次</w:t>
                  </w:r>
                </w:p>
              </w:tc>
              <w:tc>
                <w:tcPr>
                  <w:tcW w:w="975" w:type="pct"/>
                  <w:tcBorders>
                    <w:tl2br w:val="nil"/>
                    <w:tr2bl w:val="nil"/>
                  </w:tcBorders>
                  <w:noWrap w:val="0"/>
                  <w:tcMar>
                    <w:top w:w="0" w:type="dxa"/>
                    <w:left w:w="0" w:type="dxa"/>
                    <w:bottom w:w="0" w:type="dxa"/>
                    <w:right w:w="0" w:type="dxa"/>
                  </w:tcMar>
                  <w:vAlign w:val="center"/>
                </w:tcPr>
                <w:p w14:paraId="4C8F10EA">
                  <w:pPr>
                    <w:pageBreakBefore w:val="0"/>
                    <w:wordWrap/>
                    <w:overflowPunct/>
                    <w:topLinePunct w:val="0"/>
                    <w:bidi w:val="0"/>
                    <w:jc w:val="center"/>
                    <w:outlineLvl w:val="9"/>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76979779">
                  <w:pPr>
                    <w:pageBreakBefore w:val="0"/>
                    <w:wordWrap/>
                    <w:overflowPunct/>
                    <w:topLinePunct w:val="0"/>
                    <w:bidi w:val="0"/>
                    <w:jc w:val="center"/>
                    <w:outlineLvl w:val="9"/>
                    <w:rPr>
                      <w:rFonts w:hint="default" w:cs="Times New Roman"/>
                      <w:color w:val="auto"/>
                      <w:sz w:val="18"/>
                      <w:szCs w:val="18"/>
                      <w:lang w:val="en-US" w:eastAsia="zh-CN"/>
                    </w:rPr>
                  </w:pPr>
                  <w:r>
                    <w:rPr>
                      <w:rFonts w:hint="eastAsia" w:cs="Times New Roman"/>
                      <w:color w:val="auto"/>
                      <w:sz w:val="18"/>
                      <w:szCs w:val="18"/>
                      <w:lang w:val="en-US" w:eastAsia="zh-CN"/>
                    </w:rPr>
                    <w:t>1.98</w:t>
                  </w:r>
                </w:p>
              </w:tc>
              <w:tc>
                <w:tcPr>
                  <w:tcW w:w="971" w:type="pct"/>
                  <w:tcBorders>
                    <w:tl2br w:val="nil"/>
                    <w:tr2bl w:val="nil"/>
                  </w:tcBorders>
                  <w:noWrap w:val="0"/>
                  <w:tcMar>
                    <w:top w:w="0" w:type="dxa"/>
                    <w:left w:w="0" w:type="dxa"/>
                    <w:bottom w:w="0" w:type="dxa"/>
                    <w:right w:w="0" w:type="dxa"/>
                  </w:tcMar>
                  <w:vAlign w:val="center"/>
                </w:tcPr>
                <w:p w14:paraId="0C8E3445">
                  <w:pPr>
                    <w:pageBreakBefore w:val="0"/>
                    <w:wordWrap/>
                    <w:overflowPunct/>
                    <w:topLinePunct w:val="0"/>
                    <w:bidi w:val="0"/>
                    <w:jc w:val="center"/>
                    <w:outlineLvl w:val="9"/>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2.64</w:t>
                  </w:r>
                  <w:r>
                    <w:rPr>
                      <w:rFonts w:hint="eastAsia" w:ascii="Times New Roman" w:hAnsi="Times New Roman" w:eastAsia="宋体" w:cs="Times New Roman"/>
                      <w:color w:val="auto"/>
                      <w:sz w:val="18"/>
                      <w:szCs w:val="18"/>
                      <w:lang w:val="en-US" w:eastAsia="zh-CN"/>
                    </w:rPr>
                    <w:t>×10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6E49D3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08065122">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2" w:type="pct"/>
                  <w:vMerge w:val="continue"/>
                  <w:tcBorders>
                    <w:tl2br w:val="nil"/>
                    <w:tr2bl w:val="nil"/>
                  </w:tcBorders>
                  <w:noWrap w:val="0"/>
                  <w:tcMar>
                    <w:top w:w="0" w:type="dxa"/>
                    <w:left w:w="0" w:type="dxa"/>
                    <w:bottom w:w="0" w:type="dxa"/>
                    <w:right w:w="0" w:type="dxa"/>
                  </w:tcMar>
                  <w:vAlign w:val="center"/>
                </w:tcPr>
                <w:p w14:paraId="21D3D4EF">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1" w:type="pct"/>
                  <w:tcBorders>
                    <w:tl2br w:val="nil"/>
                    <w:tr2bl w:val="nil"/>
                  </w:tcBorders>
                  <w:noWrap w:val="0"/>
                  <w:tcMar>
                    <w:top w:w="0" w:type="dxa"/>
                    <w:left w:w="0" w:type="dxa"/>
                    <w:bottom w:w="0" w:type="dxa"/>
                    <w:right w:w="0" w:type="dxa"/>
                  </w:tcMar>
                  <w:vAlign w:val="center"/>
                </w:tcPr>
                <w:p w14:paraId="4ABAC6A0">
                  <w:pPr>
                    <w:pageBreakBefore w:val="0"/>
                    <w:tabs>
                      <w:tab w:val="left" w:pos="7020"/>
                    </w:tabs>
                    <w:wordWrap/>
                    <w:overflowPunct/>
                    <w:topLinePunct w:val="0"/>
                    <w:bidi w:val="0"/>
                    <w:jc w:val="center"/>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第三次</w:t>
                  </w:r>
                </w:p>
              </w:tc>
              <w:tc>
                <w:tcPr>
                  <w:tcW w:w="975" w:type="pct"/>
                  <w:tcBorders>
                    <w:tl2br w:val="nil"/>
                    <w:tr2bl w:val="nil"/>
                  </w:tcBorders>
                  <w:noWrap w:val="0"/>
                  <w:tcMar>
                    <w:top w:w="0" w:type="dxa"/>
                    <w:left w:w="0" w:type="dxa"/>
                    <w:bottom w:w="0" w:type="dxa"/>
                    <w:right w:w="0" w:type="dxa"/>
                  </w:tcMar>
                  <w:vAlign w:val="center"/>
                </w:tcPr>
                <w:p w14:paraId="160A4B07">
                  <w:pPr>
                    <w:pageBreakBefore w:val="0"/>
                    <w:wordWrap/>
                    <w:overflowPunct/>
                    <w:topLinePunct w:val="0"/>
                    <w:bidi w:val="0"/>
                    <w:jc w:val="center"/>
                    <w:outlineLvl w:val="9"/>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5899BDE5">
                  <w:pPr>
                    <w:pageBreakBefore w:val="0"/>
                    <w:wordWrap/>
                    <w:overflowPunct/>
                    <w:topLinePunct w:val="0"/>
                    <w:bidi w:val="0"/>
                    <w:jc w:val="center"/>
                    <w:outlineLvl w:val="9"/>
                    <w:rPr>
                      <w:rFonts w:hint="default" w:cs="Times New Roman"/>
                      <w:color w:val="auto"/>
                      <w:sz w:val="18"/>
                      <w:szCs w:val="18"/>
                      <w:lang w:val="en-US" w:eastAsia="zh-CN"/>
                    </w:rPr>
                  </w:pPr>
                  <w:r>
                    <w:rPr>
                      <w:rFonts w:hint="eastAsia" w:cs="Times New Roman"/>
                      <w:color w:val="auto"/>
                      <w:sz w:val="18"/>
                      <w:szCs w:val="18"/>
                      <w:lang w:val="en-US" w:eastAsia="zh-CN"/>
                    </w:rPr>
                    <w:t>2.00</w:t>
                  </w:r>
                </w:p>
              </w:tc>
              <w:tc>
                <w:tcPr>
                  <w:tcW w:w="971" w:type="pct"/>
                  <w:tcBorders>
                    <w:tl2br w:val="nil"/>
                    <w:tr2bl w:val="nil"/>
                  </w:tcBorders>
                  <w:noWrap w:val="0"/>
                  <w:tcMar>
                    <w:top w:w="0" w:type="dxa"/>
                    <w:left w:w="0" w:type="dxa"/>
                    <w:bottom w:w="0" w:type="dxa"/>
                    <w:right w:w="0" w:type="dxa"/>
                  </w:tcMar>
                  <w:vAlign w:val="center"/>
                </w:tcPr>
                <w:p w14:paraId="555A8BF6">
                  <w:pPr>
                    <w:pageBreakBefore w:val="0"/>
                    <w:wordWrap/>
                    <w:overflowPunct/>
                    <w:topLinePunct w:val="0"/>
                    <w:bidi w:val="0"/>
                    <w:jc w:val="center"/>
                    <w:outlineLvl w:val="9"/>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2.59</w:t>
                  </w:r>
                  <w:r>
                    <w:rPr>
                      <w:rFonts w:hint="eastAsia" w:ascii="Times New Roman" w:hAnsi="Times New Roman" w:eastAsia="宋体" w:cs="Times New Roman"/>
                      <w:color w:val="auto"/>
                      <w:sz w:val="18"/>
                      <w:szCs w:val="18"/>
                      <w:lang w:val="en-US" w:eastAsia="zh-CN"/>
                    </w:rPr>
                    <w:t>×10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0410AF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530F586E">
                  <w:pPr>
                    <w:keepNext w:val="0"/>
                    <w:keepLines w:val="0"/>
                    <w:pageBreakBefore w:val="0"/>
                    <w:widowControl w:val="0"/>
                    <w:shd w:val="clear" w:color="auto" w:fill="auto"/>
                    <w:wordWrap/>
                    <w:overflowPunct/>
                    <w:topLinePunct w:val="0"/>
                    <w:bidi w:val="0"/>
                    <w:spacing w:before="0" w:after="0" w:line="240" w:lineRule="auto"/>
                    <w:ind w:right="0" w:rightChars="0"/>
                    <w:jc w:val="center"/>
                    <w:outlineLvl w:val="9"/>
                    <w:rPr>
                      <w:rFonts w:hint="default" w:ascii="Times New Roman" w:hAnsi="Times New Roman" w:eastAsia="宋体" w:cs="Times New Roman"/>
                      <w:color w:val="auto"/>
                      <w:spacing w:val="0"/>
                      <w:w w:val="100"/>
                      <w:position w:val="0"/>
                      <w:sz w:val="18"/>
                      <w:szCs w:val="18"/>
                      <w:lang w:val="en-US" w:eastAsia="zh-CN" w:bidi="en-US"/>
                    </w:rPr>
                  </w:pPr>
                </w:p>
              </w:tc>
              <w:tc>
                <w:tcPr>
                  <w:tcW w:w="682" w:type="pct"/>
                  <w:vMerge w:val="restart"/>
                  <w:tcBorders>
                    <w:tl2br w:val="nil"/>
                    <w:tr2bl w:val="nil"/>
                  </w:tcBorders>
                  <w:noWrap w:val="0"/>
                  <w:tcMar>
                    <w:top w:w="0" w:type="dxa"/>
                    <w:left w:w="0" w:type="dxa"/>
                    <w:bottom w:w="0" w:type="dxa"/>
                    <w:right w:w="0" w:type="dxa"/>
                  </w:tcMar>
                  <w:vAlign w:val="center"/>
                </w:tcPr>
                <w:p w14:paraId="48C75CBC">
                  <w:pPr>
                    <w:pageBreakBefore w:val="0"/>
                    <w:wordWrap/>
                    <w:overflowPunct/>
                    <w:topLinePunct w:val="0"/>
                    <w:bidi w:val="0"/>
                    <w:jc w:val="center"/>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DA010</w:t>
                  </w:r>
                </w:p>
              </w:tc>
              <w:tc>
                <w:tcPr>
                  <w:tcW w:w="681" w:type="pct"/>
                  <w:tcBorders>
                    <w:tl2br w:val="nil"/>
                    <w:tr2bl w:val="nil"/>
                  </w:tcBorders>
                  <w:noWrap w:val="0"/>
                  <w:tcMar>
                    <w:top w:w="0" w:type="dxa"/>
                    <w:left w:w="0" w:type="dxa"/>
                    <w:bottom w:w="0" w:type="dxa"/>
                    <w:right w:w="0" w:type="dxa"/>
                  </w:tcMar>
                  <w:vAlign w:val="center"/>
                </w:tcPr>
                <w:p w14:paraId="5C8E9445">
                  <w:pPr>
                    <w:pageBreakBefore w:val="0"/>
                    <w:tabs>
                      <w:tab w:val="left" w:pos="7020"/>
                    </w:tabs>
                    <w:wordWrap/>
                    <w:overflowPunct/>
                    <w:topLinePunct w:val="0"/>
                    <w:bidi w:val="0"/>
                    <w:jc w:val="center"/>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第一次</w:t>
                  </w:r>
                </w:p>
              </w:tc>
              <w:tc>
                <w:tcPr>
                  <w:tcW w:w="975" w:type="pct"/>
                  <w:tcBorders>
                    <w:tl2br w:val="nil"/>
                    <w:tr2bl w:val="nil"/>
                  </w:tcBorders>
                  <w:noWrap w:val="0"/>
                  <w:tcMar>
                    <w:top w:w="0" w:type="dxa"/>
                    <w:left w:w="0" w:type="dxa"/>
                    <w:bottom w:w="0" w:type="dxa"/>
                    <w:right w:w="0" w:type="dxa"/>
                  </w:tcMar>
                  <w:vAlign w:val="center"/>
                </w:tcPr>
                <w:p w14:paraId="0FFD5EB1">
                  <w:pPr>
                    <w:pageBreakBefore w:val="0"/>
                    <w:wordWrap/>
                    <w:overflowPunct/>
                    <w:topLinePunct w:val="0"/>
                    <w:bidi w:val="0"/>
                    <w:jc w:val="center"/>
                    <w:outlineLvl w:val="9"/>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61E81D3F">
                  <w:pPr>
                    <w:pageBreakBefore w:val="0"/>
                    <w:tabs>
                      <w:tab w:val="left" w:pos="7020"/>
                    </w:tabs>
                    <w:wordWrap/>
                    <w:overflowPunct/>
                    <w:topLinePunct w:val="0"/>
                    <w:bidi w:val="0"/>
                    <w:jc w:val="center"/>
                    <w:outlineLvl w:val="9"/>
                    <w:rPr>
                      <w:rFonts w:hint="default" w:cs="Times New Roman"/>
                      <w:color w:val="auto"/>
                      <w:sz w:val="18"/>
                      <w:szCs w:val="18"/>
                      <w:lang w:val="en-US" w:eastAsia="zh-CN"/>
                    </w:rPr>
                  </w:pPr>
                  <w:r>
                    <w:rPr>
                      <w:rFonts w:hint="eastAsia" w:cs="Times New Roman"/>
                      <w:color w:val="auto"/>
                      <w:sz w:val="18"/>
                      <w:szCs w:val="18"/>
                      <w:lang w:val="en-US" w:eastAsia="zh-CN"/>
                    </w:rPr>
                    <w:t>1.74</w:t>
                  </w:r>
                </w:p>
              </w:tc>
              <w:tc>
                <w:tcPr>
                  <w:tcW w:w="971" w:type="pct"/>
                  <w:tcBorders>
                    <w:tl2br w:val="nil"/>
                    <w:tr2bl w:val="nil"/>
                  </w:tcBorders>
                  <w:noWrap w:val="0"/>
                  <w:tcMar>
                    <w:top w:w="0" w:type="dxa"/>
                    <w:left w:w="0" w:type="dxa"/>
                    <w:bottom w:w="0" w:type="dxa"/>
                    <w:right w:w="0" w:type="dxa"/>
                  </w:tcMar>
                  <w:vAlign w:val="center"/>
                </w:tcPr>
                <w:p w14:paraId="6BBD1379">
                  <w:pPr>
                    <w:pageBreakBefore w:val="0"/>
                    <w:wordWrap/>
                    <w:overflowPunct/>
                    <w:topLinePunct w:val="0"/>
                    <w:bidi w:val="0"/>
                    <w:jc w:val="center"/>
                    <w:outlineLvl w:val="9"/>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5.76</w:t>
                  </w:r>
                  <w:r>
                    <w:rPr>
                      <w:rFonts w:hint="eastAsia" w:ascii="Times New Roman" w:hAnsi="Times New Roman" w:eastAsia="宋体" w:cs="Times New Roman"/>
                      <w:color w:val="auto"/>
                      <w:sz w:val="18"/>
                      <w:szCs w:val="18"/>
                      <w:lang w:val="en-US" w:eastAsia="zh-CN"/>
                    </w:rPr>
                    <w:t>×10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581481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2BFC5534">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2" w:type="pct"/>
                  <w:vMerge w:val="continue"/>
                  <w:tcBorders>
                    <w:tl2br w:val="nil"/>
                    <w:tr2bl w:val="nil"/>
                  </w:tcBorders>
                  <w:noWrap w:val="0"/>
                  <w:tcMar>
                    <w:top w:w="0" w:type="dxa"/>
                    <w:left w:w="0" w:type="dxa"/>
                    <w:bottom w:w="0" w:type="dxa"/>
                    <w:right w:w="0" w:type="dxa"/>
                  </w:tcMar>
                  <w:vAlign w:val="center"/>
                </w:tcPr>
                <w:p w14:paraId="6B02CFBA">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1" w:type="pct"/>
                  <w:tcBorders>
                    <w:tl2br w:val="nil"/>
                    <w:tr2bl w:val="nil"/>
                  </w:tcBorders>
                  <w:noWrap w:val="0"/>
                  <w:tcMar>
                    <w:top w:w="0" w:type="dxa"/>
                    <w:left w:w="0" w:type="dxa"/>
                    <w:bottom w:w="0" w:type="dxa"/>
                    <w:right w:w="0" w:type="dxa"/>
                  </w:tcMar>
                  <w:vAlign w:val="center"/>
                </w:tcPr>
                <w:p w14:paraId="53FFBF73">
                  <w:pPr>
                    <w:pageBreakBefore w:val="0"/>
                    <w:tabs>
                      <w:tab w:val="left" w:pos="7020"/>
                    </w:tabs>
                    <w:wordWrap/>
                    <w:overflowPunct/>
                    <w:topLinePunct w:val="0"/>
                    <w:bidi w:val="0"/>
                    <w:jc w:val="center"/>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第二次</w:t>
                  </w:r>
                </w:p>
              </w:tc>
              <w:tc>
                <w:tcPr>
                  <w:tcW w:w="975" w:type="pct"/>
                  <w:tcBorders>
                    <w:tl2br w:val="nil"/>
                    <w:tr2bl w:val="nil"/>
                  </w:tcBorders>
                  <w:noWrap w:val="0"/>
                  <w:tcMar>
                    <w:top w:w="0" w:type="dxa"/>
                    <w:left w:w="0" w:type="dxa"/>
                    <w:bottom w:w="0" w:type="dxa"/>
                    <w:right w:w="0" w:type="dxa"/>
                  </w:tcMar>
                  <w:vAlign w:val="center"/>
                </w:tcPr>
                <w:p w14:paraId="7B654056">
                  <w:pPr>
                    <w:pageBreakBefore w:val="0"/>
                    <w:wordWrap/>
                    <w:overflowPunct/>
                    <w:topLinePunct w:val="0"/>
                    <w:bidi w:val="0"/>
                    <w:jc w:val="center"/>
                    <w:outlineLvl w:val="9"/>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1580CC6B">
                  <w:pPr>
                    <w:pageBreakBefore w:val="0"/>
                    <w:tabs>
                      <w:tab w:val="left" w:pos="7020"/>
                    </w:tabs>
                    <w:wordWrap/>
                    <w:overflowPunct/>
                    <w:topLinePunct w:val="0"/>
                    <w:bidi w:val="0"/>
                    <w:jc w:val="center"/>
                    <w:outlineLvl w:val="9"/>
                    <w:rPr>
                      <w:rFonts w:hint="default" w:cs="Times New Roman"/>
                      <w:color w:val="auto"/>
                      <w:sz w:val="18"/>
                      <w:szCs w:val="18"/>
                      <w:lang w:val="en-US" w:eastAsia="zh-CN"/>
                    </w:rPr>
                  </w:pPr>
                  <w:r>
                    <w:rPr>
                      <w:rFonts w:hint="eastAsia" w:cs="Times New Roman"/>
                      <w:color w:val="auto"/>
                      <w:sz w:val="18"/>
                      <w:szCs w:val="18"/>
                      <w:lang w:val="en-US" w:eastAsia="zh-CN"/>
                    </w:rPr>
                    <w:t>1.76</w:t>
                  </w:r>
                </w:p>
              </w:tc>
              <w:tc>
                <w:tcPr>
                  <w:tcW w:w="971" w:type="pct"/>
                  <w:tcBorders>
                    <w:tl2br w:val="nil"/>
                    <w:tr2bl w:val="nil"/>
                  </w:tcBorders>
                  <w:noWrap w:val="0"/>
                  <w:tcMar>
                    <w:top w:w="0" w:type="dxa"/>
                    <w:left w:w="0" w:type="dxa"/>
                    <w:bottom w:w="0" w:type="dxa"/>
                    <w:right w:w="0" w:type="dxa"/>
                  </w:tcMar>
                  <w:vAlign w:val="center"/>
                </w:tcPr>
                <w:p w14:paraId="58B555EE">
                  <w:pPr>
                    <w:pageBreakBefore w:val="0"/>
                    <w:wordWrap/>
                    <w:overflowPunct/>
                    <w:topLinePunct w:val="0"/>
                    <w:bidi w:val="0"/>
                    <w:jc w:val="center"/>
                    <w:outlineLvl w:val="9"/>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5.83</w:t>
                  </w:r>
                  <w:r>
                    <w:rPr>
                      <w:rFonts w:hint="eastAsia" w:ascii="Times New Roman" w:hAnsi="Times New Roman" w:eastAsia="宋体" w:cs="Times New Roman"/>
                      <w:color w:val="auto"/>
                      <w:sz w:val="18"/>
                      <w:szCs w:val="18"/>
                      <w:lang w:val="en-US" w:eastAsia="zh-CN"/>
                    </w:rPr>
                    <w:t>×10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32A80A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410E3254">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2" w:type="pct"/>
                  <w:vMerge w:val="continue"/>
                  <w:tcBorders>
                    <w:tl2br w:val="nil"/>
                    <w:tr2bl w:val="nil"/>
                  </w:tcBorders>
                  <w:noWrap w:val="0"/>
                  <w:tcMar>
                    <w:top w:w="0" w:type="dxa"/>
                    <w:left w:w="0" w:type="dxa"/>
                    <w:bottom w:w="0" w:type="dxa"/>
                    <w:right w:w="0" w:type="dxa"/>
                  </w:tcMar>
                  <w:vAlign w:val="center"/>
                </w:tcPr>
                <w:p w14:paraId="6E617664">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1" w:type="pct"/>
                  <w:tcBorders>
                    <w:tl2br w:val="nil"/>
                    <w:tr2bl w:val="nil"/>
                  </w:tcBorders>
                  <w:noWrap w:val="0"/>
                  <w:tcMar>
                    <w:top w:w="0" w:type="dxa"/>
                    <w:left w:w="0" w:type="dxa"/>
                    <w:bottom w:w="0" w:type="dxa"/>
                    <w:right w:w="0" w:type="dxa"/>
                  </w:tcMar>
                  <w:vAlign w:val="center"/>
                </w:tcPr>
                <w:p w14:paraId="7AEA80AC">
                  <w:pPr>
                    <w:pageBreakBefore w:val="0"/>
                    <w:tabs>
                      <w:tab w:val="left" w:pos="7020"/>
                    </w:tabs>
                    <w:wordWrap/>
                    <w:overflowPunct/>
                    <w:topLinePunct w:val="0"/>
                    <w:bidi w:val="0"/>
                    <w:jc w:val="center"/>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第三次</w:t>
                  </w:r>
                </w:p>
              </w:tc>
              <w:tc>
                <w:tcPr>
                  <w:tcW w:w="975" w:type="pct"/>
                  <w:tcBorders>
                    <w:tl2br w:val="nil"/>
                    <w:tr2bl w:val="nil"/>
                  </w:tcBorders>
                  <w:noWrap w:val="0"/>
                  <w:tcMar>
                    <w:top w:w="0" w:type="dxa"/>
                    <w:left w:w="0" w:type="dxa"/>
                    <w:bottom w:w="0" w:type="dxa"/>
                    <w:right w:w="0" w:type="dxa"/>
                  </w:tcMar>
                  <w:vAlign w:val="center"/>
                </w:tcPr>
                <w:p w14:paraId="1BAA817B">
                  <w:pPr>
                    <w:pageBreakBefore w:val="0"/>
                    <w:wordWrap/>
                    <w:overflowPunct/>
                    <w:topLinePunct w:val="0"/>
                    <w:bidi w:val="0"/>
                    <w:jc w:val="center"/>
                    <w:outlineLvl w:val="9"/>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04C8ED55">
                  <w:pPr>
                    <w:pageBreakBefore w:val="0"/>
                    <w:tabs>
                      <w:tab w:val="left" w:pos="7020"/>
                    </w:tabs>
                    <w:wordWrap/>
                    <w:overflowPunct/>
                    <w:topLinePunct w:val="0"/>
                    <w:bidi w:val="0"/>
                    <w:jc w:val="center"/>
                    <w:outlineLvl w:val="9"/>
                    <w:rPr>
                      <w:rFonts w:hint="default" w:cs="Times New Roman"/>
                      <w:color w:val="auto"/>
                      <w:sz w:val="18"/>
                      <w:szCs w:val="18"/>
                      <w:lang w:val="en-US" w:eastAsia="zh-CN"/>
                    </w:rPr>
                  </w:pPr>
                  <w:r>
                    <w:rPr>
                      <w:rFonts w:hint="eastAsia" w:cs="Times New Roman"/>
                      <w:color w:val="auto"/>
                      <w:sz w:val="18"/>
                      <w:szCs w:val="18"/>
                      <w:lang w:val="en-US" w:eastAsia="zh-CN"/>
                    </w:rPr>
                    <w:t>1.74</w:t>
                  </w:r>
                </w:p>
              </w:tc>
              <w:tc>
                <w:tcPr>
                  <w:tcW w:w="971" w:type="pct"/>
                  <w:tcBorders>
                    <w:tl2br w:val="nil"/>
                    <w:tr2bl w:val="nil"/>
                  </w:tcBorders>
                  <w:noWrap w:val="0"/>
                  <w:tcMar>
                    <w:top w:w="0" w:type="dxa"/>
                    <w:left w:w="0" w:type="dxa"/>
                    <w:bottom w:w="0" w:type="dxa"/>
                    <w:right w:w="0" w:type="dxa"/>
                  </w:tcMar>
                  <w:vAlign w:val="center"/>
                </w:tcPr>
                <w:p w14:paraId="73DC333D">
                  <w:pPr>
                    <w:pageBreakBefore w:val="0"/>
                    <w:wordWrap/>
                    <w:overflowPunct/>
                    <w:topLinePunct w:val="0"/>
                    <w:bidi w:val="0"/>
                    <w:jc w:val="center"/>
                    <w:outlineLvl w:val="9"/>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5.81</w:t>
                  </w:r>
                  <w:r>
                    <w:rPr>
                      <w:rFonts w:hint="eastAsia" w:ascii="Times New Roman" w:hAnsi="Times New Roman" w:eastAsia="宋体" w:cs="Times New Roman"/>
                      <w:color w:val="auto"/>
                      <w:sz w:val="18"/>
                      <w:szCs w:val="18"/>
                      <w:lang w:val="en-US" w:eastAsia="zh-CN"/>
                    </w:rPr>
                    <w:t>×10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6BDE6F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2A22FE64">
                  <w:pPr>
                    <w:keepNext w:val="0"/>
                    <w:keepLines w:val="0"/>
                    <w:pageBreakBefore w:val="0"/>
                    <w:widowControl w:val="0"/>
                    <w:shd w:val="clear" w:color="auto" w:fill="auto"/>
                    <w:wordWrap/>
                    <w:overflowPunct/>
                    <w:topLinePunct w:val="0"/>
                    <w:bidi w:val="0"/>
                    <w:spacing w:before="0" w:after="0" w:line="240" w:lineRule="auto"/>
                    <w:ind w:left="0" w:leftChars="0" w:right="0" w:rightChars="0" w:firstLine="0" w:firstLineChars="0"/>
                    <w:jc w:val="center"/>
                    <w:outlineLvl w:val="9"/>
                    <w:rPr>
                      <w:rFonts w:hint="default" w:ascii="Times New Roman" w:hAnsi="Times New Roman" w:eastAsia="宋体" w:cs="Times New Roman"/>
                      <w:color w:val="auto"/>
                      <w:sz w:val="18"/>
                      <w:szCs w:val="18"/>
                    </w:rPr>
                  </w:pPr>
                </w:p>
              </w:tc>
              <w:tc>
                <w:tcPr>
                  <w:tcW w:w="682" w:type="pct"/>
                  <w:vMerge w:val="restart"/>
                  <w:tcBorders>
                    <w:tl2br w:val="nil"/>
                    <w:tr2bl w:val="nil"/>
                  </w:tcBorders>
                  <w:noWrap w:val="0"/>
                  <w:tcMar>
                    <w:top w:w="0" w:type="dxa"/>
                    <w:left w:w="0" w:type="dxa"/>
                    <w:bottom w:w="0" w:type="dxa"/>
                    <w:right w:w="0" w:type="dxa"/>
                  </w:tcMar>
                  <w:vAlign w:val="center"/>
                </w:tcPr>
                <w:p w14:paraId="0E4C823D">
                  <w:pPr>
                    <w:pageBreakBefore w:val="0"/>
                    <w:wordWrap/>
                    <w:overflowPunct/>
                    <w:topLinePunct w:val="0"/>
                    <w:bidi w:val="0"/>
                    <w:jc w:val="center"/>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DA011</w:t>
                  </w:r>
                </w:p>
              </w:tc>
              <w:tc>
                <w:tcPr>
                  <w:tcW w:w="681" w:type="pct"/>
                  <w:tcBorders>
                    <w:tl2br w:val="nil"/>
                    <w:tr2bl w:val="nil"/>
                  </w:tcBorders>
                  <w:noWrap w:val="0"/>
                  <w:tcMar>
                    <w:top w:w="0" w:type="dxa"/>
                    <w:left w:w="0" w:type="dxa"/>
                    <w:bottom w:w="0" w:type="dxa"/>
                    <w:right w:w="0" w:type="dxa"/>
                  </w:tcMar>
                  <w:vAlign w:val="center"/>
                </w:tcPr>
                <w:p w14:paraId="4ADE70A3">
                  <w:pPr>
                    <w:pageBreakBefore w:val="0"/>
                    <w:tabs>
                      <w:tab w:val="left" w:pos="7020"/>
                    </w:tabs>
                    <w:wordWrap/>
                    <w:overflowPunct/>
                    <w:topLinePunct w:val="0"/>
                    <w:bidi w:val="0"/>
                    <w:jc w:val="center"/>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第一次</w:t>
                  </w:r>
                </w:p>
              </w:tc>
              <w:tc>
                <w:tcPr>
                  <w:tcW w:w="975" w:type="pct"/>
                  <w:tcBorders>
                    <w:tl2br w:val="nil"/>
                    <w:tr2bl w:val="nil"/>
                  </w:tcBorders>
                  <w:noWrap w:val="0"/>
                  <w:tcMar>
                    <w:top w:w="0" w:type="dxa"/>
                    <w:left w:w="0" w:type="dxa"/>
                    <w:bottom w:w="0" w:type="dxa"/>
                    <w:right w:w="0" w:type="dxa"/>
                  </w:tcMar>
                  <w:vAlign w:val="center"/>
                </w:tcPr>
                <w:p w14:paraId="41C2778B">
                  <w:pPr>
                    <w:pageBreakBefore w:val="0"/>
                    <w:wordWrap/>
                    <w:overflowPunct/>
                    <w:topLinePunct w:val="0"/>
                    <w:bidi w:val="0"/>
                    <w:jc w:val="center"/>
                    <w:outlineLvl w:val="9"/>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38B0ED5C">
                  <w:pPr>
                    <w:pageBreakBefore w:val="0"/>
                    <w:tabs>
                      <w:tab w:val="left" w:pos="7020"/>
                    </w:tabs>
                    <w:wordWrap/>
                    <w:overflowPunct/>
                    <w:topLinePunct w:val="0"/>
                    <w:bidi w:val="0"/>
                    <w:jc w:val="center"/>
                    <w:outlineLvl w:val="9"/>
                    <w:rPr>
                      <w:rFonts w:hint="default" w:cs="Times New Roman"/>
                      <w:color w:val="auto"/>
                      <w:sz w:val="18"/>
                      <w:szCs w:val="18"/>
                      <w:lang w:val="en-US" w:eastAsia="zh-CN"/>
                    </w:rPr>
                  </w:pPr>
                  <w:r>
                    <w:rPr>
                      <w:rFonts w:hint="eastAsia" w:cs="Times New Roman"/>
                      <w:color w:val="auto"/>
                      <w:sz w:val="18"/>
                      <w:szCs w:val="18"/>
                      <w:lang w:val="en-US" w:eastAsia="zh-CN"/>
                    </w:rPr>
                    <w:t>1.51</w:t>
                  </w:r>
                </w:p>
              </w:tc>
              <w:tc>
                <w:tcPr>
                  <w:tcW w:w="971" w:type="pct"/>
                  <w:tcBorders>
                    <w:tl2br w:val="nil"/>
                    <w:tr2bl w:val="nil"/>
                  </w:tcBorders>
                  <w:noWrap w:val="0"/>
                  <w:tcMar>
                    <w:top w:w="0" w:type="dxa"/>
                    <w:left w:w="0" w:type="dxa"/>
                    <w:bottom w:w="0" w:type="dxa"/>
                    <w:right w:w="0" w:type="dxa"/>
                  </w:tcMar>
                  <w:vAlign w:val="center"/>
                </w:tcPr>
                <w:p w14:paraId="2267C3C3">
                  <w:pPr>
                    <w:pageBreakBefore w:val="0"/>
                    <w:wordWrap/>
                    <w:overflowPunct/>
                    <w:topLinePunct w:val="0"/>
                    <w:bidi w:val="0"/>
                    <w:jc w:val="center"/>
                    <w:outlineLvl w:val="9"/>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2.31</w:t>
                  </w:r>
                  <w:r>
                    <w:rPr>
                      <w:rFonts w:hint="eastAsia" w:ascii="Times New Roman" w:hAnsi="Times New Roman" w:eastAsia="宋体" w:cs="Times New Roman"/>
                      <w:color w:val="auto"/>
                      <w:sz w:val="18"/>
                      <w:szCs w:val="18"/>
                      <w:lang w:val="en-US" w:eastAsia="zh-CN"/>
                    </w:rPr>
                    <w:t>×10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719327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7024FE58">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2" w:type="pct"/>
                  <w:vMerge w:val="continue"/>
                  <w:tcBorders>
                    <w:tl2br w:val="nil"/>
                    <w:tr2bl w:val="nil"/>
                  </w:tcBorders>
                  <w:noWrap w:val="0"/>
                  <w:tcMar>
                    <w:top w:w="0" w:type="dxa"/>
                    <w:left w:w="0" w:type="dxa"/>
                    <w:bottom w:w="0" w:type="dxa"/>
                    <w:right w:w="0" w:type="dxa"/>
                  </w:tcMar>
                  <w:vAlign w:val="center"/>
                </w:tcPr>
                <w:p w14:paraId="49BB7CB6">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1" w:type="pct"/>
                  <w:tcBorders>
                    <w:tl2br w:val="nil"/>
                    <w:tr2bl w:val="nil"/>
                  </w:tcBorders>
                  <w:noWrap w:val="0"/>
                  <w:tcMar>
                    <w:top w:w="0" w:type="dxa"/>
                    <w:left w:w="0" w:type="dxa"/>
                    <w:bottom w:w="0" w:type="dxa"/>
                    <w:right w:w="0" w:type="dxa"/>
                  </w:tcMar>
                  <w:vAlign w:val="center"/>
                </w:tcPr>
                <w:p w14:paraId="3E6EEB01">
                  <w:pPr>
                    <w:pageBreakBefore w:val="0"/>
                    <w:tabs>
                      <w:tab w:val="left" w:pos="7020"/>
                    </w:tabs>
                    <w:wordWrap/>
                    <w:overflowPunct/>
                    <w:topLinePunct w:val="0"/>
                    <w:bidi w:val="0"/>
                    <w:jc w:val="center"/>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第二次</w:t>
                  </w:r>
                </w:p>
              </w:tc>
              <w:tc>
                <w:tcPr>
                  <w:tcW w:w="975" w:type="pct"/>
                  <w:tcBorders>
                    <w:tl2br w:val="nil"/>
                    <w:tr2bl w:val="nil"/>
                  </w:tcBorders>
                  <w:noWrap w:val="0"/>
                  <w:tcMar>
                    <w:top w:w="0" w:type="dxa"/>
                    <w:left w:w="0" w:type="dxa"/>
                    <w:bottom w:w="0" w:type="dxa"/>
                    <w:right w:w="0" w:type="dxa"/>
                  </w:tcMar>
                  <w:vAlign w:val="center"/>
                </w:tcPr>
                <w:p w14:paraId="07E7E64E">
                  <w:pPr>
                    <w:pageBreakBefore w:val="0"/>
                    <w:wordWrap/>
                    <w:overflowPunct/>
                    <w:topLinePunct w:val="0"/>
                    <w:bidi w:val="0"/>
                    <w:jc w:val="center"/>
                    <w:outlineLvl w:val="9"/>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1A773469">
                  <w:pPr>
                    <w:pageBreakBefore w:val="0"/>
                    <w:tabs>
                      <w:tab w:val="left" w:pos="7020"/>
                    </w:tabs>
                    <w:wordWrap/>
                    <w:overflowPunct/>
                    <w:topLinePunct w:val="0"/>
                    <w:bidi w:val="0"/>
                    <w:jc w:val="center"/>
                    <w:outlineLvl w:val="9"/>
                    <w:rPr>
                      <w:rFonts w:hint="default" w:cs="Times New Roman"/>
                      <w:color w:val="auto"/>
                      <w:sz w:val="18"/>
                      <w:szCs w:val="18"/>
                      <w:lang w:val="en-US" w:eastAsia="zh-CN"/>
                    </w:rPr>
                  </w:pPr>
                  <w:r>
                    <w:rPr>
                      <w:rFonts w:hint="eastAsia" w:cs="Times New Roman"/>
                      <w:color w:val="auto"/>
                      <w:sz w:val="18"/>
                      <w:szCs w:val="18"/>
                      <w:lang w:val="en-US" w:eastAsia="zh-CN"/>
                    </w:rPr>
                    <w:t>1.74</w:t>
                  </w:r>
                </w:p>
              </w:tc>
              <w:tc>
                <w:tcPr>
                  <w:tcW w:w="971" w:type="pct"/>
                  <w:tcBorders>
                    <w:tl2br w:val="nil"/>
                    <w:tr2bl w:val="nil"/>
                  </w:tcBorders>
                  <w:noWrap w:val="0"/>
                  <w:tcMar>
                    <w:top w:w="0" w:type="dxa"/>
                    <w:left w:w="0" w:type="dxa"/>
                    <w:bottom w:w="0" w:type="dxa"/>
                    <w:right w:w="0" w:type="dxa"/>
                  </w:tcMar>
                  <w:vAlign w:val="center"/>
                </w:tcPr>
                <w:p w14:paraId="25034EC4">
                  <w:pPr>
                    <w:pageBreakBefore w:val="0"/>
                    <w:wordWrap/>
                    <w:overflowPunct/>
                    <w:topLinePunct w:val="0"/>
                    <w:bidi w:val="0"/>
                    <w:jc w:val="center"/>
                    <w:outlineLvl w:val="9"/>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3.43</w:t>
                  </w:r>
                  <w:r>
                    <w:rPr>
                      <w:rFonts w:hint="eastAsia" w:ascii="Times New Roman" w:hAnsi="Times New Roman" w:eastAsia="宋体" w:cs="Times New Roman"/>
                      <w:color w:val="auto"/>
                      <w:sz w:val="18"/>
                      <w:szCs w:val="18"/>
                      <w:lang w:val="en-US" w:eastAsia="zh-CN"/>
                    </w:rPr>
                    <w:t>×10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25E3A8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5B4D678A">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2" w:type="pct"/>
                  <w:vMerge w:val="continue"/>
                  <w:tcBorders>
                    <w:tl2br w:val="nil"/>
                    <w:tr2bl w:val="nil"/>
                  </w:tcBorders>
                  <w:noWrap w:val="0"/>
                  <w:tcMar>
                    <w:top w:w="0" w:type="dxa"/>
                    <w:left w:w="0" w:type="dxa"/>
                    <w:bottom w:w="0" w:type="dxa"/>
                    <w:right w:w="0" w:type="dxa"/>
                  </w:tcMar>
                  <w:vAlign w:val="center"/>
                </w:tcPr>
                <w:p w14:paraId="370B97FD">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1" w:type="pct"/>
                  <w:tcBorders>
                    <w:tl2br w:val="nil"/>
                    <w:tr2bl w:val="nil"/>
                  </w:tcBorders>
                  <w:noWrap w:val="0"/>
                  <w:tcMar>
                    <w:top w:w="0" w:type="dxa"/>
                    <w:left w:w="0" w:type="dxa"/>
                    <w:bottom w:w="0" w:type="dxa"/>
                    <w:right w:w="0" w:type="dxa"/>
                  </w:tcMar>
                  <w:vAlign w:val="center"/>
                </w:tcPr>
                <w:p w14:paraId="1DB3BD8E">
                  <w:pPr>
                    <w:pageBreakBefore w:val="0"/>
                    <w:tabs>
                      <w:tab w:val="left" w:pos="7020"/>
                    </w:tabs>
                    <w:wordWrap/>
                    <w:overflowPunct/>
                    <w:topLinePunct w:val="0"/>
                    <w:bidi w:val="0"/>
                    <w:jc w:val="center"/>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第三次</w:t>
                  </w:r>
                </w:p>
              </w:tc>
              <w:tc>
                <w:tcPr>
                  <w:tcW w:w="975" w:type="pct"/>
                  <w:tcBorders>
                    <w:tl2br w:val="nil"/>
                    <w:tr2bl w:val="nil"/>
                  </w:tcBorders>
                  <w:noWrap w:val="0"/>
                  <w:tcMar>
                    <w:top w:w="0" w:type="dxa"/>
                    <w:left w:w="0" w:type="dxa"/>
                    <w:bottom w:w="0" w:type="dxa"/>
                    <w:right w:w="0" w:type="dxa"/>
                  </w:tcMar>
                  <w:vAlign w:val="center"/>
                </w:tcPr>
                <w:p w14:paraId="40B71F38">
                  <w:pPr>
                    <w:pageBreakBefore w:val="0"/>
                    <w:wordWrap/>
                    <w:overflowPunct/>
                    <w:topLinePunct w:val="0"/>
                    <w:bidi w:val="0"/>
                    <w:jc w:val="center"/>
                    <w:outlineLvl w:val="9"/>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482DDE62">
                  <w:pPr>
                    <w:pageBreakBefore w:val="0"/>
                    <w:tabs>
                      <w:tab w:val="left" w:pos="7020"/>
                    </w:tabs>
                    <w:wordWrap/>
                    <w:overflowPunct/>
                    <w:topLinePunct w:val="0"/>
                    <w:bidi w:val="0"/>
                    <w:jc w:val="center"/>
                    <w:outlineLvl w:val="9"/>
                    <w:rPr>
                      <w:rFonts w:hint="default" w:cs="Times New Roman"/>
                      <w:color w:val="auto"/>
                      <w:sz w:val="18"/>
                      <w:szCs w:val="18"/>
                      <w:lang w:val="en-US" w:eastAsia="zh-CN"/>
                    </w:rPr>
                  </w:pPr>
                  <w:r>
                    <w:rPr>
                      <w:rFonts w:hint="eastAsia" w:cs="Times New Roman"/>
                      <w:color w:val="auto"/>
                      <w:sz w:val="18"/>
                      <w:szCs w:val="18"/>
                      <w:lang w:val="en-US" w:eastAsia="zh-CN"/>
                    </w:rPr>
                    <w:t>1.63</w:t>
                  </w:r>
                </w:p>
              </w:tc>
              <w:tc>
                <w:tcPr>
                  <w:tcW w:w="971" w:type="pct"/>
                  <w:tcBorders>
                    <w:tl2br w:val="nil"/>
                    <w:tr2bl w:val="nil"/>
                  </w:tcBorders>
                  <w:noWrap w:val="0"/>
                  <w:tcMar>
                    <w:top w:w="0" w:type="dxa"/>
                    <w:left w:w="0" w:type="dxa"/>
                    <w:bottom w:w="0" w:type="dxa"/>
                    <w:right w:w="0" w:type="dxa"/>
                  </w:tcMar>
                  <w:vAlign w:val="center"/>
                </w:tcPr>
                <w:p w14:paraId="15E0DBB2">
                  <w:pPr>
                    <w:pageBreakBefore w:val="0"/>
                    <w:wordWrap/>
                    <w:overflowPunct/>
                    <w:topLinePunct w:val="0"/>
                    <w:bidi w:val="0"/>
                    <w:jc w:val="center"/>
                    <w:outlineLvl w:val="9"/>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3.82</w:t>
                  </w:r>
                  <w:r>
                    <w:rPr>
                      <w:rFonts w:hint="eastAsia" w:ascii="Times New Roman" w:hAnsi="Times New Roman" w:eastAsia="宋体" w:cs="Times New Roman"/>
                      <w:color w:val="auto"/>
                      <w:sz w:val="18"/>
                      <w:szCs w:val="18"/>
                      <w:lang w:val="en-US" w:eastAsia="zh-CN"/>
                    </w:rPr>
                    <w:t>×10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3AFE28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49E04538">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2" w:type="pct"/>
                  <w:vMerge w:val="restart"/>
                  <w:tcBorders>
                    <w:tl2br w:val="nil"/>
                    <w:tr2bl w:val="nil"/>
                  </w:tcBorders>
                  <w:noWrap w:val="0"/>
                  <w:tcMar>
                    <w:top w:w="0" w:type="dxa"/>
                    <w:left w:w="0" w:type="dxa"/>
                    <w:bottom w:w="0" w:type="dxa"/>
                    <w:right w:w="0" w:type="dxa"/>
                  </w:tcMar>
                  <w:vAlign w:val="center"/>
                </w:tcPr>
                <w:p w14:paraId="30E7C7B8">
                  <w:pPr>
                    <w:pageBreakBefore w:val="0"/>
                    <w:wordWrap/>
                    <w:overflowPunct/>
                    <w:topLinePunct w:val="0"/>
                    <w:bidi w:val="0"/>
                    <w:jc w:val="center"/>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DA013</w:t>
                  </w:r>
                </w:p>
              </w:tc>
              <w:tc>
                <w:tcPr>
                  <w:tcW w:w="681" w:type="pct"/>
                  <w:tcBorders>
                    <w:tl2br w:val="nil"/>
                    <w:tr2bl w:val="nil"/>
                  </w:tcBorders>
                  <w:noWrap w:val="0"/>
                  <w:tcMar>
                    <w:top w:w="0" w:type="dxa"/>
                    <w:left w:w="0" w:type="dxa"/>
                    <w:bottom w:w="0" w:type="dxa"/>
                    <w:right w:w="0" w:type="dxa"/>
                  </w:tcMar>
                  <w:vAlign w:val="center"/>
                </w:tcPr>
                <w:p w14:paraId="1A90E5F7">
                  <w:pPr>
                    <w:pageBreakBefore w:val="0"/>
                    <w:tabs>
                      <w:tab w:val="left" w:pos="7020"/>
                    </w:tabs>
                    <w:wordWrap/>
                    <w:overflowPunct/>
                    <w:topLinePunct w:val="0"/>
                    <w:bidi w:val="0"/>
                    <w:jc w:val="center"/>
                    <w:outlineLvl w:val="9"/>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第一次</w:t>
                  </w:r>
                </w:p>
              </w:tc>
              <w:tc>
                <w:tcPr>
                  <w:tcW w:w="975" w:type="pct"/>
                  <w:tcBorders>
                    <w:tl2br w:val="nil"/>
                    <w:tr2bl w:val="nil"/>
                  </w:tcBorders>
                  <w:noWrap w:val="0"/>
                  <w:tcMar>
                    <w:top w:w="0" w:type="dxa"/>
                    <w:left w:w="0" w:type="dxa"/>
                    <w:bottom w:w="0" w:type="dxa"/>
                    <w:right w:w="0" w:type="dxa"/>
                  </w:tcMar>
                  <w:vAlign w:val="center"/>
                </w:tcPr>
                <w:p w14:paraId="53B7682C">
                  <w:pPr>
                    <w:pageBreakBefore w:val="0"/>
                    <w:wordWrap/>
                    <w:overflowPunct/>
                    <w:topLinePunct w:val="0"/>
                    <w:bidi w:val="0"/>
                    <w:jc w:val="center"/>
                    <w:outlineLvl w:val="9"/>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7B71F636">
                  <w:pPr>
                    <w:pageBreakBefore w:val="0"/>
                    <w:tabs>
                      <w:tab w:val="left" w:pos="7020"/>
                    </w:tabs>
                    <w:wordWrap/>
                    <w:overflowPunct/>
                    <w:topLinePunct w:val="0"/>
                    <w:bidi w:val="0"/>
                    <w:jc w:val="center"/>
                    <w:outlineLvl w:val="9"/>
                    <w:rPr>
                      <w:rFonts w:hint="default" w:cs="Times New Roman"/>
                      <w:color w:val="auto"/>
                      <w:sz w:val="18"/>
                      <w:szCs w:val="18"/>
                      <w:lang w:val="en-US" w:eastAsia="zh-CN"/>
                    </w:rPr>
                  </w:pPr>
                  <w:r>
                    <w:rPr>
                      <w:rFonts w:hint="eastAsia" w:cs="Times New Roman"/>
                      <w:color w:val="auto"/>
                      <w:sz w:val="18"/>
                      <w:szCs w:val="18"/>
                      <w:lang w:val="en-US" w:eastAsia="zh-CN"/>
                    </w:rPr>
                    <w:t>0.93</w:t>
                  </w:r>
                </w:p>
              </w:tc>
              <w:tc>
                <w:tcPr>
                  <w:tcW w:w="971" w:type="pct"/>
                  <w:tcBorders>
                    <w:tl2br w:val="nil"/>
                    <w:tr2bl w:val="nil"/>
                  </w:tcBorders>
                  <w:noWrap w:val="0"/>
                  <w:tcMar>
                    <w:top w:w="0" w:type="dxa"/>
                    <w:left w:w="0" w:type="dxa"/>
                    <w:bottom w:w="0" w:type="dxa"/>
                    <w:right w:w="0" w:type="dxa"/>
                  </w:tcMar>
                  <w:vAlign w:val="center"/>
                </w:tcPr>
                <w:p w14:paraId="2B2C7E7E">
                  <w:pPr>
                    <w:pageBreakBefore w:val="0"/>
                    <w:wordWrap/>
                    <w:overflowPunct/>
                    <w:topLinePunct w:val="0"/>
                    <w:bidi w:val="0"/>
                    <w:jc w:val="center"/>
                    <w:outlineLvl w:val="9"/>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2.01</w:t>
                  </w:r>
                  <w:r>
                    <w:rPr>
                      <w:rFonts w:hint="eastAsia" w:ascii="Times New Roman" w:hAnsi="Times New Roman" w:eastAsia="宋体" w:cs="Times New Roman"/>
                      <w:color w:val="auto"/>
                      <w:sz w:val="18"/>
                      <w:szCs w:val="18"/>
                      <w:lang w:val="en-US" w:eastAsia="zh-CN"/>
                    </w:rPr>
                    <w:t>×10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1A6DB7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30635649">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2" w:type="pct"/>
                  <w:vMerge w:val="continue"/>
                  <w:tcBorders>
                    <w:tl2br w:val="nil"/>
                    <w:tr2bl w:val="nil"/>
                  </w:tcBorders>
                  <w:noWrap w:val="0"/>
                  <w:tcMar>
                    <w:top w:w="0" w:type="dxa"/>
                    <w:left w:w="0" w:type="dxa"/>
                    <w:bottom w:w="0" w:type="dxa"/>
                    <w:right w:w="0" w:type="dxa"/>
                  </w:tcMar>
                  <w:vAlign w:val="center"/>
                </w:tcPr>
                <w:p w14:paraId="0512EB22">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1" w:type="pct"/>
                  <w:tcBorders>
                    <w:tl2br w:val="nil"/>
                    <w:tr2bl w:val="nil"/>
                  </w:tcBorders>
                  <w:noWrap w:val="0"/>
                  <w:tcMar>
                    <w:top w:w="0" w:type="dxa"/>
                    <w:left w:w="0" w:type="dxa"/>
                    <w:bottom w:w="0" w:type="dxa"/>
                    <w:right w:w="0" w:type="dxa"/>
                  </w:tcMar>
                  <w:vAlign w:val="center"/>
                </w:tcPr>
                <w:p w14:paraId="0368B2FB">
                  <w:pPr>
                    <w:pageBreakBefore w:val="0"/>
                    <w:tabs>
                      <w:tab w:val="left" w:pos="7020"/>
                    </w:tabs>
                    <w:wordWrap/>
                    <w:overflowPunct/>
                    <w:topLinePunct w:val="0"/>
                    <w:bidi w:val="0"/>
                    <w:jc w:val="center"/>
                    <w:outlineLvl w:val="9"/>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第二次</w:t>
                  </w:r>
                </w:p>
              </w:tc>
              <w:tc>
                <w:tcPr>
                  <w:tcW w:w="975" w:type="pct"/>
                  <w:tcBorders>
                    <w:tl2br w:val="nil"/>
                    <w:tr2bl w:val="nil"/>
                  </w:tcBorders>
                  <w:noWrap w:val="0"/>
                  <w:tcMar>
                    <w:top w:w="0" w:type="dxa"/>
                    <w:left w:w="0" w:type="dxa"/>
                    <w:bottom w:w="0" w:type="dxa"/>
                    <w:right w:w="0" w:type="dxa"/>
                  </w:tcMar>
                  <w:vAlign w:val="center"/>
                </w:tcPr>
                <w:p w14:paraId="3A6FB05A">
                  <w:pPr>
                    <w:pageBreakBefore w:val="0"/>
                    <w:wordWrap/>
                    <w:overflowPunct/>
                    <w:topLinePunct w:val="0"/>
                    <w:bidi w:val="0"/>
                    <w:jc w:val="center"/>
                    <w:outlineLvl w:val="9"/>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32AFD023">
                  <w:pPr>
                    <w:pageBreakBefore w:val="0"/>
                    <w:tabs>
                      <w:tab w:val="left" w:pos="7020"/>
                    </w:tabs>
                    <w:wordWrap/>
                    <w:overflowPunct/>
                    <w:topLinePunct w:val="0"/>
                    <w:bidi w:val="0"/>
                    <w:jc w:val="center"/>
                    <w:outlineLvl w:val="9"/>
                    <w:rPr>
                      <w:rFonts w:hint="default" w:cs="Times New Roman"/>
                      <w:color w:val="auto"/>
                      <w:sz w:val="18"/>
                      <w:szCs w:val="18"/>
                      <w:lang w:val="en-US" w:eastAsia="zh-CN"/>
                    </w:rPr>
                  </w:pPr>
                  <w:r>
                    <w:rPr>
                      <w:rFonts w:hint="eastAsia" w:cs="Times New Roman"/>
                      <w:color w:val="auto"/>
                      <w:sz w:val="18"/>
                      <w:szCs w:val="18"/>
                      <w:lang w:val="en-US" w:eastAsia="zh-CN"/>
                    </w:rPr>
                    <w:t>1.02</w:t>
                  </w:r>
                </w:p>
              </w:tc>
              <w:tc>
                <w:tcPr>
                  <w:tcW w:w="971" w:type="pct"/>
                  <w:tcBorders>
                    <w:tl2br w:val="nil"/>
                    <w:tr2bl w:val="nil"/>
                  </w:tcBorders>
                  <w:noWrap w:val="0"/>
                  <w:tcMar>
                    <w:top w:w="0" w:type="dxa"/>
                    <w:left w:w="0" w:type="dxa"/>
                    <w:bottom w:w="0" w:type="dxa"/>
                    <w:right w:w="0" w:type="dxa"/>
                  </w:tcMar>
                  <w:vAlign w:val="center"/>
                </w:tcPr>
                <w:p w14:paraId="3624C432">
                  <w:pPr>
                    <w:pageBreakBefore w:val="0"/>
                    <w:wordWrap/>
                    <w:overflowPunct/>
                    <w:topLinePunct w:val="0"/>
                    <w:bidi w:val="0"/>
                    <w:jc w:val="center"/>
                    <w:outlineLvl w:val="9"/>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2.15</w:t>
                  </w:r>
                  <w:r>
                    <w:rPr>
                      <w:rFonts w:hint="eastAsia" w:ascii="Times New Roman" w:hAnsi="Times New Roman" w:eastAsia="宋体" w:cs="Times New Roman"/>
                      <w:color w:val="auto"/>
                      <w:sz w:val="18"/>
                      <w:szCs w:val="18"/>
                      <w:lang w:val="en-US" w:eastAsia="zh-CN"/>
                    </w:rPr>
                    <w:t>×10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07EC3A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39D9A329">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2" w:type="pct"/>
                  <w:vMerge w:val="continue"/>
                  <w:tcBorders>
                    <w:tl2br w:val="nil"/>
                    <w:tr2bl w:val="nil"/>
                  </w:tcBorders>
                  <w:noWrap w:val="0"/>
                  <w:tcMar>
                    <w:top w:w="0" w:type="dxa"/>
                    <w:left w:w="0" w:type="dxa"/>
                    <w:bottom w:w="0" w:type="dxa"/>
                    <w:right w:w="0" w:type="dxa"/>
                  </w:tcMar>
                  <w:vAlign w:val="center"/>
                </w:tcPr>
                <w:p w14:paraId="66CFEE0C">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1" w:type="pct"/>
                  <w:tcBorders>
                    <w:tl2br w:val="nil"/>
                    <w:tr2bl w:val="nil"/>
                  </w:tcBorders>
                  <w:noWrap w:val="0"/>
                  <w:tcMar>
                    <w:top w:w="0" w:type="dxa"/>
                    <w:left w:w="0" w:type="dxa"/>
                    <w:bottom w:w="0" w:type="dxa"/>
                    <w:right w:w="0" w:type="dxa"/>
                  </w:tcMar>
                  <w:vAlign w:val="center"/>
                </w:tcPr>
                <w:p w14:paraId="2EB86B51">
                  <w:pPr>
                    <w:pageBreakBefore w:val="0"/>
                    <w:tabs>
                      <w:tab w:val="left" w:pos="7020"/>
                    </w:tabs>
                    <w:wordWrap/>
                    <w:overflowPunct/>
                    <w:topLinePunct w:val="0"/>
                    <w:bidi w:val="0"/>
                    <w:jc w:val="center"/>
                    <w:outlineLvl w:val="9"/>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第三次</w:t>
                  </w:r>
                </w:p>
              </w:tc>
              <w:tc>
                <w:tcPr>
                  <w:tcW w:w="975" w:type="pct"/>
                  <w:tcBorders>
                    <w:tl2br w:val="nil"/>
                    <w:tr2bl w:val="nil"/>
                  </w:tcBorders>
                  <w:noWrap w:val="0"/>
                  <w:tcMar>
                    <w:top w:w="0" w:type="dxa"/>
                    <w:left w:w="0" w:type="dxa"/>
                    <w:bottom w:w="0" w:type="dxa"/>
                    <w:right w:w="0" w:type="dxa"/>
                  </w:tcMar>
                  <w:vAlign w:val="center"/>
                </w:tcPr>
                <w:p w14:paraId="654D9509">
                  <w:pPr>
                    <w:pageBreakBefore w:val="0"/>
                    <w:wordWrap/>
                    <w:overflowPunct/>
                    <w:topLinePunct w:val="0"/>
                    <w:bidi w:val="0"/>
                    <w:jc w:val="center"/>
                    <w:outlineLvl w:val="9"/>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476C2246">
                  <w:pPr>
                    <w:pageBreakBefore w:val="0"/>
                    <w:tabs>
                      <w:tab w:val="left" w:pos="7020"/>
                    </w:tabs>
                    <w:wordWrap/>
                    <w:overflowPunct/>
                    <w:topLinePunct w:val="0"/>
                    <w:bidi w:val="0"/>
                    <w:jc w:val="center"/>
                    <w:outlineLvl w:val="9"/>
                    <w:rPr>
                      <w:rFonts w:hint="default" w:cs="Times New Roman"/>
                      <w:color w:val="auto"/>
                      <w:sz w:val="18"/>
                      <w:szCs w:val="18"/>
                      <w:lang w:val="en-US" w:eastAsia="zh-CN"/>
                    </w:rPr>
                  </w:pPr>
                  <w:r>
                    <w:rPr>
                      <w:rFonts w:hint="eastAsia" w:cs="Times New Roman"/>
                      <w:color w:val="auto"/>
                      <w:sz w:val="18"/>
                      <w:szCs w:val="18"/>
                      <w:lang w:val="en-US" w:eastAsia="zh-CN"/>
                    </w:rPr>
                    <w:t>0.93</w:t>
                  </w:r>
                </w:p>
              </w:tc>
              <w:tc>
                <w:tcPr>
                  <w:tcW w:w="971" w:type="pct"/>
                  <w:tcBorders>
                    <w:tl2br w:val="nil"/>
                    <w:tr2bl w:val="nil"/>
                  </w:tcBorders>
                  <w:noWrap w:val="0"/>
                  <w:tcMar>
                    <w:top w:w="0" w:type="dxa"/>
                    <w:left w:w="0" w:type="dxa"/>
                    <w:bottom w:w="0" w:type="dxa"/>
                    <w:right w:w="0" w:type="dxa"/>
                  </w:tcMar>
                  <w:vAlign w:val="center"/>
                </w:tcPr>
                <w:p w14:paraId="0FCD52BA">
                  <w:pPr>
                    <w:pageBreakBefore w:val="0"/>
                    <w:wordWrap/>
                    <w:overflowPunct/>
                    <w:topLinePunct w:val="0"/>
                    <w:bidi w:val="0"/>
                    <w:jc w:val="center"/>
                    <w:outlineLvl w:val="9"/>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1.96</w:t>
                  </w:r>
                  <w:r>
                    <w:rPr>
                      <w:rFonts w:hint="eastAsia" w:ascii="Times New Roman" w:hAnsi="Times New Roman" w:eastAsia="宋体" w:cs="Times New Roman"/>
                      <w:color w:val="auto"/>
                      <w:sz w:val="18"/>
                      <w:szCs w:val="18"/>
                      <w:lang w:val="en-US" w:eastAsia="zh-CN"/>
                    </w:rPr>
                    <w:t>×10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1F06C3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4E398F38">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2" w:type="pct"/>
                  <w:vMerge w:val="restart"/>
                  <w:tcBorders>
                    <w:tl2br w:val="nil"/>
                    <w:tr2bl w:val="nil"/>
                  </w:tcBorders>
                  <w:noWrap w:val="0"/>
                  <w:tcMar>
                    <w:top w:w="0" w:type="dxa"/>
                    <w:left w:w="0" w:type="dxa"/>
                    <w:bottom w:w="0" w:type="dxa"/>
                    <w:right w:w="0" w:type="dxa"/>
                  </w:tcMar>
                  <w:vAlign w:val="center"/>
                </w:tcPr>
                <w:p w14:paraId="7F221E06">
                  <w:pPr>
                    <w:pageBreakBefore w:val="0"/>
                    <w:wordWrap/>
                    <w:overflowPunct/>
                    <w:topLinePunct w:val="0"/>
                    <w:bidi w:val="0"/>
                    <w:jc w:val="center"/>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DA015</w:t>
                  </w:r>
                </w:p>
              </w:tc>
              <w:tc>
                <w:tcPr>
                  <w:tcW w:w="681" w:type="pct"/>
                  <w:tcBorders>
                    <w:tl2br w:val="nil"/>
                    <w:tr2bl w:val="nil"/>
                  </w:tcBorders>
                  <w:noWrap w:val="0"/>
                  <w:tcMar>
                    <w:top w:w="0" w:type="dxa"/>
                    <w:left w:w="0" w:type="dxa"/>
                    <w:bottom w:w="0" w:type="dxa"/>
                    <w:right w:w="0" w:type="dxa"/>
                  </w:tcMar>
                  <w:vAlign w:val="center"/>
                </w:tcPr>
                <w:p w14:paraId="79CAF1FD">
                  <w:pPr>
                    <w:pageBreakBefore w:val="0"/>
                    <w:tabs>
                      <w:tab w:val="left" w:pos="7020"/>
                    </w:tabs>
                    <w:wordWrap/>
                    <w:overflowPunct/>
                    <w:topLinePunct w:val="0"/>
                    <w:bidi w:val="0"/>
                    <w:jc w:val="center"/>
                    <w:outlineLvl w:val="9"/>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第一次</w:t>
                  </w:r>
                </w:p>
              </w:tc>
              <w:tc>
                <w:tcPr>
                  <w:tcW w:w="975" w:type="pct"/>
                  <w:tcBorders>
                    <w:tl2br w:val="nil"/>
                    <w:tr2bl w:val="nil"/>
                  </w:tcBorders>
                  <w:noWrap w:val="0"/>
                  <w:tcMar>
                    <w:top w:w="0" w:type="dxa"/>
                    <w:left w:w="0" w:type="dxa"/>
                    <w:bottom w:w="0" w:type="dxa"/>
                    <w:right w:w="0" w:type="dxa"/>
                  </w:tcMar>
                  <w:vAlign w:val="center"/>
                </w:tcPr>
                <w:p w14:paraId="19B03B19">
                  <w:pPr>
                    <w:pageBreakBefore w:val="0"/>
                    <w:wordWrap/>
                    <w:overflowPunct/>
                    <w:topLinePunct w:val="0"/>
                    <w:bidi w:val="0"/>
                    <w:jc w:val="center"/>
                    <w:outlineLvl w:val="9"/>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0722B2C0">
                  <w:pPr>
                    <w:pageBreakBefore w:val="0"/>
                    <w:tabs>
                      <w:tab w:val="left" w:pos="7020"/>
                    </w:tabs>
                    <w:wordWrap/>
                    <w:overflowPunct/>
                    <w:topLinePunct w:val="0"/>
                    <w:bidi w:val="0"/>
                    <w:jc w:val="center"/>
                    <w:outlineLvl w:val="9"/>
                    <w:rPr>
                      <w:rFonts w:hint="default" w:cs="Times New Roman"/>
                      <w:color w:val="auto"/>
                      <w:sz w:val="18"/>
                      <w:szCs w:val="18"/>
                      <w:lang w:val="en-US" w:eastAsia="zh-CN"/>
                    </w:rPr>
                  </w:pPr>
                  <w:r>
                    <w:rPr>
                      <w:rFonts w:hint="eastAsia" w:cs="Times New Roman"/>
                      <w:color w:val="auto"/>
                      <w:sz w:val="18"/>
                      <w:szCs w:val="18"/>
                      <w:lang w:val="en-US" w:eastAsia="zh-CN"/>
                    </w:rPr>
                    <w:t>0.85</w:t>
                  </w:r>
                </w:p>
              </w:tc>
              <w:tc>
                <w:tcPr>
                  <w:tcW w:w="971" w:type="pct"/>
                  <w:tcBorders>
                    <w:tl2br w:val="nil"/>
                    <w:tr2bl w:val="nil"/>
                  </w:tcBorders>
                  <w:noWrap w:val="0"/>
                  <w:tcMar>
                    <w:top w:w="0" w:type="dxa"/>
                    <w:left w:w="0" w:type="dxa"/>
                    <w:bottom w:w="0" w:type="dxa"/>
                    <w:right w:w="0" w:type="dxa"/>
                  </w:tcMar>
                  <w:vAlign w:val="center"/>
                </w:tcPr>
                <w:p w14:paraId="417C707A">
                  <w:pPr>
                    <w:pageBreakBefore w:val="0"/>
                    <w:wordWrap/>
                    <w:overflowPunct/>
                    <w:topLinePunct w:val="0"/>
                    <w:bidi w:val="0"/>
                    <w:jc w:val="center"/>
                    <w:outlineLvl w:val="9"/>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4.80</w:t>
                  </w:r>
                  <w:r>
                    <w:rPr>
                      <w:rFonts w:hint="eastAsia" w:ascii="Times New Roman" w:hAnsi="Times New Roman" w:eastAsia="宋体" w:cs="Times New Roman"/>
                      <w:color w:val="auto"/>
                      <w:sz w:val="18"/>
                      <w:szCs w:val="18"/>
                      <w:lang w:val="en-US" w:eastAsia="zh-CN"/>
                    </w:rPr>
                    <w:t>×10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643C19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33C85983">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2" w:type="pct"/>
                  <w:vMerge w:val="continue"/>
                  <w:tcBorders>
                    <w:tl2br w:val="nil"/>
                    <w:tr2bl w:val="nil"/>
                  </w:tcBorders>
                  <w:noWrap w:val="0"/>
                  <w:tcMar>
                    <w:top w:w="0" w:type="dxa"/>
                    <w:left w:w="0" w:type="dxa"/>
                    <w:bottom w:w="0" w:type="dxa"/>
                    <w:right w:w="0" w:type="dxa"/>
                  </w:tcMar>
                  <w:vAlign w:val="center"/>
                </w:tcPr>
                <w:p w14:paraId="7234F516">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1" w:type="pct"/>
                  <w:tcBorders>
                    <w:tl2br w:val="nil"/>
                    <w:tr2bl w:val="nil"/>
                  </w:tcBorders>
                  <w:noWrap w:val="0"/>
                  <w:tcMar>
                    <w:top w:w="0" w:type="dxa"/>
                    <w:left w:w="0" w:type="dxa"/>
                    <w:bottom w:w="0" w:type="dxa"/>
                    <w:right w:w="0" w:type="dxa"/>
                  </w:tcMar>
                  <w:vAlign w:val="center"/>
                </w:tcPr>
                <w:p w14:paraId="2CBFD6D3">
                  <w:pPr>
                    <w:pageBreakBefore w:val="0"/>
                    <w:tabs>
                      <w:tab w:val="left" w:pos="7020"/>
                    </w:tabs>
                    <w:wordWrap/>
                    <w:overflowPunct/>
                    <w:topLinePunct w:val="0"/>
                    <w:bidi w:val="0"/>
                    <w:jc w:val="center"/>
                    <w:outlineLvl w:val="9"/>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第二次</w:t>
                  </w:r>
                </w:p>
              </w:tc>
              <w:tc>
                <w:tcPr>
                  <w:tcW w:w="975" w:type="pct"/>
                  <w:tcBorders>
                    <w:tl2br w:val="nil"/>
                    <w:tr2bl w:val="nil"/>
                  </w:tcBorders>
                  <w:noWrap w:val="0"/>
                  <w:tcMar>
                    <w:top w:w="0" w:type="dxa"/>
                    <w:left w:w="0" w:type="dxa"/>
                    <w:bottom w:w="0" w:type="dxa"/>
                    <w:right w:w="0" w:type="dxa"/>
                  </w:tcMar>
                  <w:vAlign w:val="center"/>
                </w:tcPr>
                <w:p w14:paraId="12CA7E50">
                  <w:pPr>
                    <w:pageBreakBefore w:val="0"/>
                    <w:wordWrap/>
                    <w:overflowPunct/>
                    <w:topLinePunct w:val="0"/>
                    <w:bidi w:val="0"/>
                    <w:jc w:val="center"/>
                    <w:outlineLvl w:val="9"/>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4BE9BEEC">
                  <w:pPr>
                    <w:pageBreakBefore w:val="0"/>
                    <w:tabs>
                      <w:tab w:val="left" w:pos="7020"/>
                    </w:tabs>
                    <w:wordWrap/>
                    <w:overflowPunct/>
                    <w:topLinePunct w:val="0"/>
                    <w:bidi w:val="0"/>
                    <w:jc w:val="center"/>
                    <w:outlineLvl w:val="9"/>
                    <w:rPr>
                      <w:rFonts w:hint="default" w:cs="Times New Roman"/>
                      <w:color w:val="auto"/>
                      <w:sz w:val="18"/>
                      <w:szCs w:val="18"/>
                      <w:lang w:val="en-US" w:eastAsia="zh-CN"/>
                    </w:rPr>
                  </w:pPr>
                  <w:r>
                    <w:rPr>
                      <w:rFonts w:hint="eastAsia" w:cs="Times New Roman"/>
                      <w:color w:val="auto"/>
                      <w:sz w:val="18"/>
                      <w:szCs w:val="18"/>
                      <w:lang w:val="en-US" w:eastAsia="zh-CN"/>
                    </w:rPr>
                    <w:t>0.87</w:t>
                  </w:r>
                </w:p>
              </w:tc>
              <w:tc>
                <w:tcPr>
                  <w:tcW w:w="971" w:type="pct"/>
                  <w:tcBorders>
                    <w:tl2br w:val="nil"/>
                    <w:tr2bl w:val="nil"/>
                  </w:tcBorders>
                  <w:noWrap w:val="0"/>
                  <w:tcMar>
                    <w:top w:w="0" w:type="dxa"/>
                    <w:left w:w="0" w:type="dxa"/>
                    <w:bottom w:w="0" w:type="dxa"/>
                    <w:right w:w="0" w:type="dxa"/>
                  </w:tcMar>
                  <w:vAlign w:val="center"/>
                </w:tcPr>
                <w:p w14:paraId="0F876C48">
                  <w:pPr>
                    <w:pageBreakBefore w:val="0"/>
                    <w:wordWrap/>
                    <w:overflowPunct/>
                    <w:topLinePunct w:val="0"/>
                    <w:bidi w:val="0"/>
                    <w:jc w:val="center"/>
                    <w:outlineLvl w:val="9"/>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4.54</w:t>
                  </w:r>
                  <w:r>
                    <w:rPr>
                      <w:rFonts w:hint="eastAsia" w:ascii="Times New Roman" w:hAnsi="Times New Roman" w:eastAsia="宋体" w:cs="Times New Roman"/>
                      <w:color w:val="auto"/>
                      <w:sz w:val="18"/>
                      <w:szCs w:val="18"/>
                      <w:lang w:val="en-US" w:eastAsia="zh-CN"/>
                    </w:rPr>
                    <w:t>×10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2F5D5E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43102EB2">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2" w:type="pct"/>
                  <w:vMerge w:val="continue"/>
                  <w:tcBorders>
                    <w:tl2br w:val="nil"/>
                    <w:tr2bl w:val="nil"/>
                  </w:tcBorders>
                  <w:noWrap w:val="0"/>
                  <w:tcMar>
                    <w:top w:w="0" w:type="dxa"/>
                    <w:left w:w="0" w:type="dxa"/>
                    <w:bottom w:w="0" w:type="dxa"/>
                    <w:right w:w="0" w:type="dxa"/>
                  </w:tcMar>
                  <w:vAlign w:val="center"/>
                </w:tcPr>
                <w:p w14:paraId="110DE4A0">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1" w:type="pct"/>
                  <w:tcBorders>
                    <w:tl2br w:val="nil"/>
                    <w:tr2bl w:val="nil"/>
                  </w:tcBorders>
                  <w:noWrap w:val="0"/>
                  <w:tcMar>
                    <w:top w:w="0" w:type="dxa"/>
                    <w:left w:w="0" w:type="dxa"/>
                    <w:bottom w:w="0" w:type="dxa"/>
                    <w:right w:w="0" w:type="dxa"/>
                  </w:tcMar>
                  <w:vAlign w:val="center"/>
                </w:tcPr>
                <w:p w14:paraId="1C53F014">
                  <w:pPr>
                    <w:pageBreakBefore w:val="0"/>
                    <w:tabs>
                      <w:tab w:val="left" w:pos="7020"/>
                    </w:tabs>
                    <w:wordWrap/>
                    <w:overflowPunct/>
                    <w:topLinePunct w:val="0"/>
                    <w:bidi w:val="0"/>
                    <w:jc w:val="center"/>
                    <w:outlineLvl w:val="9"/>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第三次</w:t>
                  </w:r>
                </w:p>
              </w:tc>
              <w:tc>
                <w:tcPr>
                  <w:tcW w:w="975" w:type="pct"/>
                  <w:tcBorders>
                    <w:tl2br w:val="nil"/>
                    <w:tr2bl w:val="nil"/>
                  </w:tcBorders>
                  <w:noWrap w:val="0"/>
                  <w:tcMar>
                    <w:top w:w="0" w:type="dxa"/>
                    <w:left w:w="0" w:type="dxa"/>
                    <w:bottom w:w="0" w:type="dxa"/>
                    <w:right w:w="0" w:type="dxa"/>
                  </w:tcMar>
                  <w:vAlign w:val="center"/>
                </w:tcPr>
                <w:p w14:paraId="6089EAF2">
                  <w:pPr>
                    <w:pageBreakBefore w:val="0"/>
                    <w:wordWrap/>
                    <w:overflowPunct/>
                    <w:topLinePunct w:val="0"/>
                    <w:bidi w:val="0"/>
                    <w:jc w:val="center"/>
                    <w:outlineLvl w:val="9"/>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5AFAEEAE">
                  <w:pPr>
                    <w:pageBreakBefore w:val="0"/>
                    <w:tabs>
                      <w:tab w:val="left" w:pos="7020"/>
                    </w:tabs>
                    <w:wordWrap/>
                    <w:overflowPunct/>
                    <w:topLinePunct w:val="0"/>
                    <w:bidi w:val="0"/>
                    <w:jc w:val="center"/>
                    <w:outlineLvl w:val="9"/>
                    <w:rPr>
                      <w:rFonts w:hint="default" w:cs="Times New Roman"/>
                      <w:color w:val="auto"/>
                      <w:sz w:val="18"/>
                      <w:szCs w:val="18"/>
                      <w:lang w:val="en-US" w:eastAsia="zh-CN"/>
                    </w:rPr>
                  </w:pPr>
                  <w:r>
                    <w:rPr>
                      <w:rFonts w:hint="eastAsia" w:cs="Times New Roman"/>
                      <w:color w:val="auto"/>
                      <w:sz w:val="18"/>
                      <w:szCs w:val="18"/>
                      <w:lang w:val="en-US" w:eastAsia="zh-CN"/>
                    </w:rPr>
                    <w:t>1.10</w:t>
                  </w:r>
                </w:p>
              </w:tc>
              <w:tc>
                <w:tcPr>
                  <w:tcW w:w="971" w:type="pct"/>
                  <w:tcBorders>
                    <w:tl2br w:val="nil"/>
                    <w:tr2bl w:val="nil"/>
                  </w:tcBorders>
                  <w:noWrap w:val="0"/>
                  <w:tcMar>
                    <w:top w:w="0" w:type="dxa"/>
                    <w:left w:w="0" w:type="dxa"/>
                    <w:bottom w:w="0" w:type="dxa"/>
                    <w:right w:w="0" w:type="dxa"/>
                  </w:tcMar>
                  <w:vAlign w:val="center"/>
                </w:tcPr>
                <w:p w14:paraId="22FBD607">
                  <w:pPr>
                    <w:pageBreakBefore w:val="0"/>
                    <w:wordWrap/>
                    <w:overflowPunct/>
                    <w:topLinePunct w:val="0"/>
                    <w:bidi w:val="0"/>
                    <w:jc w:val="center"/>
                    <w:outlineLvl w:val="9"/>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5.97</w:t>
                  </w:r>
                  <w:r>
                    <w:rPr>
                      <w:rFonts w:hint="eastAsia" w:ascii="Times New Roman" w:hAnsi="Times New Roman" w:eastAsia="宋体" w:cs="Times New Roman"/>
                      <w:color w:val="auto"/>
                      <w:sz w:val="18"/>
                      <w:szCs w:val="18"/>
                      <w:lang w:val="en-US" w:eastAsia="zh-CN"/>
                    </w:rPr>
                    <w:t>×10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61FB08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3021" w:type="pct"/>
                  <w:gridSpan w:val="4"/>
                  <w:tcBorders>
                    <w:tl2br w:val="nil"/>
                    <w:tr2bl w:val="nil"/>
                  </w:tcBorders>
                  <w:noWrap w:val="0"/>
                  <w:tcMar>
                    <w:top w:w="0" w:type="dxa"/>
                    <w:left w:w="0" w:type="dxa"/>
                    <w:bottom w:w="0" w:type="dxa"/>
                    <w:right w:w="0" w:type="dxa"/>
                  </w:tcMar>
                  <w:vAlign w:val="center"/>
                </w:tcPr>
                <w:p w14:paraId="16F4E552">
                  <w:pPr>
                    <w:pageBreakBefore w:val="0"/>
                    <w:tabs>
                      <w:tab w:val="left" w:pos="7020"/>
                    </w:tabs>
                    <w:wordWrap/>
                    <w:overflowPunct/>
                    <w:topLinePunct w:val="0"/>
                    <w:bidi w:val="0"/>
                    <w:jc w:val="center"/>
                    <w:outlineLvl w:val="9"/>
                    <w:rPr>
                      <w:rFonts w:hint="eastAsia" w:ascii="Times New Roman" w:hAnsi="Times New Roman" w:eastAsia="宋体" w:cs="Times New Roman"/>
                      <w:color w:val="auto"/>
                      <w:kern w:val="2"/>
                      <w:sz w:val="18"/>
                      <w:szCs w:val="18"/>
                      <w:lang w:val="en-US" w:eastAsia="zh-CN" w:bidi="ar-SA"/>
                    </w:rPr>
                  </w:pPr>
                  <w:r>
                    <w:rPr>
                      <w:rFonts w:hint="eastAsia" w:cs="Times New Roman"/>
                      <w:b/>
                      <w:bCs/>
                      <w:color w:val="auto"/>
                      <w:sz w:val="18"/>
                      <w:szCs w:val="18"/>
                      <w:lang w:val="en-US" w:eastAsia="zh-CN"/>
                    </w:rPr>
                    <w:t>标准限值</w:t>
                  </w:r>
                </w:p>
              </w:tc>
              <w:tc>
                <w:tcPr>
                  <w:tcW w:w="1007" w:type="pct"/>
                  <w:tcBorders>
                    <w:tl2br w:val="nil"/>
                    <w:tr2bl w:val="nil"/>
                  </w:tcBorders>
                  <w:noWrap w:val="0"/>
                  <w:tcMar>
                    <w:top w:w="0" w:type="dxa"/>
                    <w:left w:w="0" w:type="dxa"/>
                    <w:bottom w:w="0" w:type="dxa"/>
                    <w:right w:w="0" w:type="dxa"/>
                  </w:tcMar>
                  <w:vAlign w:val="center"/>
                </w:tcPr>
                <w:p w14:paraId="6CE09884">
                  <w:pPr>
                    <w:pageBreakBefore w:val="0"/>
                    <w:tabs>
                      <w:tab w:val="left" w:pos="7020"/>
                    </w:tabs>
                    <w:wordWrap/>
                    <w:overflowPunct/>
                    <w:topLinePunct w:val="0"/>
                    <w:bidi w:val="0"/>
                    <w:jc w:val="center"/>
                    <w:outlineLvl w:val="9"/>
                    <w:rPr>
                      <w:rFonts w:hint="default" w:cs="Times New Roman"/>
                      <w:color w:val="auto"/>
                      <w:sz w:val="18"/>
                      <w:szCs w:val="18"/>
                      <w:lang w:val="en-US" w:eastAsia="zh-CN"/>
                    </w:rPr>
                  </w:pPr>
                  <w:r>
                    <w:rPr>
                      <w:rFonts w:hint="eastAsia" w:cs="Times New Roman"/>
                      <w:color w:val="auto"/>
                      <w:sz w:val="18"/>
                      <w:szCs w:val="18"/>
                      <w:lang w:val="en-US" w:eastAsia="zh-CN"/>
                    </w:rPr>
                    <w:t>120</w:t>
                  </w:r>
                </w:p>
              </w:tc>
              <w:tc>
                <w:tcPr>
                  <w:tcW w:w="971" w:type="pct"/>
                  <w:tcBorders>
                    <w:tl2br w:val="nil"/>
                    <w:tr2bl w:val="nil"/>
                  </w:tcBorders>
                  <w:noWrap w:val="0"/>
                  <w:tcMar>
                    <w:top w:w="0" w:type="dxa"/>
                    <w:left w:w="0" w:type="dxa"/>
                    <w:bottom w:w="0" w:type="dxa"/>
                    <w:right w:w="0" w:type="dxa"/>
                  </w:tcMar>
                  <w:vAlign w:val="center"/>
                </w:tcPr>
                <w:p w14:paraId="5287E1CE">
                  <w:pPr>
                    <w:pageBreakBefore w:val="0"/>
                    <w:wordWrap/>
                    <w:overflowPunct/>
                    <w:topLinePunct w:val="0"/>
                    <w:bidi w:val="0"/>
                    <w:jc w:val="center"/>
                    <w:outlineLvl w:val="9"/>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60B59C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3021" w:type="pct"/>
                  <w:gridSpan w:val="4"/>
                  <w:tcBorders>
                    <w:tl2br w:val="nil"/>
                    <w:tr2bl w:val="nil"/>
                  </w:tcBorders>
                  <w:noWrap w:val="0"/>
                  <w:tcMar>
                    <w:top w:w="0" w:type="dxa"/>
                    <w:left w:w="0" w:type="dxa"/>
                    <w:bottom w:w="0" w:type="dxa"/>
                    <w:right w:w="0" w:type="dxa"/>
                  </w:tcMar>
                  <w:vAlign w:val="center"/>
                </w:tcPr>
                <w:p w14:paraId="7B69B35B">
                  <w:pPr>
                    <w:pageBreakBefore w:val="0"/>
                    <w:tabs>
                      <w:tab w:val="left" w:pos="7020"/>
                    </w:tabs>
                    <w:wordWrap/>
                    <w:overflowPunct/>
                    <w:topLinePunct w:val="0"/>
                    <w:bidi w:val="0"/>
                    <w:jc w:val="center"/>
                    <w:outlineLvl w:val="9"/>
                    <w:rPr>
                      <w:rFonts w:hint="eastAsia" w:ascii="Times New Roman" w:hAnsi="Times New Roman" w:eastAsia="宋体" w:cs="Times New Roman"/>
                      <w:color w:val="auto"/>
                      <w:kern w:val="2"/>
                      <w:sz w:val="18"/>
                      <w:szCs w:val="18"/>
                      <w:lang w:val="en-US" w:eastAsia="zh-CN" w:bidi="ar-SA"/>
                    </w:rPr>
                  </w:pPr>
                  <w:r>
                    <w:rPr>
                      <w:rFonts w:hint="eastAsia" w:cs="Times New Roman"/>
                      <w:b/>
                      <w:bCs/>
                      <w:color w:val="auto"/>
                      <w:sz w:val="18"/>
                      <w:szCs w:val="18"/>
                      <w:lang w:val="en-US" w:eastAsia="zh-CN"/>
                    </w:rPr>
                    <w:t>评价</w:t>
                  </w:r>
                </w:p>
              </w:tc>
              <w:tc>
                <w:tcPr>
                  <w:tcW w:w="1978" w:type="pct"/>
                  <w:gridSpan w:val="2"/>
                  <w:tcBorders>
                    <w:tl2br w:val="nil"/>
                    <w:tr2bl w:val="nil"/>
                  </w:tcBorders>
                  <w:noWrap w:val="0"/>
                  <w:tcMar>
                    <w:top w:w="0" w:type="dxa"/>
                    <w:left w:w="0" w:type="dxa"/>
                    <w:bottom w:w="0" w:type="dxa"/>
                    <w:right w:w="0" w:type="dxa"/>
                  </w:tcMar>
                  <w:vAlign w:val="center"/>
                </w:tcPr>
                <w:p w14:paraId="612D405A">
                  <w:pPr>
                    <w:pageBreakBefore w:val="0"/>
                    <w:wordWrap/>
                    <w:overflowPunct/>
                    <w:topLinePunct w:val="0"/>
                    <w:bidi w:val="0"/>
                    <w:jc w:val="center"/>
                    <w:outlineLvl w:val="9"/>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达标</w:t>
                  </w:r>
                </w:p>
              </w:tc>
            </w:tr>
            <w:tr w14:paraId="4CAF45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restart"/>
                  <w:tcBorders>
                    <w:tl2br w:val="nil"/>
                    <w:tr2bl w:val="nil"/>
                  </w:tcBorders>
                  <w:noWrap w:val="0"/>
                  <w:tcMar>
                    <w:top w:w="0" w:type="dxa"/>
                    <w:left w:w="0" w:type="dxa"/>
                    <w:bottom w:w="0" w:type="dxa"/>
                    <w:right w:w="0" w:type="dxa"/>
                  </w:tcMar>
                  <w:vAlign w:val="center"/>
                </w:tcPr>
                <w:p w14:paraId="3C19FD42">
                  <w:pPr>
                    <w:pageBreakBefore w:val="0"/>
                    <w:wordWrap/>
                    <w:overflowPunct/>
                    <w:topLinePunct w:val="0"/>
                    <w:bidi w:val="0"/>
                    <w:jc w:val="center"/>
                    <w:outlineLvl w:val="9"/>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spacing w:val="0"/>
                      <w:w w:val="100"/>
                      <w:position w:val="0"/>
                      <w:sz w:val="18"/>
                      <w:szCs w:val="18"/>
                      <w:lang w:val="en-US" w:eastAsia="zh-CN" w:bidi="en-US"/>
                    </w:rPr>
                    <w:t>2025.7.14</w:t>
                  </w:r>
                </w:p>
              </w:tc>
              <w:tc>
                <w:tcPr>
                  <w:tcW w:w="682" w:type="pct"/>
                  <w:vMerge w:val="restart"/>
                  <w:tcBorders>
                    <w:tl2br w:val="nil"/>
                    <w:tr2bl w:val="nil"/>
                  </w:tcBorders>
                  <w:noWrap w:val="0"/>
                  <w:tcMar>
                    <w:top w:w="0" w:type="dxa"/>
                    <w:left w:w="0" w:type="dxa"/>
                    <w:bottom w:w="0" w:type="dxa"/>
                    <w:right w:w="0" w:type="dxa"/>
                  </w:tcMar>
                  <w:vAlign w:val="center"/>
                </w:tcPr>
                <w:p w14:paraId="7E8EB671">
                  <w:pPr>
                    <w:pageBreakBefore w:val="0"/>
                    <w:wordWrap/>
                    <w:overflowPunct/>
                    <w:topLinePunct w:val="0"/>
                    <w:bidi w:val="0"/>
                    <w:jc w:val="center"/>
                    <w:outlineLvl w:val="9"/>
                    <w:rPr>
                      <w:rFonts w:hint="default" w:ascii="Times New Roman" w:hAnsi="Times New Roman" w:eastAsia="宋体" w:cs="Times New Roman"/>
                      <w:color w:val="auto"/>
                      <w:sz w:val="18"/>
                      <w:szCs w:val="18"/>
                      <w:lang w:val="en-US"/>
                    </w:rPr>
                  </w:pPr>
                  <w:r>
                    <w:rPr>
                      <w:rFonts w:hint="eastAsia" w:cs="Times New Roman"/>
                      <w:color w:val="auto"/>
                      <w:sz w:val="18"/>
                      <w:szCs w:val="18"/>
                      <w:lang w:val="en-US" w:eastAsia="zh-CN"/>
                    </w:rPr>
                    <w:t>DA012</w:t>
                  </w:r>
                </w:p>
              </w:tc>
              <w:tc>
                <w:tcPr>
                  <w:tcW w:w="681" w:type="pct"/>
                  <w:tcBorders>
                    <w:tl2br w:val="nil"/>
                    <w:tr2bl w:val="nil"/>
                  </w:tcBorders>
                  <w:noWrap w:val="0"/>
                  <w:tcMar>
                    <w:top w:w="0" w:type="dxa"/>
                    <w:left w:w="0" w:type="dxa"/>
                    <w:bottom w:w="0" w:type="dxa"/>
                    <w:right w:w="0" w:type="dxa"/>
                  </w:tcMar>
                  <w:vAlign w:val="center"/>
                </w:tcPr>
                <w:p w14:paraId="0B4FBC2B">
                  <w:pPr>
                    <w:pageBreakBefore w:val="0"/>
                    <w:tabs>
                      <w:tab w:val="left" w:pos="7020"/>
                    </w:tabs>
                    <w:wordWrap/>
                    <w:overflowPunct/>
                    <w:topLinePunct w:val="0"/>
                    <w:bidi w:val="0"/>
                    <w:jc w:val="center"/>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第一次</w:t>
                  </w:r>
                </w:p>
              </w:tc>
              <w:tc>
                <w:tcPr>
                  <w:tcW w:w="975" w:type="pct"/>
                  <w:tcBorders>
                    <w:tl2br w:val="nil"/>
                    <w:tr2bl w:val="nil"/>
                  </w:tcBorders>
                  <w:noWrap w:val="0"/>
                  <w:tcMar>
                    <w:top w:w="0" w:type="dxa"/>
                    <w:left w:w="0" w:type="dxa"/>
                    <w:bottom w:w="0" w:type="dxa"/>
                    <w:right w:w="0" w:type="dxa"/>
                  </w:tcMar>
                  <w:vAlign w:val="center"/>
                </w:tcPr>
                <w:p w14:paraId="1D54F760">
                  <w:pPr>
                    <w:pageBreakBefore w:val="0"/>
                    <w:wordWrap/>
                    <w:overflowPunct/>
                    <w:topLinePunct w:val="0"/>
                    <w:bidi w:val="0"/>
                    <w:jc w:val="center"/>
                    <w:outlineLvl w:val="9"/>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4636ACAB">
                  <w:pPr>
                    <w:pageBreakBefore w:val="0"/>
                    <w:tabs>
                      <w:tab w:val="left" w:pos="7020"/>
                    </w:tabs>
                    <w:wordWrap/>
                    <w:overflowPunct/>
                    <w:topLinePunct w:val="0"/>
                    <w:bidi w:val="0"/>
                    <w:jc w:val="center"/>
                    <w:outlineLvl w:val="9"/>
                    <w:rPr>
                      <w:rFonts w:hint="default" w:cs="Times New Roman"/>
                      <w:color w:val="auto"/>
                      <w:sz w:val="18"/>
                      <w:szCs w:val="18"/>
                      <w:lang w:val="en-US" w:eastAsia="zh-CN"/>
                    </w:rPr>
                  </w:pPr>
                  <w:r>
                    <w:rPr>
                      <w:rFonts w:hint="eastAsia" w:cs="Times New Roman"/>
                      <w:color w:val="auto"/>
                      <w:sz w:val="18"/>
                      <w:szCs w:val="18"/>
                      <w:lang w:val="en-US" w:eastAsia="zh-CN"/>
                    </w:rPr>
                    <w:t>1.71</w:t>
                  </w:r>
                </w:p>
              </w:tc>
              <w:tc>
                <w:tcPr>
                  <w:tcW w:w="971" w:type="pct"/>
                  <w:tcBorders>
                    <w:tl2br w:val="nil"/>
                    <w:tr2bl w:val="nil"/>
                  </w:tcBorders>
                  <w:noWrap w:val="0"/>
                  <w:tcMar>
                    <w:top w:w="0" w:type="dxa"/>
                    <w:left w:w="0" w:type="dxa"/>
                    <w:bottom w:w="0" w:type="dxa"/>
                    <w:right w:w="0" w:type="dxa"/>
                  </w:tcMar>
                  <w:vAlign w:val="center"/>
                </w:tcPr>
                <w:p w14:paraId="563EADE8">
                  <w:pPr>
                    <w:pageBreakBefore w:val="0"/>
                    <w:wordWrap/>
                    <w:overflowPunct/>
                    <w:topLinePunct w:val="0"/>
                    <w:bidi w:val="0"/>
                    <w:jc w:val="center"/>
                    <w:outlineLvl w:val="9"/>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4.22</w:t>
                  </w:r>
                  <w:r>
                    <w:rPr>
                      <w:rFonts w:hint="eastAsia" w:ascii="Times New Roman" w:hAnsi="Times New Roman" w:eastAsia="宋体" w:cs="Times New Roman"/>
                      <w:color w:val="auto"/>
                      <w:sz w:val="18"/>
                      <w:szCs w:val="18"/>
                      <w:lang w:val="en-US" w:eastAsia="zh-CN"/>
                    </w:rPr>
                    <w:t>×10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2DE2F1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7AA35092">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2" w:type="pct"/>
                  <w:vMerge w:val="continue"/>
                  <w:tcBorders>
                    <w:tl2br w:val="nil"/>
                    <w:tr2bl w:val="nil"/>
                  </w:tcBorders>
                  <w:noWrap w:val="0"/>
                  <w:tcMar>
                    <w:top w:w="0" w:type="dxa"/>
                    <w:left w:w="0" w:type="dxa"/>
                    <w:bottom w:w="0" w:type="dxa"/>
                    <w:right w:w="0" w:type="dxa"/>
                  </w:tcMar>
                  <w:vAlign w:val="center"/>
                </w:tcPr>
                <w:p w14:paraId="18C4CB35">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1" w:type="pct"/>
                  <w:tcBorders>
                    <w:tl2br w:val="nil"/>
                    <w:tr2bl w:val="nil"/>
                  </w:tcBorders>
                  <w:noWrap w:val="0"/>
                  <w:tcMar>
                    <w:top w:w="0" w:type="dxa"/>
                    <w:left w:w="0" w:type="dxa"/>
                    <w:bottom w:w="0" w:type="dxa"/>
                    <w:right w:w="0" w:type="dxa"/>
                  </w:tcMar>
                  <w:vAlign w:val="center"/>
                </w:tcPr>
                <w:p w14:paraId="121C28C7">
                  <w:pPr>
                    <w:pageBreakBefore w:val="0"/>
                    <w:tabs>
                      <w:tab w:val="left" w:pos="7020"/>
                    </w:tabs>
                    <w:wordWrap/>
                    <w:overflowPunct/>
                    <w:topLinePunct w:val="0"/>
                    <w:bidi w:val="0"/>
                    <w:jc w:val="center"/>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第二次</w:t>
                  </w:r>
                </w:p>
              </w:tc>
              <w:tc>
                <w:tcPr>
                  <w:tcW w:w="975" w:type="pct"/>
                  <w:tcBorders>
                    <w:tl2br w:val="nil"/>
                    <w:tr2bl w:val="nil"/>
                  </w:tcBorders>
                  <w:noWrap w:val="0"/>
                  <w:tcMar>
                    <w:top w:w="0" w:type="dxa"/>
                    <w:left w:w="0" w:type="dxa"/>
                    <w:bottom w:w="0" w:type="dxa"/>
                    <w:right w:w="0" w:type="dxa"/>
                  </w:tcMar>
                  <w:vAlign w:val="center"/>
                </w:tcPr>
                <w:p w14:paraId="46C2FF84">
                  <w:pPr>
                    <w:pageBreakBefore w:val="0"/>
                    <w:wordWrap/>
                    <w:overflowPunct/>
                    <w:topLinePunct w:val="0"/>
                    <w:bidi w:val="0"/>
                    <w:jc w:val="center"/>
                    <w:outlineLvl w:val="9"/>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7D19E37A">
                  <w:pPr>
                    <w:pageBreakBefore w:val="0"/>
                    <w:tabs>
                      <w:tab w:val="left" w:pos="7020"/>
                    </w:tabs>
                    <w:wordWrap/>
                    <w:overflowPunct/>
                    <w:topLinePunct w:val="0"/>
                    <w:bidi w:val="0"/>
                    <w:jc w:val="center"/>
                    <w:outlineLvl w:val="9"/>
                    <w:rPr>
                      <w:rFonts w:hint="default" w:cs="Times New Roman"/>
                      <w:color w:val="auto"/>
                      <w:sz w:val="18"/>
                      <w:szCs w:val="18"/>
                      <w:lang w:val="en-US" w:eastAsia="zh-CN"/>
                    </w:rPr>
                  </w:pPr>
                  <w:r>
                    <w:rPr>
                      <w:rFonts w:hint="eastAsia" w:cs="Times New Roman"/>
                      <w:color w:val="auto"/>
                      <w:sz w:val="18"/>
                      <w:szCs w:val="18"/>
                      <w:lang w:val="en-US" w:eastAsia="zh-CN"/>
                    </w:rPr>
                    <w:t>1.71</w:t>
                  </w:r>
                </w:p>
              </w:tc>
              <w:tc>
                <w:tcPr>
                  <w:tcW w:w="971" w:type="pct"/>
                  <w:tcBorders>
                    <w:tl2br w:val="nil"/>
                    <w:tr2bl w:val="nil"/>
                  </w:tcBorders>
                  <w:noWrap w:val="0"/>
                  <w:tcMar>
                    <w:top w:w="0" w:type="dxa"/>
                    <w:left w:w="0" w:type="dxa"/>
                    <w:bottom w:w="0" w:type="dxa"/>
                    <w:right w:w="0" w:type="dxa"/>
                  </w:tcMar>
                  <w:vAlign w:val="center"/>
                </w:tcPr>
                <w:p w14:paraId="556E0FBF">
                  <w:pPr>
                    <w:pageBreakBefore w:val="0"/>
                    <w:wordWrap/>
                    <w:overflowPunct/>
                    <w:topLinePunct w:val="0"/>
                    <w:bidi w:val="0"/>
                    <w:jc w:val="center"/>
                    <w:outlineLvl w:val="9"/>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4.24</w:t>
                  </w:r>
                  <w:r>
                    <w:rPr>
                      <w:rFonts w:hint="eastAsia" w:ascii="Times New Roman" w:hAnsi="Times New Roman" w:eastAsia="宋体" w:cs="Times New Roman"/>
                      <w:color w:val="auto"/>
                      <w:sz w:val="18"/>
                      <w:szCs w:val="18"/>
                      <w:lang w:val="en-US" w:eastAsia="zh-CN"/>
                    </w:rPr>
                    <w:t>×10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5508BC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64061581">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2" w:type="pct"/>
                  <w:vMerge w:val="continue"/>
                  <w:tcBorders>
                    <w:tl2br w:val="nil"/>
                    <w:tr2bl w:val="nil"/>
                  </w:tcBorders>
                  <w:noWrap w:val="0"/>
                  <w:tcMar>
                    <w:top w:w="0" w:type="dxa"/>
                    <w:left w:w="0" w:type="dxa"/>
                    <w:bottom w:w="0" w:type="dxa"/>
                    <w:right w:w="0" w:type="dxa"/>
                  </w:tcMar>
                  <w:vAlign w:val="center"/>
                </w:tcPr>
                <w:p w14:paraId="790DE158">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1" w:type="pct"/>
                  <w:tcBorders>
                    <w:tl2br w:val="nil"/>
                    <w:tr2bl w:val="nil"/>
                  </w:tcBorders>
                  <w:noWrap w:val="0"/>
                  <w:tcMar>
                    <w:top w:w="0" w:type="dxa"/>
                    <w:left w:w="0" w:type="dxa"/>
                    <w:bottom w:w="0" w:type="dxa"/>
                    <w:right w:w="0" w:type="dxa"/>
                  </w:tcMar>
                  <w:vAlign w:val="center"/>
                </w:tcPr>
                <w:p w14:paraId="4E03BD12">
                  <w:pPr>
                    <w:pageBreakBefore w:val="0"/>
                    <w:tabs>
                      <w:tab w:val="left" w:pos="7020"/>
                    </w:tabs>
                    <w:wordWrap/>
                    <w:overflowPunct/>
                    <w:topLinePunct w:val="0"/>
                    <w:bidi w:val="0"/>
                    <w:jc w:val="center"/>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第三次</w:t>
                  </w:r>
                </w:p>
              </w:tc>
              <w:tc>
                <w:tcPr>
                  <w:tcW w:w="975" w:type="pct"/>
                  <w:tcBorders>
                    <w:tl2br w:val="nil"/>
                    <w:tr2bl w:val="nil"/>
                  </w:tcBorders>
                  <w:noWrap w:val="0"/>
                  <w:tcMar>
                    <w:top w:w="0" w:type="dxa"/>
                    <w:left w:w="0" w:type="dxa"/>
                    <w:bottom w:w="0" w:type="dxa"/>
                    <w:right w:w="0" w:type="dxa"/>
                  </w:tcMar>
                  <w:vAlign w:val="center"/>
                </w:tcPr>
                <w:p w14:paraId="25593393">
                  <w:pPr>
                    <w:pageBreakBefore w:val="0"/>
                    <w:wordWrap/>
                    <w:overflowPunct/>
                    <w:topLinePunct w:val="0"/>
                    <w:bidi w:val="0"/>
                    <w:jc w:val="center"/>
                    <w:outlineLvl w:val="9"/>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1007" w:type="pct"/>
                  <w:tcBorders>
                    <w:tl2br w:val="nil"/>
                    <w:tr2bl w:val="nil"/>
                  </w:tcBorders>
                  <w:noWrap w:val="0"/>
                  <w:tcMar>
                    <w:top w:w="0" w:type="dxa"/>
                    <w:left w:w="0" w:type="dxa"/>
                    <w:bottom w:w="0" w:type="dxa"/>
                    <w:right w:w="0" w:type="dxa"/>
                  </w:tcMar>
                  <w:vAlign w:val="center"/>
                </w:tcPr>
                <w:p w14:paraId="49CF7345">
                  <w:pPr>
                    <w:pageBreakBefore w:val="0"/>
                    <w:tabs>
                      <w:tab w:val="left" w:pos="7020"/>
                    </w:tabs>
                    <w:wordWrap/>
                    <w:overflowPunct/>
                    <w:topLinePunct w:val="0"/>
                    <w:bidi w:val="0"/>
                    <w:jc w:val="center"/>
                    <w:outlineLvl w:val="9"/>
                    <w:rPr>
                      <w:rFonts w:hint="default" w:cs="Times New Roman"/>
                      <w:color w:val="auto"/>
                      <w:sz w:val="18"/>
                      <w:szCs w:val="18"/>
                      <w:lang w:val="en-US" w:eastAsia="zh-CN"/>
                    </w:rPr>
                  </w:pPr>
                  <w:r>
                    <w:rPr>
                      <w:rFonts w:hint="eastAsia" w:cs="Times New Roman"/>
                      <w:color w:val="auto"/>
                      <w:sz w:val="18"/>
                      <w:szCs w:val="18"/>
                      <w:lang w:val="en-US" w:eastAsia="zh-CN"/>
                    </w:rPr>
                    <w:t>1.72</w:t>
                  </w:r>
                </w:p>
              </w:tc>
              <w:tc>
                <w:tcPr>
                  <w:tcW w:w="971" w:type="pct"/>
                  <w:tcBorders>
                    <w:tl2br w:val="nil"/>
                    <w:tr2bl w:val="nil"/>
                  </w:tcBorders>
                  <w:noWrap w:val="0"/>
                  <w:tcMar>
                    <w:top w:w="0" w:type="dxa"/>
                    <w:left w:w="0" w:type="dxa"/>
                    <w:bottom w:w="0" w:type="dxa"/>
                    <w:right w:w="0" w:type="dxa"/>
                  </w:tcMar>
                  <w:vAlign w:val="center"/>
                </w:tcPr>
                <w:p w14:paraId="6F432CEB">
                  <w:pPr>
                    <w:pageBreakBefore w:val="0"/>
                    <w:wordWrap/>
                    <w:overflowPunct/>
                    <w:topLinePunct w:val="0"/>
                    <w:bidi w:val="0"/>
                    <w:jc w:val="center"/>
                    <w:outlineLvl w:val="9"/>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4.29</w:t>
                  </w:r>
                  <w:r>
                    <w:rPr>
                      <w:rFonts w:hint="eastAsia" w:ascii="Times New Roman" w:hAnsi="Times New Roman" w:eastAsia="宋体" w:cs="Times New Roman"/>
                      <w:color w:val="auto"/>
                      <w:sz w:val="18"/>
                      <w:szCs w:val="18"/>
                      <w:lang w:val="en-US" w:eastAsia="zh-CN"/>
                    </w:rPr>
                    <w:t>×10</w:t>
                  </w:r>
                  <w:r>
                    <w:rPr>
                      <w:rFonts w:hint="eastAsia" w:ascii="Times New Roman" w:hAnsi="Times New Roman" w:eastAsia="宋体" w:cs="Times New Roman"/>
                      <w:color w:val="auto"/>
                      <w:sz w:val="18"/>
                      <w:szCs w:val="18"/>
                      <w:vertAlign w:val="superscript"/>
                      <w:lang w:val="en-US" w:eastAsia="zh-CN"/>
                    </w:rPr>
                    <w:t>-</w:t>
                  </w:r>
                  <w:r>
                    <w:rPr>
                      <w:rFonts w:hint="eastAsia" w:cs="Times New Roman"/>
                      <w:color w:val="auto"/>
                      <w:sz w:val="18"/>
                      <w:szCs w:val="18"/>
                      <w:vertAlign w:val="superscript"/>
                      <w:lang w:val="en-US" w:eastAsia="zh-CN"/>
                    </w:rPr>
                    <w:t>3</w:t>
                  </w:r>
                </w:p>
              </w:tc>
            </w:tr>
            <w:tr w14:paraId="5A747F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3021" w:type="pct"/>
                  <w:gridSpan w:val="4"/>
                  <w:tcBorders>
                    <w:tl2br w:val="nil"/>
                    <w:tr2bl w:val="nil"/>
                  </w:tcBorders>
                  <w:noWrap w:val="0"/>
                  <w:tcMar>
                    <w:top w:w="0" w:type="dxa"/>
                    <w:left w:w="0" w:type="dxa"/>
                    <w:bottom w:w="0" w:type="dxa"/>
                    <w:right w:w="0" w:type="dxa"/>
                  </w:tcMar>
                  <w:vAlign w:val="center"/>
                </w:tcPr>
                <w:p w14:paraId="0E3DC723">
                  <w:pPr>
                    <w:pageBreakBefore w:val="0"/>
                    <w:tabs>
                      <w:tab w:val="left" w:pos="7020"/>
                    </w:tabs>
                    <w:wordWrap/>
                    <w:overflowPunct/>
                    <w:topLinePunct w:val="0"/>
                    <w:bidi w:val="0"/>
                    <w:jc w:val="center"/>
                    <w:outlineLvl w:val="9"/>
                    <w:rPr>
                      <w:rFonts w:hint="eastAsia" w:ascii="Times New Roman" w:hAnsi="Times New Roman" w:eastAsia="宋体" w:cs="Times New Roman"/>
                      <w:color w:val="auto"/>
                      <w:kern w:val="2"/>
                      <w:sz w:val="18"/>
                      <w:szCs w:val="18"/>
                      <w:lang w:val="en-US" w:eastAsia="zh-CN" w:bidi="ar-SA"/>
                    </w:rPr>
                  </w:pPr>
                  <w:r>
                    <w:rPr>
                      <w:rFonts w:hint="eastAsia" w:cs="Times New Roman"/>
                      <w:b/>
                      <w:bCs/>
                      <w:color w:val="auto"/>
                      <w:sz w:val="18"/>
                      <w:szCs w:val="18"/>
                      <w:lang w:val="en-US" w:eastAsia="zh-CN"/>
                    </w:rPr>
                    <w:t>标准限值</w:t>
                  </w:r>
                </w:p>
              </w:tc>
              <w:tc>
                <w:tcPr>
                  <w:tcW w:w="1007" w:type="pct"/>
                  <w:tcBorders>
                    <w:tl2br w:val="nil"/>
                    <w:tr2bl w:val="nil"/>
                  </w:tcBorders>
                  <w:noWrap w:val="0"/>
                  <w:tcMar>
                    <w:top w:w="0" w:type="dxa"/>
                    <w:left w:w="0" w:type="dxa"/>
                    <w:bottom w:w="0" w:type="dxa"/>
                    <w:right w:w="0" w:type="dxa"/>
                  </w:tcMar>
                  <w:vAlign w:val="center"/>
                </w:tcPr>
                <w:p w14:paraId="31C91803">
                  <w:pPr>
                    <w:pageBreakBefore w:val="0"/>
                    <w:tabs>
                      <w:tab w:val="left" w:pos="7020"/>
                    </w:tabs>
                    <w:wordWrap/>
                    <w:overflowPunct/>
                    <w:topLinePunct w:val="0"/>
                    <w:bidi w:val="0"/>
                    <w:jc w:val="center"/>
                    <w:outlineLvl w:val="9"/>
                    <w:rPr>
                      <w:rFonts w:hint="default" w:cs="Times New Roman"/>
                      <w:color w:val="auto"/>
                      <w:sz w:val="18"/>
                      <w:szCs w:val="18"/>
                      <w:lang w:val="en-US" w:eastAsia="zh-CN"/>
                    </w:rPr>
                  </w:pPr>
                  <w:r>
                    <w:rPr>
                      <w:rFonts w:hint="eastAsia" w:cs="Times New Roman"/>
                      <w:color w:val="auto"/>
                      <w:sz w:val="18"/>
                      <w:szCs w:val="18"/>
                      <w:lang w:val="en-US" w:eastAsia="zh-CN"/>
                    </w:rPr>
                    <w:t>50</w:t>
                  </w:r>
                </w:p>
              </w:tc>
              <w:tc>
                <w:tcPr>
                  <w:tcW w:w="971" w:type="pct"/>
                  <w:tcBorders>
                    <w:tl2br w:val="nil"/>
                    <w:tr2bl w:val="nil"/>
                  </w:tcBorders>
                  <w:noWrap w:val="0"/>
                  <w:tcMar>
                    <w:top w:w="0" w:type="dxa"/>
                    <w:left w:w="0" w:type="dxa"/>
                    <w:bottom w:w="0" w:type="dxa"/>
                    <w:right w:w="0" w:type="dxa"/>
                  </w:tcMar>
                  <w:vAlign w:val="center"/>
                </w:tcPr>
                <w:p w14:paraId="2BF8C5CE">
                  <w:pPr>
                    <w:pageBreakBefore w:val="0"/>
                    <w:wordWrap/>
                    <w:overflowPunct/>
                    <w:topLinePunct w:val="0"/>
                    <w:bidi w:val="0"/>
                    <w:jc w:val="center"/>
                    <w:outlineLvl w:val="9"/>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1.8</w:t>
                  </w:r>
                </w:p>
              </w:tc>
            </w:tr>
            <w:tr w14:paraId="40FA38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3021" w:type="pct"/>
                  <w:gridSpan w:val="4"/>
                  <w:tcBorders>
                    <w:tl2br w:val="nil"/>
                    <w:tr2bl w:val="nil"/>
                  </w:tcBorders>
                  <w:noWrap w:val="0"/>
                  <w:tcMar>
                    <w:top w:w="0" w:type="dxa"/>
                    <w:left w:w="0" w:type="dxa"/>
                    <w:bottom w:w="0" w:type="dxa"/>
                    <w:right w:w="0" w:type="dxa"/>
                  </w:tcMar>
                  <w:vAlign w:val="center"/>
                </w:tcPr>
                <w:p w14:paraId="66FAA6ED">
                  <w:pPr>
                    <w:pageBreakBefore w:val="0"/>
                    <w:tabs>
                      <w:tab w:val="left" w:pos="7020"/>
                    </w:tabs>
                    <w:wordWrap/>
                    <w:overflowPunct/>
                    <w:topLinePunct w:val="0"/>
                    <w:bidi w:val="0"/>
                    <w:jc w:val="center"/>
                    <w:outlineLvl w:val="9"/>
                    <w:rPr>
                      <w:rFonts w:hint="eastAsia" w:ascii="Times New Roman" w:hAnsi="Times New Roman" w:eastAsia="宋体" w:cs="Times New Roman"/>
                      <w:color w:val="auto"/>
                      <w:kern w:val="2"/>
                      <w:sz w:val="18"/>
                      <w:szCs w:val="18"/>
                      <w:lang w:val="en-US" w:eastAsia="zh-CN" w:bidi="ar-SA"/>
                    </w:rPr>
                  </w:pPr>
                  <w:r>
                    <w:rPr>
                      <w:rFonts w:hint="eastAsia" w:cs="Times New Roman"/>
                      <w:b/>
                      <w:bCs/>
                      <w:color w:val="auto"/>
                      <w:sz w:val="18"/>
                      <w:szCs w:val="18"/>
                      <w:lang w:val="en-US" w:eastAsia="zh-CN"/>
                    </w:rPr>
                    <w:t>评价</w:t>
                  </w:r>
                </w:p>
              </w:tc>
              <w:tc>
                <w:tcPr>
                  <w:tcW w:w="1978" w:type="pct"/>
                  <w:gridSpan w:val="2"/>
                  <w:tcBorders>
                    <w:tl2br w:val="nil"/>
                    <w:tr2bl w:val="nil"/>
                  </w:tcBorders>
                  <w:noWrap w:val="0"/>
                  <w:tcMar>
                    <w:top w:w="0" w:type="dxa"/>
                    <w:left w:w="0" w:type="dxa"/>
                    <w:bottom w:w="0" w:type="dxa"/>
                    <w:right w:w="0" w:type="dxa"/>
                  </w:tcMar>
                  <w:vAlign w:val="center"/>
                </w:tcPr>
                <w:p w14:paraId="06610C66">
                  <w:pPr>
                    <w:pageBreakBefore w:val="0"/>
                    <w:wordWrap/>
                    <w:overflowPunct/>
                    <w:topLinePunct w:val="0"/>
                    <w:bidi w:val="0"/>
                    <w:jc w:val="center"/>
                    <w:outlineLvl w:val="9"/>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达标</w:t>
                  </w:r>
                </w:p>
              </w:tc>
            </w:tr>
            <w:tr w14:paraId="139BFD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restart"/>
                  <w:tcBorders>
                    <w:tl2br w:val="nil"/>
                    <w:tr2bl w:val="nil"/>
                  </w:tcBorders>
                  <w:noWrap w:val="0"/>
                  <w:tcMar>
                    <w:top w:w="0" w:type="dxa"/>
                    <w:left w:w="0" w:type="dxa"/>
                    <w:bottom w:w="0" w:type="dxa"/>
                    <w:right w:w="0" w:type="dxa"/>
                  </w:tcMar>
                  <w:vAlign w:val="center"/>
                </w:tcPr>
                <w:p w14:paraId="55F0E462">
                  <w:pPr>
                    <w:pageBreakBefore w:val="0"/>
                    <w:wordWrap/>
                    <w:overflowPunct/>
                    <w:topLinePunct w:val="0"/>
                    <w:bidi w:val="0"/>
                    <w:jc w:val="center"/>
                    <w:outlineLvl w:val="9"/>
                    <w:rPr>
                      <w:rFonts w:hint="default" w:ascii="Times New Roman" w:hAnsi="Times New Roman" w:eastAsia="宋体" w:cs="Times New Roman"/>
                      <w:color w:val="auto"/>
                      <w:sz w:val="18"/>
                      <w:szCs w:val="18"/>
                      <w:lang w:val="en-US"/>
                    </w:rPr>
                  </w:pPr>
                  <w:r>
                    <w:rPr>
                      <w:rFonts w:hint="eastAsia" w:ascii="Times New Roman" w:hAnsi="Times New Roman" w:eastAsia="宋体" w:cs="Times New Roman"/>
                      <w:color w:val="auto"/>
                      <w:spacing w:val="0"/>
                      <w:w w:val="100"/>
                      <w:position w:val="0"/>
                      <w:sz w:val="18"/>
                      <w:szCs w:val="18"/>
                      <w:lang w:val="en-US" w:eastAsia="zh-CN" w:bidi="en-US"/>
                    </w:rPr>
                    <w:t>2025.7.14</w:t>
                  </w:r>
                </w:p>
              </w:tc>
              <w:tc>
                <w:tcPr>
                  <w:tcW w:w="682" w:type="pct"/>
                  <w:vMerge w:val="restart"/>
                  <w:tcBorders>
                    <w:tl2br w:val="nil"/>
                    <w:tr2bl w:val="nil"/>
                  </w:tcBorders>
                  <w:noWrap w:val="0"/>
                  <w:tcMar>
                    <w:top w:w="0" w:type="dxa"/>
                    <w:left w:w="0" w:type="dxa"/>
                    <w:bottom w:w="0" w:type="dxa"/>
                    <w:right w:w="0" w:type="dxa"/>
                  </w:tcMar>
                  <w:vAlign w:val="center"/>
                </w:tcPr>
                <w:p w14:paraId="1575FB4A">
                  <w:pPr>
                    <w:pageBreakBefore w:val="0"/>
                    <w:wordWrap/>
                    <w:overflowPunct/>
                    <w:topLinePunct w:val="0"/>
                    <w:bidi w:val="0"/>
                    <w:jc w:val="center"/>
                    <w:outlineLvl w:val="9"/>
                    <w:rPr>
                      <w:rFonts w:hint="default" w:ascii="Times New Roman" w:hAnsi="Times New Roman" w:eastAsia="宋体" w:cs="Times New Roman"/>
                      <w:color w:val="auto"/>
                      <w:sz w:val="18"/>
                      <w:szCs w:val="18"/>
                      <w:lang w:val="en-US"/>
                    </w:rPr>
                  </w:pPr>
                  <w:r>
                    <w:rPr>
                      <w:rFonts w:hint="eastAsia" w:cs="Times New Roman"/>
                      <w:color w:val="auto"/>
                      <w:sz w:val="18"/>
                      <w:szCs w:val="18"/>
                      <w:lang w:val="en-US" w:eastAsia="zh-CN"/>
                    </w:rPr>
                    <w:t>DA001</w:t>
                  </w:r>
                </w:p>
              </w:tc>
              <w:tc>
                <w:tcPr>
                  <w:tcW w:w="681" w:type="pct"/>
                  <w:tcBorders>
                    <w:tl2br w:val="nil"/>
                    <w:tr2bl w:val="nil"/>
                  </w:tcBorders>
                  <w:noWrap w:val="0"/>
                  <w:tcMar>
                    <w:top w:w="0" w:type="dxa"/>
                    <w:left w:w="0" w:type="dxa"/>
                    <w:bottom w:w="0" w:type="dxa"/>
                    <w:right w:w="0" w:type="dxa"/>
                  </w:tcMar>
                  <w:vAlign w:val="center"/>
                </w:tcPr>
                <w:p w14:paraId="472C4C10">
                  <w:pPr>
                    <w:pageBreakBefore w:val="0"/>
                    <w:tabs>
                      <w:tab w:val="left" w:pos="7020"/>
                    </w:tabs>
                    <w:wordWrap/>
                    <w:overflowPunct/>
                    <w:topLinePunct w:val="0"/>
                    <w:bidi w:val="0"/>
                    <w:jc w:val="center"/>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第一次</w:t>
                  </w:r>
                </w:p>
              </w:tc>
              <w:tc>
                <w:tcPr>
                  <w:tcW w:w="975" w:type="pct"/>
                  <w:tcBorders>
                    <w:tl2br w:val="nil"/>
                    <w:tr2bl w:val="nil"/>
                  </w:tcBorders>
                  <w:noWrap w:val="0"/>
                  <w:tcMar>
                    <w:top w:w="0" w:type="dxa"/>
                    <w:left w:w="0" w:type="dxa"/>
                    <w:bottom w:w="0" w:type="dxa"/>
                    <w:right w:w="0" w:type="dxa"/>
                  </w:tcMar>
                  <w:vAlign w:val="center"/>
                </w:tcPr>
                <w:p w14:paraId="50AE5DCD">
                  <w:pPr>
                    <w:pageBreakBefore w:val="0"/>
                    <w:wordWrap/>
                    <w:overflowPunct/>
                    <w:topLinePunct w:val="0"/>
                    <w:bidi w:val="0"/>
                    <w:jc w:val="center"/>
                    <w:outlineLvl w:val="9"/>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油烟</w:t>
                  </w:r>
                </w:p>
              </w:tc>
              <w:tc>
                <w:tcPr>
                  <w:tcW w:w="1007" w:type="pct"/>
                  <w:tcBorders>
                    <w:tl2br w:val="nil"/>
                    <w:tr2bl w:val="nil"/>
                  </w:tcBorders>
                  <w:noWrap w:val="0"/>
                  <w:tcMar>
                    <w:top w:w="0" w:type="dxa"/>
                    <w:left w:w="0" w:type="dxa"/>
                    <w:bottom w:w="0" w:type="dxa"/>
                    <w:right w:w="0" w:type="dxa"/>
                  </w:tcMar>
                  <w:vAlign w:val="top"/>
                </w:tcPr>
                <w:p w14:paraId="3B9395BF">
                  <w:pPr>
                    <w:pageBreakBefore w:val="0"/>
                    <w:tabs>
                      <w:tab w:val="left" w:pos="7020"/>
                    </w:tabs>
                    <w:wordWrap/>
                    <w:overflowPunct/>
                    <w:topLinePunct w:val="0"/>
                    <w:bidi w:val="0"/>
                    <w:jc w:val="center"/>
                    <w:outlineLvl w:val="9"/>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0.1</w:t>
                  </w:r>
                </w:p>
              </w:tc>
              <w:tc>
                <w:tcPr>
                  <w:tcW w:w="971" w:type="pct"/>
                  <w:tcBorders>
                    <w:tl2br w:val="nil"/>
                    <w:tr2bl w:val="nil"/>
                  </w:tcBorders>
                  <w:noWrap w:val="0"/>
                  <w:tcMar>
                    <w:top w:w="0" w:type="dxa"/>
                    <w:left w:w="0" w:type="dxa"/>
                    <w:bottom w:w="0" w:type="dxa"/>
                    <w:right w:w="0" w:type="dxa"/>
                  </w:tcMar>
                  <w:vAlign w:val="center"/>
                </w:tcPr>
                <w:p w14:paraId="12C35A00">
                  <w:pPr>
                    <w:pageBreakBefore w:val="0"/>
                    <w:wordWrap/>
                    <w:overflowPunct/>
                    <w:topLinePunct w:val="0"/>
                    <w:bidi w:val="0"/>
                    <w:jc w:val="center"/>
                    <w:outlineLvl w:val="9"/>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1C2813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628C1CE1">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2" w:type="pct"/>
                  <w:vMerge w:val="continue"/>
                  <w:tcBorders>
                    <w:tl2br w:val="nil"/>
                    <w:tr2bl w:val="nil"/>
                  </w:tcBorders>
                  <w:noWrap w:val="0"/>
                  <w:tcMar>
                    <w:top w:w="0" w:type="dxa"/>
                    <w:left w:w="0" w:type="dxa"/>
                    <w:bottom w:w="0" w:type="dxa"/>
                    <w:right w:w="0" w:type="dxa"/>
                  </w:tcMar>
                  <w:vAlign w:val="center"/>
                </w:tcPr>
                <w:p w14:paraId="4EE1135D">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1" w:type="pct"/>
                  <w:tcBorders>
                    <w:tl2br w:val="nil"/>
                    <w:tr2bl w:val="nil"/>
                  </w:tcBorders>
                  <w:noWrap w:val="0"/>
                  <w:tcMar>
                    <w:top w:w="0" w:type="dxa"/>
                    <w:left w:w="0" w:type="dxa"/>
                    <w:bottom w:w="0" w:type="dxa"/>
                    <w:right w:w="0" w:type="dxa"/>
                  </w:tcMar>
                  <w:vAlign w:val="center"/>
                </w:tcPr>
                <w:p w14:paraId="58DFF69C">
                  <w:pPr>
                    <w:pageBreakBefore w:val="0"/>
                    <w:tabs>
                      <w:tab w:val="left" w:pos="7020"/>
                    </w:tabs>
                    <w:wordWrap/>
                    <w:overflowPunct/>
                    <w:topLinePunct w:val="0"/>
                    <w:bidi w:val="0"/>
                    <w:jc w:val="center"/>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第二次</w:t>
                  </w:r>
                </w:p>
              </w:tc>
              <w:tc>
                <w:tcPr>
                  <w:tcW w:w="975" w:type="pct"/>
                  <w:tcBorders>
                    <w:tl2br w:val="nil"/>
                    <w:tr2bl w:val="nil"/>
                  </w:tcBorders>
                  <w:noWrap w:val="0"/>
                  <w:tcMar>
                    <w:top w:w="0" w:type="dxa"/>
                    <w:left w:w="0" w:type="dxa"/>
                    <w:bottom w:w="0" w:type="dxa"/>
                    <w:right w:w="0" w:type="dxa"/>
                  </w:tcMar>
                  <w:vAlign w:val="center"/>
                </w:tcPr>
                <w:p w14:paraId="25EDDFFB">
                  <w:pPr>
                    <w:pageBreakBefore w:val="0"/>
                    <w:wordWrap/>
                    <w:overflowPunct/>
                    <w:topLinePunct w:val="0"/>
                    <w:bidi w:val="0"/>
                    <w:jc w:val="center"/>
                    <w:outlineLvl w:val="9"/>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油烟</w:t>
                  </w:r>
                </w:p>
              </w:tc>
              <w:tc>
                <w:tcPr>
                  <w:tcW w:w="1007" w:type="pct"/>
                  <w:tcBorders>
                    <w:tl2br w:val="nil"/>
                    <w:tr2bl w:val="nil"/>
                  </w:tcBorders>
                  <w:noWrap w:val="0"/>
                  <w:tcMar>
                    <w:top w:w="0" w:type="dxa"/>
                    <w:left w:w="0" w:type="dxa"/>
                    <w:bottom w:w="0" w:type="dxa"/>
                    <w:right w:w="0" w:type="dxa"/>
                  </w:tcMar>
                  <w:vAlign w:val="top"/>
                </w:tcPr>
                <w:p w14:paraId="7A855093">
                  <w:pPr>
                    <w:pageBreakBefore w:val="0"/>
                    <w:tabs>
                      <w:tab w:val="left" w:pos="7020"/>
                    </w:tabs>
                    <w:wordWrap/>
                    <w:overflowPunct/>
                    <w:topLinePunct w:val="0"/>
                    <w:bidi w:val="0"/>
                    <w:jc w:val="center"/>
                    <w:outlineLvl w:val="9"/>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0.2</w:t>
                  </w:r>
                </w:p>
              </w:tc>
              <w:tc>
                <w:tcPr>
                  <w:tcW w:w="971" w:type="pct"/>
                  <w:tcBorders>
                    <w:tl2br w:val="nil"/>
                    <w:tr2bl w:val="nil"/>
                  </w:tcBorders>
                  <w:noWrap w:val="0"/>
                  <w:tcMar>
                    <w:top w:w="0" w:type="dxa"/>
                    <w:left w:w="0" w:type="dxa"/>
                    <w:bottom w:w="0" w:type="dxa"/>
                    <w:right w:w="0" w:type="dxa"/>
                  </w:tcMar>
                  <w:vAlign w:val="center"/>
                </w:tcPr>
                <w:p w14:paraId="6646460F">
                  <w:pPr>
                    <w:pageBreakBefore w:val="0"/>
                    <w:wordWrap/>
                    <w:overflowPunct/>
                    <w:topLinePunct w:val="0"/>
                    <w:bidi w:val="0"/>
                    <w:jc w:val="center"/>
                    <w:outlineLvl w:val="9"/>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06B0FD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0A63BB3F">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2" w:type="pct"/>
                  <w:vMerge w:val="continue"/>
                  <w:tcBorders>
                    <w:tl2br w:val="nil"/>
                    <w:tr2bl w:val="nil"/>
                  </w:tcBorders>
                  <w:noWrap w:val="0"/>
                  <w:tcMar>
                    <w:top w:w="0" w:type="dxa"/>
                    <w:left w:w="0" w:type="dxa"/>
                    <w:bottom w:w="0" w:type="dxa"/>
                    <w:right w:w="0" w:type="dxa"/>
                  </w:tcMar>
                  <w:vAlign w:val="center"/>
                </w:tcPr>
                <w:p w14:paraId="34A8C155">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1" w:type="pct"/>
                  <w:tcBorders>
                    <w:tl2br w:val="nil"/>
                    <w:tr2bl w:val="nil"/>
                  </w:tcBorders>
                  <w:noWrap w:val="0"/>
                  <w:tcMar>
                    <w:top w:w="0" w:type="dxa"/>
                    <w:left w:w="0" w:type="dxa"/>
                    <w:bottom w:w="0" w:type="dxa"/>
                    <w:right w:w="0" w:type="dxa"/>
                  </w:tcMar>
                  <w:vAlign w:val="center"/>
                </w:tcPr>
                <w:p w14:paraId="13192A29">
                  <w:pPr>
                    <w:pageBreakBefore w:val="0"/>
                    <w:tabs>
                      <w:tab w:val="left" w:pos="7020"/>
                    </w:tabs>
                    <w:wordWrap/>
                    <w:overflowPunct/>
                    <w:topLinePunct w:val="0"/>
                    <w:bidi w:val="0"/>
                    <w:jc w:val="center"/>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第三次</w:t>
                  </w:r>
                </w:p>
              </w:tc>
              <w:tc>
                <w:tcPr>
                  <w:tcW w:w="975" w:type="pct"/>
                  <w:tcBorders>
                    <w:tl2br w:val="nil"/>
                    <w:tr2bl w:val="nil"/>
                  </w:tcBorders>
                  <w:noWrap w:val="0"/>
                  <w:tcMar>
                    <w:top w:w="0" w:type="dxa"/>
                    <w:left w:w="0" w:type="dxa"/>
                    <w:bottom w:w="0" w:type="dxa"/>
                    <w:right w:w="0" w:type="dxa"/>
                  </w:tcMar>
                  <w:vAlign w:val="center"/>
                </w:tcPr>
                <w:p w14:paraId="49F05826">
                  <w:pPr>
                    <w:pageBreakBefore w:val="0"/>
                    <w:wordWrap/>
                    <w:overflowPunct/>
                    <w:topLinePunct w:val="0"/>
                    <w:bidi w:val="0"/>
                    <w:jc w:val="center"/>
                    <w:outlineLvl w:val="9"/>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油烟</w:t>
                  </w:r>
                </w:p>
              </w:tc>
              <w:tc>
                <w:tcPr>
                  <w:tcW w:w="1007" w:type="pct"/>
                  <w:tcBorders>
                    <w:tl2br w:val="nil"/>
                    <w:tr2bl w:val="nil"/>
                  </w:tcBorders>
                  <w:noWrap w:val="0"/>
                  <w:tcMar>
                    <w:top w:w="0" w:type="dxa"/>
                    <w:left w:w="0" w:type="dxa"/>
                    <w:bottom w:w="0" w:type="dxa"/>
                    <w:right w:w="0" w:type="dxa"/>
                  </w:tcMar>
                  <w:vAlign w:val="top"/>
                </w:tcPr>
                <w:p w14:paraId="72ECF0D4">
                  <w:pPr>
                    <w:pageBreakBefore w:val="0"/>
                    <w:tabs>
                      <w:tab w:val="left" w:pos="7020"/>
                    </w:tabs>
                    <w:wordWrap/>
                    <w:overflowPunct/>
                    <w:topLinePunct w:val="0"/>
                    <w:bidi w:val="0"/>
                    <w:jc w:val="center"/>
                    <w:outlineLvl w:val="9"/>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0.2</w:t>
                  </w:r>
                </w:p>
              </w:tc>
              <w:tc>
                <w:tcPr>
                  <w:tcW w:w="971" w:type="pct"/>
                  <w:tcBorders>
                    <w:tl2br w:val="nil"/>
                    <w:tr2bl w:val="nil"/>
                  </w:tcBorders>
                  <w:noWrap w:val="0"/>
                  <w:tcMar>
                    <w:top w:w="0" w:type="dxa"/>
                    <w:left w:w="0" w:type="dxa"/>
                    <w:bottom w:w="0" w:type="dxa"/>
                    <w:right w:w="0" w:type="dxa"/>
                  </w:tcMar>
                  <w:vAlign w:val="center"/>
                </w:tcPr>
                <w:p w14:paraId="64BC61E1">
                  <w:pPr>
                    <w:pageBreakBefore w:val="0"/>
                    <w:wordWrap/>
                    <w:overflowPunct/>
                    <w:topLinePunct w:val="0"/>
                    <w:bidi w:val="0"/>
                    <w:jc w:val="center"/>
                    <w:outlineLvl w:val="9"/>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0504D2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0E2CAB1B">
                  <w:pPr>
                    <w:pStyle w:val="73"/>
                    <w:keepNext w:val="0"/>
                    <w:keepLines w:val="0"/>
                    <w:pageBreakBefore w:val="0"/>
                    <w:widowControl w:val="0"/>
                    <w:shd w:val="clear" w:color="auto" w:fill="auto"/>
                    <w:wordWrap/>
                    <w:overflowPunct/>
                    <w:topLinePunct w:val="0"/>
                    <w:bidi w:val="0"/>
                    <w:spacing w:before="0" w:after="0" w:line="240" w:lineRule="auto"/>
                    <w:ind w:left="0" w:leftChars="0" w:right="0" w:rightChars="0" w:firstLine="0" w:firstLineChars="0"/>
                    <w:jc w:val="center"/>
                    <w:outlineLvl w:val="9"/>
                    <w:rPr>
                      <w:rFonts w:hint="default" w:ascii="Times New Roman" w:hAnsi="Times New Roman" w:eastAsia="宋体" w:cs="Times New Roman"/>
                      <w:color w:val="auto"/>
                      <w:kern w:val="2"/>
                      <w:sz w:val="18"/>
                      <w:szCs w:val="18"/>
                      <w:u w:val="none"/>
                      <w:shd w:val="clear" w:color="auto" w:fill="auto"/>
                      <w:lang w:val="zh-TW" w:eastAsia="zh-TW" w:bidi="zh-TW"/>
                    </w:rPr>
                  </w:pPr>
                </w:p>
              </w:tc>
              <w:tc>
                <w:tcPr>
                  <w:tcW w:w="682" w:type="pct"/>
                  <w:vMerge w:val="continue"/>
                  <w:tcBorders>
                    <w:tl2br w:val="nil"/>
                    <w:tr2bl w:val="nil"/>
                  </w:tcBorders>
                  <w:noWrap w:val="0"/>
                  <w:tcMar>
                    <w:top w:w="0" w:type="dxa"/>
                    <w:left w:w="0" w:type="dxa"/>
                    <w:bottom w:w="0" w:type="dxa"/>
                    <w:right w:w="0" w:type="dxa"/>
                  </w:tcMar>
                  <w:vAlign w:val="center"/>
                </w:tcPr>
                <w:p w14:paraId="724DC1D3">
                  <w:pPr>
                    <w:pageBreakBefore w:val="0"/>
                    <w:wordWrap/>
                    <w:overflowPunct/>
                    <w:topLinePunct w:val="0"/>
                    <w:bidi w:val="0"/>
                    <w:jc w:val="center"/>
                    <w:outlineLvl w:val="9"/>
                    <w:rPr>
                      <w:rFonts w:hint="default" w:ascii="Times New Roman" w:hAnsi="Times New Roman" w:eastAsia="宋体" w:cs="Times New Roman"/>
                      <w:color w:val="auto"/>
                      <w:kern w:val="2"/>
                      <w:sz w:val="18"/>
                      <w:szCs w:val="18"/>
                      <w:lang w:val="en-US" w:eastAsia="zh-CN" w:bidi="ar-SA"/>
                    </w:rPr>
                  </w:pPr>
                </w:p>
              </w:tc>
              <w:tc>
                <w:tcPr>
                  <w:tcW w:w="681" w:type="pct"/>
                  <w:tcBorders>
                    <w:tl2br w:val="nil"/>
                    <w:tr2bl w:val="nil"/>
                  </w:tcBorders>
                  <w:noWrap w:val="0"/>
                  <w:tcMar>
                    <w:top w:w="0" w:type="dxa"/>
                    <w:left w:w="0" w:type="dxa"/>
                    <w:bottom w:w="0" w:type="dxa"/>
                    <w:right w:w="0" w:type="dxa"/>
                  </w:tcMar>
                  <w:vAlign w:val="center"/>
                </w:tcPr>
                <w:p w14:paraId="6267F8D6">
                  <w:pPr>
                    <w:pageBreakBefore w:val="0"/>
                    <w:tabs>
                      <w:tab w:val="left" w:pos="7020"/>
                    </w:tabs>
                    <w:wordWrap/>
                    <w:overflowPunct/>
                    <w:topLinePunct w:val="0"/>
                    <w:bidi w:val="0"/>
                    <w:jc w:val="center"/>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第一次</w:t>
                  </w:r>
                </w:p>
              </w:tc>
              <w:tc>
                <w:tcPr>
                  <w:tcW w:w="975" w:type="pct"/>
                  <w:tcBorders>
                    <w:tl2br w:val="nil"/>
                    <w:tr2bl w:val="nil"/>
                  </w:tcBorders>
                  <w:noWrap w:val="0"/>
                  <w:tcMar>
                    <w:top w:w="0" w:type="dxa"/>
                    <w:left w:w="0" w:type="dxa"/>
                    <w:bottom w:w="0" w:type="dxa"/>
                    <w:right w:w="0" w:type="dxa"/>
                  </w:tcMar>
                  <w:vAlign w:val="center"/>
                </w:tcPr>
                <w:p w14:paraId="67AC4B81">
                  <w:pPr>
                    <w:pageBreakBefore w:val="0"/>
                    <w:wordWrap/>
                    <w:overflowPunct/>
                    <w:topLinePunct w:val="0"/>
                    <w:bidi w:val="0"/>
                    <w:jc w:val="center"/>
                    <w:outlineLvl w:val="9"/>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油烟</w:t>
                  </w:r>
                </w:p>
              </w:tc>
              <w:tc>
                <w:tcPr>
                  <w:tcW w:w="1007" w:type="pct"/>
                  <w:tcBorders>
                    <w:tl2br w:val="nil"/>
                    <w:tr2bl w:val="nil"/>
                  </w:tcBorders>
                  <w:noWrap w:val="0"/>
                  <w:tcMar>
                    <w:top w:w="0" w:type="dxa"/>
                    <w:left w:w="0" w:type="dxa"/>
                    <w:bottom w:w="0" w:type="dxa"/>
                    <w:right w:w="0" w:type="dxa"/>
                  </w:tcMar>
                  <w:vAlign w:val="top"/>
                </w:tcPr>
                <w:p w14:paraId="67EA7A3C">
                  <w:pPr>
                    <w:pageBreakBefore w:val="0"/>
                    <w:tabs>
                      <w:tab w:val="left" w:pos="7020"/>
                    </w:tabs>
                    <w:wordWrap/>
                    <w:overflowPunct/>
                    <w:topLinePunct w:val="0"/>
                    <w:bidi w:val="0"/>
                    <w:jc w:val="center"/>
                    <w:outlineLvl w:val="9"/>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0.2</w:t>
                  </w:r>
                </w:p>
              </w:tc>
              <w:tc>
                <w:tcPr>
                  <w:tcW w:w="971" w:type="pct"/>
                  <w:tcBorders>
                    <w:tl2br w:val="nil"/>
                    <w:tr2bl w:val="nil"/>
                  </w:tcBorders>
                  <w:noWrap w:val="0"/>
                  <w:tcMar>
                    <w:top w:w="0" w:type="dxa"/>
                    <w:left w:w="0" w:type="dxa"/>
                    <w:bottom w:w="0" w:type="dxa"/>
                    <w:right w:w="0" w:type="dxa"/>
                  </w:tcMar>
                  <w:vAlign w:val="center"/>
                </w:tcPr>
                <w:p w14:paraId="496689D0">
                  <w:pPr>
                    <w:pageBreakBefore w:val="0"/>
                    <w:wordWrap/>
                    <w:overflowPunct/>
                    <w:topLinePunct w:val="0"/>
                    <w:bidi w:val="0"/>
                    <w:jc w:val="center"/>
                    <w:outlineLvl w:val="9"/>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352D7F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681" w:type="pct"/>
                  <w:vMerge w:val="continue"/>
                  <w:tcBorders>
                    <w:tl2br w:val="nil"/>
                    <w:tr2bl w:val="nil"/>
                  </w:tcBorders>
                  <w:noWrap w:val="0"/>
                  <w:tcMar>
                    <w:top w:w="0" w:type="dxa"/>
                    <w:left w:w="0" w:type="dxa"/>
                    <w:bottom w:w="0" w:type="dxa"/>
                    <w:right w:w="0" w:type="dxa"/>
                  </w:tcMar>
                  <w:vAlign w:val="center"/>
                </w:tcPr>
                <w:p w14:paraId="59C67AFA">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2" w:type="pct"/>
                  <w:vMerge w:val="continue"/>
                  <w:tcBorders>
                    <w:tl2br w:val="nil"/>
                    <w:tr2bl w:val="nil"/>
                  </w:tcBorders>
                  <w:noWrap w:val="0"/>
                  <w:tcMar>
                    <w:top w:w="0" w:type="dxa"/>
                    <w:left w:w="0" w:type="dxa"/>
                    <w:bottom w:w="0" w:type="dxa"/>
                    <w:right w:w="0" w:type="dxa"/>
                  </w:tcMar>
                  <w:vAlign w:val="center"/>
                </w:tcPr>
                <w:p w14:paraId="7912F43A">
                  <w:pPr>
                    <w:pageBreakBefore w:val="0"/>
                    <w:wordWrap/>
                    <w:overflowPunct/>
                    <w:topLinePunct w:val="0"/>
                    <w:bidi w:val="0"/>
                    <w:jc w:val="center"/>
                    <w:outlineLvl w:val="9"/>
                    <w:rPr>
                      <w:rFonts w:hint="default" w:ascii="Times New Roman" w:hAnsi="Times New Roman" w:eastAsia="宋体" w:cs="Times New Roman"/>
                      <w:color w:val="auto"/>
                      <w:sz w:val="18"/>
                      <w:szCs w:val="18"/>
                    </w:rPr>
                  </w:pPr>
                </w:p>
              </w:tc>
              <w:tc>
                <w:tcPr>
                  <w:tcW w:w="681" w:type="pct"/>
                  <w:tcBorders>
                    <w:tl2br w:val="nil"/>
                    <w:tr2bl w:val="nil"/>
                  </w:tcBorders>
                  <w:noWrap w:val="0"/>
                  <w:tcMar>
                    <w:top w:w="0" w:type="dxa"/>
                    <w:left w:w="0" w:type="dxa"/>
                    <w:bottom w:w="0" w:type="dxa"/>
                    <w:right w:w="0" w:type="dxa"/>
                  </w:tcMar>
                  <w:vAlign w:val="center"/>
                </w:tcPr>
                <w:p w14:paraId="3658E937">
                  <w:pPr>
                    <w:pageBreakBefore w:val="0"/>
                    <w:tabs>
                      <w:tab w:val="left" w:pos="7020"/>
                    </w:tabs>
                    <w:wordWrap/>
                    <w:overflowPunct/>
                    <w:topLinePunct w:val="0"/>
                    <w:bidi w:val="0"/>
                    <w:jc w:val="center"/>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eastAsia="zh-CN"/>
                    </w:rPr>
                    <w:t>第二次</w:t>
                  </w:r>
                </w:p>
              </w:tc>
              <w:tc>
                <w:tcPr>
                  <w:tcW w:w="975" w:type="pct"/>
                  <w:tcBorders>
                    <w:tl2br w:val="nil"/>
                    <w:tr2bl w:val="nil"/>
                  </w:tcBorders>
                  <w:noWrap w:val="0"/>
                  <w:tcMar>
                    <w:top w:w="0" w:type="dxa"/>
                    <w:left w:w="0" w:type="dxa"/>
                    <w:bottom w:w="0" w:type="dxa"/>
                    <w:right w:w="0" w:type="dxa"/>
                  </w:tcMar>
                  <w:vAlign w:val="center"/>
                </w:tcPr>
                <w:p w14:paraId="4B6EE9A7">
                  <w:pPr>
                    <w:pageBreakBefore w:val="0"/>
                    <w:wordWrap/>
                    <w:overflowPunct/>
                    <w:topLinePunct w:val="0"/>
                    <w:bidi w:val="0"/>
                    <w:jc w:val="center"/>
                    <w:outlineLvl w:val="9"/>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油烟</w:t>
                  </w:r>
                </w:p>
              </w:tc>
              <w:tc>
                <w:tcPr>
                  <w:tcW w:w="1007" w:type="pct"/>
                  <w:tcBorders>
                    <w:tl2br w:val="nil"/>
                    <w:tr2bl w:val="nil"/>
                  </w:tcBorders>
                  <w:noWrap w:val="0"/>
                  <w:tcMar>
                    <w:top w:w="0" w:type="dxa"/>
                    <w:left w:w="0" w:type="dxa"/>
                    <w:bottom w:w="0" w:type="dxa"/>
                    <w:right w:w="0" w:type="dxa"/>
                  </w:tcMar>
                  <w:vAlign w:val="top"/>
                </w:tcPr>
                <w:p w14:paraId="4D854C47">
                  <w:pPr>
                    <w:pageBreakBefore w:val="0"/>
                    <w:tabs>
                      <w:tab w:val="left" w:pos="7020"/>
                    </w:tabs>
                    <w:wordWrap/>
                    <w:overflowPunct/>
                    <w:topLinePunct w:val="0"/>
                    <w:bidi w:val="0"/>
                    <w:jc w:val="center"/>
                    <w:outlineLvl w:val="9"/>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0.2</w:t>
                  </w:r>
                </w:p>
              </w:tc>
              <w:tc>
                <w:tcPr>
                  <w:tcW w:w="971" w:type="pct"/>
                  <w:tcBorders>
                    <w:tl2br w:val="nil"/>
                    <w:tr2bl w:val="nil"/>
                  </w:tcBorders>
                  <w:noWrap w:val="0"/>
                  <w:tcMar>
                    <w:top w:w="0" w:type="dxa"/>
                    <w:left w:w="0" w:type="dxa"/>
                    <w:bottom w:w="0" w:type="dxa"/>
                    <w:right w:w="0" w:type="dxa"/>
                  </w:tcMar>
                  <w:vAlign w:val="center"/>
                </w:tcPr>
                <w:p w14:paraId="59B0C1DE">
                  <w:pPr>
                    <w:pageBreakBefore w:val="0"/>
                    <w:wordWrap/>
                    <w:overflowPunct/>
                    <w:topLinePunct w:val="0"/>
                    <w:bidi w:val="0"/>
                    <w:jc w:val="center"/>
                    <w:outlineLvl w:val="9"/>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r>
            <w:tr w14:paraId="6DC9E6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3021" w:type="pct"/>
                  <w:gridSpan w:val="4"/>
                  <w:tcBorders>
                    <w:tl2br w:val="nil"/>
                    <w:tr2bl w:val="nil"/>
                  </w:tcBorders>
                  <w:noWrap w:val="0"/>
                  <w:tcMar>
                    <w:top w:w="0" w:type="dxa"/>
                    <w:left w:w="0" w:type="dxa"/>
                    <w:bottom w:w="0" w:type="dxa"/>
                    <w:right w:w="0" w:type="dxa"/>
                  </w:tcMar>
                  <w:vAlign w:val="center"/>
                </w:tcPr>
                <w:p w14:paraId="48A2D53B">
                  <w:pPr>
                    <w:pageBreakBefore w:val="0"/>
                    <w:tabs>
                      <w:tab w:val="left" w:pos="7020"/>
                    </w:tabs>
                    <w:wordWrap/>
                    <w:overflowPunct/>
                    <w:topLinePunct w:val="0"/>
                    <w:bidi w:val="0"/>
                    <w:jc w:val="center"/>
                    <w:outlineLvl w:val="9"/>
                    <w:rPr>
                      <w:rFonts w:hint="eastAsia" w:ascii="Times New Roman" w:hAnsi="Times New Roman" w:eastAsia="宋体" w:cs="Times New Roman"/>
                      <w:color w:val="auto"/>
                      <w:kern w:val="2"/>
                      <w:sz w:val="18"/>
                      <w:szCs w:val="18"/>
                      <w:lang w:val="en-US" w:eastAsia="zh-CN" w:bidi="ar-SA"/>
                    </w:rPr>
                  </w:pPr>
                  <w:r>
                    <w:rPr>
                      <w:rFonts w:hint="eastAsia" w:cs="Times New Roman"/>
                      <w:b/>
                      <w:bCs/>
                      <w:color w:val="auto"/>
                      <w:sz w:val="18"/>
                      <w:szCs w:val="18"/>
                      <w:lang w:val="en-US" w:eastAsia="zh-CN"/>
                    </w:rPr>
                    <w:t>标准限值</w:t>
                  </w:r>
                </w:p>
              </w:tc>
              <w:tc>
                <w:tcPr>
                  <w:tcW w:w="1007" w:type="pct"/>
                  <w:tcBorders>
                    <w:tl2br w:val="nil"/>
                    <w:tr2bl w:val="nil"/>
                  </w:tcBorders>
                  <w:noWrap w:val="0"/>
                  <w:tcMar>
                    <w:top w:w="0" w:type="dxa"/>
                    <w:left w:w="0" w:type="dxa"/>
                    <w:bottom w:w="0" w:type="dxa"/>
                    <w:right w:w="0" w:type="dxa"/>
                  </w:tcMar>
                  <w:vAlign w:val="center"/>
                </w:tcPr>
                <w:p w14:paraId="5E050167">
                  <w:pPr>
                    <w:pageBreakBefore w:val="0"/>
                    <w:tabs>
                      <w:tab w:val="left" w:pos="7020"/>
                    </w:tabs>
                    <w:wordWrap/>
                    <w:overflowPunct/>
                    <w:topLinePunct w:val="0"/>
                    <w:bidi w:val="0"/>
                    <w:jc w:val="center"/>
                    <w:outlineLvl w:val="9"/>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2.0</w:t>
                  </w:r>
                </w:p>
              </w:tc>
              <w:tc>
                <w:tcPr>
                  <w:tcW w:w="971" w:type="pct"/>
                  <w:tcBorders>
                    <w:tl2br w:val="nil"/>
                    <w:tr2bl w:val="nil"/>
                  </w:tcBorders>
                  <w:noWrap w:val="0"/>
                  <w:tcMar>
                    <w:top w:w="0" w:type="dxa"/>
                    <w:left w:w="0" w:type="dxa"/>
                    <w:bottom w:w="0" w:type="dxa"/>
                    <w:right w:w="0" w:type="dxa"/>
                  </w:tcMar>
                  <w:vAlign w:val="center"/>
                </w:tcPr>
                <w:p w14:paraId="2B4C76BD">
                  <w:pPr>
                    <w:pageBreakBefore w:val="0"/>
                    <w:wordWrap/>
                    <w:overflowPunct/>
                    <w:topLinePunct w:val="0"/>
                    <w:bidi w:val="0"/>
                    <w:jc w:val="center"/>
                    <w:outlineLvl w:val="9"/>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w:t>
                  </w:r>
                </w:p>
              </w:tc>
            </w:tr>
            <w:tr w14:paraId="479C53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16" w:hRule="atLeast"/>
                <w:jc w:val="center"/>
              </w:trPr>
              <w:tc>
                <w:tcPr>
                  <w:tcW w:w="3021" w:type="pct"/>
                  <w:gridSpan w:val="4"/>
                  <w:tcBorders>
                    <w:tl2br w:val="nil"/>
                    <w:tr2bl w:val="nil"/>
                  </w:tcBorders>
                  <w:noWrap w:val="0"/>
                  <w:tcMar>
                    <w:top w:w="0" w:type="dxa"/>
                    <w:left w:w="0" w:type="dxa"/>
                    <w:bottom w:w="0" w:type="dxa"/>
                    <w:right w:w="0" w:type="dxa"/>
                  </w:tcMar>
                  <w:vAlign w:val="center"/>
                </w:tcPr>
                <w:p w14:paraId="52CEE175">
                  <w:pPr>
                    <w:pageBreakBefore w:val="0"/>
                    <w:tabs>
                      <w:tab w:val="left" w:pos="7020"/>
                    </w:tabs>
                    <w:wordWrap/>
                    <w:overflowPunct/>
                    <w:topLinePunct w:val="0"/>
                    <w:bidi w:val="0"/>
                    <w:jc w:val="center"/>
                    <w:outlineLvl w:val="9"/>
                    <w:rPr>
                      <w:rFonts w:hint="eastAsia" w:ascii="Times New Roman" w:hAnsi="Times New Roman" w:eastAsia="宋体" w:cs="Times New Roman"/>
                      <w:color w:val="auto"/>
                      <w:kern w:val="2"/>
                      <w:sz w:val="18"/>
                      <w:szCs w:val="18"/>
                      <w:lang w:val="en-US" w:eastAsia="zh-CN" w:bidi="ar-SA"/>
                    </w:rPr>
                  </w:pPr>
                  <w:r>
                    <w:rPr>
                      <w:rFonts w:hint="eastAsia" w:cs="Times New Roman"/>
                      <w:b/>
                      <w:bCs/>
                      <w:color w:val="auto"/>
                      <w:sz w:val="18"/>
                      <w:szCs w:val="18"/>
                      <w:lang w:val="en-US" w:eastAsia="zh-CN"/>
                    </w:rPr>
                    <w:t>评价</w:t>
                  </w:r>
                </w:p>
              </w:tc>
              <w:tc>
                <w:tcPr>
                  <w:tcW w:w="1978" w:type="pct"/>
                  <w:gridSpan w:val="2"/>
                  <w:tcBorders>
                    <w:tl2br w:val="nil"/>
                    <w:tr2bl w:val="nil"/>
                  </w:tcBorders>
                  <w:noWrap w:val="0"/>
                  <w:tcMar>
                    <w:top w:w="0" w:type="dxa"/>
                    <w:left w:w="0" w:type="dxa"/>
                    <w:bottom w:w="0" w:type="dxa"/>
                    <w:right w:w="0" w:type="dxa"/>
                  </w:tcMar>
                  <w:vAlign w:val="center"/>
                </w:tcPr>
                <w:p w14:paraId="27643338">
                  <w:pPr>
                    <w:pageBreakBefore w:val="0"/>
                    <w:wordWrap/>
                    <w:overflowPunct/>
                    <w:topLinePunct w:val="0"/>
                    <w:bidi w:val="0"/>
                    <w:jc w:val="center"/>
                    <w:outlineLvl w:val="9"/>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达标</w:t>
                  </w:r>
                </w:p>
              </w:tc>
            </w:tr>
          </w:tbl>
          <w:p w14:paraId="3ADA86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表2-</w:t>
            </w:r>
            <w:r>
              <w:rPr>
                <w:rFonts w:hint="eastAsia" w:cs="Times New Roman"/>
                <w:b/>
                <w:bCs/>
                <w:color w:val="auto"/>
                <w:highlight w:val="none"/>
                <w:lang w:val="en-US" w:eastAsia="zh-CN"/>
              </w:rPr>
              <w:t>20</w:t>
            </w:r>
            <w:r>
              <w:rPr>
                <w:rFonts w:hint="eastAsia" w:ascii="Times New Roman" w:hAnsi="Times New Roman" w:eastAsia="宋体" w:cs="Times New Roman"/>
                <w:b/>
                <w:bCs/>
                <w:color w:val="auto"/>
                <w:highlight w:val="none"/>
                <w:lang w:val="en-US" w:eastAsia="zh-CN"/>
              </w:rPr>
              <w:t>无组织废气监测结果</w:t>
            </w:r>
          </w:p>
          <w:tbl>
            <w:tblPr>
              <w:tblStyle w:val="69"/>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577"/>
              <w:gridCol w:w="920"/>
              <w:gridCol w:w="617"/>
              <w:gridCol w:w="124"/>
              <w:gridCol w:w="338"/>
              <w:gridCol w:w="1216"/>
              <w:gridCol w:w="116"/>
              <w:gridCol w:w="723"/>
              <w:gridCol w:w="928"/>
              <w:gridCol w:w="928"/>
              <w:gridCol w:w="786"/>
            </w:tblGrid>
            <w:tr w14:paraId="292C89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953" w:type="pct"/>
                  <w:tcBorders>
                    <w:tl2br w:val="nil"/>
                    <w:tr2bl w:val="nil"/>
                  </w:tcBorders>
                  <w:vAlign w:val="center"/>
                </w:tcPr>
                <w:p w14:paraId="0E218056">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bCs/>
                      <w:color w:val="auto"/>
                      <w:spacing w:val="3"/>
                      <w:sz w:val="18"/>
                      <w:szCs w:val="18"/>
                    </w:rPr>
                    <w:t>采样日期</w:t>
                  </w:r>
                </w:p>
              </w:tc>
              <w:tc>
                <w:tcPr>
                  <w:tcW w:w="1943" w:type="pct"/>
                  <w:gridSpan w:val="5"/>
                  <w:tcBorders>
                    <w:tl2br w:val="nil"/>
                    <w:tr2bl w:val="nil"/>
                  </w:tcBorders>
                  <w:vAlign w:val="center"/>
                </w:tcPr>
                <w:p w14:paraId="21FC91F2">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3"/>
                      <w:sz w:val="18"/>
                      <w:szCs w:val="18"/>
                    </w:rPr>
                    <w:t>2025年7月14日</w:t>
                  </w:r>
                </w:p>
              </w:tc>
              <w:tc>
                <w:tcPr>
                  <w:tcW w:w="507" w:type="pct"/>
                  <w:gridSpan w:val="2"/>
                  <w:tcBorders>
                    <w:tl2br w:val="nil"/>
                    <w:tr2bl w:val="nil"/>
                  </w:tcBorders>
                  <w:vAlign w:val="center"/>
                </w:tcPr>
                <w:p w14:paraId="2DA896E3">
                  <w:pPr>
                    <w:pStyle w:val="67"/>
                    <w:keepNext w:val="0"/>
                    <w:keepLines w:val="0"/>
                    <w:pageBreakBefore w:val="0"/>
                    <w:widowControl/>
                    <w:kinsoku w:val="0"/>
                    <w:wordWrap/>
                    <w:overflowPunct/>
                    <w:topLinePunct w:val="0"/>
                    <w:autoSpaceDE w:val="0"/>
                    <w:autoSpaceDN w:val="0"/>
                    <w:bidi w:val="0"/>
                    <w:adjustRightInd w:val="0"/>
                    <w:snapToGrid w:val="0"/>
                    <w:spacing w:line="220"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bCs/>
                      <w:color w:val="auto"/>
                      <w:spacing w:val="7"/>
                      <w:sz w:val="18"/>
                      <w:szCs w:val="18"/>
                    </w:rPr>
                    <w:t>天气</w:t>
                  </w:r>
                </w:p>
              </w:tc>
              <w:tc>
                <w:tcPr>
                  <w:tcW w:w="1595" w:type="pct"/>
                  <w:gridSpan w:val="3"/>
                  <w:tcBorders>
                    <w:tl2br w:val="nil"/>
                    <w:tr2bl w:val="nil"/>
                  </w:tcBorders>
                  <w:vAlign w:val="center"/>
                </w:tcPr>
                <w:p w14:paraId="54B4BEB7">
                  <w:pPr>
                    <w:pStyle w:val="67"/>
                    <w:keepNext w:val="0"/>
                    <w:keepLines w:val="0"/>
                    <w:pageBreakBefore w:val="0"/>
                    <w:widowControl/>
                    <w:kinsoku w:val="0"/>
                    <w:wordWrap/>
                    <w:overflowPunct/>
                    <w:topLinePunct w:val="0"/>
                    <w:autoSpaceDE w:val="0"/>
                    <w:autoSpaceDN w:val="0"/>
                    <w:bidi w:val="0"/>
                    <w:adjustRightInd w:val="0"/>
                    <w:snapToGrid w:val="0"/>
                    <w:spacing w:line="220"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晴</w:t>
                  </w:r>
                </w:p>
              </w:tc>
            </w:tr>
            <w:tr w14:paraId="58F9E6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953" w:type="pct"/>
                  <w:tcBorders>
                    <w:tl2br w:val="nil"/>
                    <w:tr2bl w:val="nil"/>
                  </w:tcBorders>
                  <w:vAlign w:val="center"/>
                </w:tcPr>
                <w:p w14:paraId="3E8635CD">
                  <w:pPr>
                    <w:pStyle w:val="67"/>
                    <w:keepNext w:val="0"/>
                    <w:keepLines w:val="0"/>
                    <w:pageBreakBefore w:val="0"/>
                    <w:widowControl/>
                    <w:kinsoku w:val="0"/>
                    <w:wordWrap/>
                    <w:overflowPunct/>
                    <w:topLinePunct w:val="0"/>
                    <w:autoSpaceDE w:val="0"/>
                    <w:autoSpaceDN w:val="0"/>
                    <w:bidi w:val="0"/>
                    <w:adjustRightInd w:val="0"/>
                    <w:snapToGrid w:val="0"/>
                    <w:spacing w:line="221"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10"/>
                      <w:sz w:val="18"/>
                      <w:szCs w:val="18"/>
                    </w:rPr>
                    <w:t>气温℃</w:t>
                  </w:r>
                </w:p>
              </w:tc>
              <w:tc>
                <w:tcPr>
                  <w:tcW w:w="556" w:type="pct"/>
                  <w:tcBorders>
                    <w:tl2br w:val="nil"/>
                    <w:tr2bl w:val="nil"/>
                  </w:tcBorders>
                  <w:vAlign w:val="center"/>
                </w:tcPr>
                <w:p w14:paraId="6622C78C">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4"/>
                      <w:sz w:val="18"/>
                      <w:szCs w:val="18"/>
                    </w:rPr>
                    <w:t>31.9-32.5</w:t>
                  </w:r>
                </w:p>
              </w:tc>
              <w:tc>
                <w:tcPr>
                  <w:tcW w:w="652" w:type="pct"/>
                  <w:gridSpan w:val="3"/>
                  <w:tcBorders>
                    <w:tl2br w:val="nil"/>
                    <w:tr2bl w:val="nil"/>
                  </w:tcBorders>
                  <w:vAlign w:val="center"/>
                </w:tcPr>
                <w:p w14:paraId="1F244AB6">
                  <w:pPr>
                    <w:pStyle w:val="67"/>
                    <w:keepNext w:val="0"/>
                    <w:keepLines w:val="0"/>
                    <w:pageBreakBefore w:val="0"/>
                    <w:widowControl/>
                    <w:kinsoku w:val="0"/>
                    <w:wordWrap/>
                    <w:overflowPunct/>
                    <w:topLinePunct w:val="0"/>
                    <w:autoSpaceDE w:val="0"/>
                    <w:autoSpaceDN w:val="0"/>
                    <w:bidi w:val="0"/>
                    <w:adjustRightInd w:val="0"/>
                    <w:snapToGrid w:val="0"/>
                    <w:spacing w:line="221"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2"/>
                      <w:sz w:val="18"/>
                      <w:szCs w:val="18"/>
                    </w:rPr>
                    <w:t>气压kPa</w:t>
                  </w:r>
                </w:p>
              </w:tc>
              <w:tc>
                <w:tcPr>
                  <w:tcW w:w="735" w:type="pct"/>
                  <w:tcBorders>
                    <w:tl2br w:val="nil"/>
                    <w:tr2bl w:val="nil"/>
                  </w:tcBorders>
                  <w:vAlign w:val="center"/>
                </w:tcPr>
                <w:p w14:paraId="4C8DCF97">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4"/>
                      <w:sz w:val="18"/>
                      <w:szCs w:val="18"/>
                    </w:rPr>
                    <w:t>100.5</w:t>
                  </w:r>
                </w:p>
              </w:tc>
              <w:tc>
                <w:tcPr>
                  <w:tcW w:w="507" w:type="pct"/>
                  <w:gridSpan w:val="2"/>
                  <w:tcBorders>
                    <w:tl2br w:val="nil"/>
                    <w:tr2bl w:val="nil"/>
                  </w:tcBorders>
                  <w:vAlign w:val="center"/>
                </w:tcPr>
                <w:p w14:paraId="2A5CE648">
                  <w:pPr>
                    <w:pStyle w:val="67"/>
                    <w:keepNext w:val="0"/>
                    <w:keepLines w:val="0"/>
                    <w:pageBreakBefore w:val="0"/>
                    <w:widowControl/>
                    <w:kinsoku w:val="0"/>
                    <w:wordWrap/>
                    <w:overflowPunct/>
                    <w:topLinePunct w:val="0"/>
                    <w:autoSpaceDE w:val="0"/>
                    <w:autoSpaceDN w:val="0"/>
                    <w:bidi w:val="0"/>
                    <w:adjustRightInd w:val="0"/>
                    <w:snapToGrid w:val="0"/>
                    <w:spacing w:line="220"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11"/>
                      <w:sz w:val="18"/>
                      <w:szCs w:val="18"/>
                    </w:rPr>
                    <w:t>风向</w:t>
                  </w:r>
                </w:p>
              </w:tc>
              <w:tc>
                <w:tcPr>
                  <w:tcW w:w="561" w:type="pct"/>
                  <w:tcBorders>
                    <w:tl2br w:val="nil"/>
                    <w:tr2bl w:val="nil"/>
                  </w:tcBorders>
                  <w:vAlign w:val="center"/>
                </w:tcPr>
                <w:p w14:paraId="006B4EE7">
                  <w:pPr>
                    <w:pStyle w:val="67"/>
                    <w:keepNext w:val="0"/>
                    <w:keepLines w:val="0"/>
                    <w:pageBreakBefore w:val="0"/>
                    <w:widowControl/>
                    <w:kinsoku w:val="0"/>
                    <w:wordWrap/>
                    <w:overflowPunct/>
                    <w:topLinePunct w:val="0"/>
                    <w:autoSpaceDE w:val="0"/>
                    <w:autoSpaceDN w:val="0"/>
                    <w:bidi w:val="0"/>
                    <w:adjustRightInd w:val="0"/>
                    <w:snapToGrid w:val="0"/>
                    <w:spacing w:line="221"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z w:val="18"/>
                      <w:szCs w:val="18"/>
                    </w:rPr>
                    <w:t>南</w:t>
                  </w:r>
                </w:p>
              </w:tc>
              <w:tc>
                <w:tcPr>
                  <w:tcW w:w="561" w:type="pct"/>
                  <w:tcBorders>
                    <w:tl2br w:val="nil"/>
                    <w:tr2bl w:val="nil"/>
                  </w:tcBorders>
                  <w:vAlign w:val="center"/>
                </w:tcPr>
                <w:p w14:paraId="3ED9290F">
                  <w:pPr>
                    <w:pStyle w:val="67"/>
                    <w:keepNext w:val="0"/>
                    <w:keepLines w:val="0"/>
                    <w:pageBreakBefore w:val="0"/>
                    <w:widowControl/>
                    <w:kinsoku w:val="0"/>
                    <w:wordWrap/>
                    <w:overflowPunct/>
                    <w:topLinePunct w:val="0"/>
                    <w:autoSpaceDE w:val="0"/>
                    <w:autoSpaceDN w:val="0"/>
                    <w:bidi w:val="0"/>
                    <w:adjustRightInd w:val="0"/>
                    <w:snapToGrid w:val="0"/>
                    <w:spacing w:line="220"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8"/>
                      <w:sz w:val="18"/>
                      <w:szCs w:val="18"/>
                    </w:rPr>
                    <w:t>风速</w:t>
                  </w:r>
                  <w:r>
                    <w:rPr>
                      <w:rFonts w:hint="default" w:ascii="Times New Roman" w:hAnsi="Times New Roman" w:cs="Times New Roman"/>
                      <w:b w:val="0"/>
                      <w:bCs w:val="0"/>
                      <w:color w:val="auto"/>
                      <w:sz w:val="18"/>
                      <w:szCs w:val="18"/>
                    </w:rPr>
                    <w:t>m</w:t>
                  </w:r>
                  <w:r>
                    <w:rPr>
                      <w:rFonts w:hint="eastAsia" w:ascii="Times New Roman" w:hAnsi="Times New Roman" w:cs="Times New Roman"/>
                      <w:b w:val="0"/>
                      <w:bCs w:val="0"/>
                      <w:color w:val="auto"/>
                      <w:sz w:val="18"/>
                      <w:szCs w:val="18"/>
                      <w:lang w:val="en-US" w:eastAsia="zh-CN"/>
                    </w:rPr>
                    <w:t>/</w:t>
                  </w:r>
                  <w:r>
                    <w:rPr>
                      <w:rFonts w:hint="default" w:ascii="Times New Roman" w:hAnsi="Times New Roman" w:cs="Times New Roman"/>
                      <w:b w:val="0"/>
                      <w:bCs w:val="0"/>
                      <w:color w:val="auto"/>
                      <w:sz w:val="18"/>
                      <w:szCs w:val="18"/>
                    </w:rPr>
                    <w:t>s</w:t>
                  </w:r>
                </w:p>
              </w:tc>
              <w:tc>
                <w:tcPr>
                  <w:tcW w:w="472" w:type="pct"/>
                  <w:tcBorders>
                    <w:tl2br w:val="nil"/>
                    <w:tr2bl w:val="nil"/>
                  </w:tcBorders>
                  <w:vAlign w:val="center"/>
                </w:tcPr>
                <w:p w14:paraId="3A90CE60">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10"/>
                      <w:sz w:val="18"/>
                      <w:szCs w:val="18"/>
                    </w:rPr>
                    <w:t>1.2-1.5</w:t>
                  </w:r>
                </w:p>
              </w:tc>
            </w:tr>
            <w:tr w14:paraId="62CE1F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1" w:hRule="atLeast"/>
                <w:jc w:val="center"/>
              </w:trPr>
              <w:tc>
                <w:tcPr>
                  <w:tcW w:w="1882" w:type="pct"/>
                  <w:gridSpan w:val="3"/>
                  <w:tcBorders>
                    <w:tl2br w:val="nil"/>
                    <w:tr2bl w:val="nil"/>
                  </w:tcBorders>
                  <w:vAlign w:val="center"/>
                </w:tcPr>
                <w:p w14:paraId="2887C4ED">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bCs/>
                      <w:color w:val="auto"/>
                      <w:spacing w:val="10"/>
                      <w:sz w:val="18"/>
                      <w:szCs w:val="18"/>
                    </w:rPr>
                    <w:t>检测项目</w:t>
                  </w:r>
                </w:p>
              </w:tc>
              <w:tc>
                <w:tcPr>
                  <w:tcW w:w="3117" w:type="pct"/>
                  <w:gridSpan w:val="8"/>
                  <w:tcBorders>
                    <w:tl2br w:val="nil"/>
                    <w:tr2bl w:val="nil"/>
                  </w:tcBorders>
                  <w:vAlign w:val="center"/>
                </w:tcPr>
                <w:p w14:paraId="3A8AC631">
                  <w:pPr>
                    <w:pStyle w:val="67"/>
                    <w:keepNext w:val="0"/>
                    <w:keepLines w:val="0"/>
                    <w:pageBreakBefore w:val="0"/>
                    <w:widowControl/>
                    <w:kinsoku w:val="0"/>
                    <w:wordWrap/>
                    <w:overflowPunct/>
                    <w:topLinePunct w:val="0"/>
                    <w:autoSpaceDE w:val="0"/>
                    <w:autoSpaceDN w:val="0"/>
                    <w:bidi w:val="0"/>
                    <w:adjustRightInd w:val="0"/>
                    <w:snapToGrid w:val="0"/>
                    <w:spacing w:line="220"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5"/>
                      <w:sz w:val="18"/>
                      <w:szCs w:val="18"/>
                    </w:rPr>
                    <w:t>非甲烷总烃</w:t>
                  </w:r>
                </w:p>
              </w:tc>
            </w:tr>
            <w:tr w14:paraId="27EC28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5000" w:type="pct"/>
                  <w:gridSpan w:val="11"/>
                  <w:tcBorders>
                    <w:tl2br w:val="nil"/>
                    <w:tr2bl w:val="nil"/>
                  </w:tcBorders>
                  <w:vAlign w:val="center"/>
                </w:tcPr>
                <w:p w14:paraId="3D0020C5">
                  <w:pPr>
                    <w:pStyle w:val="67"/>
                    <w:keepNext w:val="0"/>
                    <w:keepLines w:val="0"/>
                    <w:pageBreakBefore w:val="0"/>
                    <w:widowControl/>
                    <w:kinsoku w:val="0"/>
                    <w:wordWrap/>
                    <w:overflowPunct/>
                    <w:topLinePunct w:val="0"/>
                    <w:autoSpaceDE w:val="0"/>
                    <w:autoSpaceDN w:val="0"/>
                    <w:bidi w:val="0"/>
                    <w:adjustRightInd w:val="0"/>
                    <w:snapToGrid w:val="0"/>
                    <w:spacing w:line="214" w:lineRule="auto"/>
                    <w:ind w:left="0"/>
                    <w:jc w:val="center"/>
                    <w:textAlignment w:val="baseline"/>
                    <w:rPr>
                      <w:rFonts w:hint="default" w:ascii="Times New Roman" w:hAnsi="Times New Roman" w:cs="Times New Roman"/>
                      <w:b/>
                      <w:bCs/>
                      <w:color w:val="auto"/>
                      <w:sz w:val="18"/>
                      <w:szCs w:val="18"/>
                    </w:rPr>
                  </w:pPr>
                  <w:r>
                    <w:rPr>
                      <w:rFonts w:hint="default" w:ascii="Times New Roman" w:hAnsi="Times New Roman" w:cs="Times New Roman"/>
                      <w:b/>
                      <w:bCs/>
                      <w:color w:val="auto"/>
                      <w:spacing w:val="17"/>
                      <w:sz w:val="18"/>
                      <w:szCs w:val="18"/>
                    </w:rPr>
                    <w:t>检测结果(</w:t>
                  </w:r>
                  <w:r>
                    <w:rPr>
                      <w:rFonts w:hint="default" w:ascii="Times New Roman" w:hAnsi="Times New Roman" w:cs="Times New Roman"/>
                      <w:b/>
                      <w:bCs/>
                      <w:color w:val="auto"/>
                      <w:sz w:val="18"/>
                      <w:szCs w:val="18"/>
                    </w:rPr>
                    <w:t>mg</w:t>
                  </w:r>
                  <w:r>
                    <w:rPr>
                      <w:rFonts w:hint="default" w:ascii="Times New Roman" w:hAnsi="Times New Roman" w:cs="Times New Roman"/>
                      <w:b/>
                      <w:bCs/>
                      <w:color w:val="auto"/>
                      <w:spacing w:val="17"/>
                      <w:sz w:val="18"/>
                      <w:szCs w:val="18"/>
                    </w:rPr>
                    <w:t>/m³)</w:t>
                  </w:r>
                </w:p>
              </w:tc>
            </w:tr>
            <w:tr w14:paraId="396F27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953" w:type="pct"/>
                  <w:tcBorders>
                    <w:tl2br w:val="nil"/>
                    <w:tr2bl w:val="nil"/>
                  </w:tcBorders>
                  <w:vAlign w:val="center"/>
                </w:tcPr>
                <w:p w14:paraId="05C9248A">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jc w:val="center"/>
                    <w:textAlignment w:val="baseline"/>
                    <w:rPr>
                      <w:rFonts w:hint="default" w:ascii="Times New Roman" w:hAnsi="Times New Roman" w:cs="Times New Roman"/>
                      <w:b/>
                      <w:bCs/>
                      <w:color w:val="auto"/>
                      <w:sz w:val="18"/>
                      <w:szCs w:val="18"/>
                    </w:rPr>
                  </w:pPr>
                  <w:r>
                    <w:rPr>
                      <w:rFonts w:hint="default" w:ascii="Times New Roman" w:hAnsi="Times New Roman" w:cs="Times New Roman"/>
                      <w:b/>
                      <w:bCs/>
                      <w:color w:val="auto"/>
                      <w:spacing w:val="-2"/>
                      <w:sz w:val="18"/>
                      <w:szCs w:val="18"/>
                    </w:rPr>
                    <w:t>检测点位</w:t>
                  </w:r>
                </w:p>
              </w:tc>
              <w:tc>
                <w:tcPr>
                  <w:tcW w:w="1004" w:type="pct"/>
                  <w:gridSpan w:val="3"/>
                  <w:tcBorders>
                    <w:tl2br w:val="nil"/>
                    <w:tr2bl w:val="nil"/>
                  </w:tcBorders>
                  <w:vAlign w:val="center"/>
                </w:tcPr>
                <w:p w14:paraId="2A64DA0A">
                  <w:pPr>
                    <w:pStyle w:val="67"/>
                    <w:keepNext w:val="0"/>
                    <w:keepLines w:val="0"/>
                    <w:pageBreakBefore w:val="0"/>
                    <w:widowControl/>
                    <w:kinsoku w:val="0"/>
                    <w:wordWrap/>
                    <w:overflowPunct/>
                    <w:topLinePunct w:val="0"/>
                    <w:autoSpaceDE w:val="0"/>
                    <w:autoSpaceDN w:val="0"/>
                    <w:bidi w:val="0"/>
                    <w:adjustRightInd w:val="0"/>
                    <w:snapToGrid w:val="0"/>
                    <w:spacing w:line="220" w:lineRule="auto"/>
                    <w:ind w:left="0"/>
                    <w:jc w:val="center"/>
                    <w:textAlignment w:val="baseline"/>
                    <w:rPr>
                      <w:rFonts w:hint="default" w:ascii="Times New Roman" w:hAnsi="Times New Roman" w:cs="Times New Roman"/>
                      <w:b/>
                      <w:bCs/>
                      <w:color w:val="auto"/>
                      <w:sz w:val="18"/>
                      <w:szCs w:val="18"/>
                    </w:rPr>
                  </w:pPr>
                  <w:r>
                    <w:rPr>
                      <w:rFonts w:hint="default" w:ascii="Times New Roman" w:hAnsi="Times New Roman" w:cs="Times New Roman"/>
                      <w:b/>
                      <w:bCs/>
                      <w:color w:val="auto"/>
                      <w:spacing w:val="3"/>
                      <w:sz w:val="18"/>
                      <w:szCs w:val="18"/>
                    </w:rPr>
                    <w:t>厂界上风向G1</w:t>
                  </w:r>
                </w:p>
              </w:tc>
              <w:tc>
                <w:tcPr>
                  <w:tcW w:w="1009" w:type="pct"/>
                  <w:gridSpan w:val="3"/>
                  <w:tcBorders>
                    <w:tl2br w:val="nil"/>
                    <w:tr2bl w:val="nil"/>
                  </w:tcBorders>
                  <w:vAlign w:val="center"/>
                </w:tcPr>
                <w:p w14:paraId="0527D5CA">
                  <w:pPr>
                    <w:pStyle w:val="67"/>
                    <w:keepNext w:val="0"/>
                    <w:keepLines w:val="0"/>
                    <w:pageBreakBefore w:val="0"/>
                    <w:widowControl/>
                    <w:kinsoku w:val="0"/>
                    <w:wordWrap/>
                    <w:overflowPunct/>
                    <w:topLinePunct w:val="0"/>
                    <w:autoSpaceDE w:val="0"/>
                    <w:autoSpaceDN w:val="0"/>
                    <w:bidi w:val="0"/>
                    <w:adjustRightInd w:val="0"/>
                    <w:snapToGrid w:val="0"/>
                    <w:spacing w:line="220" w:lineRule="auto"/>
                    <w:ind w:left="0"/>
                    <w:jc w:val="center"/>
                    <w:textAlignment w:val="baseline"/>
                    <w:rPr>
                      <w:rFonts w:hint="default" w:ascii="Times New Roman" w:hAnsi="Times New Roman" w:cs="Times New Roman"/>
                      <w:b/>
                      <w:bCs/>
                      <w:color w:val="auto"/>
                      <w:sz w:val="18"/>
                      <w:szCs w:val="18"/>
                    </w:rPr>
                  </w:pPr>
                  <w:r>
                    <w:rPr>
                      <w:rFonts w:hint="default" w:ascii="Times New Roman" w:hAnsi="Times New Roman" w:cs="Times New Roman"/>
                      <w:b/>
                      <w:bCs/>
                      <w:color w:val="auto"/>
                      <w:spacing w:val="1"/>
                      <w:sz w:val="18"/>
                      <w:szCs w:val="18"/>
                    </w:rPr>
                    <w:t>厂界下风向G2</w:t>
                  </w:r>
                </w:p>
              </w:tc>
              <w:tc>
                <w:tcPr>
                  <w:tcW w:w="998" w:type="pct"/>
                  <w:gridSpan w:val="2"/>
                  <w:tcBorders>
                    <w:tl2br w:val="nil"/>
                    <w:tr2bl w:val="nil"/>
                  </w:tcBorders>
                  <w:vAlign w:val="center"/>
                </w:tcPr>
                <w:p w14:paraId="298C1112">
                  <w:pPr>
                    <w:pStyle w:val="67"/>
                    <w:keepNext w:val="0"/>
                    <w:keepLines w:val="0"/>
                    <w:pageBreakBefore w:val="0"/>
                    <w:widowControl/>
                    <w:kinsoku w:val="0"/>
                    <w:wordWrap/>
                    <w:overflowPunct/>
                    <w:topLinePunct w:val="0"/>
                    <w:autoSpaceDE w:val="0"/>
                    <w:autoSpaceDN w:val="0"/>
                    <w:bidi w:val="0"/>
                    <w:adjustRightInd w:val="0"/>
                    <w:snapToGrid w:val="0"/>
                    <w:spacing w:line="220" w:lineRule="auto"/>
                    <w:ind w:left="0"/>
                    <w:jc w:val="center"/>
                    <w:textAlignment w:val="baseline"/>
                    <w:rPr>
                      <w:rFonts w:hint="default" w:ascii="Times New Roman" w:hAnsi="Times New Roman" w:cs="Times New Roman"/>
                      <w:b/>
                      <w:bCs/>
                      <w:color w:val="auto"/>
                      <w:sz w:val="18"/>
                      <w:szCs w:val="18"/>
                    </w:rPr>
                  </w:pPr>
                  <w:r>
                    <w:rPr>
                      <w:rFonts w:hint="default" w:ascii="Times New Roman" w:hAnsi="Times New Roman" w:cs="Times New Roman"/>
                      <w:b/>
                      <w:bCs/>
                      <w:color w:val="auto"/>
                      <w:spacing w:val="1"/>
                      <w:sz w:val="18"/>
                      <w:szCs w:val="18"/>
                    </w:rPr>
                    <w:t>厂界下风向G3</w:t>
                  </w:r>
                </w:p>
              </w:tc>
              <w:tc>
                <w:tcPr>
                  <w:tcW w:w="1034" w:type="pct"/>
                  <w:gridSpan w:val="2"/>
                  <w:tcBorders>
                    <w:tl2br w:val="nil"/>
                    <w:tr2bl w:val="nil"/>
                  </w:tcBorders>
                  <w:vAlign w:val="center"/>
                </w:tcPr>
                <w:p w14:paraId="2B91CBE7">
                  <w:pPr>
                    <w:pStyle w:val="67"/>
                    <w:keepNext w:val="0"/>
                    <w:keepLines w:val="0"/>
                    <w:pageBreakBefore w:val="0"/>
                    <w:widowControl/>
                    <w:kinsoku w:val="0"/>
                    <w:wordWrap/>
                    <w:overflowPunct/>
                    <w:topLinePunct w:val="0"/>
                    <w:autoSpaceDE w:val="0"/>
                    <w:autoSpaceDN w:val="0"/>
                    <w:bidi w:val="0"/>
                    <w:adjustRightInd w:val="0"/>
                    <w:snapToGrid w:val="0"/>
                    <w:spacing w:line="220" w:lineRule="auto"/>
                    <w:ind w:left="0"/>
                    <w:jc w:val="center"/>
                    <w:textAlignment w:val="baseline"/>
                    <w:rPr>
                      <w:rFonts w:hint="default" w:ascii="Times New Roman" w:hAnsi="Times New Roman" w:cs="Times New Roman"/>
                      <w:b/>
                      <w:bCs/>
                      <w:color w:val="auto"/>
                      <w:sz w:val="18"/>
                      <w:szCs w:val="18"/>
                    </w:rPr>
                  </w:pPr>
                  <w:r>
                    <w:rPr>
                      <w:rFonts w:hint="default" w:ascii="Times New Roman" w:hAnsi="Times New Roman" w:cs="Times New Roman"/>
                      <w:b/>
                      <w:bCs/>
                      <w:color w:val="auto"/>
                      <w:spacing w:val="-2"/>
                      <w:sz w:val="18"/>
                      <w:szCs w:val="18"/>
                    </w:rPr>
                    <w:t>厂界下风向G4</w:t>
                  </w:r>
                </w:p>
              </w:tc>
            </w:tr>
            <w:tr w14:paraId="429904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2" w:hRule="atLeast"/>
                <w:jc w:val="center"/>
              </w:trPr>
              <w:tc>
                <w:tcPr>
                  <w:tcW w:w="953" w:type="pct"/>
                  <w:tcBorders>
                    <w:tl2br w:val="nil"/>
                    <w:tr2bl w:val="nil"/>
                  </w:tcBorders>
                  <w:vAlign w:val="center"/>
                </w:tcPr>
                <w:p w14:paraId="102F380D">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3"/>
                      <w:sz w:val="18"/>
                      <w:szCs w:val="18"/>
                    </w:rPr>
                    <w:t>第一次</w:t>
                  </w:r>
                </w:p>
              </w:tc>
              <w:tc>
                <w:tcPr>
                  <w:tcW w:w="1004" w:type="pct"/>
                  <w:gridSpan w:val="3"/>
                  <w:tcBorders>
                    <w:tl2br w:val="nil"/>
                    <w:tr2bl w:val="nil"/>
                  </w:tcBorders>
                  <w:vAlign w:val="center"/>
                </w:tcPr>
                <w:p w14:paraId="566363E7">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2"/>
                      <w:sz w:val="18"/>
                      <w:szCs w:val="18"/>
                    </w:rPr>
                    <w:t>0.52</w:t>
                  </w:r>
                </w:p>
              </w:tc>
              <w:tc>
                <w:tcPr>
                  <w:tcW w:w="1009" w:type="pct"/>
                  <w:gridSpan w:val="3"/>
                  <w:tcBorders>
                    <w:tl2br w:val="nil"/>
                    <w:tr2bl w:val="nil"/>
                  </w:tcBorders>
                  <w:vAlign w:val="center"/>
                </w:tcPr>
                <w:p w14:paraId="5344598F">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2"/>
                      <w:sz w:val="18"/>
                      <w:szCs w:val="18"/>
                    </w:rPr>
                    <w:t>0.59</w:t>
                  </w:r>
                </w:p>
              </w:tc>
              <w:tc>
                <w:tcPr>
                  <w:tcW w:w="998" w:type="pct"/>
                  <w:gridSpan w:val="2"/>
                  <w:tcBorders>
                    <w:tl2br w:val="nil"/>
                    <w:tr2bl w:val="nil"/>
                  </w:tcBorders>
                  <w:vAlign w:val="center"/>
                </w:tcPr>
                <w:p w14:paraId="25048EB1">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2"/>
                      <w:sz w:val="18"/>
                      <w:szCs w:val="18"/>
                    </w:rPr>
                    <w:t>0.64</w:t>
                  </w:r>
                </w:p>
              </w:tc>
              <w:tc>
                <w:tcPr>
                  <w:tcW w:w="1034" w:type="pct"/>
                  <w:gridSpan w:val="2"/>
                  <w:tcBorders>
                    <w:tl2br w:val="nil"/>
                    <w:tr2bl w:val="nil"/>
                  </w:tcBorders>
                  <w:vAlign w:val="center"/>
                </w:tcPr>
                <w:p w14:paraId="56AFAFE6">
                  <w:pPr>
                    <w:pStyle w:val="67"/>
                    <w:keepNext w:val="0"/>
                    <w:keepLines w:val="0"/>
                    <w:pageBreakBefore w:val="0"/>
                    <w:widowControl/>
                    <w:kinsoku w:val="0"/>
                    <w:wordWrap/>
                    <w:overflowPunct/>
                    <w:topLinePunct w:val="0"/>
                    <w:autoSpaceDE w:val="0"/>
                    <w:autoSpaceDN w:val="0"/>
                    <w:bidi w:val="0"/>
                    <w:adjustRightInd w:val="0"/>
                    <w:snapToGrid w:val="0"/>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3"/>
                      <w:sz w:val="18"/>
                      <w:szCs w:val="18"/>
                    </w:rPr>
                    <w:t>056</w:t>
                  </w:r>
                </w:p>
              </w:tc>
            </w:tr>
            <w:tr w14:paraId="334CC7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953" w:type="pct"/>
                  <w:tcBorders>
                    <w:tl2br w:val="nil"/>
                    <w:tr2bl w:val="nil"/>
                  </w:tcBorders>
                  <w:vAlign w:val="center"/>
                </w:tcPr>
                <w:p w14:paraId="7770697A">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2"/>
                      <w:sz w:val="18"/>
                      <w:szCs w:val="18"/>
                    </w:rPr>
                    <w:t>第二次</w:t>
                  </w:r>
                </w:p>
              </w:tc>
              <w:tc>
                <w:tcPr>
                  <w:tcW w:w="1004" w:type="pct"/>
                  <w:gridSpan w:val="3"/>
                  <w:tcBorders>
                    <w:tl2br w:val="nil"/>
                    <w:tr2bl w:val="nil"/>
                  </w:tcBorders>
                  <w:vAlign w:val="center"/>
                </w:tcPr>
                <w:p w14:paraId="0F3D8D76">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2"/>
                      <w:sz w:val="18"/>
                      <w:szCs w:val="18"/>
                    </w:rPr>
                    <w:t>0.48</w:t>
                  </w:r>
                </w:p>
              </w:tc>
              <w:tc>
                <w:tcPr>
                  <w:tcW w:w="1009" w:type="pct"/>
                  <w:gridSpan w:val="3"/>
                  <w:tcBorders>
                    <w:tl2br w:val="nil"/>
                    <w:tr2bl w:val="nil"/>
                  </w:tcBorders>
                  <w:vAlign w:val="center"/>
                </w:tcPr>
                <w:p w14:paraId="6442E3E3">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2"/>
                      <w:sz w:val="18"/>
                      <w:szCs w:val="18"/>
                    </w:rPr>
                    <w:t>0.61</w:t>
                  </w:r>
                </w:p>
              </w:tc>
              <w:tc>
                <w:tcPr>
                  <w:tcW w:w="998" w:type="pct"/>
                  <w:gridSpan w:val="2"/>
                  <w:tcBorders>
                    <w:tl2br w:val="nil"/>
                    <w:tr2bl w:val="nil"/>
                  </w:tcBorders>
                  <w:vAlign w:val="center"/>
                </w:tcPr>
                <w:p w14:paraId="3E07B4F7">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2"/>
                      <w:sz w:val="18"/>
                      <w:szCs w:val="18"/>
                    </w:rPr>
                    <w:t>0.61</w:t>
                  </w:r>
                </w:p>
              </w:tc>
              <w:tc>
                <w:tcPr>
                  <w:tcW w:w="1034" w:type="pct"/>
                  <w:gridSpan w:val="2"/>
                  <w:tcBorders>
                    <w:tl2br w:val="nil"/>
                    <w:tr2bl w:val="nil"/>
                  </w:tcBorders>
                  <w:vAlign w:val="center"/>
                </w:tcPr>
                <w:p w14:paraId="735CCF0B">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2"/>
                      <w:sz w:val="18"/>
                      <w:szCs w:val="18"/>
                    </w:rPr>
                    <w:t>9.54</w:t>
                  </w:r>
                </w:p>
              </w:tc>
            </w:tr>
            <w:tr w14:paraId="6A3D22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1" w:hRule="atLeast"/>
                <w:jc w:val="center"/>
              </w:trPr>
              <w:tc>
                <w:tcPr>
                  <w:tcW w:w="953" w:type="pct"/>
                  <w:tcBorders>
                    <w:tl2br w:val="nil"/>
                    <w:tr2bl w:val="nil"/>
                  </w:tcBorders>
                  <w:vAlign w:val="center"/>
                </w:tcPr>
                <w:p w14:paraId="1428A9C0">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2"/>
                      <w:sz w:val="18"/>
                      <w:szCs w:val="18"/>
                    </w:rPr>
                    <w:t>第三次</w:t>
                  </w:r>
                </w:p>
              </w:tc>
              <w:tc>
                <w:tcPr>
                  <w:tcW w:w="1004" w:type="pct"/>
                  <w:gridSpan w:val="3"/>
                  <w:tcBorders>
                    <w:tl2br w:val="nil"/>
                    <w:tr2bl w:val="nil"/>
                  </w:tcBorders>
                  <w:vAlign w:val="center"/>
                </w:tcPr>
                <w:p w14:paraId="1E2A1950">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2"/>
                      <w:sz w:val="18"/>
                      <w:szCs w:val="18"/>
                    </w:rPr>
                    <w:t>0.48</w:t>
                  </w:r>
                </w:p>
              </w:tc>
              <w:tc>
                <w:tcPr>
                  <w:tcW w:w="1009" w:type="pct"/>
                  <w:gridSpan w:val="3"/>
                  <w:tcBorders>
                    <w:tl2br w:val="nil"/>
                    <w:tr2bl w:val="nil"/>
                  </w:tcBorders>
                  <w:vAlign w:val="center"/>
                </w:tcPr>
                <w:p w14:paraId="14047AD3">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2"/>
                      <w:sz w:val="18"/>
                      <w:szCs w:val="18"/>
                    </w:rPr>
                    <w:t>0.63</w:t>
                  </w:r>
                </w:p>
              </w:tc>
              <w:tc>
                <w:tcPr>
                  <w:tcW w:w="998" w:type="pct"/>
                  <w:gridSpan w:val="2"/>
                  <w:tcBorders>
                    <w:tl2br w:val="nil"/>
                    <w:tr2bl w:val="nil"/>
                  </w:tcBorders>
                  <w:vAlign w:val="center"/>
                </w:tcPr>
                <w:p w14:paraId="4A271FD7">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2"/>
                      <w:sz w:val="18"/>
                      <w:szCs w:val="18"/>
                    </w:rPr>
                    <w:t>0.66</w:t>
                  </w:r>
                </w:p>
              </w:tc>
              <w:tc>
                <w:tcPr>
                  <w:tcW w:w="1034" w:type="pct"/>
                  <w:gridSpan w:val="2"/>
                  <w:tcBorders>
                    <w:tl2br w:val="nil"/>
                    <w:tr2bl w:val="nil"/>
                  </w:tcBorders>
                  <w:vAlign w:val="center"/>
                </w:tcPr>
                <w:p w14:paraId="18590B2F">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2"/>
                      <w:sz w:val="18"/>
                      <w:szCs w:val="18"/>
                    </w:rPr>
                    <w:t>0.62</w:t>
                  </w:r>
                </w:p>
              </w:tc>
            </w:tr>
            <w:tr w14:paraId="7F75C2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953" w:type="pct"/>
                  <w:tcBorders>
                    <w:tl2br w:val="nil"/>
                    <w:tr2bl w:val="nil"/>
                  </w:tcBorders>
                  <w:vAlign w:val="center"/>
                </w:tcPr>
                <w:p w14:paraId="39E5EF1E">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2"/>
                      <w:sz w:val="18"/>
                      <w:szCs w:val="18"/>
                    </w:rPr>
                    <w:t>第四次</w:t>
                  </w:r>
                </w:p>
              </w:tc>
              <w:tc>
                <w:tcPr>
                  <w:tcW w:w="1004" w:type="pct"/>
                  <w:gridSpan w:val="3"/>
                  <w:tcBorders>
                    <w:tl2br w:val="nil"/>
                    <w:tr2bl w:val="nil"/>
                  </w:tcBorders>
                  <w:vAlign w:val="center"/>
                </w:tcPr>
                <w:p w14:paraId="45FEEC46">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2"/>
                      <w:sz w:val="18"/>
                      <w:szCs w:val="18"/>
                    </w:rPr>
                    <w:t>0.47</w:t>
                  </w:r>
                </w:p>
              </w:tc>
              <w:tc>
                <w:tcPr>
                  <w:tcW w:w="1009" w:type="pct"/>
                  <w:gridSpan w:val="3"/>
                  <w:tcBorders>
                    <w:tl2br w:val="nil"/>
                    <w:tr2bl w:val="nil"/>
                  </w:tcBorders>
                  <w:vAlign w:val="center"/>
                </w:tcPr>
                <w:p w14:paraId="02407B30">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2"/>
                      <w:sz w:val="18"/>
                      <w:szCs w:val="18"/>
                    </w:rPr>
                    <w:t>0.58</w:t>
                  </w:r>
                </w:p>
              </w:tc>
              <w:tc>
                <w:tcPr>
                  <w:tcW w:w="998" w:type="pct"/>
                  <w:gridSpan w:val="2"/>
                  <w:tcBorders>
                    <w:tl2br w:val="nil"/>
                    <w:tr2bl w:val="nil"/>
                  </w:tcBorders>
                  <w:vAlign w:val="center"/>
                </w:tcPr>
                <w:p w14:paraId="16D1FC47">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2"/>
                      <w:sz w:val="18"/>
                      <w:szCs w:val="18"/>
                    </w:rPr>
                    <w:t>0.66</w:t>
                  </w:r>
                </w:p>
              </w:tc>
              <w:tc>
                <w:tcPr>
                  <w:tcW w:w="1034" w:type="pct"/>
                  <w:gridSpan w:val="2"/>
                  <w:tcBorders>
                    <w:tl2br w:val="nil"/>
                    <w:tr2bl w:val="nil"/>
                  </w:tcBorders>
                  <w:vAlign w:val="center"/>
                </w:tcPr>
                <w:p w14:paraId="316F6D72">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2"/>
                      <w:sz w:val="18"/>
                      <w:szCs w:val="18"/>
                    </w:rPr>
                    <w:t>0.63</w:t>
                  </w:r>
                </w:p>
              </w:tc>
            </w:tr>
            <w:tr w14:paraId="1241ED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2" w:hRule="atLeast"/>
                <w:jc w:val="center"/>
              </w:trPr>
              <w:tc>
                <w:tcPr>
                  <w:tcW w:w="953" w:type="pct"/>
                  <w:tcBorders>
                    <w:tl2br w:val="nil"/>
                    <w:tr2bl w:val="nil"/>
                  </w:tcBorders>
                  <w:vAlign w:val="center"/>
                </w:tcPr>
                <w:p w14:paraId="78BE185E">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2"/>
                      <w:sz w:val="18"/>
                      <w:szCs w:val="18"/>
                    </w:rPr>
                    <w:t>平均值</w:t>
                  </w:r>
                </w:p>
              </w:tc>
              <w:tc>
                <w:tcPr>
                  <w:tcW w:w="1004" w:type="pct"/>
                  <w:gridSpan w:val="3"/>
                  <w:tcBorders>
                    <w:tl2br w:val="nil"/>
                    <w:tr2bl w:val="nil"/>
                  </w:tcBorders>
                  <w:vAlign w:val="center"/>
                </w:tcPr>
                <w:p w14:paraId="79BA6262">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2"/>
                      <w:sz w:val="18"/>
                      <w:szCs w:val="18"/>
                    </w:rPr>
                    <w:t>0.49</w:t>
                  </w:r>
                </w:p>
              </w:tc>
              <w:tc>
                <w:tcPr>
                  <w:tcW w:w="1009" w:type="pct"/>
                  <w:gridSpan w:val="3"/>
                  <w:tcBorders>
                    <w:tl2br w:val="nil"/>
                    <w:tr2bl w:val="nil"/>
                  </w:tcBorders>
                  <w:vAlign w:val="center"/>
                </w:tcPr>
                <w:p w14:paraId="5CC2D7BB">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2"/>
                      <w:sz w:val="18"/>
                      <w:szCs w:val="18"/>
                    </w:rPr>
                    <w:t>0.60</w:t>
                  </w:r>
                </w:p>
              </w:tc>
              <w:tc>
                <w:tcPr>
                  <w:tcW w:w="998" w:type="pct"/>
                  <w:gridSpan w:val="2"/>
                  <w:tcBorders>
                    <w:tl2br w:val="nil"/>
                    <w:tr2bl w:val="nil"/>
                  </w:tcBorders>
                  <w:vAlign w:val="center"/>
                </w:tcPr>
                <w:p w14:paraId="01BD880C">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2"/>
                      <w:sz w:val="18"/>
                      <w:szCs w:val="18"/>
                    </w:rPr>
                    <w:t>0.64</w:t>
                  </w:r>
                </w:p>
              </w:tc>
              <w:tc>
                <w:tcPr>
                  <w:tcW w:w="1034" w:type="pct"/>
                  <w:gridSpan w:val="2"/>
                  <w:tcBorders>
                    <w:tl2br w:val="nil"/>
                    <w:tr2bl w:val="nil"/>
                  </w:tcBorders>
                  <w:vAlign w:val="center"/>
                </w:tcPr>
                <w:p w14:paraId="77A3F480">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2"/>
                      <w:sz w:val="18"/>
                      <w:szCs w:val="18"/>
                    </w:rPr>
                    <w:t>0.59</w:t>
                  </w:r>
                </w:p>
              </w:tc>
            </w:tr>
            <w:tr w14:paraId="462AA2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953" w:type="pct"/>
                  <w:tcBorders>
                    <w:tl2br w:val="nil"/>
                    <w:tr2bl w:val="nil"/>
                  </w:tcBorders>
                  <w:vAlign w:val="center"/>
                </w:tcPr>
                <w:p w14:paraId="483DB289">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1"/>
                      <w:sz w:val="18"/>
                      <w:szCs w:val="18"/>
                    </w:rPr>
                    <w:t>平均值的最大值</w:t>
                  </w:r>
                </w:p>
              </w:tc>
              <w:tc>
                <w:tcPr>
                  <w:tcW w:w="4046" w:type="pct"/>
                  <w:gridSpan w:val="10"/>
                  <w:tcBorders>
                    <w:tl2br w:val="nil"/>
                    <w:tr2bl w:val="nil"/>
                  </w:tcBorders>
                  <w:vAlign w:val="center"/>
                </w:tcPr>
                <w:p w14:paraId="5D80778E">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default" w:ascii="Times New Roman" w:hAnsi="Times New Roman" w:cs="Times New Roman"/>
                      <w:b w:val="0"/>
                      <w:bCs w:val="0"/>
                      <w:color w:val="auto"/>
                      <w:sz w:val="18"/>
                      <w:szCs w:val="18"/>
                    </w:rPr>
                  </w:pPr>
                  <w:r>
                    <w:rPr>
                      <w:rFonts w:hint="default" w:ascii="Times New Roman" w:hAnsi="Times New Roman" w:cs="Times New Roman"/>
                      <w:b w:val="0"/>
                      <w:bCs w:val="0"/>
                      <w:color w:val="auto"/>
                      <w:spacing w:val="-2"/>
                      <w:sz w:val="18"/>
                      <w:szCs w:val="18"/>
                    </w:rPr>
                    <w:t>0.64</w:t>
                  </w:r>
                </w:p>
              </w:tc>
            </w:tr>
            <w:tr w14:paraId="569663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953" w:type="pct"/>
                  <w:tcBorders>
                    <w:tl2br w:val="nil"/>
                    <w:tr2bl w:val="nil"/>
                  </w:tcBorders>
                  <w:vAlign w:val="center"/>
                </w:tcPr>
                <w:p w14:paraId="27C23928">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leftChars="0" w:right="0" w:rightChars="0"/>
                    <w:jc w:val="center"/>
                    <w:textAlignment w:val="baseline"/>
                    <w:rPr>
                      <w:rFonts w:hint="default" w:ascii="Times New Roman" w:hAnsi="Times New Roman" w:cs="Times New Roman"/>
                      <w:b w:val="0"/>
                      <w:bCs w:val="0"/>
                      <w:color w:val="auto"/>
                      <w:spacing w:val="-1"/>
                      <w:sz w:val="18"/>
                      <w:szCs w:val="18"/>
                    </w:rPr>
                  </w:pPr>
                  <w:r>
                    <w:rPr>
                      <w:rFonts w:hint="eastAsia" w:ascii="Times New Roman" w:hAnsi="Times New Roman" w:cs="Times New Roman"/>
                      <w:b/>
                      <w:bCs/>
                      <w:color w:val="auto"/>
                      <w:spacing w:val="-2"/>
                      <w:sz w:val="18"/>
                      <w:szCs w:val="18"/>
                      <w:lang w:val="en-US" w:eastAsia="zh-CN"/>
                    </w:rPr>
                    <w:t>标准限值</w:t>
                  </w:r>
                </w:p>
              </w:tc>
              <w:tc>
                <w:tcPr>
                  <w:tcW w:w="4046" w:type="pct"/>
                  <w:gridSpan w:val="10"/>
                  <w:tcBorders>
                    <w:tl2br w:val="nil"/>
                    <w:tr2bl w:val="nil"/>
                  </w:tcBorders>
                  <w:vAlign w:val="center"/>
                </w:tcPr>
                <w:p w14:paraId="547AA063">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default" w:ascii="Times New Roman" w:hAnsi="Times New Roman" w:eastAsia="宋体" w:cs="Times New Roman"/>
                      <w:b w:val="0"/>
                      <w:bCs w:val="0"/>
                      <w:color w:val="auto"/>
                      <w:spacing w:val="-2"/>
                      <w:sz w:val="18"/>
                      <w:szCs w:val="18"/>
                      <w:lang w:val="en-US" w:eastAsia="zh-CN"/>
                    </w:rPr>
                  </w:pPr>
                  <w:r>
                    <w:rPr>
                      <w:rFonts w:hint="eastAsia" w:ascii="Times New Roman" w:hAnsi="Times New Roman" w:cs="Times New Roman"/>
                      <w:b w:val="0"/>
                      <w:bCs w:val="0"/>
                      <w:color w:val="auto"/>
                      <w:spacing w:val="-2"/>
                      <w:sz w:val="18"/>
                      <w:szCs w:val="18"/>
                      <w:lang w:val="en-US" w:eastAsia="zh-CN"/>
                    </w:rPr>
                    <w:t>4.0</w:t>
                  </w:r>
                </w:p>
              </w:tc>
            </w:tr>
            <w:tr w14:paraId="0B4AA0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953" w:type="pct"/>
                  <w:tcBorders>
                    <w:tl2br w:val="nil"/>
                    <w:tr2bl w:val="nil"/>
                  </w:tcBorders>
                  <w:vAlign w:val="center"/>
                </w:tcPr>
                <w:p w14:paraId="344C8D98">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leftChars="0" w:right="0" w:rightChars="0"/>
                    <w:jc w:val="center"/>
                    <w:textAlignment w:val="baseline"/>
                    <w:rPr>
                      <w:rFonts w:hint="default" w:ascii="Times New Roman" w:hAnsi="Times New Roman" w:cs="Times New Roman"/>
                      <w:b w:val="0"/>
                      <w:bCs w:val="0"/>
                      <w:color w:val="auto"/>
                      <w:spacing w:val="-1"/>
                      <w:sz w:val="18"/>
                      <w:szCs w:val="18"/>
                    </w:rPr>
                  </w:pPr>
                  <w:r>
                    <w:rPr>
                      <w:rFonts w:hint="eastAsia" w:ascii="Times New Roman" w:hAnsi="Times New Roman" w:cs="Times New Roman"/>
                      <w:b/>
                      <w:bCs/>
                      <w:color w:val="auto"/>
                      <w:spacing w:val="-2"/>
                      <w:sz w:val="18"/>
                      <w:szCs w:val="18"/>
                      <w:lang w:val="en-US" w:eastAsia="zh-CN"/>
                    </w:rPr>
                    <w:t>评价</w:t>
                  </w:r>
                </w:p>
              </w:tc>
              <w:tc>
                <w:tcPr>
                  <w:tcW w:w="4046" w:type="pct"/>
                  <w:gridSpan w:val="10"/>
                  <w:tcBorders>
                    <w:tl2br w:val="nil"/>
                    <w:tr2bl w:val="nil"/>
                  </w:tcBorders>
                  <w:vAlign w:val="center"/>
                </w:tcPr>
                <w:p w14:paraId="7D663E0F">
                  <w:pPr>
                    <w:pStyle w:val="67"/>
                    <w:keepNext w:val="0"/>
                    <w:keepLines w:val="0"/>
                    <w:pageBreakBefore w:val="0"/>
                    <w:widowControl/>
                    <w:kinsoku w:val="0"/>
                    <w:wordWrap/>
                    <w:overflowPunct/>
                    <w:topLinePunct w:val="0"/>
                    <w:autoSpaceDE w:val="0"/>
                    <w:autoSpaceDN w:val="0"/>
                    <w:bidi w:val="0"/>
                    <w:adjustRightInd w:val="0"/>
                    <w:snapToGrid w:val="0"/>
                    <w:spacing w:line="239" w:lineRule="auto"/>
                    <w:ind w:left="0"/>
                    <w:jc w:val="center"/>
                    <w:textAlignment w:val="baseline"/>
                    <w:rPr>
                      <w:rFonts w:hint="eastAsia" w:ascii="Times New Roman" w:hAnsi="Times New Roman" w:eastAsia="宋体" w:cs="Times New Roman"/>
                      <w:b w:val="0"/>
                      <w:bCs w:val="0"/>
                      <w:color w:val="auto"/>
                      <w:spacing w:val="-2"/>
                      <w:sz w:val="18"/>
                      <w:szCs w:val="18"/>
                      <w:lang w:val="en-US" w:eastAsia="zh-CN"/>
                    </w:rPr>
                  </w:pPr>
                  <w:r>
                    <w:rPr>
                      <w:rFonts w:hint="eastAsia" w:ascii="Times New Roman" w:hAnsi="Times New Roman" w:cs="Times New Roman"/>
                      <w:b w:val="0"/>
                      <w:bCs w:val="0"/>
                      <w:color w:val="auto"/>
                      <w:spacing w:val="-2"/>
                      <w:sz w:val="18"/>
                      <w:szCs w:val="18"/>
                      <w:lang w:val="en-US" w:eastAsia="zh-CN"/>
                    </w:rPr>
                    <w:t>达标</w:t>
                  </w:r>
                </w:p>
              </w:tc>
            </w:tr>
          </w:tbl>
          <w:p w14:paraId="6D08F7C6">
            <w:pPr>
              <w:autoSpaceDE w:val="0"/>
              <w:autoSpaceDN w:val="0"/>
              <w:adjustRightInd w:val="0"/>
              <w:snapToGrid w:val="0"/>
              <w:spacing w:line="400" w:lineRule="exact"/>
              <w:ind w:firstLine="420" w:firstLineChars="200"/>
              <w:jc w:val="left"/>
              <w:rPr>
                <w:color w:val="auto"/>
                <w:szCs w:val="21"/>
              </w:rPr>
            </w:pPr>
            <w:r>
              <w:rPr>
                <w:rFonts w:hint="eastAsia" w:ascii="Times New Roman" w:hAnsi="Times New Roman" w:eastAsia="宋体" w:cs="Times New Roman"/>
                <w:color w:val="auto"/>
                <w:highlight w:val="none"/>
                <w:lang w:val="en-US" w:eastAsia="zh-CN"/>
              </w:rPr>
              <w:t>（3）</w:t>
            </w:r>
            <w:r>
              <w:rPr>
                <w:color w:val="auto"/>
                <w:szCs w:val="21"/>
              </w:rPr>
              <w:t>噪声</w:t>
            </w:r>
          </w:p>
          <w:p w14:paraId="62ECA30C">
            <w:pPr>
              <w:autoSpaceDE w:val="0"/>
              <w:autoSpaceDN w:val="0"/>
              <w:adjustRightInd w:val="0"/>
              <w:snapToGrid w:val="0"/>
              <w:spacing w:line="400" w:lineRule="exact"/>
              <w:ind w:firstLine="420" w:firstLineChars="200"/>
              <w:jc w:val="left"/>
              <w:rPr>
                <w:rFonts w:hint="eastAsia" w:ascii="Times New Roman" w:hAnsi="Times New Roman" w:eastAsia="宋体" w:cs="Times New Roman"/>
                <w:color w:val="auto"/>
                <w:highlight w:val="none"/>
                <w:lang w:val="en-US" w:eastAsia="zh-CN"/>
              </w:rPr>
            </w:pPr>
            <w:r>
              <w:rPr>
                <w:rFonts w:hint="eastAsia"/>
                <w:color w:val="auto"/>
                <w:szCs w:val="21"/>
              </w:rPr>
              <w:t>现有项目噪声源主要为各类生产及公辅设备，建设单位通过采取合理布局、减振、隔声、消音等措施降低噪声</w:t>
            </w:r>
            <w:r>
              <w:rPr>
                <w:color w:val="auto"/>
                <w:szCs w:val="21"/>
              </w:rPr>
              <w:t>。</w:t>
            </w:r>
            <w:r>
              <w:rPr>
                <w:rFonts w:hint="eastAsia"/>
                <w:color w:val="auto"/>
                <w:szCs w:val="21"/>
              </w:rPr>
              <w:t>根据</w:t>
            </w:r>
            <w:r>
              <w:rPr>
                <w:rFonts w:hint="eastAsia"/>
                <w:color w:val="auto"/>
                <w:szCs w:val="21"/>
                <w:lang w:val="en-US" w:eastAsia="zh-CN"/>
              </w:rPr>
              <w:t>企业日常</w:t>
            </w:r>
            <w:r>
              <w:rPr>
                <w:rFonts w:hint="eastAsia"/>
                <w:color w:val="auto"/>
                <w:szCs w:val="21"/>
              </w:rPr>
              <w:t>检测数据（报告编号：（20</w:t>
            </w:r>
            <w:r>
              <w:rPr>
                <w:rFonts w:hint="eastAsia"/>
                <w:color w:val="auto"/>
                <w:szCs w:val="21"/>
                <w:lang w:val="en-US" w:eastAsia="zh-CN"/>
              </w:rPr>
              <w:t>25</w:t>
            </w:r>
            <w:r>
              <w:rPr>
                <w:rFonts w:hint="eastAsia"/>
                <w:color w:val="auto"/>
                <w:szCs w:val="21"/>
              </w:rPr>
              <w:t>）环检（高晟）字第（</w:t>
            </w:r>
            <w:r>
              <w:rPr>
                <w:rFonts w:hint="eastAsia"/>
                <w:color w:val="auto"/>
                <w:szCs w:val="21"/>
                <w:lang w:val="en-US" w:eastAsia="zh-CN"/>
              </w:rPr>
              <w:t>2111</w:t>
            </w:r>
            <w:r>
              <w:rPr>
                <w:rFonts w:hint="eastAsia"/>
                <w:color w:val="auto"/>
                <w:szCs w:val="21"/>
              </w:rPr>
              <w:t>）号，检测时间：202</w:t>
            </w:r>
            <w:r>
              <w:rPr>
                <w:rFonts w:hint="eastAsia"/>
                <w:color w:val="auto"/>
                <w:szCs w:val="21"/>
                <w:lang w:val="en-US" w:eastAsia="zh-CN"/>
              </w:rPr>
              <w:t>5.7.14</w:t>
            </w:r>
            <w:r>
              <w:rPr>
                <w:rFonts w:hint="eastAsia" w:ascii="Times New Roman" w:hAnsi="Times New Roman" w:eastAsia="宋体" w:cs="Times New Roman"/>
                <w:color w:val="auto"/>
                <w:szCs w:val="21"/>
              </w:rPr>
              <w:t>）</w:t>
            </w:r>
            <w:r>
              <w:rPr>
                <w:rFonts w:hint="eastAsia"/>
                <w:color w:val="auto"/>
                <w:szCs w:val="21"/>
              </w:rPr>
              <w:t>，企业各</w:t>
            </w:r>
            <w:r>
              <w:rPr>
                <w:color w:val="auto"/>
                <w:szCs w:val="21"/>
              </w:rPr>
              <w:t>厂界噪声排放满足《工业企业厂界环境噪声排放标准》（GB12348-2008）中3类标准。噪声监测结果</w:t>
            </w:r>
            <w:r>
              <w:rPr>
                <w:rFonts w:hint="eastAsia"/>
                <w:color w:val="auto"/>
                <w:szCs w:val="21"/>
              </w:rPr>
              <w:t>见表2-</w:t>
            </w:r>
            <w:r>
              <w:rPr>
                <w:rFonts w:hint="eastAsia"/>
                <w:color w:val="auto"/>
                <w:szCs w:val="21"/>
                <w:lang w:val="en-US" w:eastAsia="zh-CN"/>
              </w:rPr>
              <w:t>21</w:t>
            </w:r>
            <w:r>
              <w:rPr>
                <w:color w:val="auto"/>
                <w:szCs w:val="21"/>
              </w:rPr>
              <w:t>。</w:t>
            </w:r>
          </w:p>
          <w:p w14:paraId="15052E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bCs/>
                <w:color w:val="auto"/>
                <w:highlight w:val="none"/>
                <w:lang w:val="en-US" w:eastAsia="zh-CN"/>
              </w:rPr>
              <w:t>表2-</w:t>
            </w:r>
            <w:r>
              <w:rPr>
                <w:rFonts w:hint="eastAsia" w:cs="Times New Roman"/>
                <w:b/>
                <w:bCs/>
                <w:color w:val="auto"/>
                <w:highlight w:val="none"/>
                <w:lang w:val="en-US" w:eastAsia="zh-CN"/>
              </w:rPr>
              <w:t>21</w:t>
            </w:r>
            <w:r>
              <w:rPr>
                <w:rFonts w:hint="eastAsia" w:ascii="Times New Roman" w:hAnsi="Times New Roman" w:eastAsia="宋体" w:cs="Times New Roman"/>
                <w:b/>
                <w:bCs/>
                <w:color w:val="auto"/>
                <w:highlight w:val="none"/>
                <w:lang w:val="en-US" w:eastAsia="zh-CN"/>
              </w:rPr>
              <w:t>噪声监测结果</w:t>
            </w:r>
          </w:p>
          <w:tbl>
            <w:tblPr>
              <w:tblStyle w:val="69"/>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647"/>
              <w:gridCol w:w="1268"/>
              <w:gridCol w:w="1185"/>
              <w:gridCol w:w="1438"/>
              <w:gridCol w:w="96"/>
              <w:gridCol w:w="2640"/>
            </w:tblGrid>
            <w:tr w14:paraId="6117CA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0" w:hRule="atLeast"/>
                <w:jc w:val="center"/>
              </w:trPr>
              <w:tc>
                <w:tcPr>
                  <w:tcW w:w="995" w:type="pct"/>
                  <w:tcBorders>
                    <w:tl2br w:val="nil"/>
                    <w:tr2bl w:val="nil"/>
                  </w:tcBorders>
                  <w:vAlign w:val="center"/>
                </w:tcPr>
                <w:p w14:paraId="2527DA8B">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right="0"/>
                    <w:jc w:val="center"/>
                    <w:textAlignment w:val="baseline"/>
                    <w:rPr>
                      <w:rFonts w:hint="default" w:ascii="Times New Roman" w:hAnsi="Times New Roman" w:cs="Times New Roman"/>
                      <w:b/>
                      <w:bCs/>
                      <w:color w:val="auto"/>
                      <w:sz w:val="18"/>
                      <w:szCs w:val="18"/>
                    </w:rPr>
                  </w:pPr>
                  <w:r>
                    <w:rPr>
                      <w:rFonts w:hint="default" w:ascii="Times New Roman" w:hAnsi="Times New Roman" w:cs="Times New Roman"/>
                      <w:b/>
                      <w:bCs/>
                      <w:color w:val="auto"/>
                      <w:spacing w:val="3"/>
                      <w:sz w:val="18"/>
                      <w:szCs w:val="18"/>
                    </w:rPr>
                    <w:t>采样日期</w:t>
                  </w:r>
                </w:p>
              </w:tc>
              <w:tc>
                <w:tcPr>
                  <w:tcW w:w="1482" w:type="pct"/>
                  <w:gridSpan w:val="2"/>
                  <w:tcBorders>
                    <w:tl2br w:val="nil"/>
                    <w:tr2bl w:val="nil"/>
                  </w:tcBorders>
                  <w:vAlign w:val="center"/>
                </w:tcPr>
                <w:p w14:paraId="0189726D">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righ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3"/>
                      <w:sz w:val="18"/>
                      <w:szCs w:val="18"/>
                    </w:rPr>
                    <w:t>2025年7月14日</w:t>
                  </w:r>
                </w:p>
              </w:tc>
              <w:tc>
                <w:tcPr>
                  <w:tcW w:w="927" w:type="pct"/>
                  <w:gridSpan w:val="2"/>
                  <w:tcBorders>
                    <w:tl2br w:val="nil"/>
                    <w:tr2bl w:val="nil"/>
                  </w:tcBorders>
                  <w:vAlign w:val="center"/>
                </w:tcPr>
                <w:p w14:paraId="5E8A5818">
                  <w:pPr>
                    <w:pStyle w:val="67"/>
                    <w:keepNext w:val="0"/>
                    <w:keepLines w:val="0"/>
                    <w:pageBreakBefore w:val="0"/>
                    <w:widowControl/>
                    <w:kinsoku w:val="0"/>
                    <w:wordWrap/>
                    <w:overflowPunct/>
                    <w:topLinePunct w:val="0"/>
                    <w:autoSpaceDE w:val="0"/>
                    <w:autoSpaceDN w:val="0"/>
                    <w:bidi w:val="0"/>
                    <w:adjustRightInd w:val="0"/>
                    <w:snapToGrid w:val="0"/>
                    <w:spacing w:line="220" w:lineRule="auto"/>
                    <w:ind w:left="0" w:right="0"/>
                    <w:jc w:val="center"/>
                    <w:textAlignment w:val="baseline"/>
                    <w:rPr>
                      <w:rFonts w:hint="default" w:ascii="Times New Roman" w:hAnsi="Times New Roman" w:cs="Times New Roman"/>
                      <w:b/>
                      <w:bCs/>
                      <w:color w:val="auto"/>
                      <w:sz w:val="18"/>
                      <w:szCs w:val="18"/>
                    </w:rPr>
                  </w:pPr>
                  <w:r>
                    <w:rPr>
                      <w:rFonts w:hint="default" w:ascii="Times New Roman" w:hAnsi="Times New Roman" w:cs="Times New Roman"/>
                      <w:b/>
                      <w:bCs/>
                      <w:color w:val="auto"/>
                      <w:spacing w:val="7"/>
                      <w:sz w:val="18"/>
                      <w:szCs w:val="18"/>
                    </w:rPr>
                    <w:t>天气</w:t>
                  </w:r>
                </w:p>
              </w:tc>
              <w:tc>
                <w:tcPr>
                  <w:tcW w:w="1593" w:type="pct"/>
                  <w:tcBorders>
                    <w:tl2br w:val="nil"/>
                    <w:tr2bl w:val="nil"/>
                  </w:tcBorders>
                  <w:vAlign w:val="center"/>
                </w:tcPr>
                <w:p w14:paraId="6DC7329E">
                  <w:pPr>
                    <w:pStyle w:val="67"/>
                    <w:keepNext w:val="0"/>
                    <w:keepLines w:val="0"/>
                    <w:pageBreakBefore w:val="0"/>
                    <w:widowControl/>
                    <w:kinsoku w:val="0"/>
                    <w:wordWrap/>
                    <w:overflowPunct/>
                    <w:topLinePunct w:val="0"/>
                    <w:autoSpaceDE w:val="0"/>
                    <w:autoSpaceDN w:val="0"/>
                    <w:bidi w:val="0"/>
                    <w:adjustRightInd w:val="0"/>
                    <w:snapToGrid w:val="0"/>
                    <w:spacing w:line="220" w:lineRule="auto"/>
                    <w:ind w:left="0" w:righ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晴</w:t>
                  </w:r>
                </w:p>
              </w:tc>
            </w:tr>
            <w:tr w14:paraId="0ED867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4" w:hRule="atLeast"/>
                <w:jc w:val="center"/>
              </w:trPr>
              <w:tc>
                <w:tcPr>
                  <w:tcW w:w="995" w:type="pct"/>
                  <w:tcBorders>
                    <w:tl2br w:val="nil"/>
                    <w:tr2bl w:val="nil"/>
                  </w:tcBorders>
                  <w:vAlign w:val="center"/>
                </w:tcPr>
                <w:p w14:paraId="073E23A4">
                  <w:pPr>
                    <w:pStyle w:val="67"/>
                    <w:keepNext w:val="0"/>
                    <w:keepLines w:val="0"/>
                    <w:pageBreakBefore w:val="0"/>
                    <w:widowControl/>
                    <w:kinsoku w:val="0"/>
                    <w:wordWrap/>
                    <w:overflowPunct/>
                    <w:topLinePunct w:val="0"/>
                    <w:autoSpaceDE w:val="0"/>
                    <w:autoSpaceDN w:val="0"/>
                    <w:bidi w:val="0"/>
                    <w:adjustRightInd w:val="0"/>
                    <w:snapToGrid w:val="0"/>
                    <w:spacing w:line="220" w:lineRule="auto"/>
                    <w:ind w:left="0" w:right="0"/>
                    <w:jc w:val="center"/>
                    <w:textAlignment w:val="baseline"/>
                    <w:rPr>
                      <w:rFonts w:hint="default" w:ascii="Times New Roman" w:hAnsi="Times New Roman" w:cs="Times New Roman"/>
                      <w:b/>
                      <w:bCs/>
                      <w:color w:val="auto"/>
                      <w:sz w:val="18"/>
                      <w:szCs w:val="18"/>
                    </w:rPr>
                  </w:pPr>
                  <w:r>
                    <w:rPr>
                      <w:rFonts w:hint="default" w:ascii="Times New Roman" w:hAnsi="Times New Roman" w:cs="Times New Roman"/>
                      <w:b/>
                      <w:bCs/>
                      <w:color w:val="auto"/>
                      <w:spacing w:val="-2"/>
                      <w:sz w:val="18"/>
                      <w:szCs w:val="18"/>
                    </w:rPr>
                    <w:t>昼间风速</w:t>
                  </w:r>
                </w:p>
              </w:tc>
              <w:tc>
                <w:tcPr>
                  <w:tcW w:w="1482" w:type="pct"/>
                  <w:gridSpan w:val="2"/>
                  <w:tcBorders>
                    <w:tl2br w:val="nil"/>
                    <w:tr2bl w:val="nil"/>
                  </w:tcBorders>
                  <w:vAlign w:val="center"/>
                </w:tcPr>
                <w:p w14:paraId="01F1785E">
                  <w:pPr>
                    <w:pStyle w:val="67"/>
                    <w:keepNext w:val="0"/>
                    <w:keepLines w:val="0"/>
                    <w:pageBreakBefore w:val="0"/>
                    <w:widowControl/>
                    <w:kinsoku w:val="0"/>
                    <w:wordWrap/>
                    <w:overflowPunct/>
                    <w:topLinePunct w:val="0"/>
                    <w:autoSpaceDE w:val="0"/>
                    <w:autoSpaceDN w:val="0"/>
                    <w:bidi w:val="0"/>
                    <w:adjustRightInd w:val="0"/>
                    <w:snapToGrid w:val="0"/>
                    <w:spacing w:line="224" w:lineRule="auto"/>
                    <w:ind w:left="0" w:righ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3"/>
                      <w:sz w:val="18"/>
                      <w:szCs w:val="18"/>
                    </w:rPr>
                    <w:t>1.2-1.3m/s</w:t>
                  </w:r>
                </w:p>
              </w:tc>
              <w:tc>
                <w:tcPr>
                  <w:tcW w:w="927" w:type="pct"/>
                  <w:gridSpan w:val="2"/>
                  <w:tcBorders>
                    <w:tl2br w:val="nil"/>
                    <w:tr2bl w:val="nil"/>
                  </w:tcBorders>
                  <w:vAlign w:val="center"/>
                </w:tcPr>
                <w:p w14:paraId="481D07A5">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right="0"/>
                    <w:jc w:val="center"/>
                    <w:textAlignment w:val="baseline"/>
                    <w:rPr>
                      <w:rFonts w:hint="default" w:ascii="Times New Roman" w:hAnsi="Times New Roman" w:cs="Times New Roman"/>
                      <w:b/>
                      <w:bCs/>
                      <w:color w:val="auto"/>
                      <w:sz w:val="18"/>
                      <w:szCs w:val="18"/>
                    </w:rPr>
                  </w:pPr>
                  <w:r>
                    <w:rPr>
                      <w:rFonts w:hint="default" w:ascii="Times New Roman" w:hAnsi="Times New Roman" w:cs="Times New Roman"/>
                      <w:b/>
                      <w:bCs/>
                      <w:color w:val="auto"/>
                      <w:spacing w:val="2"/>
                      <w:sz w:val="18"/>
                      <w:szCs w:val="18"/>
                    </w:rPr>
                    <w:t>夜间风速</w:t>
                  </w:r>
                </w:p>
              </w:tc>
              <w:tc>
                <w:tcPr>
                  <w:tcW w:w="1593" w:type="pct"/>
                  <w:tcBorders>
                    <w:tl2br w:val="nil"/>
                    <w:tr2bl w:val="nil"/>
                  </w:tcBorders>
                  <w:vAlign w:val="center"/>
                </w:tcPr>
                <w:p w14:paraId="3624FE89">
                  <w:pPr>
                    <w:pStyle w:val="67"/>
                    <w:keepNext w:val="0"/>
                    <w:keepLines w:val="0"/>
                    <w:pageBreakBefore w:val="0"/>
                    <w:widowControl/>
                    <w:kinsoku w:val="0"/>
                    <w:wordWrap/>
                    <w:overflowPunct/>
                    <w:topLinePunct w:val="0"/>
                    <w:autoSpaceDE w:val="0"/>
                    <w:autoSpaceDN w:val="0"/>
                    <w:bidi w:val="0"/>
                    <w:adjustRightInd w:val="0"/>
                    <w:snapToGrid w:val="0"/>
                    <w:spacing w:line="216" w:lineRule="auto"/>
                    <w:ind w:left="0" w:righ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3"/>
                      <w:sz w:val="18"/>
                      <w:szCs w:val="18"/>
                    </w:rPr>
                    <w:t>1</w:t>
                  </w:r>
                  <w:r>
                    <w:rPr>
                      <w:rFonts w:hint="eastAsia" w:ascii="Times New Roman" w:hAnsi="Times New Roman" w:cs="Times New Roman"/>
                      <w:color w:val="auto"/>
                      <w:spacing w:val="-3"/>
                      <w:sz w:val="18"/>
                      <w:szCs w:val="18"/>
                      <w:lang w:val="en-US" w:eastAsia="zh-CN"/>
                    </w:rPr>
                    <w:t>.</w:t>
                  </w:r>
                  <w:r>
                    <w:rPr>
                      <w:rFonts w:hint="default" w:ascii="Times New Roman" w:hAnsi="Times New Roman" w:cs="Times New Roman"/>
                      <w:color w:val="auto"/>
                      <w:spacing w:val="-3"/>
                      <w:sz w:val="18"/>
                      <w:szCs w:val="18"/>
                    </w:rPr>
                    <w:t>6-1.7m/s</w:t>
                  </w:r>
                </w:p>
              </w:tc>
            </w:tr>
            <w:tr w14:paraId="46CAD7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761" w:type="pct"/>
                  <w:gridSpan w:val="2"/>
                  <w:vMerge w:val="restart"/>
                  <w:tcBorders>
                    <w:tl2br w:val="nil"/>
                    <w:tr2bl w:val="nil"/>
                  </w:tcBorders>
                  <w:vAlign w:val="center"/>
                </w:tcPr>
                <w:p w14:paraId="53F8E138">
                  <w:pPr>
                    <w:keepNext w:val="0"/>
                    <w:keepLines w:val="0"/>
                    <w:pageBreakBefore w:val="0"/>
                    <w:widowControl/>
                    <w:kinsoku w:val="0"/>
                    <w:wordWrap/>
                    <w:overflowPunct/>
                    <w:topLinePunct w:val="0"/>
                    <w:autoSpaceDE w:val="0"/>
                    <w:autoSpaceDN w:val="0"/>
                    <w:bidi w:val="0"/>
                    <w:adjustRightInd w:val="0"/>
                    <w:snapToGrid w:val="0"/>
                    <w:spacing w:line="279" w:lineRule="auto"/>
                    <w:ind w:left="0" w:right="0"/>
                    <w:jc w:val="center"/>
                    <w:textAlignment w:val="baseline"/>
                    <w:rPr>
                      <w:rFonts w:hint="default" w:ascii="Times New Roman" w:hAnsi="Times New Roman" w:cs="Times New Roman"/>
                      <w:b/>
                      <w:bCs/>
                      <w:color w:val="auto"/>
                      <w:sz w:val="18"/>
                      <w:szCs w:val="18"/>
                    </w:rPr>
                  </w:pPr>
                </w:p>
                <w:p w14:paraId="02F03AD4">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right="0"/>
                    <w:jc w:val="center"/>
                    <w:textAlignment w:val="baseline"/>
                    <w:rPr>
                      <w:rFonts w:hint="default" w:ascii="Times New Roman" w:hAnsi="Times New Roman" w:cs="Times New Roman"/>
                      <w:b/>
                      <w:bCs/>
                      <w:color w:val="auto"/>
                      <w:sz w:val="18"/>
                      <w:szCs w:val="18"/>
                    </w:rPr>
                  </w:pPr>
                  <w:r>
                    <w:rPr>
                      <w:rFonts w:hint="default" w:ascii="Times New Roman" w:hAnsi="Times New Roman" w:cs="Times New Roman"/>
                      <w:b/>
                      <w:bCs/>
                      <w:color w:val="auto"/>
                      <w:spacing w:val="-2"/>
                      <w:sz w:val="18"/>
                      <w:szCs w:val="18"/>
                    </w:rPr>
                    <w:t>检测点位</w:t>
                  </w:r>
                </w:p>
              </w:tc>
              <w:tc>
                <w:tcPr>
                  <w:tcW w:w="3238" w:type="pct"/>
                  <w:gridSpan w:val="4"/>
                  <w:tcBorders>
                    <w:tl2br w:val="nil"/>
                    <w:tr2bl w:val="nil"/>
                  </w:tcBorders>
                  <w:vAlign w:val="center"/>
                </w:tcPr>
                <w:p w14:paraId="0C6F8D3E">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right="0"/>
                    <w:jc w:val="center"/>
                    <w:textAlignment w:val="baseline"/>
                    <w:rPr>
                      <w:rFonts w:hint="default" w:ascii="Times New Roman" w:hAnsi="Times New Roman" w:cs="Times New Roman"/>
                      <w:b/>
                      <w:bCs/>
                      <w:color w:val="auto"/>
                      <w:sz w:val="18"/>
                      <w:szCs w:val="18"/>
                    </w:rPr>
                  </w:pPr>
                  <w:r>
                    <w:rPr>
                      <w:rFonts w:hint="default" w:ascii="Times New Roman" w:hAnsi="Times New Roman" w:cs="Times New Roman"/>
                      <w:b/>
                      <w:bCs/>
                      <w:color w:val="auto"/>
                      <w:spacing w:val="6"/>
                      <w:sz w:val="18"/>
                      <w:szCs w:val="18"/>
                    </w:rPr>
                    <w:t>等效声级</w:t>
                  </w:r>
                  <w:r>
                    <w:rPr>
                      <w:rFonts w:hint="default" w:ascii="Times New Roman" w:hAnsi="Times New Roman" w:cs="Times New Roman"/>
                      <w:b/>
                      <w:bCs/>
                      <w:color w:val="auto"/>
                      <w:sz w:val="18"/>
                      <w:szCs w:val="18"/>
                    </w:rPr>
                    <w:t>dB</w:t>
                  </w:r>
                  <w:r>
                    <w:rPr>
                      <w:rFonts w:hint="default" w:ascii="Times New Roman" w:hAnsi="Times New Roman" w:cs="Times New Roman"/>
                      <w:b/>
                      <w:bCs/>
                      <w:color w:val="auto"/>
                      <w:spacing w:val="6"/>
                      <w:sz w:val="18"/>
                      <w:szCs w:val="18"/>
                    </w:rPr>
                    <w:t>(A)</w:t>
                  </w:r>
                </w:p>
              </w:tc>
            </w:tr>
            <w:tr w14:paraId="0144F7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5" w:hRule="atLeast"/>
                <w:jc w:val="center"/>
              </w:trPr>
              <w:tc>
                <w:tcPr>
                  <w:tcW w:w="1761" w:type="pct"/>
                  <w:gridSpan w:val="2"/>
                  <w:vMerge w:val="continue"/>
                  <w:tcBorders>
                    <w:tl2br w:val="nil"/>
                    <w:tr2bl w:val="nil"/>
                  </w:tcBorders>
                  <w:vAlign w:val="center"/>
                </w:tcPr>
                <w:p w14:paraId="58884FF8">
                  <w:pPr>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default" w:ascii="Times New Roman" w:hAnsi="Times New Roman" w:cs="Times New Roman"/>
                      <w:color w:val="auto"/>
                      <w:sz w:val="18"/>
                      <w:szCs w:val="18"/>
                    </w:rPr>
                  </w:pPr>
                </w:p>
              </w:tc>
              <w:tc>
                <w:tcPr>
                  <w:tcW w:w="1585" w:type="pct"/>
                  <w:gridSpan w:val="2"/>
                  <w:tcBorders>
                    <w:tl2br w:val="nil"/>
                    <w:tr2bl w:val="nil"/>
                  </w:tcBorders>
                  <w:vAlign w:val="center"/>
                </w:tcPr>
                <w:p w14:paraId="5C947D73">
                  <w:pPr>
                    <w:pStyle w:val="67"/>
                    <w:keepNext w:val="0"/>
                    <w:keepLines w:val="0"/>
                    <w:pageBreakBefore w:val="0"/>
                    <w:widowControl/>
                    <w:kinsoku w:val="0"/>
                    <w:wordWrap/>
                    <w:overflowPunct/>
                    <w:topLinePunct w:val="0"/>
                    <w:autoSpaceDE w:val="0"/>
                    <w:autoSpaceDN w:val="0"/>
                    <w:bidi w:val="0"/>
                    <w:adjustRightInd w:val="0"/>
                    <w:snapToGrid w:val="0"/>
                    <w:spacing w:line="222" w:lineRule="auto"/>
                    <w:ind w:left="0" w:righ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10"/>
                      <w:sz w:val="18"/>
                      <w:szCs w:val="18"/>
                    </w:rPr>
                    <w:t>昼间</w:t>
                  </w:r>
                </w:p>
              </w:tc>
              <w:tc>
                <w:tcPr>
                  <w:tcW w:w="1653" w:type="pct"/>
                  <w:gridSpan w:val="2"/>
                  <w:tcBorders>
                    <w:tl2br w:val="nil"/>
                    <w:tr2bl w:val="nil"/>
                  </w:tcBorders>
                  <w:vAlign w:val="center"/>
                </w:tcPr>
                <w:p w14:paraId="49E1537C">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righ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10"/>
                      <w:sz w:val="18"/>
                      <w:szCs w:val="18"/>
                    </w:rPr>
                    <w:t>夜间</w:t>
                  </w:r>
                </w:p>
              </w:tc>
            </w:tr>
            <w:tr w14:paraId="764FE5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3" w:hRule="atLeast"/>
                <w:jc w:val="center"/>
              </w:trPr>
              <w:tc>
                <w:tcPr>
                  <w:tcW w:w="1761" w:type="pct"/>
                  <w:gridSpan w:val="2"/>
                  <w:tcBorders>
                    <w:tl2br w:val="nil"/>
                    <w:tr2bl w:val="nil"/>
                  </w:tcBorders>
                  <w:vAlign w:val="center"/>
                </w:tcPr>
                <w:p w14:paraId="1D6C81DF">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righ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2"/>
                      <w:sz w:val="18"/>
                      <w:szCs w:val="18"/>
                    </w:rPr>
                    <w:t>厂界东侧外1米Z1</w:t>
                  </w:r>
                </w:p>
              </w:tc>
              <w:tc>
                <w:tcPr>
                  <w:tcW w:w="1585" w:type="pct"/>
                  <w:gridSpan w:val="2"/>
                  <w:tcBorders>
                    <w:tl2br w:val="nil"/>
                    <w:tr2bl w:val="nil"/>
                  </w:tcBorders>
                  <w:vAlign w:val="center"/>
                </w:tcPr>
                <w:p w14:paraId="09AE2CB4">
                  <w:pPr>
                    <w:pStyle w:val="67"/>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4"/>
                      <w:sz w:val="18"/>
                      <w:szCs w:val="18"/>
                    </w:rPr>
                    <w:t>54</w:t>
                  </w:r>
                </w:p>
              </w:tc>
              <w:tc>
                <w:tcPr>
                  <w:tcW w:w="1653" w:type="pct"/>
                  <w:gridSpan w:val="2"/>
                  <w:tcBorders>
                    <w:tl2br w:val="nil"/>
                    <w:tr2bl w:val="nil"/>
                  </w:tcBorders>
                  <w:vAlign w:val="center"/>
                </w:tcPr>
                <w:p w14:paraId="321B2028">
                  <w:pPr>
                    <w:pStyle w:val="67"/>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2"/>
                      <w:sz w:val="18"/>
                      <w:szCs w:val="18"/>
                    </w:rPr>
                    <w:t>46</w:t>
                  </w:r>
                </w:p>
              </w:tc>
            </w:tr>
            <w:tr w14:paraId="1F7B9C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5" w:hRule="atLeast"/>
                <w:jc w:val="center"/>
              </w:trPr>
              <w:tc>
                <w:tcPr>
                  <w:tcW w:w="1761" w:type="pct"/>
                  <w:gridSpan w:val="2"/>
                  <w:tcBorders>
                    <w:tl2br w:val="nil"/>
                    <w:tr2bl w:val="nil"/>
                  </w:tcBorders>
                  <w:vAlign w:val="center"/>
                </w:tcPr>
                <w:p w14:paraId="22D43DCD">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righ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1"/>
                      <w:sz w:val="18"/>
                      <w:szCs w:val="18"/>
                    </w:rPr>
                    <w:t>厂界南侧外1米Z2</w:t>
                  </w:r>
                </w:p>
              </w:tc>
              <w:tc>
                <w:tcPr>
                  <w:tcW w:w="1585" w:type="pct"/>
                  <w:gridSpan w:val="2"/>
                  <w:tcBorders>
                    <w:tl2br w:val="nil"/>
                    <w:tr2bl w:val="nil"/>
                  </w:tcBorders>
                  <w:vAlign w:val="center"/>
                </w:tcPr>
                <w:p w14:paraId="78A0E1DA">
                  <w:pPr>
                    <w:pStyle w:val="67"/>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4"/>
                      <w:sz w:val="18"/>
                      <w:szCs w:val="18"/>
                    </w:rPr>
                    <w:t>57</w:t>
                  </w:r>
                </w:p>
              </w:tc>
              <w:tc>
                <w:tcPr>
                  <w:tcW w:w="1653" w:type="pct"/>
                  <w:gridSpan w:val="2"/>
                  <w:tcBorders>
                    <w:tl2br w:val="nil"/>
                    <w:tr2bl w:val="nil"/>
                  </w:tcBorders>
                  <w:vAlign w:val="center"/>
                </w:tcPr>
                <w:p w14:paraId="667823D7">
                  <w:pPr>
                    <w:pStyle w:val="67"/>
                    <w:keepNext w:val="0"/>
                    <w:keepLines w:val="0"/>
                    <w:pageBreakBefore w:val="0"/>
                    <w:widowControl/>
                    <w:kinsoku w:val="0"/>
                    <w:wordWrap/>
                    <w:overflowPunct/>
                    <w:topLinePunct w:val="0"/>
                    <w:autoSpaceDE w:val="0"/>
                    <w:autoSpaceDN w:val="0"/>
                    <w:bidi w:val="0"/>
                    <w:adjustRightInd w:val="0"/>
                    <w:snapToGrid w:val="0"/>
                    <w:spacing w:line="241" w:lineRule="auto"/>
                    <w:ind w:left="0" w:righ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2"/>
                      <w:sz w:val="18"/>
                      <w:szCs w:val="18"/>
                    </w:rPr>
                    <w:t>42</w:t>
                  </w:r>
                </w:p>
              </w:tc>
            </w:tr>
            <w:tr w14:paraId="6AA018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761" w:type="pct"/>
                  <w:gridSpan w:val="2"/>
                  <w:tcBorders>
                    <w:tl2br w:val="nil"/>
                    <w:tr2bl w:val="nil"/>
                  </w:tcBorders>
                  <w:vAlign w:val="center"/>
                </w:tcPr>
                <w:p w14:paraId="5F4A2546">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righ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1"/>
                      <w:sz w:val="18"/>
                      <w:szCs w:val="18"/>
                    </w:rPr>
                    <w:t>厂界西侧外1米Z3</w:t>
                  </w:r>
                </w:p>
              </w:tc>
              <w:tc>
                <w:tcPr>
                  <w:tcW w:w="1585" w:type="pct"/>
                  <w:gridSpan w:val="2"/>
                  <w:tcBorders>
                    <w:tl2br w:val="nil"/>
                    <w:tr2bl w:val="nil"/>
                  </w:tcBorders>
                  <w:vAlign w:val="center"/>
                </w:tcPr>
                <w:p w14:paraId="6DA3AF2B">
                  <w:pPr>
                    <w:pStyle w:val="67"/>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4"/>
                      <w:sz w:val="18"/>
                      <w:szCs w:val="18"/>
                    </w:rPr>
                    <w:t>55</w:t>
                  </w:r>
                </w:p>
              </w:tc>
              <w:tc>
                <w:tcPr>
                  <w:tcW w:w="1653" w:type="pct"/>
                  <w:gridSpan w:val="2"/>
                  <w:tcBorders>
                    <w:tl2br w:val="nil"/>
                    <w:tr2bl w:val="nil"/>
                  </w:tcBorders>
                  <w:vAlign w:val="center"/>
                </w:tcPr>
                <w:p w14:paraId="31C56A42">
                  <w:pPr>
                    <w:pStyle w:val="67"/>
                    <w:keepNext w:val="0"/>
                    <w:keepLines w:val="0"/>
                    <w:pageBreakBefore w:val="0"/>
                    <w:widowControl/>
                    <w:kinsoku w:val="0"/>
                    <w:wordWrap/>
                    <w:overflowPunct/>
                    <w:topLinePunct w:val="0"/>
                    <w:autoSpaceDE w:val="0"/>
                    <w:autoSpaceDN w:val="0"/>
                    <w:bidi w:val="0"/>
                    <w:adjustRightInd w:val="0"/>
                    <w:snapToGrid w:val="0"/>
                    <w:spacing w:line="241" w:lineRule="auto"/>
                    <w:ind w:left="0" w:righ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2"/>
                      <w:sz w:val="18"/>
                      <w:szCs w:val="18"/>
                    </w:rPr>
                    <w:t>44</w:t>
                  </w:r>
                </w:p>
              </w:tc>
            </w:tr>
            <w:tr w14:paraId="293EB6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9" w:hRule="atLeast"/>
                <w:jc w:val="center"/>
              </w:trPr>
              <w:tc>
                <w:tcPr>
                  <w:tcW w:w="1761" w:type="pct"/>
                  <w:gridSpan w:val="2"/>
                  <w:tcBorders>
                    <w:tl2br w:val="nil"/>
                    <w:tr2bl w:val="nil"/>
                  </w:tcBorders>
                  <w:vAlign w:val="center"/>
                </w:tcPr>
                <w:p w14:paraId="5E7C839B">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righ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2"/>
                      <w:sz w:val="18"/>
                      <w:szCs w:val="18"/>
                    </w:rPr>
                    <w:t>厂界北侧外1米Z4</w:t>
                  </w:r>
                </w:p>
              </w:tc>
              <w:tc>
                <w:tcPr>
                  <w:tcW w:w="1585" w:type="pct"/>
                  <w:gridSpan w:val="2"/>
                  <w:tcBorders>
                    <w:tl2br w:val="nil"/>
                    <w:tr2bl w:val="nil"/>
                  </w:tcBorders>
                  <w:vAlign w:val="center"/>
                </w:tcPr>
                <w:p w14:paraId="05CBCE45">
                  <w:pPr>
                    <w:pStyle w:val="67"/>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4"/>
                      <w:sz w:val="18"/>
                      <w:szCs w:val="18"/>
                    </w:rPr>
                    <w:t>56</w:t>
                  </w:r>
                </w:p>
              </w:tc>
              <w:tc>
                <w:tcPr>
                  <w:tcW w:w="1653" w:type="pct"/>
                  <w:gridSpan w:val="2"/>
                  <w:tcBorders>
                    <w:tl2br w:val="nil"/>
                    <w:tr2bl w:val="nil"/>
                  </w:tcBorders>
                  <w:vAlign w:val="center"/>
                </w:tcPr>
                <w:p w14:paraId="4753EDC4">
                  <w:pPr>
                    <w:pStyle w:val="67"/>
                    <w:keepNext w:val="0"/>
                    <w:keepLines w:val="0"/>
                    <w:pageBreakBefore w:val="0"/>
                    <w:widowControl/>
                    <w:kinsoku w:val="0"/>
                    <w:wordWrap/>
                    <w:overflowPunct/>
                    <w:topLinePunct w:val="0"/>
                    <w:autoSpaceDE w:val="0"/>
                    <w:autoSpaceDN w:val="0"/>
                    <w:bidi w:val="0"/>
                    <w:adjustRightInd w:val="0"/>
                    <w:snapToGrid w:val="0"/>
                    <w:spacing w:line="241" w:lineRule="auto"/>
                    <w:ind w:left="0" w:right="0"/>
                    <w:jc w:val="center"/>
                    <w:textAlignment w:val="baseline"/>
                    <w:rPr>
                      <w:rFonts w:hint="default" w:ascii="Times New Roman" w:hAnsi="Times New Roman" w:cs="Times New Roman"/>
                      <w:color w:val="auto"/>
                      <w:sz w:val="18"/>
                      <w:szCs w:val="18"/>
                    </w:rPr>
                  </w:pPr>
                  <w:r>
                    <w:rPr>
                      <w:rFonts w:hint="default" w:ascii="Times New Roman" w:hAnsi="Times New Roman" w:cs="Times New Roman"/>
                      <w:color w:val="auto"/>
                      <w:spacing w:val="-2"/>
                      <w:sz w:val="18"/>
                      <w:szCs w:val="18"/>
                    </w:rPr>
                    <w:t>44</w:t>
                  </w:r>
                </w:p>
              </w:tc>
            </w:tr>
            <w:tr w14:paraId="5FC731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9" w:hRule="atLeast"/>
                <w:jc w:val="center"/>
              </w:trPr>
              <w:tc>
                <w:tcPr>
                  <w:tcW w:w="1761" w:type="pct"/>
                  <w:gridSpan w:val="2"/>
                  <w:tcBorders>
                    <w:tl2br w:val="nil"/>
                    <w:tr2bl w:val="nil"/>
                  </w:tcBorders>
                  <w:vAlign w:val="center"/>
                </w:tcPr>
                <w:p w14:paraId="021737E8">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right="0"/>
                    <w:jc w:val="center"/>
                    <w:textAlignment w:val="baseline"/>
                    <w:rPr>
                      <w:rFonts w:hint="default" w:ascii="Times New Roman" w:hAnsi="Times New Roman" w:eastAsia="宋体" w:cs="Times New Roman"/>
                      <w:b/>
                      <w:bCs/>
                      <w:color w:val="auto"/>
                      <w:spacing w:val="-2"/>
                      <w:sz w:val="18"/>
                      <w:szCs w:val="18"/>
                      <w:lang w:val="en-US" w:eastAsia="zh-CN"/>
                    </w:rPr>
                  </w:pPr>
                  <w:r>
                    <w:rPr>
                      <w:rFonts w:hint="eastAsia" w:ascii="Times New Roman" w:hAnsi="Times New Roman" w:cs="Times New Roman"/>
                      <w:b/>
                      <w:bCs/>
                      <w:color w:val="auto"/>
                      <w:spacing w:val="-2"/>
                      <w:sz w:val="18"/>
                      <w:szCs w:val="18"/>
                      <w:lang w:val="en-US" w:eastAsia="zh-CN"/>
                    </w:rPr>
                    <w:t>标准限值</w:t>
                  </w:r>
                </w:p>
              </w:tc>
              <w:tc>
                <w:tcPr>
                  <w:tcW w:w="1585" w:type="pct"/>
                  <w:gridSpan w:val="2"/>
                  <w:tcBorders>
                    <w:tl2br w:val="nil"/>
                    <w:tr2bl w:val="nil"/>
                  </w:tcBorders>
                  <w:vAlign w:val="center"/>
                </w:tcPr>
                <w:p w14:paraId="2CE3E936">
                  <w:pPr>
                    <w:pStyle w:val="67"/>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default" w:ascii="Times New Roman" w:hAnsi="Times New Roman" w:eastAsia="宋体" w:cs="Times New Roman"/>
                      <w:color w:val="auto"/>
                      <w:spacing w:val="-4"/>
                      <w:sz w:val="18"/>
                      <w:szCs w:val="18"/>
                      <w:lang w:val="en-US" w:eastAsia="zh-CN"/>
                    </w:rPr>
                  </w:pPr>
                  <w:r>
                    <w:rPr>
                      <w:rFonts w:hint="eastAsia" w:ascii="Times New Roman" w:hAnsi="Times New Roman" w:cs="Times New Roman"/>
                      <w:color w:val="auto"/>
                      <w:spacing w:val="-4"/>
                      <w:sz w:val="18"/>
                      <w:szCs w:val="18"/>
                      <w:lang w:val="en-US" w:eastAsia="zh-CN"/>
                    </w:rPr>
                    <w:t>65</w:t>
                  </w:r>
                </w:p>
              </w:tc>
              <w:tc>
                <w:tcPr>
                  <w:tcW w:w="1653" w:type="pct"/>
                  <w:gridSpan w:val="2"/>
                  <w:tcBorders>
                    <w:tl2br w:val="nil"/>
                    <w:tr2bl w:val="nil"/>
                  </w:tcBorders>
                  <w:vAlign w:val="center"/>
                </w:tcPr>
                <w:p w14:paraId="421D5A31">
                  <w:pPr>
                    <w:pStyle w:val="67"/>
                    <w:keepNext w:val="0"/>
                    <w:keepLines w:val="0"/>
                    <w:pageBreakBefore w:val="0"/>
                    <w:widowControl/>
                    <w:kinsoku w:val="0"/>
                    <w:wordWrap/>
                    <w:overflowPunct/>
                    <w:topLinePunct w:val="0"/>
                    <w:autoSpaceDE w:val="0"/>
                    <w:autoSpaceDN w:val="0"/>
                    <w:bidi w:val="0"/>
                    <w:adjustRightInd w:val="0"/>
                    <w:snapToGrid w:val="0"/>
                    <w:spacing w:line="241" w:lineRule="auto"/>
                    <w:ind w:left="0" w:right="0"/>
                    <w:jc w:val="center"/>
                    <w:textAlignment w:val="baseline"/>
                    <w:rPr>
                      <w:rFonts w:hint="default" w:ascii="Times New Roman" w:hAnsi="Times New Roman" w:eastAsia="宋体" w:cs="Times New Roman"/>
                      <w:color w:val="auto"/>
                      <w:spacing w:val="-2"/>
                      <w:sz w:val="18"/>
                      <w:szCs w:val="18"/>
                      <w:lang w:val="en-US" w:eastAsia="zh-CN"/>
                    </w:rPr>
                  </w:pPr>
                  <w:r>
                    <w:rPr>
                      <w:rFonts w:hint="eastAsia" w:ascii="Times New Roman" w:hAnsi="Times New Roman" w:cs="Times New Roman"/>
                      <w:color w:val="auto"/>
                      <w:spacing w:val="-2"/>
                      <w:sz w:val="18"/>
                      <w:szCs w:val="18"/>
                      <w:lang w:val="en-US" w:eastAsia="zh-CN"/>
                    </w:rPr>
                    <w:t>55</w:t>
                  </w:r>
                </w:p>
              </w:tc>
            </w:tr>
            <w:tr w14:paraId="4D8B6F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9" w:hRule="atLeast"/>
                <w:jc w:val="center"/>
              </w:trPr>
              <w:tc>
                <w:tcPr>
                  <w:tcW w:w="1761" w:type="pct"/>
                  <w:gridSpan w:val="2"/>
                  <w:tcBorders>
                    <w:tl2br w:val="nil"/>
                    <w:tr2bl w:val="nil"/>
                  </w:tcBorders>
                  <w:vAlign w:val="center"/>
                </w:tcPr>
                <w:p w14:paraId="634EEE59">
                  <w:pPr>
                    <w:pStyle w:val="67"/>
                    <w:keepNext w:val="0"/>
                    <w:keepLines w:val="0"/>
                    <w:pageBreakBefore w:val="0"/>
                    <w:widowControl/>
                    <w:kinsoku w:val="0"/>
                    <w:wordWrap/>
                    <w:overflowPunct/>
                    <w:topLinePunct w:val="0"/>
                    <w:autoSpaceDE w:val="0"/>
                    <w:autoSpaceDN w:val="0"/>
                    <w:bidi w:val="0"/>
                    <w:adjustRightInd w:val="0"/>
                    <w:snapToGrid w:val="0"/>
                    <w:spacing w:line="219" w:lineRule="auto"/>
                    <w:ind w:left="0" w:right="0"/>
                    <w:jc w:val="center"/>
                    <w:textAlignment w:val="baseline"/>
                    <w:rPr>
                      <w:rFonts w:hint="eastAsia" w:ascii="Times New Roman" w:hAnsi="Times New Roman" w:eastAsia="宋体" w:cs="Times New Roman"/>
                      <w:b/>
                      <w:bCs/>
                      <w:color w:val="auto"/>
                      <w:spacing w:val="-2"/>
                      <w:sz w:val="18"/>
                      <w:szCs w:val="18"/>
                      <w:lang w:val="en-US" w:eastAsia="zh-CN"/>
                    </w:rPr>
                  </w:pPr>
                  <w:r>
                    <w:rPr>
                      <w:rFonts w:hint="eastAsia" w:ascii="Times New Roman" w:hAnsi="Times New Roman" w:cs="Times New Roman"/>
                      <w:b/>
                      <w:bCs/>
                      <w:color w:val="auto"/>
                      <w:spacing w:val="-2"/>
                      <w:sz w:val="18"/>
                      <w:szCs w:val="18"/>
                      <w:lang w:val="en-US" w:eastAsia="zh-CN"/>
                    </w:rPr>
                    <w:t>评价</w:t>
                  </w:r>
                </w:p>
              </w:tc>
              <w:tc>
                <w:tcPr>
                  <w:tcW w:w="1585" w:type="pct"/>
                  <w:gridSpan w:val="2"/>
                  <w:tcBorders>
                    <w:tl2br w:val="nil"/>
                    <w:tr2bl w:val="nil"/>
                  </w:tcBorders>
                  <w:vAlign w:val="center"/>
                </w:tcPr>
                <w:p w14:paraId="17BADEF6">
                  <w:pPr>
                    <w:pStyle w:val="67"/>
                    <w:keepNext w:val="0"/>
                    <w:keepLines w:val="0"/>
                    <w:pageBreakBefore w:val="0"/>
                    <w:widowControl/>
                    <w:kinsoku w:val="0"/>
                    <w:wordWrap/>
                    <w:overflowPunct/>
                    <w:topLinePunct w:val="0"/>
                    <w:autoSpaceDE w:val="0"/>
                    <w:autoSpaceDN w:val="0"/>
                    <w:bidi w:val="0"/>
                    <w:adjustRightInd w:val="0"/>
                    <w:snapToGrid w:val="0"/>
                    <w:ind w:left="0" w:right="0"/>
                    <w:jc w:val="center"/>
                    <w:textAlignment w:val="baseline"/>
                    <w:rPr>
                      <w:rFonts w:hint="eastAsia" w:ascii="Times New Roman" w:hAnsi="Times New Roman" w:eastAsia="宋体" w:cs="Times New Roman"/>
                      <w:color w:val="auto"/>
                      <w:spacing w:val="-4"/>
                      <w:sz w:val="18"/>
                      <w:szCs w:val="18"/>
                      <w:lang w:val="en-US" w:eastAsia="zh-CN"/>
                    </w:rPr>
                  </w:pPr>
                  <w:r>
                    <w:rPr>
                      <w:rFonts w:hint="eastAsia" w:ascii="Times New Roman" w:hAnsi="Times New Roman" w:cs="Times New Roman"/>
                      <w:color w:val="auto"/>
                      <w:spacing w:val="-4"/>
                      <w:sz w:val="18"/>
                      <w:szCs w:val="18"/>
                      <w:lang w:val="en-US" w:eastAsia="zh-CN"/>
                    </w:rPr>
                    <w:t>达标</w:t>
                  </w:r>
                </w:p>
              </w:tc>
              <w:tc>
                <w:tcPr>
                  <w:tcW w:w="1653" w:type="pct"/>
                  <w:gridSpan w:val="2"/>
                  <w:tcBorders>
                    <w:tl2br w:val="nil"/>
                    <w:tr2bl w:val="nil"/>
                  </w:tcBorders>
                  <w:vAlign w:val="center"/>
                </w:tcPr>
                <w:p w14:paraId="55D1CB8A">
                  <w:pPr>
                    <w:pStyle w:val="67"/>
                    <w:keepNext w:val="0"/>
                    <w:keepLines w:val="0"/>
                    <w:pageBreakBefore w:val="0"/>
                    <w:widowControl/>
                    <w:kinsoku w:val="0"/>
                    <w:wordWrap/>
                    <w:overflowPunct/>
                    <w:topLinePunct w:val="0"/>
                    <w:autoSpaceDE w:val="0"/>
                    <w:autoSpaceDN w:val="0"/>
                    <w:bidi w:val="0"/>
                    <w:adjustRightInd w:val="0"/>
                    <w:snapToGrid w:val="0"/>
                    <w:spacing w:line="241" w:lineRule="auto"/>
                    <w:ind w:left="0" w:right="0"/>
                    <w:jc w:val="center"/>
                    <w:textAlignment w:val="baseline"/>
                    <w:rPr>
                      <w:rFonts w:hint="eastAsia" w:ascii="Times New Roman" w:hAnsi="Times New Roman" w:eastAsia="宋体" w:cs="Times New Roman"/>
                      <w:color w:val="auto"/>
                      <w:spacing w:val="-2"/>
                      <w:sz w:val="18"/>
                      <w:szCs w:val="18"/>
                      <w:lang w:val="en-US" w:eastAsia="zh-CN"/>
                    </w:rPr>
                  </w:pPr>
                  <w:r>
                    <w:rPr>
                      <w:rFonts w:hint="eastAsia" w:ascii="Times New Roman" w:hAnsi="Times New Roman" w:cs="Times New Roman"/>
                      <w:color w:val="auto"/>
                      <w:spacing w:val="-2"/>
                      <w:sz w:val="18"/>
                      <w:szCs w:val="18"/>
                      <w:lang w:val="en-US" w:eastAsia="zh-CN"/>
                    </w:rPr>
                    <w:t>达标</w:t>
                  </w:r>
                </w:p>
              </w:tc>
            </w:tr>
          </w:tbl>
          <w:p w14:paraId="76B1D0B6">
            <w:pPr>
              <w:autoSpaceDE w:val="0"/>
              <w:autoSpaceDN w:val="0"/>
              <w:adjustRightInd w:val="0"/>
              <w:snapToGrid w:val="0"/>
              <w:spacing w:line="400" w:lineRule="exact"/>
              <w:ind w:firstLine="420" w:firstLineChars="200"/>
              <w:jc w:val="left"/>
              <w:rPr>
                <w:color w:val="auto"/>
                <w:szCs w:val="21"/>
              </w:rPr>
            </w:pPr>
            <w:r>
              <w:rPr>
                <w:color w:val="auto"/>
                <w:szCs w:val="21"/>
              </w:rPr>
              <w:t>（4）固废</w:t>
            </w:r>
          </w:p>
          <w:p w14:paraId="1EA0C6E3">
            <w:pPr>
              <w:autoSpaceDE w:val="0"/>
              <w:autoSpaceDN w:val="0"/>
              <w:adjustRightInd w:val="0"/>
              <w:snapToGrid w:val="0"/>
              <w:spacing w:line="400" w:lineRule="exact"/>
              <w:ind w:firstLine="420" w:firstLineChars="200"/>
              <w:jc w:val="left"/>
              <w:rPr>
                <w:color w:val="auto"/>
                <w:szCs w:val="21"/>
              </w:rPr>
            </w:pPr>
            <w:bookmarkStart w:id="13" w:name="_Hlk497086655"/>
            <w:bookmarkStart w:id="14" w:name="_Hlk1311974"/>
            <w:r>
              <w:rPr>
                <w:rFonts w:hint="eastAsia"/>
                <w:color w:val="auto"/>
                <w:szCs w:val="21"/>
              </w:rPr>
              <w:t>现有项目一般固体废物主要包括废铝渣、次品，其中废铝渣、次品</w:t>
            </w:r>
            <w:r>
              <w:rPr>
                <w:rFonts w:hint="eastAsia"/>
                <w:color w:val="auto"/>
                <w:szCs w:val="21"/>
                <w:lang w:val="en-US" w:eastAsia="zh-CN"/>
              </w:rPr>
              <w:t>外售综合利用</w:t>
            </w:r>
            <w:r>
              <w:rPr>
                <w:rFonts w:hint="eastAsia"/>
                <w:color w:val="auto"/>
                <w:szCs w:val="21"/>
              </w:rPr>
              <w:t>；危险废物包括废机油、废切削液、废活性炭、废胶水和胶水桶、废油墨和油墨桶、废机油空桶、含油滤芯等，其中</w:t>
            </w:r>
            <w:r>
              <w:rPr>
                <w:rFonts w:hint="eastAsia"/>
                <w:color w:val="auto"/>
                <w:szCs w:val="21"/>
                <w:lang w:val="en-US" w:eastAsia="zh-CN"/>
              </w:rPr>
              <w:t>全部</w:t>
            </w:r>
            <w:r>
              <w:rPr>
                <w:rFonts w:hint="eastAsia"/>
                <w:color w:val="auto"/>
                <w:szCs w:val="21"/>
              </w:rPr>
              <w:t>暂存于危废</w:t>
            </w:r>
            <w:r>
              <w:rPr>
                <w:rFonts w:hint="eastAsia"/>
                <w:color w:val="auto"/>
                <w:szCs w:val="21"/>
                <w:lang w:val="en-US" w:eastAsia="zh-CN"/>
              </w:rPr>
              <w:t>仓</w:t>
            </w:r>
            <w:r>
              <w:rPr>
                <w:rFonts w:hint="eastAsia"/>
                <w:color w:val="auto"/>
                <w:szCs w:val="21"/>
              </w:rPr>
              <w:t>库，后</w:t>
            </w:r>
            <w:r>
              <w:rPr>
                <w:rFonts w:hint="eastAsia" w:ascii="Times New Roman" w:hAnsi="Times New Roman" w:eastAsia="宋体" w:cs="Times New Roman"/>
                <w:color w:val="auto"/>
                <w:szCs w:val="21"/>
              </w:rPr>
              <w:t>委托有资质单位处置；</w:t>
            </w:r>
            <w:r>
              <w:rPr>
                <w:rFonts w:hint="eastAsia" w:ascii="Times New Roman" w:hAnsi="Times New Roman" w:eastAsia="宋体" w:cs="Times New Roman"/>
                <w:color w:val="auto"/>
                <w:szCs w:val="21"/>
                <w:lang w:val="en-US" w:eastAsia="zh-CN"/>
              </w:rPr>
              <w:t>废餐厅隔油</w:t>
            </w:r>
            <w:r>
              <w:rPr>
                <w:rFonts w:hint="eastAsia" w:ascii="Times New Roman" w:hAnsi="Times New Roman" w:eastAsia="宋体" w:cs="Times New Roman"/>
                <w:color w:val="auto"/>
                <w:szCs w:val="21"/>
              </w:rPr>
              <w:t>委托专业单位收集，生活垃圾</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食堂垃圾</w:t>
            </w:r>
            <w:r>
              <w:rPr>
                <w:rFonts w:hint="eastAsia" w:ascii="Times New Roman" w:hAnsi="Times New Roman" w:eastAsia="宋体" w:cs="Times New Roman"/>
                <w:color w:val="auto"/>
                <w:szCs w:val="21"/>
              </w:rPr>
              <w:t>委托环卫清运。现有项目固体废物产生及去向情况见表2-</w:t>
            </w:r>
            <w:r>
              <w:rPr>
                <w:rFonts w:hint="eastAsia" w:eastAsia="宋体"/>
                <w:color w:val="auto"/>
                <w:szCs w:val="21"/>
                <w:lang w:val="en-US" w:eastAsia="zh-CN"/>
              </w:rPr>
              <w:t>22</w:t>
            </w:r>
            <w:r>
              <w:rPr>
                <w:color w:val="auto"/>
                <w:szCs w:val="21"/>
              </w:rPr>
              <w:t>。</w:t>
            </w:r>
            <w:bookmarkEnd w:id="13"/>
          </w:p>
          <w:p w14:paraId="5B355B52">
            <w:pPr>
              <w:pStyle w:val="10"/>
              <w:spacing w:line="400" w:lineRule="exact"/>
              <w:ind w:firstLine="0" w:firstLineChars="0"/>
              <w:jc w:val="center"/>
              <w:outlineLvl w:val="0"/>
              <w:rPr>
                <w:rFonts w:ascii="Times New Roman" w:hAnsi="Times New Roman"/>
                <w:b/>
                <w:color w:val="auto"/>
                <w:szCs w:val="21"/>
              </w:rPr>
            </w:pPr>
            <w:r>
              <w:rPr>
                <w:rFonts w:ascii="Times New Roman" w:hAnsi="Times New Roman"/>
                <w:b/>
                <w:color w:val="auto"/>
                <w:szCs w:val="21"/>
              </w:rPr>
              <w:t>表2-</w:t>
            </w:r>
            <w:r>
              <w:rPr>
                <w:rFonts w:hint="eastAsia" w:ascii="Times New Roman" w:hAnsi="Times New Roman"/>
                <w:b/>
                <w:color w:val="auto"/>
                <w:szCs w:val="21"/>
                <w:lang w:val="en-US" w:eastAsia="zh-CN"/>
              </w:rPr>
              <w:t>22</w:t>
            </w:r>
            <w:r>
              <w:rPr>
                <w:rFonts w:ascii="Times New Roman" w:hAnsi="Times New Roman"/>
                <w:b/>
                <w:color w:val="auto"/>
                <w:szCs w:val="21"/>
              </w:rPr>
              <w:t xml:space="preserve">  </w:t>
            </w:r>
            <w:r>
              <w:rPr>
                <w:rFonts w:hint="eastAsia" w:ascii="Times New Roman" w:hAnsi="Times New Roman"/>
                <w:b/>
                <w:color w:val="auto"/>
                <w:szCs w:val="21"/>
              </w:rPr>
              <w:t>现有项目</w:t>
            </w:r>
            <w:r>
              <w:rPr>
                <w:rFonts w:ascii="Times New Roman" w:hAnsi="Times New Roman"/>
                <w:b/>
                <w:color w:val="auto"/>
                <w:szCs w:val="21"/>
              </w:rPr>
              <w:t>固体废物源强及去向一览表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434"/>
              <w:gridCol w:w="655"/>
              <w:gridCol w:w="951"/>
              <w:gridCol w:w="939"/>
              <w:gridCol w:w="545"/>
              <w:gridCol w:w="712"/>
              <w:gridCol w:w="1211"/>
              <w:gridCol w:w="775"/>
              <w:gridCol w:w="2024"/>
            </w:tblGrid>
            <w:tr w14:paraId="7FED06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39" w:type="dxa"/>
                  <w:tcBorders>
                    <w:top w:val="single" w:color="auto" w:sz="12" w:space="0"/>
                    <w:left w:val="nil"/>
                    <w:bottom w:val="single" w:color="auto" w:sz="12" w:space="0"/>
                  </w:tcBorders>
                  <w:vAlign w:val="center"/>
                </w:tcPr>
                <w:p w14:paraId="28FD47D6">
                  <w:pPr>
                    <w:pStyle w:val="51"/>
                    <w:ind w:left="-8" w:leftChars="-4" w:firstLine="27" w:firstLineChars="15"/>
                    <w:rPr>
                      <w:b/>
                      <w:bCs/>
                      <w:color w:val="auto"/>
                      <w:sz w:val="18"/>
                      <w:szCs w:val="18"/>
                    </w:rPr>
                  </w:pPr>
                  <w:r>
                    <w:rPr>
                      <w:b/>
                      <w:bCs/>
                      <w:color w:val="auto"/>
                      <w:sz w:val="18"/>
                      <w:szCs w:val="18"/>
                    </w:rPr>
                    <w:t>序号</w:t>
                  </w:r>
                </w:p>
              </w:tc>
              <w:tc>
                <w:tcPr>
                  <w:tcW w:w="665" w:type="dxa"/>
                  <w:tcBorders>
                    <w:top w:val="single" w:color="auto" w:sz="12" w:space="0"/>
                    <w:bottom w:val="single" w:color="auto" w:sz="12" w:space="0"/>
                  </w:tcBorders>
                  <w:vAlign w:val="center"/>
                </w:tcPr>
                <w:p w14:paraId="17B99790">
                  <w:pPr>
                    <w:pStyle w:val="51"/>
                    <w:ind w:left="-8" w:leftChars="-4" w:firstLine="27" w:firstLineChars="15"/>
                    <w:rPr>
                      <w:b/>
                      <w:bCs/>
                      <w:color w:val="auto"/>
                      <w:sz w:val="18"/>
                      <w:szCs w:val="18"/>
                    </w:rPr>
                  </w:pPr>
                  <w:r>
                    <w:rPr>
                      <w:rFonts w:hint="eastAsia"/>
                      <w:b/>
                      <w:bCs/>
                      <w:color w:val="auto"/>
                      <w:sz w:val="18"/>
                      <w:szCs w:val="18"/>
                    </w:rPr>
                    <w:t>固废属性</w:t>
                  </w:r>
                </w:p>
              </w:tc>
              <w:tc>
                <w:tcPr>
                  <w:tcW w:w="969" w:type="dxa"/>
                  <w:tcBorders>
                    <w:top w:val="single" w:color="auto" w:sz="12" w:space="0"/>
                    <w:bottom w:val="single" w:color="auto" w:sz="12" w:space="0"/>
                  </w:tcBorders>
                  <w:vAlign w:val="center"/>
                </w:tcPr>
                <w:p w14:paraId="45F83957">
                  <w:pPr>
                    <w:pStyle w:val="51"/>
                    <w:ind w:left="-8" w:leftChars="-4" w:firstLine="27" w:firstLineChars="15"/>
                    <w:rPr>
                      <w:b/>
                      <w:bCs/>
                      <w:color w:val="auto"/>
                      <w:sz w:val="18"/>
                      <w:szCs w:val="18"/>
                    </w:rPr>
                  </w:pPr>
                  <w:r>
                    <w:rPr>
                      <w:b/>
                      <w:bCs/>
                      <w:color w:val="auto"/>
                      <w:sz w:val="18"/>
                      <w:szCs w:val="18"/>
                    </w:rPr>
                    <w:t>固废名称</w:t>
                  </w:r>
                </w:p>
              </w:tc>
              <w:tc>
                <w:tcPr>
                  <w:tcW w:w="957" w:type="dxa"/>
                  <w:tcBorders>
                    <w:top w:val="single" w:color="auto" w:sz="12" w:space="0"/>
                    <w:bottom w:val="single" w:color="auto" w:sz="12" w:space="0"/>
                  </w:tcBorders>
                  <w:vAlign w:val="center"/>
                </w:tcPr>
                <w:p w14:paraId="5EBCAA20">
                  <w:pPr>
                    <w:pStyle w:val="51"/>
                    <w:ind w:left="-8" w:leftChars="-4" w:firstLine="27" w:firstLineChars="15"/>
                    <w:rPr>
                      <w:b/>
                      <w:bCs/>
                      <w:color w:val="auto"/>
                      <w:sz w:val="18"/>
                      <w:szCs w:val="18"/>
                    </w:rPr>
                  </w:pPr>
                  <w:r>
                    <w:rPr>
                      <w:b/>
                      <w:bCs/>
                      <w:color w:val="auto"/>
                      <w:sz w:val="18"/>
                      <w:szCs w:val="18"/>
                    </w:rPr>
                    <w:t>产生工序</w:t>
                  </w:r>
                </w:p>
              </w:tc>
              <w:tc>
                <w:tcPr>
                  <w:tcW w:w="552" w:type="dxa"/>
                  <w:tcBorders>
                    <w:top w:val="single" w:color="auto" w:sz="12" w:space="0"/>
                    <w:bottom w:val="single" w:color="auto" w:sz="12" w:space="0"/>
                  </w:tcBorders>
                  <w:vAlign w:val="center"/>
                </w:tcPr>
                <w:p w14:paraId="06D78092">
                  <w:pPr>
                    <w:pStyle w:val="51"/>
                    <w:ind w:left="-8" w:leftChars="-4" w:firstLine="27" w:firstLineChars="15"/>
                    <w:rPr>
                      <w:b/>
                      <w:bCs/>
                      <w:color w:val="auto"/>
                      <w:sz w:val="18"/>
                      <w:szCs w:val="18"/>
                    </w:rPr>
                  </w:pPr>
                  <w:r>
                    <w:rPr>
                      <w:b/>
                      <w:bCs/>
                      <w:color w:val="auto"/>
                      <w:sz w:val="18"/>
                      <w:szCs w:val="18"/>
                    </w:rPr>
                    <w:t>形态</w:t>
                  </w:r>
                </w:p>
              </w:tc>
              <w:tc>
                <w:tcPr>
                  <w:tcW w:w="716" w:type="dxa"/>
                  <w:tcBorders>
                    <w:top w:val="single" w:color="auto" w:sz="12" w:space="0"/>
                    <w:bottom w:val="single" w:color="auto" w:sz="12" w:space="0"/>
                  </w:tcBorders>
                  <w:vAlign w:val="center"/>
                </w:tcPr>
                <w:p w14:paraId="146C0695">
                  <w:pPr>
                    <w:pStyle w:val="51"/>
                    <w:ind w:left="-8" w:leftChars="-4" w:firstLine="27" w:firstLineChars="15"/>
                    <w:rPr>
                      <w:b/>
                      <w:bCs/>
                      <w:color w:val="auto"/>
                      <w:sz w:val="18"/>
                      <w:szCs w:val="18"/>
                    </w:rPr>
                  </w:pPr>
                  <w:r>
                    <w:rPr>
                      <w:b/>
                      <w:bCs/>
                      <w:color w:val="auto"/>
                      <w:sz w:val="18"/>
                      <w:szCs w:val="18"/>
                    </w:rPr>
                    <w:t>固废类别</w:t>
                  </w:r>
                </w:p>
              </w:tc>
              <w:tc>
                <w:tcPr>
                  <w:tcW w:w="1216" w:type="dxa"/>
                  <w:tcBorders>
                    <w:top w:val="single" w:color="auto" w:sz="12" w:space="0"/>
                    <w:bottom w:val="single" w:color="auto" w:sz="12" w:space="0"/>
                  </w:tcBorders>
                  <w:vAlign w:val="center"/>
                </w:tcPr>
                <w:p w14:paraId="0F4535AF">
                  <w:pPr>
                    <w:pStyle w:val="51"/>
                    <w:ind w:left="-8" w:leftChars="-4" w:firstLine="27" w:firstLineChars="15"/>
                    <w:rPr>
                      <w:b/>
                      <w:bCs/>
                      <w:color w:val="auto"/>
                      <w:sz w:val="18"/>
                      <w:szCs w:val="18"/>
                    </w:rPr>
                  </w:pPr>
                  <w:r>
                    <w:rPr>
                      <w:b/>
                      <w:bCs/>
                      <w:color w:val="auto"/>
                      <w:sz w:val="18"/>
                      <w:szCs w:val="18"/>
                    </w:rPr>
                    <w:t>固废代码</w:t>
                  </w:r>
                </w:p>
              </w:tc>
              <w:tc>
                <w:tcPr>
                  <w:tcW w:w="778" w:type="dxa"/>
                  <w:tcBorders>
                    <w:top w:val="single" w:color="auto" w:sz="12" w:space="0"/>
                    <w:bottom w:val="single" w:color="auto" w:sz="12" w:space="0"/>
                  </w:tcBorders>
                  <w:vAlign w:val="center"/>
                </w:tcPr>
                <w:p w14:paraId="6D292CD9">
                  <w:pPr>
                    <w:pStyle w:val="51"/>
                    <w:ind w:left="-8" w:leftChars="-4" w:firstLine="27" w:firstLineChars="15"/>
                    <w:rPr>
                      <w:b/>
                      <w:bCs/>
                      <w:color w:val="auto"/>
                      <w:sz w:val="18"/>
                      <w:szCs w:val="18"/>
                    </w:rPr>
                  </w:pPr>
                  <w:r>
                    <w:rPr>
                      <w:b/>
                      <w:bCs/>
                      <w:color w:val="auto"/>
                      <w:sz w:val="18"/>
                      <w:szCs w:val="18"/>
                    </w:rPr>
                    <w:t>产生量</w:t>
                  </w:r>
                </w:p>
                <w:p w14:paraId="5FAA7C76">
                  <w:pPr>
                    <w:pStyle w:val="51"/>
                    <w:ind w:left="-8" w:leftChars="-4" w:firstLine="27" w:firstLineChars="15"/>
                    <w:rPr>
                      <w:b/>
                      <w:bCs/>
                      <w:color w:val="auto"/>
                      <w:sz w:val="18"/>
                      <w:szCs w:val="18"/>
                    </w:rPr>
                  </w:pPr>
                  <w:r>
                    <w:rPr>
                      <w:rFonts w:hint="eastAsia"/>
                      <w:b/>
                      <w:bCs/>
                      <w:color w:val="auto"/>
                      <w:sz w:val="18"/>
                      <w:szCs w:val="18"/>
                    </w:rPr>
                    <w:t>（t/a）</w:t>
                  </w:r>
                </w:p>
              </w:tc>
              <w:tc>
                <w:tcPr>
                  <w:tcW w:w="2070" w:type="dxa"/>
                  <w:tcBorders>
                    <w:top w:val="single" w:color="auto" w:sz="12" w:space="0"/>
                    <w:bottom w:val="single" w:color="auto" w:sz="12" w:space="0"/>
                    <w:right w:val="nil"/>
                  </w:tcBorders>
                  <w:vAlign w:val="center"/>
                </w:tcPr>
                <w:p w14:paraId="2A75AFFB">
                  <w:pPr>
                    <w:pStyle w:val="51"/>
                    <w:ind w:left="-8" w:leftChars="-4" w:firstLine="27" w:firstLineChars="15"/>
                    <w:rPr>
                      <w:b/>
                      <w:bCs/>
                      <w:color w:val="auto"/>
                      <w:sz w:val="18"/>
                      <w:szCs w:val="18"/>
                    </w:rPr>
                  </w:pPr>
                  <w:r>
                    <w:rPr>
                      <w:b/>
                      <w:bCs/>
                      <w:color w:val="auto"/>
                      <w:sz w:val="18"/>
                      <w:szCs w:val="18"/>
                    </w:rPr>
                    <w:t>处置单位</w:t>
                  </w:r>
                </w:p>
              </w:tc>
            </w:tr>
            <w:tr w14:paraId="798010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39" w:type="dxa"/>
                  <w:tcBorders>
                    <w:top w:val="single" w:color="auto" w:sz="12" w:space="0"/>
                    <w:left w:val="nil"/>
                  </w:tcBorders>
                  <w:vAlign w:val="center"/>
                </w:tcPr>
                <w:p w14:paraId="43198030">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665" w:type="dxa"/>
                  <w:vMerge w:val="restart"/>
                  <w:vAlign w:val="center"/>
                </w:tcPr>
                <w:p w14:paraId="44579504">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一般工业固体废物</w:t>
                  </w:r>
                </w:p>
              </w:tc>
              <w:tc>
                <w:tcPr>
                  <w:tcW w:w="969" w:type="dxa"/>
                  <w:vAlign w:val="center"/>
                </w:tcPr>
                <w:p w14:paraId="6EFCA3A6">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废铝渣</w:t>
                  </w:r>
                </w:p>
              </w:tc>
              <w:tc>
                <w:tcPr>
                  <w:tcW w:w="957" w:type="dxa"/>
                  <w:vAlign w:val="center"/>
                </w:tcPr>
                <w:p w14:paraId="6D1F1867">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机加工</w:t>
                  </w:r>
                </w:p>
              </w:tc>
              <w:tc>
                <w:tcPr>
                  <w:tcW w:w="552" w:type="dxa"/>
                  <w:vAlign w:val="center"/>
                </w:tcPr>
                <w:p w14:paraId="5CF8266C">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固态</w:t>
                  </w:r>
                </w:p>
              </w:tc>
              <w:tc>
                <w:tcPr>
                  <w:tcW w:w="716" w:type="dxa"/>
                  <w:vAlign w:val="center"/>
                </w:tcPr>
                <w:p w14:paraId="36E6D294">
                  <w:pPr>
                    <w:pStyle w:val="51"/>
                    <w:ind w:left="-8" w:leftChars="-4" w:firstLine="27" w:firstLineChars="15"/>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SW17</w:t>
                  </w:r>
                </w:p>
              </w:tc>
              <w:tc>
                <w:tcPr>
                  <w:tcW w:w="1216" w:type="dxa"/>
                  <w:vAlign w:val="center"/>
                </w:tcPr>
                <w:p w14:paraId="50294D55">
                  <w:pPr>
                    <w:pStyle w:val="51"/>
                    <w:ind w:left="-8" w:leftChars="-4" w:firstLine="27" w:firstLineChars="15"/>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900-001-S17</w:t>
                  </w:r>
                </w:p>
              </w:tc>
              <w:tc>
                <w:tcPr>
                  <w:tcW w:w="778" w:type="dxa"/>
                  <w:vAlign w:val="center"/>
                </w:tcPr>
                <w:p w14:paraId="5B88A05A">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0.9</w:t>
                  </w:r>
                </w:p>
              </w:tc>
              <w:tc>
                <w:tcPr>
                  <w:tcW w:w="2070" w:type="dxa"/>
                  <w:vMerge w:val="restart"/>
                  <w:tcBorders>
                    <w:top w:val="single" w:color="auto" w:sz="12" w:space="0"/>
                    <w:right w:val="nil"/>
                  </w:tcBorders>
                  <w:vAlign w:val="center"/>
                </w:tcPr>
                <w:p w14:paraId="237C7ACF">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外售综合利用</w:t>
                  </w:r>
                </w:p>
              </w:tc>
            </w:tr>
            <w:tr w14:paraId="18266C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39" w:type="dxa"/>
                  <w:tcBorders>
                    <w:left w:val="nil"/>
                  </w:tcBorders>
                  <w:vAlign w:val="center"/>
                </w:tcPr>
                <w:p w14:paraId="75478823">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p>
              </w:tc>
              <w:tc>
                <w:tcPr>
                  <w:tcW w:w="665" w:type="dxa"/>
                  <w:vMerge w:val="continue"/>
                  <w:vAlign w:val="center"/>
                </w:tcPr>
                <w:p w14:paraId="543EABB6">
                  <w:pPr>
                    <w:pStyle w:val="51"/>
                    <w:ind w:left="-8" w:leftChars="-4" w:firstLine="27" w:firstLineChars="15"/>
                    <w:rPr>
                      <w:rFonts w:hint="eastAsia" w:ascii="Times New Roman" w:hAnsi="Times New Roman" w:eastAsia="宋体" w:cs="Times New Roman"/>
                      <w:color w:val="auto"/>
                      <w:sz w:val="18"/>
                      <w:szCs w:val="18"/>
                      <w:lang w:val="en-US" w:eastAsia="zh-CN"/>
                    </w:rPr>
                  </w:pPr>
                </w:p>
              </w:tc>
              <w:tc>
                <w:tcPr>
                  <w:tcW w:w="969" w:type="dxa"/>
                  <w:vAlign w:val="center"/>
                </w:tcPr>
                <w:p w14:paraId="034E4ED8">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次品</w:t>
                  </w:r>
                </w:p>
              </w:tc>
              <w:tc>
                <w:tcPr>
                  <w:tcW w:w="957" w:type="dxa"/>
                  <w:vAlign w:val="center"/>
                </w:tcPr>
                <w:p w14:paraId="6E337342">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检验</w:t>
                  </w:r>
                </w:p>
              </w:tc>
              <w:tc>
                <w:tcPr>
                  <w:tcW w:w="552" w:type="dxa"/>
                  <w:vAlign w:val="center"/>
                </w:tcPr>
                <w:p w14:paraId="46D98D0F">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固态</w:t>
                  </w:r>
                </w:p>
              </w:tc>
              <w:tc>
                <w:tcPr>
                  <w:tcW w:w="716" w:type="dxa"/>
                  <w:vAlign w:val="center"/>
                </w:tcPr>
                <w:p w14:paraId="23056060">
                  <w:pPr>
                    <w:pStyle w:val="51"/>
                    <w:ind w:left="-8" w:leftChars="-4" w:firstLine="27" w:firstLineChars="15"/>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SW59</w:t>
                  </w:r>
                </w:p>
              </w:tc>
              <w:tc>
                <w:tcPr>
                  <w:tcW w:w="1216" w:type="dxa"/>
                  <w:vAlign w:val="center"/>
                </w:tcPr>
                <w:p w14:paraId="204F1A3E">
                  <w:pPr>
                    <w:pStyle w:val="51"/>
                    <w:ind w:left="-8" w:leftChars="-4" w:firstLine="27" w:firstLineChars="15"/>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900-099-S59</w:t>
                  </w:r>
                </w:p>
              </w:tc>
              <w:tc>
                <w:tcPr>
                  <w:tcW w:w="778" w:type="dxa"/>
                  <w:vAlign w:val="center"/>
                </w:tcPr>
                <w:p w14:paraId="15AE8E6C">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50</w:t>
                  </w:r>
                </w:p>
              </w:tc>
              <w:tc>
                <w:tcPr>
                  <w:tcW w:w="2070" w:type="dxa"/>
                  <w:vMerge w:val="continue"/>
                  <w:tcBorders>
                    <w:right w:val="nil"/>
                  </w:tcBorders>
                  <w:vAlign w:val="center"/>
                </w:tcPr>
                <w:p w14:paraId="649A8D2A">
                  <w:pPr>
                    <w:pStyle w:val="51"/>
                    <w:ind w:left="-8" w:leftChars="-4" w:firstLine="27" w:firstLineChars="15"/>
                    <w:rPr>
                      <w:rFonts w:hint="eastAsia" w:ascii="Times New Roman" w:hAnsi="Times New Roman" w:eastAsia="宋体" w:cs="Times New Roman"/>
                      <w:color w:val="auto"/>
                      <w:sz w:val="18"/>
                      <w:szCs w:val="18"/>
                      <w:lang w:val="en-US" w:eastAsia="zh-CN"/>
                    </w:rPr>
                  </w:pPr>
                </w:p>
              </w:tc>
            </w:tr>
            <w:tr w14:paraId="2141BB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39" w:type="dxa"/>
                  <w:tcBorders>
                    <w:left w:val="nil"/>
                  </w:tcBorders>
                  <w:vAlign w:val="center"/>
                </w:tcPr>
                <w:p w14:paraId="59D866E2">
                  <w:pPr>
                    <w:pStyle w:val="51"/>
                    <w:ind w:left="-8" w:leftChars="-4" w:firstLine="27" w:firstLineChars="15"/>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w:t>
                  </w:r>
                </w:p>
              </w:tc>
              <w:tc>
                <w:tcPr>
                  <w:tcW w:w="665" w:type="dxa"/>
                  <w:vMerge w:val="restart"/>
                  <w:vAlign w:val="center"/>
                </w:tcPr>
                <w:p w14:paraId="5DEFC710">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危险废物</w:t>
                  </w:r>
                </w:p>
              </w:tc>
              <w:tc>
                <w:tcPr>
                  <w:tcW w:w="969" w:type="dxa"/>
                  <w:shd w:val="clear" w:color="auto" w:fill="auto"/>
                  <w:vAlign w:val="center"/>
                </w:tcPr>
                <w:p w14:paraId="52B49E48">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废机油</w:t>
                  </w:r>
                </w:p>
              </w:tc>
              <w:tc>
                <w:tcPr>
                  <w:tcW w:w="957" w:type="dxa"/>
                  <w:shd w:val="clear" w:color="auto" w:fill="auto"/>
                  <w:vAlign w:val="center"/>
                </w:tcPr>
                <w:p w14:paraId="76291874">
                  <w:pPr>
                    <w:pStyle w:val="51"/>
                    <w:ind w:left="-8" w:leftChars="-4" w:firstLine="27" w:firstLineChars="15"/>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设备保养</w:t>
                  </w:r>
                </w:p>
              </w:tc>
              <w:tc>
                <w:tcPr>
                  <w:tcW w:w="552" w:type="dxa"/>
                  <w:shd w:val="clear" w:color="auto" w:fill="auto"/>
                  <w:vAlign w:val="center"/>
                </w:tcPr>
                <w:p w14:paraId="219C145A">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液态</w:t>
                  </w:r>
                </w:p>
              </w:tc>
              <w:tc>
                <w:tcPr>
                  <w:tcW w:w="716" w:type="dxa"/>
                  <w:shd w:val="clear" w:color="auto" w:fill="auto"/>
                  <w:vAlign w:val="center"/>
                </w:tcPr>
                <w:p w14:paraId="7BC57E0F">
                  <w:pPr>
                    <w:pStyle w:val="51"/>
                    <w:ind w:left="-8" w:leftChars="-4" w:firstLine="27" w:firstLineChars="15"/>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HW08</w:t>
                  </w:r>
                </w:p>
              </w:tc>
              <w:tc>
                <w:tcPr>
                  <w:tcW w:w="1216" w:type="dxa"/>
                  <w:shd w:val="clear" w:color="auto" w:fill="auto"/>
                  <w:vAlign w:val="center"/>
                </w:tcPr>
                <w:p w14:paraId="6281FC95">
                  <w:pPr>
                    <w:pStyle w:val="51"/>
                    <w:ind w:left="-8" w:leftChars="-4" w:firstLine="27" w:firstLineChars="15"/>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900-218-08</w:t>
                  </w:r>
                </w:p>
              </w:tc>
              <w:tc>
                <w:tcPr>
                  <w:tcW w:w="778" w:type="dxa"/>
                  <w:shd w:val="clear" w:color="auto" w:fill="auto"/>
                  <w:vAlign w:val="center"/>
                </w:tcPr>
                <w:p w14:paraId="2FC3D924">
                  <w:pPr>
                    <w:pStyle w:val="51"/>
                    <w:ind w:left="-8" w:leftChars="-4" w:firstLine="27" w:firstLineChars="15"/>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w:t>
                  </w:r>
                </w:p>
              </w:tc>
              <w:tc>
                <w:tcPr>
                  <w:tcW w:w="2070" w:type="dxa"/>
                  <w:vMerge w:val="restart"/>
                  <w:tcBorders>
                    <w:right w:val="nil"/>
                  </w:tcBorders>
                  <w:vAlign w:val="center"/>
                </w:tcPr>
                <w:p w14:paraId="076DFAF8">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委托南通九洲环保科技有限公司处置</w:t>
                  </w:r>
                </w:p>
              </w:tc>
            </w:tr>
            <w:tr w14:paraId="56DF1B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39" w:type="dxa"/>
                  <w:tcBorders>
                    <w:left w:val="nil"/>
                  </w:tcBorders>
                  <w:vAlign w:val="center"/>
                </w:tcPr>
                <w:p w14:paraId="71B3F1CB">
                  <w:pPr>
                    <w:pStyle w:val="51"/>
                    <w:ind w:left="-8" w:leftChars="-4" w:firstLine="27" w:firstLineChars="15"/>
                    <w:rPr>
                      <w:rFonts w:hint="eastAsia" w:eastAsia="宋体"/>
                      <w:color w:val="auto"/>
                      <w:sz w:val="18"/>
                      <w:szCs w:val="18"/>
                      <w:lang w:val="en-US" w:eastAsia="zh-CN"/>
                    </w:rPr>
                  </w:pPr>
                  <w:r>
                    <w:rPr>
                      <w:rFonts w:hint="eastAsia"/>
                      <w:color w:val="auto"/>
                      <w:sz w:val="18"/>
                      <w:szCs w:val="18"/>
                      <w:lang w:val="en-US" w:eastAsia="zh-CN"/>
                    </w:rPr>
                    <w:t>4</w:t>
                  </w:r>
                </w:p>
              </w:tc>
              <w:tc>
                <w:tcPr>
                  <w:tcW w:w="665" w:type="dxa"/>
                  <w:vMerge w:val="continue"/>
                  <w:vAlign w:val="center"/>
                </w:tcPr>
                <w:p w14:paraId="1F4FE3AC">
                  <w:pPr>
                    <w:pStyle w:val="51"/>
                    <w:ind w:left="-8" w:leftChars="-4" w:firstLine="27" w:firstLineChars="15"/>
                    <w:rPr>
                      <w:color w:val="auto"/>
                      <w:sz w:val="18"/>
                      <w:szCs w:val="18"/>
                    </w:rPr>
                  </w:pPr>
                </w:p>
              </w:tc>
              <w:tc>
                <w:tcPr>
                  <w:tcW w:w="969" w:type="dxa"/>
                  <w:shd w:val="clear" w:color="auto" w:fill="auto"/>
                  <w:vAlign w:val="center"/>
                </w:tcPr>
                <w:p w14:paraId="56DDF8C0">
                  <w:pPr>
                    <w:pStyle w:val="51"/>
                    <w:ind w:left="-8" w:leftChars="-4" w:firstLine="27" w:firstLineChars="15"/>
                    <w:rPr>
                      <w:rFonts w:hint="eastAsia" w:ascii="Times New Roman" w:hAnsi="Times New Roman" w:eastAsia="宋体" w:cs="Times New Roman"/>
                      <w:color w:val="auto"/>
                      <w:kern w:val="0"/>
                      <w:sz w:val="18"/>
                      <w:szCs w:val="18"/>
                      <w:lang w:val="en-US" w:eastAsia="zh-CN" w:bidi="ar-SA"/>
                    </w:rPr>
                  </w:pPr>
                  <w:r>
                    <w:rPr>
                      <w:rFonts w:hint="eastAsia"/>
                      <w:color w:val="auto"/>
                      <w:sz w:val="18"/>
                      <w:szCs w:val="18"/>
                      <w:lang w:val="en-US" w:eastAsia="zh-CN"/>
                    </w:rPr>
                    <w:t>废切削液</w:t>
                  </w:r>
                </w:p>
              </w:tc>
              <w:tc>
                <w:tcPr>
                  <w:tcW w:w="957" w:type="dxa"/>
                  <w:shd w:val="clear" w:color="auto" w:fill="auto"/>
                  <w:vAlign w:val="center"/>
                </w:tcPr>
                <w:p w14:paraId="1C9CD197">
                  <w:pPr>
                    <w:pStyle w:val="51"/>
                    <w:ind w:left="-8" w:leftChars="-4" w:firstLine="27" w:firstLineChars="15"/>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机加工</w:t>
                  </w:r>
                </w:p>
              </w:tc>
              <w:tc>
                <w:tcPr>
                  <w:tcW w:w="552" w:type="dxa"/>
                  <w:shd w:val="clear" w:color="auto" w:fill="auto"/>
                  <w:vAlign w:val="center"/>
                </w:tcPr>
                <w:p w14:paraId="472160A7">
                  <w:pPr>
                    <w:pStyle w:val="51"/>
                    <w:ind w:left="-8" w:leftChars="-4" w:firstLine="27" w:firstLineChars="15"/>
                    <w:rPr>
                      <w:rFonts w:ascii="Times New Roman" w:hAnsi="Times New Roman" w:eastAsia="宋体" w:cs="Times New Roman"/>
                      <w:color w:val="auto"/>
                      <w:kern w:val="0"/>
                      <w:sz w:val="18"/>
                      <w:szCs w:val="18"/>
                      <w:lang w:val="en-US" w:eastAsia="zh-CN" w:bidi="ar-SA"/>
                    </w:rPr>
                  </w:pPr>
                  <w:r>
                    <w:rPr>
                      <w:rFonts w:hint="eastAsia"/>
                      <w:color w:val="auto"/>
                      <w:sz w:val="18"/>
                      <w:szCs w:val="18"/>
                    </w:rPr>
                    <w:t>液态</w:t>
                  </w:r>
                </w:p>
              </w:tc>
              <w:tc>
                <w:tcPr>
                  <w:tcW w:w="716" w:type="dxa"/>
                  <w:shd w:val="clear" w:color="auto" w:fill="auto"/>
                  <w:vAlign w:val="center"/>
                </w:tcPr>
                <w:p w14:paraId="6685B57E">
                  <w:pPr>
                    <w:pStyle w:val="51"/>
                    <w:ind w:left="-8" w:leftChars="-4" w:firstLine="27" w:firstLineChars="15"/>
                    <w:jc w:val="center"/>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HW09</w:t>
                  </w:r>
                </w:p>
              </w:tc>
              <w:tc>
                <w:tcPr>
                  <w:tcW w:w="1216" w:type="dxa"/>
                  <w:shd w:val="clear" w:color="auto" w:fill="auto"/>
                  <w:vAlign w:val="center"/>
                </w:tcPr>
                <w:p w14:paraId="32907FE9">
                  <w:pPr>
                    <w:pStyle w:val="51"/>
                    <w:ind w:left="-8" w:leftChars="-4" w:firstLine="27" w:firstLineChars="15"/>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900-006-09</w:t>
                  </w:r>
                </w:p>
              </w:tc>
              <w:tc>
                <w:tcPr>
                  <w:tcW w:w="778" w:type="dxa"/>
                  <w:shd w:val="clear" w:color="auto" w:fill="auto"/>
                  <w:vAlign w:val="center"/>
                </w:tcPr>
                <w:p w14:paraId="6C87DF04">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p>
              </w:tc>
              <w:tc>
                <w:tcPr>
                  <w:tcW w:w="2070" w:type="dxa"/>
                  <w:vMerge w:val="continue"/>
                  <w:tcBorders>
                    <w:right w:val="nil"/>
                  </w:tcBorders>
                  <w:vAlign w:val="center"/>
                </w:tcPr>
                <w:p w14:paraId="33838055">
                  <w:pPr>
                    <w:pStyle w:val="51"/>
                    <w:ind w:left="-8" w:leftChars="-4" w:firstLine="27" w:firstLineChars="15"/>
                    <w:rPr>
                      <w:color w:val="auto"/>
                      <w:sz w:val="18"/>
                      <w:szCs w:val="18"/>
                    </w:rPr>
                  </w:pPr>
                </w:p>
              </w:tc>
            </w:tr>
            <w:tr w14:paraId="169021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39" w:type="dxa"/>
                  <w:tcBorders>
                    <w:left w:val="nil"/>
                  </w:tcBorders>
                  <w:vAlign w:val="center"/>
                </w:tcPr>
                <w:p w14:paraId="21F05500">
                  <w:pPr>
                    <w:pStyle w:val="51"/>
                    <w:ind w:left="-8" w:leftChars="-4" w:firstLine="27" w:firstLineChars="15"/>
                    <w:rPr>
                      <w:rFonts w:hint="eastAsia" w:eastAsia="宋体"/>
                      <w:color w:val="auto"/>
                      <w:sz w:val="18"/>
                      <w:szCs w:val="18"/>
                      <w:lang w:val="en-US" w:eastAsia="zh-CN"/>
                    </w:rPr>
                  </w:pPr>
                  <w:r>
                    <w:rPr>
                      <w:rFonts w:hint="eastAsia"/>
                      <w:color w:val="auto"/>
                      <w:sz w:val="18"/>
                      <w:szCs w:val="18"/>
                      <w:lang w:val="en-US" w:eastAsia="zh-CN"/>
                    </w:rPr>
                    <w:t>5</w:t>
                  </w:r>
                </w:p>
              </w:tc>
              <w:tc>
                <w:tcPr>
                  <w:tcW w:w="665" w:type="dxa"/>
                  <w:vMerge w:val="continue"/>
                  <w:vAlign w:val="center"/>
                </w:tcPr>
                <w:p w14:paraId="1BF99AD9">
                  <w:pPr>
                    <w:pStyle w:val="51"/>
                    <w:ind w:left="-8" w:leftChars="-4" w:firstLine="27" w:firstLineChars="15"/>
                    <w:rPr>
                      <w:color w:val="auto"/>
                      <w:sz w:val="18"/>
                      <w:szCs w:val="18"/>
                    </w:rPr>
                  </w:pPr>
                </w:p>
              </w:tc>
              <w:tc>
                <w:tcPr>
                  <w:tcW w:w="969" w:type="dxa"/>
                  <w:shd w:val="clear" w:color="auto" w:fill="auto"/>
                  <w:vAlign w:val="center"/>
                </w:tcPr>
                <w:p w14:paraId="51B63300">
                  <w:pPr>
                    <w:pStyle w:val="51"/>
                    <w:ind w:left="-8" w:leftChars="-4" w:firstLine="27" w:firstLineChars="15"/>
                    <w:rPr>
                      <w:rFonts w:hint="default" w:ascii="Times New Roman" w:hAnsi="Times New Roman" w:eastAsia="宋体" w:cs="Times New Roman"/>
                      <w:color w:val="auto"/>
                      <w:kern w:val="0"/>
                      <w:sz w:val="18"/>
                      <w:szCs w:val="18"/>
                      <w:lang w:val="en-US" w:eastAsia="zh-CN" w:bidi="ar-SA"/>
                    </w:rPr>
                  </w:pPr>
                  <w:r>
                    <w:rPr>
                      <w:rFonts w:hint="eastAsia"/>
                      <w:color w:val="auto"/>
                      <w:sz w:val="18"/>
                      <w:szCs w:val="18"/>
                      <w:lang w:val="en-US" w:eastAsia="zh-CN"/>
                    </w:rPr>
                    <w:t>废活性炭</w:t>
                  </w:r>
                </w:p>
              </w:tc>
              <w:tc>
                <w:tcPr>
                  <w:tcW w:w="957" w:type="dxa"/>
                  <w:shd w:val="clear" w:color="auto" w:fill="auto"/>
                  <w:vAlign w:val="center"/>
                </w:tcPr>
                <w:p w14:paraId="55CF5B5E">
                  <w:pPr>
                    <w:pStyle w:val="51"/>
                    <w:ind w:left="-8" w:leftChars="-4" w:firstLine="27" w:firstLineChars="15"/>
                    <w:rPr>
                      <w:rFonts w:hint="default"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废气处理</w:t>
                  </w:r>
                </w:p>
              </w:tc>
              <w:tc>
                <w:tcPr>
                  <w:tcW w:w="552" w:type="dxa"/>
                  <w:shd w:val="clear" w:color="auto" w:fill="auto"/>
                  <w:vAlign w:val="center"/>
                </w:tcPr>
                <w:p w14:paraId="0EF11339">
                  <w:pPr>
                    <w:pStyle w:val="51"/>
                    <w:ind w:left="-8" w:leftChars="-4" w:firstLine="27" w:firstLineChars="15"/>
                    <w:rPr>
                      <w:rFonts w:ascii="Times New Roman" w:hAnsi="Times New Roman" w:eastAsia="宋体" w:cs="Times New Roman"/>
                      <w:color w:val="auto"/>
                      <w:kern w:val="0"/>
                      <w:sz w:val="18"/>
                      <w:szCs w:val="18"/>
                      <w:lang w:val="en-US" w:eastAsia="zh-CN" w:bidi="ar-SA"/>
                    </w:rPr>
                  </w:pPr>
                  <w:r>
                    <w:rPr>
                      <w:rFonts w:hint="eastAsia"/>
                      <w:color w:val="auto"/>
                      <w:sz w:val="18"/>
                      <w:szCs w:val="18"/>
                      <w:lang w:val="en-US" w:eastAsia="zh-CN"/>
                    </w:rPr>
                    <w:t>固</w:t>
                  </w:r>
                  <w:r>
                    <w:rPr>
                      <w:rFonts w:hint="eastAsia"/>
                      <w:color w:val="auto"/>
                      <w:sz w:val="18"/>
                      <w:szCs w:val="18"/>
                    </w:rPr>
                    <w:t>态</w:t>
                  </w:r>
                </w:p>
              </w:tc>
              <w:tc>
                <w:tcPr>
                  <w:tcW w:w="716" w:type="dxa"/>
                  <w:shd w:val="clear" w:color="auto" w:fill="auto"/>
                  <w:vAlign w:val="center"/>
                </w:tcPr>
                <w:p w14:paraId="517B1EAA">
                  <w:pPr>
                    <w:pStyle w:val="51"/>
                    <w:ind w:left="-8" w:leftChars="-4" w:firstLine="27" w:firstLineChars="15"/>
                    <w:jc w:val="center"/>
                    <w:rPr>
                      <w:rFonts w:hint="default" w:ascii="TimesNewRomanPSMT" w:hAnsi="TimesNewRomanPSMT" w:eastAsia="宋体" w:cs="Times New Roman"/>
                      <w:color w:val="auto"/>
                      <w:kern w:val="0"/>
                      <w:sz w:val="18"/>
                      <w:szCs w:val="18"/>
                      <w:lang w:val="en-US" w:eastAsia="zh-CN" w:bidi="ar-SA"/>
                    </w:rPr>
                  </w:pPr>
                  <w:r>
                    <w:rPr>
                      <w:rFonts w:hint="eastAsia" w:ascii="TimesNewRomanPSMT" w:hAnsi="TimesNewRomanPSMT" w:cs="Times New Roman"/>
                      <w:color w:val="auto"/>
                      <w:kern w:val="0"/>
                      <w:sz w:val="18"/>
                      <w:szCs w:val="18"/>
                      <w:lang w:val="en-US" w:eastAsia="zh-CN" w:bidi="ar-SA"/>
                    </w:rPr>
                    <w:t>HW49</w:t>
                  </w:r>
                </w:p>
              </w:tc>
              <w:tc>
                <w:tcPr>
                  <w:tcW w:w="1216" w:type="dxa"/>
                  <w:shd w:val="clear" w:color="auto" w:fill="auto"/>
                  <w:vAlign w:val="center"/>
                </w:tcPr>
                <w:p w14:paraId="7B5438FE">
                  <w:pPr>
                    <w:pStyle w:val="51"/>
                    <w:ind w:left="-8" w:leftChars="-4" w:firstLine="27" w:firstLineChars="15"/>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900-039-49</w:t>
                  </w:r>
                </w:p>
              </w:tc>
              <w:tc>
                <w:tcPr>
                  <w:tcW w:w="778" w:type="dxa"/>
                  <w:shd w:val="clear" w:color="auto" w:fill="auto"/>
                  <w:vAlign w:val="center"/>
                </w:tcPr>
                <w:p w14:paraId="691B7549">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5</w:t>
                  </w:r>
                </w:p>
              </w:tc>
              <w:tc>
                <w:tcPr>
                  <w:tcW w:w="2070" w:type="dxa"/>
                  <w:vMerge w:val="continue"/>
                  <w:tcBorders>
                    <w:right w:val="nil"/>
                  </w:tcBorders>
                  <w:vAlign w:val="center"/>
                </w:tcPr>
                <w:p w14:paraId="5D6F6C07">
                  <w:pPr>
                    <w:pStyle w:val="51"/>
                    <w:ind w:left="-8" w:leftChars="-4" w:firstLine="27" w:firstLineChars="15"/>
                    <w:rPr>
                      <w:color w:val="auto"/>
                      <w:sz w:val="18"/>
                      <w:szCs w:val="18"/>
                    </w:rPr>
                  </w:pPr>
                </w:p>
              </w:tc>
            </w:tr>
            <w:tr w14:paraId="12C1B4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39" w:type="dxa"/>
                  <w:tcBorders>
                    <w:left w:val="nil"/>
                  </w:tcBorders>
                  <w:vAlign w:val="center"/>
                </w:tcPr>
                <w:p w14:paraId="7ED907A9">
                  <w:pPr>
                    <w:pStyle w:val="51"/>
                    <w:ind w:left="-8" w:leftChars="-4" w:firstLine="27" w:firstLineChars="15"/>
                    <w:rPr>
                      <w:rFonts w:hint="eastAsia" w:eastAsia="宋体"/>
                      <w:color w:val="auto"/>
                      <w:sz w:val="18"/>
                      <w:szCs w:val="18"/>
                      <w:lang w:val="en-US" w:eastAsia="zh-CN"/>
                    </w:rPr>
                  </w:pPr>
                  <w:r>
                    <w:rPr>
                      <w:rFonts w:hint="eastAsia"/>
                      <w:color w:val="auto"/>
                      <w:sz w:val="18"/>
                      <w:szCs w:val="18"/>
                      <w:lang w:val="en-US" w:eastAsia="zh-CN"/>
                    </w:rPr>
                    <w:t>6</w:t>
                  </w:r>
                </w:p>
              </w:tc>
              <w:tc>
                <w:tcPr>
                  <w:tcW w:w="665" w:type="dxa"/>
                  <w:vMerge w:val="continue"/>
                  <w:vAlign w:val="center"/>
                </w:tcPr>
                <w:p w14:paraId="6707E7D0">
                  <w:pPr>
                    <w:pStyle w:val="51"/>
                    <w:ind w:left="-8" w:leftChars="-4" w:firstLine="27" w:firstLineChars="15"/>
                    <w:rPr>
                      <w:color w:val="auto"/>
                      <w:sz w:val="18"/>
                      <w:szCs w:val="18"/>
                    </w:rPr>
                  </w:pPr>
                </w:p>
              </w:tc>
              <w:tc>
                <w:tcPr>
                  <w:tcW w:w="969" w:type="dxa"/>
                  <w:shd w:val="clear" w:color="auto" w:fill="auto"/>
                  <w:vAlign w:val="center"/>
                </w:tcPr>
                <w:p w14:paraId="3554F57F">
                  <w:pPr>
                    <w:pStyle w:val="51"/>
                    <w:ind w:left="-8" w:leftChars="-4" w:firstLine="27" w:firstLineChars="15"/>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废胶水和胶水桶</w:t>
                  </w:r>
                </w:p>
              </w:tc>
              <w:tc>
                <w:tcPr>
                  <w:tcW w:w="957" w:type="dxa"/>
                  <w:shd w:val="clear" w:color="auto" w:fill="auto"/>
                  <w:vAlign w:val="center"/>
                </w:tcPr>
                <w:p w14:paraId="175AE84C">
                  <w:pPr>
                    <w:pStyle w:val="51"/>
                    <w:ind w:left="-8" w:leftChars="-4" w:firstLine="27" w:firstLineChars="15"/>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布胶</w:t>
                  </w:r>
                </w:p>
              </w:tc>
              <w:tc>
                <w:tcPr>
                  <w:tcW w:w="552" w:type="dxa"/>
                  <w:shd w:val="clear" w:color="auto" w:fill="auto"/>
                  <w:vAlign w:val="center"/>
                </w:tcPr>
                <w:p w14:paraId="158E7950">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固态</w:t>
                  </w:r>
                </w:p>
              </w:tc>
              <w:tc>
                <w:tcPr>
                  <w:tcW w:w="716" w:type="dxa"/>
                  <w:shd w:val="clear" w:color="auto" w:fill="auto"/>
                  <w:vAlign w:val="center"/>
                </w:tcPr>
                <w:p w14:paraId="15D0B367">
                  <w:pPr>
                    <w:pStyle w:val="51"/>
                    <w:ind w:left="-8" w:leftChars="-4" w:firstLine="27" w:firstLineChars="15"/>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HW13</w:t>
                  </w:r>
                </w:p>
              </w:tc>
              <w:tc>
                <w:tcPr>
                  <w:tcW w:w="1216" w:type="dxa"/>
                  <w:shd w:val="clear" w:color="auto" w:fill="auto"/>
                  <w:vAlign w:val="center"/>
                </w:tcPr>
                <w:p w14:paraId="027F38E2">
                  <w:pPr>
                    <w:pStyle w:val="51"/>
                    <w:ind w:left="-8" w:leftChars="-4" w:firstLine="27" w:firstLineChars="15"/>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900-014-13</w:t>
                  </w:r>
                </w:p>
              </w:tc>
              <w:tc>
                <w:tcPr>
                  <w:tcW w:w="778" w:type="dxa"/>
                  <w:shd w:val="clear" w:color="auto" w:fill="auto"/>
                  <w:vAlign w:val="center"/>
                </w:tcPr>
                <w:p w14:paraId="65B5EDFF">
                  <w:pPr>
                    <w:pStyle w:val="51"/>
                    <w:ind w:left="-8" w:leftChars="-4" w:firstLine="27" w:firstLineChars="15"/>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0.5</w:t>
                  </w:r>
                </w:p>
              </w:tc>
              <w:tc>
                <w:tcPr>
                  <w:tcW w:w="2070" w:type="dxa"/>
                  <w:vMerge w:val="continue"/>
                  <w:tcBorders>
                    <w:right w:val="nil"/>
                  </w:tcBorders>
                  <w:vAlign w:val="center"/>
                </w:tcPr>
                <w:p w14:paraId="0F783CD0">
                  <w:pPr>
                    <w:pStyle w:val="51"/>
                    <w:ind w:left="-8" w:leftChars="-4" w:firstLine="27" w:firstLineChars="15"/>
                    <w:rPr>
                      <w:rFonts w:hint="eastAsia" w:ascii="Times New Roman" w:hAnsi="Times New Roman" w:eastAsia="宋体" w:cs="Times New Roman"/>
                      <w:color w:val="auto"/>
                      <w:sz w:val="18"/>
                      <w:szCs w:val="18"/>
                      <w:lang w:val="en-US" w:eastAsia="zh-CN"/>
                    </w:rPr>
                  </w:pPr>
                </w:p>
              </w:tc>
            </w:tr>
            <w:tr w14:paraId="45BB8B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39" w:type="dxa"/>
                  <w:tcBorders>
                    <w:left w:val="nil"/>
                  </w:tcBorders>
                  <w:vAlign w:val="center"/>
                </w:tcPr>
                <w:p w14:paraId="37D18B3A">
                  <w:pPr>
                    <w:pStyle w:val="51"/>
                    <w:ind w:left="-8" w:leftChars="-4" w:firstLine="27" w:firstLineChars="15"/>
                    <w:rPr>
                      <w:rFonts w:hint="eastAsia" w:eastAsia="宋体"/>
                      <w:color w:val="auto"/>
                      <w:sz w:val="18"/>
                      <w:szCs w:val="18"/>
                      <w:lang w:val="en-US" w:eastAsia="zh-CN"/>
                    </w:rPr>
                  </w:pPr>
                  <w:r>
                    <w:rPr>
                      <w:rFonts w:hint="eastAsia"/>
                      <w:color w:val="auto"/>
                      <w:sz w:val="18"/>
                      <w:szCs w:val="18"/>
                      <w:lang w:val="en-US" w:eastAsia="zh-CN"/>
                    </w:rPr>
                    <w:t>7</w:t>
                  </w:r>
                </w:p>
              </w:tc>
              <w:tc>
                <w:tcPr>
                  <w:tcW w:w="665" w:type="dxa"/>
                  <w:vMerge w:val="continue"/>
                  <w:vAlign w:val="center"/>
                </w:tcPr>
                <w:p w14:paraId="7CD6F85F">
                  <w:pPr>
                    <w:pStyle w:val="51"/>
                    <w:ind w:left="-8" w:leftChars="-4" w:firstLine="27" w:firstLineChars="15"/>
                    <w:rPr>
                      <w:color w:val="auto"/>
                      <w:sz w:val="18"/>
                      <w:szCs w:val="18"/>
                    </w:rPr>
                  </w:pPr>
                </w:p>
              </w:tc>
              <w:tc>
                <w:tcPr>
                  <w:tcW w:w="969" w:type="dxa"/>
                  <w:shd w:val="clear" w:color="auto" w:fill="auto"/>
                  <w:vAlign w:val="center"/>
                </w:tcPr>
                <w:p w14:paraId="5E035F94">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废油墨和油墨桶</w:t>
                  </w:r>
                </w:p>
              </w:tc>
              <w:tc>
                <w:tcPr>
                  <w:tcW w:w="957" w:type="dxa"/>
                  <w:shd w:val="clear" w:color="auto" w:fill="auto"/>
                  <w:vAlign w:val="center"/>
                </w:tcPr>
                <w:p w14:paraId="42768F66">
                  <w:pPr>
                    <w:pStyle w:val="51"/>
                    <w:ind w:left="-8" w:leftChars="-4" w:firstLine="27" w:firstLineChars="15"/>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印刷</w:t>
                  </w:r>
                </w:p>
              </w:tc>
              <w:tc>
                <w:tcPr>
                  <w:tcW w:w="552" w:type="dxa"/>
                  <w:shd w:val="clear" w:color="auto" w:fill="auto"/>
                  <w:vAlign w:val="center"/>
                </w:tcPr>
                <w:p w14:paraId="596825B4">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固态</w:t>
                  </w:r>
                </w:p>
              </w:tc>
              <w:tc>
                <w:tcPr>
                  <w:tcW w:w="716" w:type="dxa"/>
                  <w:shd w:val="clear" w:color="auto" w:fill="auto"/>
                  <w:vAlign w:val="center"/>
                </w:tcPr>
                <w:p w14:paraId="0B7B4894">
                  <w:pPr>
                    <w:pStyle w:val="51"/>
                    <w:ind w:left="-8" w:leftChars="-4" w:firstLine="27" w:firstLineChars="15"/>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HW12</w:t>
                  </w:r>
                </w:p>
              </w:tc>
              <w:tc>
                <w:tcPr>
                  <w:tcW w:w="1216" w:type="dxa"/>
                  <w:shd w:val="clear" w:color="auto" w:fill="auto"/>
                  <w:vAlign w:val="center"/>
                </w:tcPr>
                <w:p w14:paraId="139C159C">
                  <w:pPr>
                    <w:pStyle w:val="51"/>
                    <w:ind w:left="-8" w:leftChars="-4" w:firstLine="27" w:firstLineChars="15"/>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900-253-12</w:t>
                  </w:r>
                </w:p>
              </w:tc>
              <w:tc>
                <w:tcPr>
                  <w:tcW w:w="778" w:type="dxa"/>
                  <w:shd w:val="clear" w:color="auto" w:fill="auto"/>
                  <w:vAlign w:val="center"/>
                </w:tcPr>
                <w:p w14:paraId="65F5ABDB">
                  <w:pPr>
                    <w:pStyle w:val="51"/>
                    <w:ind w:left="-8" w:leftChars="-4" w:firstLine="27" w:firstLineChars="15"/>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0.2</w:t>
                  </w:r>
                </w:p>
              </w:tc>
              <w:tc>
                <w:tcPr>
                  <w:tcW w:w="2070" w:type="dxa"/>
                  <w:vMerge w:val="continue"/>
                  <w:tcBorders>
                    <w:right w:val="nil"/>
                  </w:tcBorders>
                  <w:vAlign w:val="center"/>
                </w:tcPr>
                <w:p w14:paraId="1CCED484">
                  <w:pPr>
                    <w:pStyle w:val="51"/>
                    <w:ind w:left="-8" w:leftChars="-4" w:firstLine="27" w:firstLineChars="15"/>
                    <w:rPr>
                      <w:rFonts w:hint="eastAsia" w:ascii="Times New Roman" w:hAnsi="Times New Roman" w:eastAsia="宋体" w:cs="Times New Roman"/>
                      <w:color w:val="auto"/>
                      <w:sz w:val="18"/>
                      <w:szCs w:val="18"/>
                      <w:lang w:val="en-US" w:eastAsia="zh-CN"/>
                    </w:rPr>
                  </w:pPr>
                </w:p>
              </w:tc>
            </w:tr>
            <w:tr w14:paraId="2FAAE5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39" w:type="dxa"/>
                  <w:tcBorders>
                    <w:left w:val="nil"/>
                  </w:tcBorders>
                  <w:vAlign w:val="center"/>
                </w:tcPr>
                <w:p w14:paraId="0DBFD1D8">
                  <w:pPr>
                    <w:pStyle w:val="51"/>
                    <w:ind w:left="-8" w:leftChars="-4" w:firstLine="27" w:firstLineChars="15"/>
                    <w:rPr>
                      <w:rFonts w:hint="eastAsia" w:eastAsia="宋体"/>
                      <w:color w:val="auto"/>
                      <w:sz w:val="18"/>
                      <w:szCs w:val="18"/>
                      <w:lang w:val="en-US" w:eastAsia="zh-CN"/>
                    </w:rPr>
                  </w:pPr>
                  <w:r>
                    <w:rPr>
                      <w:rFonts w:hint="eastAsia"/>
                      <w:color w:val="auto"/>
                      <w:sz w:val="18"/>
                      <w:szCs w:val="18"/>
                      <w:lang w:val="en-US" w:eastAsia="zh-CN"/>
                    </w:rPr>
                    <w:t>8</w:t>
                  </w:r>
                </w:p>
              </w:tc>
              <w:tc>
                <w:tcPr>
                  <w:tcW w:w="665" w:type="dxa"/>
                  <w:vMerge w:val="continue"/>
                  <w:vAlign w:val="center"/>
                </w:tcPr>
                <w:p w14:paraId="12E1F296">
                  <w:pPr>
                    <w:pStyle w:val="51"/>
                    <w:ind w:left="-8" w:leftChars="-4" w:firstLine="27" w:firstLineChars="15"/>
                    <w:rPr>
                      <w:color w:val="auto"/>
                      <w:sz w:val="18"/>
                      <w:szCs w:val="18"/>
                    </w:rPr>
                  </w:pPr>
                </w:p>
              </w:tc>
              <w:tc>
                <w:tcPr>
                  <w:tcW w:w="969" w:type="dxa"/>
                  <w:shd w:val="clear" w:color="auto" w:fill="auto"/>
                  <w:vAlign w:val="center"/>
                </w:tcPr>
                <w:p w14:paraId="012410EE">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废机油空桶</w:t>
                  </w:r>
                </w:p>
              </w:tc>
              <w:tc>
                <w:tcPr>
                  <w:tcW w:w="957" w:type="dxa"/>
                  <w:shd w:val="clear" w:color="auto" w:fill="auto"/>
                  <w:vAlign w:val="center"/>
                </w:tcPr>
                <w:p w14:paraId="5FAA22EC">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设备保养</w:t>
                  </w:r>
                </w:p>
              </w:tc>
              <w:tc>
                <w:tcPr>
                  <w:tcW w:w="552" w:type="dxa"/>
                  <w:shd w:val="clear" w:color="auto" w:fill="auto"/>
                  <w:vAlign w:val="center"/>
                </w:tcPr>
                <w:p w14:paraId="1D0A94E0">
                  <w:pPr>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固态</w:t>
                  </w:r>
                </w:p>
              </w:tc>
              <w:tc>
                <w:tcPr>
                  <w:tcW w:w="716" w:type="dxa"/>
                  <w:shd w:val="clear" w:color="auto" w:fill="auto"/>
                  <w:vAlign w:val="center"/>
                </w:tcPr>
                <w:p w14:paraId="39FE0BD9">
                  <w:pPr>
                    <w:ind w:left="-8" w:leftChars="-4" w:firstLine="27" w:firstLineChars="15"/>
                    <w:jc w:val="center"/>
                    <w:rPr>
                      <w:rFonts w:hint="default" w:ascii="Times New Roman" w:hAnsi="Times New Roman" w:eastAsia="宋体" w:cs="Times New Roman"/>
                      <w:color w:val="auto"/>
                      <w:sz w:val="18"/>
                      <w:szCs w:val="18"/>
                      <w:lang w:val="en-US" w:eastAsia="zh-CN"/>
                    </w:rPr>
                  </w:pPr>
                  <w:r>
                    <w:rPr>
                      <w:rFonts w:hint="eastAsia" w:ascii="TimesNewRomanPSMT" w:hAnsi="TimesNewRomanPSMT" w:cs="Times New Roman"/>
                      <w:color w:val="auto"/>
                      <w:kern w:val="0"/>
                      <w:sz w:val="18"/>
                      <w:szCs w:val="18"/>
                      <w:lang w:val="en-US" w:eastAsia="zh-CN" w:bidi="ar-SA"/>
                    </w:rPr>
                    <w:t>HW49</w:t>
                  </w:r>
                </w:p>
              </w:tc>
              <w:tc>
                <w:tcPr>
                  <w:tcW w:w="1216" w:type="dxa"/>
                  <w:shd w:val="clear" w:color="auto" w:fill="auto"/>
                  <w:vAlign w:val="center"/>
                </w:tcPr>
                <w:p w14:paraId="62195FB1">
                  <w:pPr>
                    <w:pStyle w:val="51"/>
                    <w:ind w:left="-8" w:leftChars="-4" w:firstLine="27" w:firstLineChars="15"/>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900-041-49</w:t>
                  </w:r>
                </w:p>
              </w:tc>
              <w:tc>
                <w:tcPr>
                  <w:tcW w:w="778" w:type="dxa"/>
                  <w:shd w:val="clear" w:color="auto" w:fill="auto"/>
                  <w:vAlign w:val="center"/>
                </w:tcPr>
                <w:p w14:paraId="0278FDAB">
                  <w:pPr>
                    <w:pStyle w:val="51"/>
                    <w:ind w:left="-8" w:leftChars="-4" w:firstLine="27" w:firstLineChars="15"/>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2070" w:type="dxa"/>
                  <w:vMerge w:val="continue"/>
                  <w:tcBorders>
                    <w:right w:val="nil"/>
                  </w:tcBorders>
                  <w:vAlign w:val="center"/>
                </w:tcPr>
                <w:p w14:paraId="76A83FF7">
                  <w:pPr>
                    <w:pStyle w:val="51"/>
                    <w:ind w:left="-8" w:leftChars="-4" w:firstLine="27" w:firstLineChars="15"/>
                    <w:rPr>
                      <w:rFonts w:hint="eastAsia" w:ascii="Times New Roman" w:hAnsi="Times New Roman" w:eastAsia="宋体" w:cs="Times New Roman"/>
                      <w:color w:val="auto"/>
                      <w:sz w:val="18"/>
                      <w:szCs w:val="18"/>
                      <w:lang w:val="en-US" w:eastAsia="zh-CN"/>
                    </w:rPr>
                  </w:pPr>
                </w:p>
              </w:tc>
            </w:tr>
            <w:tr w14:paraId="51FF66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75" w:hRule="atLeast"/>
                <w:jc w:val="center"/>
              </w:trPr>
              <w:tc>
                <w:tcPr>
                  <w:tcW w:w="439" w:type="dxa"/>
                  <w:tcBorders>
                    <w:left w:val="nil"/>
                  </w:tcBorders>
                  <w:vAlign w:val="center"/>
                </w:tcPr>
                <w:p w14:paraId="04AF382C">
                  <w:pPr>
                    <w:pStyle w:val="51"/>
                    <w:ind w:left="-8" w:leftChars="-4" w:firstLine="27" w:firstLineChars="15"/>
                    <w:rPr>
                      <w:rFonts w:hint="eastAsia" w:eastAsia="宋体"/>
                      <w:color w:val="auto"/>
                      <w:sz w:val="18"/>
                      <w:szCs w:val="18"/>
                      <w:lang w:val="en-US" w:eastAsia="zh-CN"/>
                    </w:rPr>
                  </w:pPr>
                  <w:r>
                    <w:rPr>
                      <w:rFonts w:hint="eastAsia"/>
                      <w:color w:val="auto"/>
                      <w:sz w:val="18"/>
                      <w:szCs w:val="18"/>
                      <w:lang w:val="en-US" w:eastAsia="zh-CN"/>
                    </w:rPr>
                    <w:t>9</w:t>
                  </w:r>
                </w:p>
              </w:tc>
              <w:tc>
                <w:tcPr>
                  <w:tcW w:w="665" w:type="dxa"/>
                  <w:vMerge w:val="continue"/>
                  <w:vAlign w:val="center"/>
                </w:tcPr>
                <w:p w14:paraId="510AA7A8">
                  <w:pPr>
                    <w:pStyle w:val="51"/>
                    <w:ind w:left="-8" w:leftChars="-4" w:firstLine="27" w:firstLineChars="15"/>
                    <w:rPr>
                      <w:color w:val="auto"/>
                      <w:sz w:val="18"/>
                      <w:szCs w:val="18"/>
                    </w:rPr>
                  </w:pPr>
                </w:p>
              </w:tc>
              <w:tc>
                <w:tcPr>
                  <w:tcW w:w="969" w:type="dxa"/>
                  <w:shd w:val="clear" w:color="auto" w:fill="auto"/>
                  <w:vAlign w:val="center"/>
                </w:tcPr>
                <w:p w14:paraId="20CEB04D">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含油滤芯</w:t>
                  </w:r>
                </w:p>
              </w:tc>
              <w:tc>
                <w:tcPr>
                  <w:tcW w:w="957" w:type="dxa"/>
                  <w:shd w:val="clear" w:color="auto" w:fill="auto"/>
                  <w:vAlign w:val="center"/>
                </w:tcPr>
                <w:p w14:paraId="344E2C67">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设备保养</w:t>
                  </w:r>
                </w:p>
              </w:tc>
              <w:tc>
                <w:tcPr>
                  <w:tcW w:w="552" w:type="dxa"/>
                  <w:shd w:val="clear" w:color="auto" w:fill="auto"/>
                  <w:vAlign w:val="center"/>
                </w:tcPr>
                <w:p w14:paraId="360A2843">
                  <w:pPr>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固态</w:t>
                  </w:r>
                </w:p>
              </w:tc>
              <w:tc>
                <w:tcPr>
                  <w:tcW w:w="716" w:type="dxa"/>
                  <w:shd w:val="clear" w:color="auto" w:fill="auto"/>
                  <w:vAlign w:val="center"/>
                </w:tcPr>
                <w:p w14:paraId="3EB758B3">
                  <w:pPr>
                    <w:ind w:left="-8" w:leftChars="-4" w:firstLine="27" w:firstLineChars="15"/>
                    <w:jc w:val="center"/>
                    <w:rPr>
                      <w:rFonts w:hint="eastAsia" w:ascii="Times New Roman" w:hAnsi="Times New Roman" w:eastAsia="宋体" w:cs="Times New Roman"/>
                      <w:color w:val="auto"/>
                      <w:sz w:val="18"/>
                      <w:szCs w:val="18"/>
                      <w:lang w:val="en-US" w:eastAsia="zh-CN"/>
                    </w:rPr>
                  </w:pPr>
                  <w:r>
                    <w:rPr>
                      <w:rFonts w:hint="eastAsia" w:ascii="TimesNewRomanPSMT" w:hAnsi="TimesNewRomanPSMT" w:cs="Times New Roman"/>
                      <w:color w:val="auto"/>
                      <w:kern w:val="0"/>
                      <w:sz w:val="18"/>
                      <w:szCs w:val="18"/>
                      <w:lang w:val="en-US" w:eastAsia="zh-CN" w:bidi="ar-SA"/>
                    </w:rPr>
                    <w:t>HW49</w:t>
                  </w:r>
                </w:p>
              </w:tc>
              <w:tc>
                <w:tcPr>
                  <w:tcW w:w="1216" w:type="dxa"/>
                  <w:shd w:val="clear" w:color="auto" w:fill="auto"/>
                  <w:vAlign w:val="center"/>
                </w:tcPr>
                <w:p w14:paraId="1AD29403">
                  <w:pPr>
                    <w:pStyle w:val="51"/>
                    <w:ind w:left="-8" w:leftChars="-4" w:firstLine="27" w:firstLineChars="15"/>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900-041-49</w:t>
                  </w:r>
                </w:p>
              </w:tc>
              <w:tc>
                <w:tcPr>
                  <w:tcW w:w="778" w:type="dxa"/>
                  <w:shd w:val="clear" w:color="auto" w:fill="auto"/>
                  <w:vAlign w:val="center"/>
                </w:tcPr>
                <w:p w14:paraId="1B84E76C">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0.2</w:t>
                  </w:r>
                </w:p>
              </w:tc>
              <w:tc>
                <w:tcPr>
                  <w:tcW w:w="2070" w:type="dxa"/>
                  <w:vMerge w:val="continue"/>
                  <w:tcBorders>
                    <w:right w:val="nil"/>
                  </w:tcBorders>
                  <w:vAlign w:val="center"/>
                </w:tcPr>
                <w:p w14:paraId="54AED3C7">
                  <w:pPr>
                    <w:pStyle w:val="51"/>
                    <w:ind w:left="-8" w:leftChars="-4" w:firstLine="27" w:firstLineChars="15"/>
                    <w:rPr>
                      <w:rFonts w:hint="eastAsia" w:ascii="Times New Roman" w:hAnsi="Times New Roman" w:eastAsia="宋体" w:cs="Times New Roman"/>
                      <w:color w:val="auto"/>
                      <w:sz w:val="18"/>
                      <w:szCs w:val="18"/>
                      <w:lang w:val="en-US" w:eastAsia="zh-CN"/>
                    </w:rPr>
                  </w:pPr>
                </w:p>
              </w:tc>
            </w:tr>
            <w:tr w14:paraId="73AA45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39" w:type="dxa"/>
                  <w:tcBorders>
                    <w:left w:val="nil"/>
                  </w:tcBorders>
                  <w:vAlign w:val="center"/>
                </w:tcPr>
                <w:p w14:paraId="40D5796C">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10</w:t>
                  </w:r>
                </w:p>
              </w:tc>
              <w:tc>
                <w:tcPr>
                  <w:tcW w:w="665" w:type="dxa"/>
                  <w:vMerge w:val="continue"/>
                  <w:vAlign w:val="center"/>
                </w:tcPr>
                <w:p w14:paraId="58A004E4">
                  <w:pPr>
                    <w:pStyle w:val="51"/>
                    <w:ind w:left="-8" w:leftChars="-4" w:firstLine="27" w:firstLineChars="15"/>
                    <w:rPr>
                      <w:color w:val="auto"/>
                      <w:sz w:val="18"/>
                      <w:szCs w:val="18"/>
                    </w:rPr>
                  </w:pPr>
                </w:p>
              </w:tc>
              <w:tc>
                <w:tcPr>
                  <w:tcW w:w="969" w:type="dxa"/>
                  <w:vAlign w:val="center"/>
                </w:tcPr>
                <w:p w14:paraId="0DE884CF">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废机油</w:t>
                  </w:r>
                </w:p>
              </w:tc>
              <w:tc>
                <w:tcPr>
                  <w:tcW w:w="957" w:type="dxa"/>
                  <w:vAlign w:val="center"/>
                </w:tcPr>
                <w:p w14:paraId="2C3BB4D8">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设备保养</w:t>
                  </w:r>
                </w:p>
              </w:tc>
              <w:tc>
                <w:tcPr>
                  <w:tcW w:w="552" w:type="dxa"/>
                  <w:vAlign w:val="center"/>
                </w:tcPr>
                <w:p w14:paraId="09958C6D">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液态</w:t>
                  </w:r>
                </w:p>
              </w:tc>
              <w:tc>
                <w:tcPr>
                  <w:tcW w:w="716" w:type="dxa"/>
                  <w:shd w:val="clear" w:color="auto" w:fill="auto"/>
                  <w:vAlign w:val="center"/>
                </w:tcPr>
                <w:p w14:paraId="4938EFCA">
                  <w:pPr>
                    <w:pStyle w:val="51"/>
                    <w:ind w:left="-8" w:leftChars="-4" w:firstLine="27" w:firstLineChars="15"/>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HW08</w:t>
                  </w:r>
                </w:p>
              </w:tc>
              <w:tc>
                <w:tcPr>
                  <w:tcW w:w="1216" w:type="dxa"/>
                  <w:vAlign w:val="center"/>
                </w:tcPr>
                <w:p w14:paraId="2853E915">
                  <w:pPr>
                    <w:pStyle w:val="51"/>
                    <w:ind w:left="-8" w:leftChars="-4" w:firstLine="27" w:firstLineChars="15"/>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900-218-08</w:t>
                  </w:r>
                </w:p>
              </w:tc>
              <w:tc>
                <w:tcPr>
                  <w:tcW w:w="778" w:type="dxa"/>
                  <w:vAlign w:val="center"/>
                </w:tcPr>
                <w:p w14:paraId="36219628">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w:t>
                  </w:r>
                </w:p>
              </w:tc>
              <w:tc>
                <w:tcPr>
                  <w:tcW w:w="2070" w:type="dxa"/>
                  <w:vMerge w:val="restart"/>
                  <w:tcBorders>
                    <w:right w:val="nil"/>
                  </w:tcBorders>
                  <w:vAlign w:val="center"/>
                </w:tcPr>
                <w:p w14:paraId="418A59F8">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委托江苏信炜能源发展有限公司处置</w:t>
                  </w:r>
                </w:p>
              </w:tc>
            </w:tr>
            <w:tr w14:paraId="2D067F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39" w:type="dxa"/>
                  <w:tcBorders>
                    <w:left w:val="nil"/>
                  </w:tcBorders>
                  <w:vAlign w:val="center"/>
                </w:tcPr>
                <w:p w14:paraId="664B5B37">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11</w:t>
                  </w:r>
                </w:p>
              </w:tc>
              <w:tc>
                <w:tcPr>
                  <w:tcW w:w="665" w:type="dxa"/>
                  <w:vMerge w:val="continue"/>
                  <w:vAlign w:val="center"/>
                </w:tcPr>
                <w:p w14:paraId="73F72D43">
                  <w:pPr>
                    <w:pStyle w:val="51"/>
                    <w:ind w:left="-8" w:leftChars="-4" w:firstLine="27" w:firstLineChars="15"/>
                    <w:rPr>
                      <w:color w:val="auto"/>
                      <w:sz w:val="18"/>
                      <w:szCs w:val="18"/>
                    </w:rPr>
                  </w:pPr>
                </w:p>
              </w:tc>
              <w:tc>
                <w:tcPr>
                  <w:tcW w:w="969" w:type="dxa"/>
                  <w:vAlign w:val="center"/>
                </w:tcPr>
                <w:p w14:paraId="6C904CD6">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废切削液</w:t>
                  </w:r>
                </w:p>
              </w:tc>
              <w:tc>
                <w:tcPr>
                  <w:tcW w:w="957" w:type="dxa"/>
                  <w:vAlign w:val="center"/>
                </w:tcPr>
                <w:p w14:paraId="76E0A45A">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cs="Times New Roman"/>
                      <w:color w:val="auto"/>
                      <w:kern w:val="0"/>
                      <w:sz w:val="18"/>
                      <w:szCs w:val="18"/>
                      <w:lang w:val="en-US" w:eastAsia="zh-CN" w:bidi="ar-SA"/>
                    </w:rPr>
                    <w:t>机加工</w:t>
                  </w:r>
                </w:p>
              </w:tc>
              <w:tc>
                <w:tcPr>
                  <w:tcW w:w="552" w:type="dxa"/>
                  <w:vAlign w:val="center"/>
                </w:tcPr>
                <w:p w14:paraId="230DFF37">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液态</w:t>
                  </w:r>
                </w:p>
              </w:tc>
              <w:tc>
                <w:tcPr>
                  <w:tcW w:w="716" w:type="dxa"/>
                  <w:shd w:val="clear" w:color="auto" w:fill="auto"/>
                  <w:vAlign w:val="center"/>
                </w:tcPr>
                <w:p w14:paraId="6B04B7D2">
                  <w:pPr>
                    <w:pStyle w:val="51"/>
                    <w:ind w:left="-8" w:leftChars="-4" w:firstLine="27" w:firstLineChars="15"/>
                    <w:jc w:val="center"/>
                    <w:rPr>
                      <w:rFonts w:hint="eastAsia" w:ascii="Times New Roman" w:hAnsi="Times New Roman" w:eastAsia="宋体" w:cs="Times New Roman"/>
                      <w:color w:val="auto"/>
                      <w:kern w:val="0"/>
                      <w:sz w:val="18"/>
                      <w:szCs w:val="18"/>
                      <w:lang w:val="en-US" w:eastAsia="zh-CN" w:bidi="ar-SA"/>
                    </w:rPr>
                  </w:pPr>
                  <w:r>
                    <w:rPr>
                      <w:rFonts w:hint="eastAsia" w:cs="Times New Roman"/>
                      <w:color w:val="auto"/>
                      <w:kern w:val="0"/>
                      <w:sz w:val="18"/>
                      <w:szCs w:val="18"/>
                      <w:lang w:val="en-US" w:eastAsia="zh-CN" w:bidi="ar-SA"/>
                    </w:rPr>
                    <w:t>HW09</w:t>
                  </w:r>
                </w:p>
              </w:tc>
              <w:tc>
                <w:tcPr>
                  <w:tcW w:w="1216" w:type="dxa"/>
                  <w:vAlign w:val="center"/>
                </w:tcPr>
                <w:p w14:paraId="2F0CE123">
                  <w:pPr>
                    <w:pStyle w:val="51"/>
                    <w:ind w:left="-8" w:leftChars="-4" w:firstLine="27" w:firstLineChars="15"/>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900-006-09</w:t>
                  </w:r>
                </w:p>
              </w:tc>
              <w:tc>
                <w:tcPr>
                  <w:tcW w:w="778" w:type="dxa"/>
                  <w:vAlign w:val="center"/>
                </w:tcPr>
                <w:p w14:paraId="1C25BA48">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w:t>
                  </w:r>
                </w:p>
              </w:tc>
              <w:tc>
                <w:tcPr>
                  <w:tcW w:w="2070" w:type="dxa"/>
                  <w:vMerge w:val="continue"/>
                  <w:tcBorders>
                    <w:right w:val="nil"/>
                  </w:tcBorders>
                  <w:vAlign w:val="center"/>
                </w:tcPr>
                <w:p w14:paraId="6E682954">
                  <w:pPr>
                    <w:pStyle w:val="51"/>
                    <w:ind w:left="-8" w:leftChars="-4" w:firstLine="27" w:firstLineChars="15"/>
                    <w:rPr>
                      <w:rFonts w:hint="eastAsia" w:ascii="Times New Roman" w:hAnsi="Times New Roman" w:eastAsia="宋体" w:cs="Times New Roman"/>
                      <w:color w:val="auto"/>
                      <w:sz w:val="18"/>
                      <w:szCs w:val="18"/>
                      <w:lang w:val="en-US" w:eastAsia="zh-CN"/>
                    </w:rPr>
                  </w:pPr>
                </w:p>
              </w:tc>
            </w:tr>
            <w:tr w14:paraId="4179E9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39" w:type="dxa"/>
                  <w:tcBorders>
                    <w:left w:val="nil"/>
                  </w:tcBorders>
                  <w:vAlign w:val="center"/>
                </w:tcPr>
                <w:p w14:paraId="24CEBD60">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12</w:t>
                  </w:r>
                </w:p>
              </w:tc>
              <w:tc>
                <w:tcPr>
                  <w:tcW w:w="665" w:type="dxa"/>
                  <w:vMerge w:val="restart"/>
                  <w:vAlign w:val="center"/>
                </w:tcPr>
                <w:p w14:paraId="2A43C81E">
                  <w:pPr>
                    <w:pStyle w:val="51"/>
                    <w:ind w:left="-8" w:leftChars="-4" w:firstLine="27" w:firstLineChars="15"/>
                    <w:rPr>
                      <w:color w:val="auto"/>
                      <w:sz w:val="18"/>
                      <w:szCs w:val="18"/>
                    </w:rPr>
                  </w:pPr>
                  <w:r>
                    <w:rPr>
                      <w:rFonts w:hint="eastAsia"/>
                      <w:color w:val="auto"/>
                      <w:sz w:val="18"/>
                      <w:szCs w:val="18"/>
                    </w:rPr>
                    <w:t>生活垃圾</w:t>
                  </w:r>
                </w:p>
              </w:tc>
              <w:tc>
                <w:tcPr>
                  <w:tcW w:w="969" w:type="dxa"/>
                  <w:vAlign w:val="center"/>
                </w:tcPr>
                <w:p w14:paraId="0561023D">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食堂垃圾</w:t>
                  </w:r>
                </w:p>
              </w:tc>
              <w:tc>
                <w:tcPr>
                  <w:tcW w:w="957" w:type="dxa"/>
                  <w:vAlign w:val="center"/>
                </w:tcPr>
                <w:p w14:paraId="759FA1BE">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食堂</w:t>
                  </w:r>
                </w:p>
              </w:tc>
              <w:tc>
                <w:tcPr>
                  <w:tcW w:w="552" w:type="dxa"/>
                  <w:vAlign w:val="center"/>
                </w:tcPr>
                <w:p w14:paraId="080CF016">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固态</w:t>
                  </w:r>
                </w:p>
              </w:tc>
              <w:tc>
                <w:tcPr>
                  <w:tcW w:w="716" w:type="dxa"/>
                  <w:vAlign w:val="center"/>
                </w:tcPr>
                <w:p w14:paraId="73632B6B">
                  <w:pPr>
                    <w:pStyle w:val="51"/>
                    <w:ind w:left="-8" w:leftChars="-4" w:firstLine="27" w:firstLineChars="15"/>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SW64</w:t>
                  </w:r>
                </w:p>
              </w:tc>
              <w:tc>
                <w:tcPr>
                  <w:tcW w:w="1216" w:type="dxa"/>
                  <w:vAlign w:val="center"/>
                </w:tcPr>
                <w:p w14:paraId="3E85A740">
                  <w:pPr>
                    <w:pStyle w:val="51"/>
                    <w:ind w:left="-8" w:leftChars="-4" w:firstLine="27" w:firstLineChars="15"/>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900-099-S64</w:t>
                  </w:r>
                </w:p>
              </w:tc>
              <w:tc>
                <w:tcPr>
                  <w:tcW w:w="778" w:type="dxa"/>
                  <w:vAlign w:val="center"/>
                </w:tcPr>
                <w:p w14:paraId="286E1400">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121.5</w:t>
                  </w:r>
                </w:p>
              </w:tc>
              <w:tc>
                <w:tcPr>
                  <w:tcW w:w="2070" w:type="dxa"/>
                  <w:tcBorders>
                    <w:right w:val="nil"/>
                  </w:tcBorders>
                  <w:vAlign w:val="center"/>
                </w:tcPr>
                <w:p w14:paraId="2201FDFF">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环卫清运</w:t>
                  </w:r>
                </w:p>
              </w:tc>
            </w:tr>
            <w:tr w14:paraId="475931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39" w:type="dxa"/>
                  <w:tcBorders>
                    <w:left w:val="nil"/>
                  </w:tcBorders>
                  <w:vAlign w:val="center"/>
                </w:tcPr>
                <w:p w14:paraId="6EEE32C1">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13</w:t>
                  </w:r>
                </w:p>
              </w:tc>
              <w:tc>
                <w:tcPr>
                  <w:tcW w:w="665" w:type="dxa"/>
                  <w:vMerge w:val="continue"/>
                  <w:vAlign w:val="center"/>
                </w:tcPr>
                <w:p w14:paraId="7305A641">
                  <w:pPr>
                    <w:pStyle w:val="51"/>
                    <w:ind w:left="-8" w:leftChars="-4" w:firstLine="27" w:firstLineChars="15"/>
                    <w:rPr>
                      <w:rFonts w:hint="eastAsia"/>
                      <w:color w:val="auto"/>
                      <w:sz w:val="18"/>
                      <w:szCs w:val="18"/>
                    </w:rPr>
                  </w:pPr>
                </w:p>
              </w:tc>
              <w:tc>
                <w:tcPr>
                  <w:tcW w:w="969" w:type="dxa"/>
                  <w:vAlign w:val="center"/>
                </w:tcPr>
                <w:p w14:paraId="5AFAA8B5">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废餐厅隔油</w:t>
                  </w:r>
                </w:p>
              </w:tc>
              <w:tc>
                <w:tcPr>
                  <w:tcW w:w="957" w:type="dxa"/>
                  <w:vAlign w:val="center"/>
                </w:tcPr>
                <w:p w14:paraId="7888887B">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食堂</w:t>
                  </w:r>
                </w:p>
              </w:tc>
              <w:tc>
                <w:tcPr>
                  <w:tcW w:w="552" w:type="dxa"/>
                  <w:vAlign w:val="center"/>
                </w:tcPr>
                <w:p w14:paraId="1665AE71">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液态</w:t>
                  </w:r>
                </w:p>
              </w:tc>
              <w:tc>
                <w:tcPr>
                  <w:tcW w:w="716" w:type="dxa"/>
                  <w:vAlign w:val="center"/>
                </w:tcPr>
                <w:p w14:paraId="3FB5F34B">
                  <w:pPr>
                    <w:pStyle w:val="51"/>
                    <w:ind w:left="-8" w:leftChars="-4" w:firstLine="27" w:firstLineChars="15"/>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SW64</w:t>
                  </w:r>
                </w:p>
              </w:tc>
              <w:tc>
                <w:tcPr>
                  <w:tcW w:w="1216" w:type="dxa"/>
                  <w:vAlign w:val="center"/>
                </w:tcPr>
                <w:p w14:paraId="0279A37C">
                  <w:pPr>
                    <w:pStyle w:val="51"/>
                    <w:ind w:left="-8" w:leftChars="-4" w:firstLine="27" w:firstLineChars="15"/>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900-099-S64</w:t>
                  </w:r>
                </w:p>
              </w:tc>
              <w:tc>
                <w:tcPr>
                  <w:tcW w:w="778" w:type="dxa"/>
                  <w:vAlign w:val="center"/>
                </w:tcPr>
                <w:p w14:paraId="66BD00D3">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0.1021</w:t>
                  </w:r>
                </w:p>
              </w:tc>
              <w:tc>
                <w:tcPr>
                  <w:tcW w:w="2070" w:type="dxa"/>
                  <w:tcBorders>
                    <w:right w:val="nil"/>
                  </w:tcBorders>
                  <w:vAlign w:val="center"/>
                </w:tcPr>
                <w:p w14:paraId="74892646">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委托专业单位收集</w:t>
                  </w:r>
                </w:p>
              </w:tc>
            </w:tr>
            <w:tr w14:paraId="3FDFF7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439" w:type="dxa"/>
                  <w:tcBorders>
                    <w:left w:val="nil"/>
                  </w:tcBorders>
                  <w:vAlign w:val="center"/>
                </w:tcPr>
                <w:p w14:paraId="203F2616">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14</w:t>
                  </w:r>
                </w:p>
              </w:tc>
              <w:tc>
                <w:tcPr>
                  <w:tcW w:w="665" w:type="dxa"/>
                  <w:vMerge w:val="continue"/>
                  <w:vAlign w:val="center"/>
                </w:tcPr>
                <w:p w14:paraId="31A4DFC0">
                  <w:pPr>
                    <w:pStyle w:val="51"/>
                    <w:ind w:left="-8" w:leftChars="-4" w:firstLine="27" w:firstLineChars="15"/>
                    <w:rPr>
                      <w:color w:val="auto"/>
                      <w:sz w:val="18"/>
                      <w:szCs w:val="18"/>
                    </w:rPr>
                  </w:pPr>
                </w:p>
              </w:tc>
              <w:tc>
                <w:tcPr>
                  <w:tcW w:w="969" w:type="dxa"/>
                  <w:vAlign w:val="center"/>
                </w:tcPr>
                <w:p w14:paraId="1D28A6B6">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生活垃圾</w:t>
                  </w:r>
                </w:p>
              </w:tc>
              <w:tc>
                <w:tcPr>
                  <w:tcW w:w="957" w:type="dxa"/>
                  <w:vAlign w:val="center"/>
                </w:tcPr>
                <w:p w14:paraId="3B90656A">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办公</w:t>
                  </w:r>
                </w:p>
              </w:tc>
              <w:tc>
                <w:tcPr>
                  <w:tcW w:w="552" w:type="dxa"/>
                  <w:vAlign w:val="center"/>
                </w:tcPr>
                <w:p w14:paraId="2D8F706C">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固态</w:t>
                  </w:r>
                </w:p>
              </w:tc>
              <w:tc>
                <w:tcPr>
                  <w:tcW w:w="716" w:type="dxa"/>
                  <w:vAlign w:val="center"/>
                </w:tcPr>
                <w:p w14:paraId="72D89BB3">
                  <w:pPr>
                    <w:pStyle w:val="51"/>
                    <w:ind w:left="-8" w:leftChars="-4" w:firstLine="27" w:firstLineChars="15"/>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SW64</w:t>
                  </w:r>
                </w:p>
              </w:tc>
              <w:tc>
                <w:tcPr>
                  <w:tcW w:w="1216" w:type="dxa"/>
                  <w:vAlign w:val="center"/>
                </w:tcPr>
                <w:p w14:paraId="7ADA1244">
                  <w:pPr>
                    <w:pStyle w:val="51"/>
                    <w:ind w:left="-8" w:leftChars="-4" w:firstLine="27" w:firstLineChars="15"/>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900-099-S64</w:t>
                  </w:r>
                </w:p>
              </w:tc>
              <w:tc>
                <w:tcPr>
                  <w:tcW w:w="778" w:type="dxa"/>
                  <w:vAlign w:val="center"/>
                </w:tcPr>
                <w:p w14:paraId="1AFBBECE">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121.5</w:t>
                  </w:r>
                </w:p>
              </w:tc>
              <w:tc>
                <w:tcPr>
                  <w:tcW w:w="2070" w:type="dxa"/>
                  <w:tcBorders>
                    <w:right w:val="nil"/>
                  </w:tcBorders>
                  <w:vAlign w:val="center"/>
                </w:tcPr>
                <w:p w14:paraId="46D3A14E">
                  <w:pPr>
                    <w:pStyle w:val="51"/>
                    <w:ind w:left="-8" w:leftChars="-4" w:firstLine="27" w:firstLineChars="15"/>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环卫清运</w:t>
                  </w:r>
                </w:p>
              </w:tc>
            </w:tr>
            <w:bookmarkEnd w:id="14"/>
          </w:tbl>
          <w:p w14:paraId="25788162">
            <w:pPr>
              <w:autoSpaceDE w:val="0"/>
              <w:autoSpaceDN w:val="0"/>
              <w:adjustRightInd w:val="0"/>
              <w:snapToGrid w:val="0"/>
              <w:spacing w:line="400" w:lineRule="exact"/>
              <w:ind w:firstLine="420" w:firstLineChars="200"/>
              <w:jc w:val="left"/>
              <w:rPr>
                <w:color w:val="auto"/>
                <w:szCs w:val="21"/>
              </w:rPr>
            </w:pPr>
            <w:r>
              <w:rPr>
                <w:rFonts w:hint="eastAsia"/>
                <w:color w:val="auto"/>
                <w:szCs w:val="21"/>
              </w:rPr>
              <w:t>现有项目设置一般固废库</w:t>
            </w:r>
            <w:r>
              <w:rPr>
                <w:rFonts w:hint="eastAsia"/>
                <w:color w:val="auto"/>
                <w:szCs w:val="21"/>
                <w:lang w:val="en-US" w:eastAsia="zh-CN"/>
              </w:rPr>
              <w:t>1000</w:t>
            </w:r>
            <w:r>
              <w:rPr>
                <w:rFonts w:hint="eastAsia"/>
                <w:color w:val="auto"/>
                <w:szCs w:val="21"/>
              </w:rPr>
              <w:t>m</w:t>
            </w:r>
            <w:r>
              <w:rPr>
                <w:rFonts w:hint="eastAsia"/>
                <w:color w:val="auto"/>
                <w:szCs w:val="21"/>
                <w:vertAlign w:val="superscript"/>
              </w:rPr>
              <w:t>2</w:t>
            </w:r>
            <w:r>
              <w:rPr>
                <w:rFonts w:hint="eastAsia"/>
                <w:color w:val="auto"/>
                <w:szCs w:val="21"/>
              </w:rPr>
              <w:t>、危废库</w:t>
            </w:r>
            <w:r>
              <w:rPr>
                <w:rFonts w:hint="eastAsia"/>
                <w:color w:val="auto"/>
                <w:szCs w:val="21"/>
                <w:lang w:val="en-US" w:eastAsia="zh-CN"/>
              </w:rPr>
              <w:t>70</w:t>
            </w:r>
            <w:r>
              <w:rPr>
                <w:rFonts w:hint="eastAsia"/>
                <w:color w:val="auto"/>
                <w:szCs w:val="21"/>
              </w:rPr>
              <w:t>m</w:t>
            </w:r>
            <w:r>
              <w:rPr>
                <w:rFonts w:hint="eastAsia"/>
                <w:color w:val="auto"/>
                <w:szCs w:val="21"/>
                <w:vertAlign w:val="superscript"/>
              </w:rPr>
              <w:t>2</w:t>
            </w:r>
            <w:r>
              <w:rPr>
                <w:rFonts w:hint="eastAsia"/>
                <w:color w:val="auto"/>
                <w:szCs w:val="21"/>
              </w:rPr>
              <w:t>。根据现有项目验收情况，一般固废库满足防风、防雨、防扬散要求，危险废物暂存场所</w:t>
            </w:r>
            <w:r>
              <w:rPr>
                <w:color w:val="auto"/>
                <w:szCs w:val="21"/>
              </w:rPr>
              <w:t>已按照《危险废物贮存污染控制标准》（GB18597-2023）</w:t>
            </w:r>
            <w:r>
              <w:rPr>
                <w:rFonts w:hint="eastAsia"/>
                <w:color w:val="auto"/>
                <w:szCs w:val="21"/>
              </w:rPr>
              <w:t>及其他现行文件要求</w:t>
            </w:r>
            <w:r>
              <w:rPr>
                <w:color w:val="auto"/>
                <w:szCs w:val="21"/>
              </w:rPr>
              <w:t>建设</w:t>
            </w:r>
            <w:r>
              <w:rPr>
                <w:rFonts w:hint="eastAsia"/>
                <w:color w:val="auto"/>
                <w:szCs w:val="21"/>
              </w:rPr>
              <w:t>规范化设置，地面进行了防渗处理，各类危废分类收集、分区存放，并贴有标签，企业已在江苏省危险废物动态管理信息系统中申报登记，危废的转移处置执行转移联单制度，并保留了完善的相关台账资料。</w:t>
            </w:r>
          </w:p>
          <w:p w14:paraId="5B49FA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eastAsia"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bCs/>
                <w:color w:val="auto"/>
                <w:highlight w:val="none"/>
                <w:lang w:val="en-US" w:eastAsia="zh-CN"/>
              </w:rPr>
              <w:t>5、风险防范措施情况</w:t>
            </w:r>
          </w:p>
          <w:p w14:paraId="018B68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Cs w:val="21"/>
              </w:rPr>
              <w:t>企业已编制突发环境事件应急预案，于</w:t>
            </w:r>
            <w:r>
              <w:rPr>
                <w:rFonts w:hint="eastAsia" w:ascii="Times New Roman" w:hAnsi="Times New Roman" w:eastAsia="宋体" w:cs="Times New Roman"/>
                <w:color w:val="auto"/>
                <w:szCs w:val="21"/>
                <w:lang w:val="en-US" w:eastAsia="zh-CN"/>
              </w:rPr>
              <w:t>2023年11月24日</w:t>
            </w:r>
            <w:r>
              <w:rPr>
                <w:rFonts w:hint="eastAsia" w:ascii="Times New Roman" w:hAnsi="Times New Roman" w:eastAsia="宋体" w:cs="Times New Roman"/>
                <w:color w:val="auto"/>
                <w:szCs w:val="21"/>
              </w:rPr>
              <w:t>日通过南通市</w:t>
            </w:r>
            <w:r>
              <w:rPr>
                <w:rFonts w:hint="eastAsia" w:ascii="Times New Roman" w:hAnsi="Times New Roman" w:eastAsia="宋体" w:cs="Times New Roman"/>
                <w:color w:val="auto"/>
                <w:szCs w:val="21"/>
                <w:lang w:val="en-US" w:eastAsia="zh-CN"/>
              </w:rPr>
              <w:t>海门</w:t>
            </w:r>
            <w:r>
              <w:rPr>
                <w:rFonts w:hint="eastAsia" w:ascii="Times New Roman" w:hAnsi="Times New Roman" w:eastAsia="宋体" w:cs="Times New Roman"/>
                <w:color w:val="auto"/>
                <w:szCs w:val="21"/>
              </w:rPr>
              <w:t>生态环境局备案，备案号：</w:t>
            </w:r>
            <w:r>
              <w:rPr>
                <w:rFonts w:hint="eastAsia" w:ascii="Times New Roman" w:hAnsi="Times New Roman" w:eastAsia="宋体" w:cs="Times New Roman"/>
                <w:color w:val="auto"/>
                <w:szCs w:val="21"/>
                <w:lang w:val="en-US" w:eastAsia="zh-CN"/>
              </w:rPr>
              <w:t>320684-2023-156-L</w:t>
            </w:r>
            <w:r>
              <w:rPr>
                <w:rFonts w:hint="eastAsia" w:ascii="Times New Roman" w:hAnsi="Times New Roman" w:eastAsia="宋体" w:cs="Times New Roman"/>
                <w:color w:val="auto"/>
                <w:szCs w:val="21"/>
              </w:rPr>
              <w:t>，风险等级判定为</w:t>
            </w:r>
            <w:r>
              <w:rPr>
                <w:rFonts w:hint="eastAsia" w:ascii="Times New Roman" w:hAnsi="Times New Roman" w:eastAsia="宋体" w:cs="Times New Roman"/>
                <w:color w:val="auto"/>
                <w:szCs w:val="21"/>
                <w:lang w:val="en-US" w:eastAsia="zh-CN"/>
              </w:rPr>
              <w:t>一般</w:t>
            </w:r>
            <w:r>
              <w:rPr>
                <w:rFonts w:hint="eastAsia" w:ascii="Times New Roman" w:hAnsi="Times New Roman" w:cs="Times New Roman"/>
                <w:color w:val="auto"/>
                <w:sz w:val="21"/>
                <w:szCs w:val="21"/>
                <w:highlight w:val="none"/>
                <w:lang w:val="en-US" w:eastAsia="zh-CN"/>
              </w:rPr>
              <w:t>。</w:t>
            </w:r>
          </w:p>
          <w:p w14:paraId="2342FA57">
            <w:pPr>
              <w:autoSpaceDE w:val="0"/>
              <w:autoSpaceDN w:val="0"/>
              <w:adjustRightInd w:val="0"/>
              <w:snapToGrid w:val="0"/>
              <w:spacing w:line="400" w:lineRule="exact"/>
              <w:ind w:firstLine="420" w:firstLineChars="200"/>
              <w:jc w:val="left"/>
              <w:rPr>
                <w:color w:val="auto"/>
              </w:rPr>
            </w:pPr>
            <w:r>
              <w:rPr>
                <w:rFonts w:hint="eastAsia"/>
                <w:color w:val="auto"/>
                <w:szCs w:val="21"/>
              </w:rPr>
              <w:t>现有项目采</w:t>
            </w:r>
            <w:r>
              <w:rPr>
                <w:rFonts w:hint="eastAsia"/>
                <w:color w:val="auto"/>
              </w:rPr>
              <w:t>取的风险防范措施包括：</w:t>
            </w:r>
          </w:p>
          <w:p w14:paraId="46B835FB">
            <w:pPr>
              <w:autoSpaceDE w:val="0"/>
              <w:autoSpaceDN w:val="0"/>
              <w:adjustRightInd w:val="0"/>
              <w:snapToGrid w:val="0"/>
              <w:spacing w:line="400" w:lineRule="exact"/>
              <w:ind w:firstLine="420" w:firstLineChars="200"/>
              <w:jc w:val="left"/>
              <w:rPr>
                <w:color w:val="auto"/>
              </w:rPr>
            </w:pPr>
            <w:r>
              <w:rPr>
                <w:rFonts w:hint="eastAsia" w:ascii="宋体" w:hAnsi="宋体"/>
                <w:color w:val="auto"/>
              </w:rPr>
              <w:t>①</w:t>
            </w:r>
            <w:r>
              <w:rPr>
                <w:rFonts w:hint="eastAsia"/>
                <w:color w:val="auto"/>
              </w:rPr>
              <w:t>截流措施</w:t>
            </w:r>
          </w:p>
          <w:p w14:paraId="77DC63A3">
            <w:pPr>
              <w:autoSpaceDE w:val="0"/>
              <w:autoSpaceDN w:val="0"/>
              <w:adjustRightInd w:val="0"/>
              <w:snapToGrid w:val="0"/>
              <w:spacing w:line="400" w:lineRule="exact"/>
              <w:ind w:firstLine="420" w:firstLineChars="200"/>
              <w:jc w:val="left"/>
              <w:rPr>
                <w:color w:val="auto"/>
              </w:rPr>
            </w:pPr>
            <w:r>
              <w:rPr>
                <w:rFonts w:hint="eastAsia"/>
                <w:color w:val="auto"/>
              </w:rPr>
              <w:t>现有项目截流措施设置情况见表2-</w:t>
            </w:r>
            <w:r>
              <w:rPr>
                <w:rFonts w:hint="eastAsia"/>
                <w:color w:val="auto"/>
                <w:lang w:val="en-US" w:eastAsia="zh-CN"/>
              </w:rPr>
              <w:t>23</w:t>
            </w:r>
            <w:r>
              <w:rPr>
                <w:rFonts w:hint="eastAsia"/>
                <w:color w:val="auto"/>
              </w:rPr>
              <w:t>。</w:t>
            </w:r>
          </w:p>
          <w:p w14:paraId="68C4C7C5">
            <w:pPr>
              <w:autoSpaceDE w:val="0"/>
              <w:autoSpaceDN w:val="0"/>
              <w:adjustRightInd w:val="0"/>
              <w:snapToGrid w:val="0"/>
              <w:spacing w:line="400" w:lineRule="exact"/>
              <w:jc w:val="center"/>
              <w:rPr>
                <w:b/>
                <w:bCs/>
                <w:color w:val="auto"/>
              </w:rPr>
            </w:pPr>
            <w:r>
              <w:rPr>
                <w:rFonts w:hint="eastAsia"/>
                <w:b/>
                <w:bCs/>
                <w:color w:val="auto"/>
              </w:rPr>
              <w:t>表2-</w:t>
            </w:r>
            <w:r>
              <w:rPr>
                <w:rFonts w:hint="eastAsia"/>
                <w:b/>
                <w:bCs/>
                <w:color w:val="auto"/>
                <w:lang w:val="en-US" w:eastAsia="zh-CN"/>
              </w:rPr>
              <w:t>23</w:t>
            </w:r>
            <w:r>
              <w:rPr>
                <w:rFonts w:hint="eastAsia"/>
                <w:b/>
                <w:bCs/>
                <w:color w:val="auto"/>
              </w:rPr>
              <w:t xml:space="preserve">  现有项目截流措施设置情况</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50"/>
              <w:gridCol w:w="1502"/>
              <w:gridCol w:w="6036"/>
            </w:tblGrid>
            <w:tr w14:paraId="4A8044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0" w:type="dxa"/>
                  <w:tcBorders>
                    <w:top w:val="single" w:color="auto" w:sz="12" w:space="0"/>
                    <w:bottom w:val="single" w:color="auto" w:sz="12" w:space="0"/>
                  </w:tcBorders>
                  <w:vAlign w:val="center"/>
                </w:tcPr>
                <w:p w14:paraId="677C23DC">
                  <w:pPr>
                    <w:adjustRightInd w:val="0"/>
                    <w:snapToGrid w:val="0"/>
                    <w:jc w:val="center"/>
                    <w:rPr>
                      <w:b/>
                      <w:bCs/>
                      <w:color w:val="auto"/>
                      <w:sz w:val="18"/>
                      <w:szCs w:val="18"/>
                      <w:lang w:val="zh-TW" w:eastAsia="zh-TW" w:bidi="zh-TW"/>
                    </w:rPr>
                  </w:pPr>
                  <w:r>
                    <w:rPr>
                      <w:b/>
                      <w:bCs/>
                      <w:color w:val="auto"/>
                      <w:sz w:val="18"/>
                      <w:szCs w:val="18"/>
                      <w:lang w:val="zh-TW" w:eastAsia="zh-TW" w:bidi="zh-TW"/>
                    </w:rPr>
                    <w:t>序号</w:t>
                  </w:r>
                </w:p>
              </w:tc>
              <w:tc>
                <w:tcPr>
                  <w:tcW w:w="1502" w:type="dxa"/>
                  <w:tcBorders>
                    <w:top w:val="single" w:color="auto" w:sz="12" w:space="0"/>
                    <w:bottom w:val="single" w:color="auto" w:sz="12" w:space="0"/>
                  </w:tcBorders>
                  <w:vAlign w:val="center"/>
                </w:tcPr>
                <w:p w14:paraId="2078ACE1">
                  <w:pPr>
                    <w:adjustRightInd w:val="0"/>
                    <w:snapToGrid w:val="0"/>
                    <w:jc w:val="center"/>
                    <w:rPr>
                      <w:b/>
                      <w:bCs/>
                      <w:color w:val="auto"/>
                      <w:sz w:val="18"/>
                      <w:szCs w:val="18"/>
                      <w:lang w:val="zh-TW" w:eastAsia="zh-TW" w:bidi="zh-TW"/>
                    </w:rPr>
                  </w:pPr>
                  <w:r>
                    <w:rPr>
                      <w:b/>
                      <w:bCs/>
                      <w:color w:val="auto"/>
                      <w:sz w:val="18"/>
                      <w:szCs w:val="18"/>
                      <w:lang w:val="zh-TW" w:eastAsia="zh-TW" w:bidi="zh-TW"/>
                    </w:rPr>
                    <w:t>环境风险单元</w:t>
                  </w:r>
                </w:p>
              </w:tc>
              <w:tc>
                <w:tcPr>
                  <w:tcW w:w="6036" w:type="dxa"/>
                  <w:tcBorders>
                    <w:top w:val="single" w:color="auto" w:sz="12" w:space="0"/>
                    <w:bottom w:val="single" w:color="auto" w:sz="12" w:space="0"/>
                  </w:tcBorders>
                  <w:vAlign w:val="center"/>
                </w:tcPr>
                <w:p w14:paraId="508CF42D">
                  <w:pPr>
                    <w:adjustRightInd w:val="0"/>
                    <w:snapToGrid w:val="0"/>
                    <w:jc w:val="center"/>
                    <w:rPr>
                      <w:b/>
                      <w:bCs/>
                      <w:color w:val="auto"/>
                      <w:sz w:val="18"/>
                      <w:szCs w:val="18"/>
                      <w:lang w:val="zh-TW" w:eastAsia="zh-TW" w:bidi="zh-TW"/>
                    </w:rPr>
                  </w:pPr>
                  <w:r>
                    <w:rPr>
                      <w:b/>
                      <w:bCs/>
                      <w:color w:val="auto"/>
                      <w:sz w:val="18"/>
                      <w:szCs w:val="18"/>
                      <w:lang w:val="zh-TW" w:eastAsia="zh-TW" w:bidi="zh-TW"/>
                    </w:rPr>
                    <w:t>截流措施</w:t>
                  </w:r>
                </w:p>
              </w:tc>
            </w:tr>
            <w:tr w14:paraId="7BAAA0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0" w:type="dxa"/>
                  <w:tcBorders>
                    <w:top w:val="single" w:color="auto" w:sz="12" w:space="0"/>
                  </w:tcBorders>
                  <w:vAlign w:val="center"/>
                </w:tcPr>
                <w:p w14:paraId="35C84125">
                  <w:pPr>
                    <w:jc w:val="center"/>
                    <w:rPr>
                      <w:color w:val="auto"/>
                      <w:sz w:val="18"/>
                      <w:szCs w:val="18"/>
                    </w:rPr>
                  </w:pPr>
                  <w:r>
                    <w:rPr>
                      <w:color w:val="auto"/>
                      <w:sz w:val="18"/>
                      <w:szCs w:val="18"/>
                    </w:rPr>
                    <w:t>1</w:t>
                  </w:r>
                </w:p>
              </w:tc>
              <w:tc>
                <w:tcPr>
                  <w:tcW w:w="1502" w:type="dxa"/>
                  <w:tcBorders>
                    <w:top w:val="single" w:color="auto" w:sz="12" w:space="0"/>
                  </w:tcBorders>
                  <w:vAlign w:val="center"/>
                </w:tcPr>
                <w:p w14:paraId="5E77EAC0">
                  <w:pPr>
                    <w:jc w:val="center"/>
                    <w:rPr>
                      <w:color w:val="auto"/>
                      <w:sz w:val="18"/>
                      <w:szCs w:val="18"/>
                    </w:rPr>
                  </w:pPr>
                  <w:r>
                    <w:rPr>
                      <w:color w:val="auto"/>
                      <w:sz w:val="18"/>
                      <w:szCs w:val="18"/>
                    </w:rPr>
                    <w:t>生产</w:t>
                  </w:r>
                  <w:r>
                    <w:rPr>
                      <w:rFonts w:hint="eastAsia"/>
                      <w:color w:val="auto"/>
                      <w:sz w:val="18"/>
                      <w:szCs w:val="18"/>
                    </w:rPr>
                    <w:t>车间</w:t>
                  </w:r>
                </w:p>
              </w:tc>
              <w:tc>
                <w:tcPr>
                  <w:tcW w:w="6036" w:type="dxa"/>
                  <w:tcBorders>
                    <w:top w:val="single" w:color="auto" w:sz="12" w:space="0"/>
                  </w:tcBorders>
                  <w:vAlign w:val="center"/>
                </w:tcPr>
                <w:p w14:paraId="3975BE70">
                  <w:pPr>
                    <w:pStyle w:val="51"/>
                    <w:ind w:left="-8" w:leftChars="-4" w:firstLine="27" w:firstLineChars="15"/>
                    <w:jc w:val="left"/>
                    <w:rPr>
                      <w:color w:val="auto"/>
                      <w:sz w:val="18"/>
                      <w:szCs w:val="18"/>
                    </w:rPr>
                  </w:pPr>
                  <w:r>
                    <w:rPr>
                      <w:color w:val="auto"/>
                      <w:sz w:val="18"/>
                      <w:szCs w:val="18"/>
                    </w:rPr>
                    <w:t>1、生产装置位于</w:t>
                  </w:r>
                  <w:r>
                    <w:rPr>
                      <w:rFonts w:hint="eastAsia"/>
                      <w:color w:val="auto"/>
                      <w:sz w:val="18"/>
                      <w:szCs w:val="18"/>
                    </w:rPr>
                    <w:t>生产</w:t>
                  </w:r>
                  <w:r>
                    <w:rPr>
                      <w:color w:val="auto"/>
                      <w:sz w:val="18"/>
                      <w:szCs w:val="18"/>
                    </w:rPr>
                    <w:t>车间内，车间地面硬质化，能做到防渗漏、防腐蚀、防淋溶、防流失；</w:t>
                  </w:r>
                </w:p>
                <w:p w14:paraId="3E0CE797">
                  <w:pPr>
                    <w:pStyle w:val="51"/>
                    <w:ind w:left="-8" w:leftChars="-4" w:firstLine="27" w:firstLineChars="15"/>
                    <w:jc w:val="left"/>
                    <w:rPr>
                      <w:color w:val="auto"/>
                      <w:sz w:val="18"/>
                      <w:szCs w:val="18"/>
                    </w:rPr>
                  </w:pPr>
                  <w:r>
                    <w:rPr>
                      <w:rFonts w:hint="eastAsia"/>
                      <w:color w:val="auto"/>
                      <w:sz w:val="18"/>
                      <w:szCs w:val="18"/>
                    </w:rPr>
                    <w:t>2、</w:t>
                  </w:r>
                  <w:r>
                    <w:rPr>
                      <w:color w:val="auto"/>
                      <w:sz w:val="18"/>
                      <w:szCs w:val="18"/>
                    </w:rPr>
                    <w:t>生产车间四周设置挡水坎、排水沟、雨水管网，并设置了排水切换阀门，可将事故废水收集入事故应急池内，初期雨水通过雨水管网收集至初期雨水池，后期雨水则通过雨水管网外排；</w:t>
                  </w:r>
                </w:p>
                <w:p w14:paraId="14F0F9C4">
                  <w:pPr>
                    <w:pStyle w:val="51"/>
                    <w:ind w:left="-8" w:leftChars="-4" w:firstLine="27" w:firstLineChars="15"/>
                    <w:jc w:val="left"/>
                    <w:rPr>
                      <w:color w:val="auto"/>
                      <w:sz w:val="18"/>
                      <w:szCs w:val="18"/>
                    </w:rPr>
                  </w:pPr>
                  <w:r>
                    <w:rPr>
                      <w:rFonts w:hint="eastAsia"/>
                      <w:color w:val="auto"/>
                      <w:sz w:val="18"/>
                      <w:szCs w:val="18"/>
                    </w:rPr>
                    <w:t>3、</w:t>
                  </w:r>
                  <w:r>
                    <w:rPr>
                      <w:color w:val="auto"/>
                      <w:sz w:val="18"/>
                      <w:szCs w:val="18"/>
                    </w:rPr>
                    <w:t>阀门有专人负责切换和维护。</w:t>
                  </w:r>
                </w:p>
              </w:tc>
            </w:tr>
            <w:tr w14:paraId="5D9C24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50" w:type="dxa"/>
                  <w:vAlign w:val="center"/>
                </w:tcPr>
                <w:p w14:paraId="5BE6E48F">
                  <w:pPr>
                    <w:jc w:val="center"/>
                    <w:rPr>
                      <w:color w:val="auto"/>
                      <w:sz w:val="18"/>
                      <w:szCs w:val="18"/>
                    </w:rPr>
                  </w:pPr>
                  <w:r>
                    <w:rPr>
                      <w:color w:val="auto"/>
                      <w:sz w:val="18"/>
                      <w:szCs w:val="18"/>
                    </w:rPr>
                    <w:t>2</w:t>
                  </w:r>
                </w:p>
              </w:tc>
              <w:tc>
                <w:tcPr>
                  <w:tcW w:w="1502" w:type="dxa"/>
                  <w:vAlign w:val="center"/>
                </w:tcPr>
                <w:p w14:paraId="6AA45441">
                  <w:pPr>
                    <w:pStyle w:val="51"/>
                    <w:ind w:left="-8" w:leftChars="-4" w:firstLine="27" w:firstLineChars="15"/>
                    <w:rPr>
                      <w:rFonts w:hint="eastAsia" w:eastAsia="宋体"/>
                      <w:color w:val="auto"/>
                      <w:sz w:val="18"/>
                      <w:szCs w:val="18"/>
                      <w:lang w:eastAsia="zh-CN"/>
                    </w:rPr>
                  </w:pPr>
                  <w:r>
                    <w:rPr>
                      <w:rFonts w:hint="eastAsia"/>
                      <w:color w:val="auto"/>
                      <w:sz w:val="18"/>
                      <w:szCs w:val="18"/>
                      <w:lang w:val="en-US" w:eastAsia="zh-CN"/>
                    </w:rPr>
                    <w:t>原料仓库、危废仓库</w:t>
                  </w:r>
                </w:p>
              </w:tc>
              <w:tc>
                <w:tcPr>
                  <w:tcW w:w="6036" w:type="dxa"/>
                  <w:vAlign w:val="center"/>
                </w:tcPr>
                <w:p w14:paraId="3D4136F4">
                  <w:pPr>
                    <w:pStyle w:val="51"/>
                    <w:ind w:left="-8" w:leftChars="-4" w:firstLine="27" w:firstLineChars="15"/>
                    <w:jc w:val="left"/>
                    <w:rPr>
                      <w:color w:val="auto"/>
                      <w:sz w:val="18"/>
                      <w:szCs w:val="18"/>
                    </w:rPr>
                  </w:pPr>
                  <w:r>
                    <w:rPr>
                      <w:color w:val="auto"/>
                      <w:sz w:val="18"/>
                      <w:szCs w:val="18"/>
                    </w:rPr>
                    <w:t>1、</w:t>
                  </w:r>
                  <w:r>
                    <w:rPr>
                      <w:rFonts w:hint="eastAsia"/>
                      <w:color w:val="auto"/>
                      <w:sz w:val="18"/>
                      <w:szCs w:val="18"/>
                      <w:lang w:val="en-US" w:eastAsia="zh-CN"/>
                    </w:rPr>
                    <w:t>原料仓库、危废仓库</w:t>
                  </w:r>
                  <w:r>
                    <w:rPr>
                      <w:color w:val="auto"/>
                      <w:sz w:val="18"/>
                      <w:szCs w:val="18"/>
                    </w:rPr>
                    <w:t>地面硬质化，能做到防渗漏、防腐蚀、防淋溶、防流失；</w:t>
                  </w:r>
                </w:p>
                <w:p w14:paraId="09E5F35A">
                  <w:pPr>
                    <w:pStyle w:val="51"/>
                    <w:ind w:left="-8" w:leftChars="-4" w:firstLine="27" w:firstLineChars="15"/>
                    <w:jc w:val="left"/>
                    <w:rPr>
                      <w:color w:val="auto"/>
                      <w:sz w:val="18"/>
                      <w:szCs w:val="18"/>
                    </w:rPr>
                  </w:pPr>
                  <w:r>
                    <w:rPr>
                      <w:rFonts w:hint="eastAsia"/>
                      <w:color w:val="auto"/>
                      <w:sz w:val="18"/>
                      <w:szCs w:val="18"/>
                    </w:rPr>
                    <w:t>2、</w:t>
                  </w:r>
                  <w:r>
                    <w:rPr>
                      <w:rFonts w:hint="eastAsia"/>
                      <w:color w:val="auto"/>
                      <w:sz w:val="18"/>
                      <w:szCs w:val="18"/>
                      <w:lang w:val="en-US" w:eastAsia="zh-CN"/>
                    </w:rPr>
                    <w:t>原料仓库、危废仓库</w:t>
                  </w:r>
                  <w:r>
                    <w:rPr>
                      <w:color w:val="auto"/>
                      <w:sz w:val="18"/>
                      <w:szCs w:val="18"/>
                    </w:rPr>
                    <w:t>四周设置挡水坎、排水沟、雨水管网，并设置了排水切换阀门，可将事故废水收集入事故应急池内，初期雨水通过雨水管网收集至初期雨水池，后期雨水则通过雨水管网外排；</w:t>
                  </w:r>
                </w:p>
                <w:p w14:paraId="30E85F48">
                  <w:pPr>
                    <w:pStyle w:val="51"/>
                    <w:ind w:left="-8" w:leftChars="-4" w:firstLine="27" w:firstLineChars="15"/>
                    <w:jc w:val="left"/>
                    <w:rPr>
                      <w:color w:val="auto"/>
                      <w:sz w:val="18"/>
                      <w:szCs w:val="18"/>
                    </w:rPr>
                  </w:pPr>
                  <w:r>
                    <w:rPr>
                      <w:rFonts w:hint="eastAsia"/>
                      <w:color w:val="auto"/>
                      <w:sz w:val="18"/>
                      <w:szCs w:val="18"/>
                    </w:rPr>
                    <w:t>3、危险废物分区分类存放，液态危险废物采用密闭桶装；危废库内设置导流槽、收集井，可及时对泄漏物进行收容处理，确保泄漏物不流出危废库外。</w:t>
                  </w:r>
                </w:p>
              </w:tc>
            </w:tr>
            <w:tr w14:paraId="3DD39D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650" w:type="dxa"/>
                  <w:vAlign w:val="center"/>
                </w:tcPr>
                <w:p w14:paraId="4A3D7A0F">
                  <w:pPr>
                    <w:jc w:val="center"/>
                    <w:rPr>
                      <w:color w:val="auto"/>
                      <w:sz w:val="18"/>
                      <w:szCs w:val="18"/>
                    </w:rPr>
                  </w:pPr>
                  <w:r>
                    <w:rPr>
                      <w:color w:val="auto"/>
                      <w:sz w:val="18"/>
                      <w:szCs w:val="18"/>
                    </w:rPr>
                    <w:t>3</w:t>
                  </w:r>
                </w:p>
              </w:tc>
              <w:tc>
                <w:tcPr>
                  <w:tcW w:w="1502" w:type="dxa"/>
                  <w:vAlign w:val="center"/>
                </w:tcPr>
                <w:p w14:paraId="613920B3">
                  <w:pPr>
                    <w:pStyle w:val="51"/>
                    <w:ind w:left="-8" w:leftChars="-4" w:firstLine="27" w:firstLineChars="15"/>
                    <w:rPr>
                      <w:rFonts w:hint="eastAsia" w:eastAsia="宋体"/>
                      <w:color w:val="auto"/>
                      <w:sz w:val="18"/>
                      <w:szCs w:val="18"/>
                      <w:lang w:eastAsia="zh-CN"/>
                    </w:rPr>
                  </w:pPr>
                  <w:r>
                    <w:rPr>
                      <w:color w:val="auto"/>
                      <w:sz w:val="18"/>
                      <w:szCs w:val="18"/>
                    </w:rPr>
                    <w:t>污水处理系统、</w:t>
                  </w:r>
                  <w:r>
                    <w:rPr>
                      <w:rFonts w:hint="eastAsia"/>
                      <w:color w:val="auto"/>
                      <w:sz w:val="18"/>
                      <w:szCs w:val="18"/>
                      <w:lang w:val="en-US" w:eastAsia="zh-CN"/>
                    </w:rPr>
                    <w:t>事故应急池</w:t>
                  </w:r>
                </w:p>
              </w:tc>
              <w:tc>
                <w:tcPr>
                  <w:tcW w:w="6036" w:type="dxa"/>
                  <w:vAlign w:val="center"/>
                </w:tcPr>
                <w:p w14:paraId="404BBECB">
                  <w:pPr>
                    <w:pStyle w:val="51"/>
                    <w:ind w:left="-8" w:leftChars="-4" w:firstLine="27" w:firstLineChars="15"/>
                    <w:jc w:val="left"/>
                    <w:rPr>
                      <w:color w:val="auto"/>
                      <w:sz w:val="18"/>
                      <w:szCs w:val="18"/>
                    </w:rPr>
                  </w:pPr>
                  <w:r>
                    <w:rPr>
                      <w:rFonts w:hint="eastAsia"/>
                      <w:color w:val="auto"/>
                      <w:sz w:val="18"/>
                      <w:szCs w:val="18"/>
                    </w:rPr>
                    <w:t>1、企业</w:t>
                  </w:r>
                  <w:r>
                    <w:rPr>
                      <w:color w:val="auto"/>
                      <w:sz w:val="18"/>
                      <w:szCs w:val="18"/>
                    </w:rPr>
                    <w:t>实行雨污分流</w:t>
                  </w:r>
                  <w:r>
                    <w:rPr>
                      <w:rFonts w:hint="eastAsia"/>
                      <w:color w:val="auto"/>
                      <w:sz w:val="18"/>
                      <w:szCs w:val="18"/>
                    </w:rPr>
                    <w:t>、污污分流、分质处理，</w:t>
                  </w:r>
                  <w:r>
                    <w:rPr>
                      <w:rFonts w:hint="eastAsia"/>
                      <w:color w:val="auto"/>
                      <w:sz w:val="18"/>
                      <w:szCs w:val="18"/>
                      <w:lang w:val="en-US" w:eastAsia="zh-CN"/>
                    </w:rPr>
                    <w:t>企业无生产废水排放，生活</w:t>
                  </w:r>
                  <w:r>
                    <w:rPr>
                      <w:color w:val="auto"/>
                      <w:sz w:val="18"/>
                      <w:szCs w:val="18"/>
                    </w:rPr>
                    <w:t>污水管线</w:t>
                  </w:r>
                  <w:r>
                    <w:rPr>
                      <w:rFonts w:hint="eastAsia"/>
                      <w:color w:val="auto"/>
                      <w:sz w:val="18"/>
                      <w:szCs w:val="18"/>
                      <w:lang w:val="en-US" w:eastAsia="zh-CN"/>
                    </w:rPr>
                    <w:t>已</w:t>
                  </w:r>
                  <w:r>
                    <w:rPr>
                      <w:color w:val="auto"/>
                      <w:sz w:val="18"/>
                      <w:szCs w:val="18"/>
                    </w:rPr>
                    <w:t>进行了防渗处理；</w:t>
                  </w:r>
                </w:p>
                <w:p w14:paraId="3B476AA9">
                  <w:pPr>
                    <w:pStyle w:val="51"/>
                    <w:ind w:left="-8" w:leftChars="-4" w:firstLine="27" w:firstLineChars="15"/>
                    <w:jc w:val="left"/>
                    <w:rPr>
                      <w:color w:val="auto"/>
                      <w:sz w:val="18"/>
                      <w:szCs w:val="18"/>
                    </w:rPr>
                  </w:pPr>
                  <w:r>
                    <w:rPr>
                      <w:rFonts w:hint="eastAsia"/>
                      <w:color w:val="auto"/>
                      <w:sz w:val="18"/>
                      <w:szCs w:val="18"/>
                    </w:rPr>
                    <w:t>2、</w:t>
                  </w:r>
                  <w:r>
                    <w:rPr>
                      <w:color w:val="auto"/>
                      <w:sz w:val="18"/>
                      <w:szCs w:val="18"/>
                    </w:rPr>
                    <w:t>厂区已</w:t>
                  </w:r>
                  <w:r>
                    <w:rPr>
                      <w:rFonts w:hint="eastAsia"/>
                      <w:color w:val="auto"/>
                      <w:sz w:val="18"/>
                      <w:szCs w:val="18"/>
                    </w:rPr>
                    <w:t>设置</w:t>
                  </w:r>
                  <w:r>
                    <w:rPr>
                      <w:color w:val="auto"/>
                      <w:sz w:val="18"/>
                      <w:szCs w:val="18"/>
                    </w:rPr>
                    <w:t>一座</w:t>
                  </w:r>
                  <w:r>
                    <w:rPr>
                      <w:rFonts w:hint="eastAsia"/>
                      <w:color w:val="auto"/>
                      <w:sz w:val="18"/>
                      <w:szCs w:val="18"/>
                      <w:lang w:val="en-US" w:eastAsia="zh-CN"/>
                    </w:rPr>
                    <w:t>35</w:t>
                  </w:r>
                  <w:r>
                    <w:rPr>
                      <w:color w:val="auto"/>
                      <w:sz w:val="18"/>
                      <w:szCs w:val="18"/>
                    </w:rPr>
                    <w:t>m</w:t>
                  </w:r>
                  <w:r>
                    <w:rPr>
                      <w:rFonts w:hint="eastAsia"/>
                      <w:color w:val="auto"/>
                      <w:sz w:val="18"/>
                      <w:szCs w:val="18"/>
                      <w:vertAlign w:val="superscript"/>
                    </w:rPr>
                    <w:t>3</w:t>
                  </w:r>
                  <w:r>
                    <w:rPr>
                      <w:color w:val="auto"/>
                      <w:sz w:val="18"/>
                      <w:szCs w:val="18"/>
                    </w:rPr>
                    <w:t>的事故应急池</w:t>
                  </w:r>
                  <w:r>
                    <w:rPr>
                      <w:rFonts w:hint="eastAsia"/>
                      <w:color w:val="auto"/>
                      <w:sz w:val="18"/>
                      <w:szCs w:val="18"/>
                      <w:lang w:eastAsia="zh-CN"/>
                    </w:rPr>
                    <w:t>，</w:t>
                  </w:r>
                  <w:r>
                    <w:rPr>
                      <w:color w:val="auto"/>
                      <w:sz w:val="18"/>
                      <w:szCs w:val="18"/>
                    </w:rPr>
                    <w:t>事故状态下，</w:t>
                  </w:r>
                  <w:r>
                    <w:rPr>
                      <w:rFonts w:hint="eastAsia"/>
                      <w:color w:val="auto"/>
                      <w:sz w:val="18"/>
                      <w:szCs w:val="18"/>
                    </w:rPr>
                    <w:t>关闭雨水排口闸阀，将事故废水收集至事故应急池，</w:t>
                  </w:r>
                  <w:r>
                    <w:rPr>
                      <w:rFonts w:hint="eastAsia"/>
                      <w:color w:val="auto"/>
                      <w:sz w:val="18"/>
                      <w:szCs w:val="18"/>
                      <w:lang w:val="en-US" w:eastAsia="zh-CN"/>
                    </w:rPr>
                    <w:t>事故结束后委托有资质单位处置。</w:t>
                  </w:r>
                </w:p>
              </w:tc>
            </w:tr>
          </w:tbl>
          <w:p w14:paraId="5B8AAB8D">
            <w:pPr>
              <w:autoSpaceDE w:val="0"/>
              <w:autoSpaceDN w:val="0"/>
              <w:adjustRightInd w:val="0"/>
              <w:snapToGrid w:val="0"/>
              <w:spacing w:line="400" w:lineRule="exact"/>
              <w:ind w:firstLine="420" w:firstLineChars="200"/>
              <w:jc w:val="left"/>
              <w:rPr>
                <w:color w:val="auto"/>
                <w:szCs w:val="21"/>
              </w:rPr>
            </w:pPr>
            <w:r>
              <w:rPr>
                <w:rFonts w:hint="eastAsia" w:ascii="宋体" w:hAnsi="宋体"/>
                <w:color w:val="auto"/>
                <w:szCs w:val="21"/>
              </w:rPr>
              <w:t>②</w:t>
            </w:r>
            <w:r>
              <w:rPr>
                <w:rFonts w:hint="eastAsia"/>
                <w:color w:val="auto"/>
                <w:szCs w:val="21"/>
              </w:rPr>
              <w:t>消防灭火系统</w:t>
            </w:r>
          </w:p>
          <w:p w14:paraId="2F407C23">
            <w:pPr>
              <w:autoSpaceDE w:val="0"/>
              <w:autoSpaceDN w:val="0"/>
              <w:adjustRightInd w:val="0"/>
              <w:snapToGrid w:val="0"/>
              <w:spacing w:line="400" w:lineRule="exact"/>
              <w:ind w:firstLine="420" w:firstLineChars="200"/>
              <w:jc w:val="left"/>
              <w:rPr>
                <w:color w:val="auto"/>
                <w:szCs w:val="21"/>
              </w:rPr>
            </w:pPr>
            <w:r>
              <w:rPr>
                <w:rFonts w:hint="eastAsia"/>
                <w:color w:val="auto"/>
                <w:szCs w:val="21"/>
              </w:rPr>
              <w:t>在厂区（</w:t>
            </w:r>
            <w:r>
              <w:rPr>
                <w:rFonts w:hint="eastAsia"/>
                <w:color w:val="auto"/>
                <w:szCs w:val="21"/>
                <w:lang w:val="en-US" w:eastAsia="zh-CN"/>
              </w:rPr>
              <w:t>原料仓库、危废仓库</w:t>
            </w:r>
            <w:r>
              <w:rPr>
                <w:rFonts w:hint="eastAsia"/>
                <w:color w:val="auto"/>
                <w:szCs w:val="21"/>
              </w:rPr>
              <w:t>、生产车间等区域）按标准配备灭火器材、消防器材，并定期检查，确保各器材正常使用。公司安环部专门定期组织人员对危险区域进行消防检查。凡禁火区均设置明显标志牌，安全出口及安全疏散距离符合《建筑设计防火规范》（2018版）的要求。厂区消防水采用独立稳定的消防水供水系统。</w:t>
            </w:r>
          </w:p>
          <w:p w14:paraId="42F66A30">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③火灾报警系统</w:t>
            </w:r>
          </w:p>
          <w:p w14:paraId="4773A37A">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color w:val="auto"/>
                <w:szCs w:val="21"/>
              </w:rPr>
              <w:t>在厂区（</w:t>
            </w:r>
            <w:r>
              <w:rPr>
                <w:rFonts w:hint="eastAsia"/>
                <w:color w:val="auto"/>
                <w:szCs w:val="21"/>
                <w:lang w:val="en-US" w:eastAsia="zh-CN"/>
              </w:rPr>
              <w:t>原料仓库、危废仓库</w:t>
            </w:r>
            <w:r>
              <w:rPr>
                <w:rFonts w:hint="eastAsia"/>
                <w:color w:val="auto"/>
                <w:szCs w:val="21"/>
              </w:rPr>
              <w:t>、生产车间等区域）</w:t>
            </w:r>
            <w:r>
              <w:rPr>
                <w:rFonts w:hint="eastAsia" w:ascii="宋体" w:hAnsi="宋体"/>
                <w:color w:val="auto"/>
                <w:szCs w:val="21"/>
              </w:rPr>
              <w:t>设有感烟、感温探测器，并与火灾报警系统实现联网监控。在各建筑物出入口设置火灾手动报警按钮，若发现火灾，工作人员立即按下附近的红色按钮并向公司应急指挥中心报告火灾情况。</w:t>
            </w:r>
          </w:p>
          <w:p w14:paraId="1DD22224">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④可燃气体报警系统</w:t>
            </w:r>
          </w:p>
          <w:p w14:paraId="28E6DEB5">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color w:val="auto"/>
                <w:szCs w:val="21"/>
              </w:rPr>
              <w:t>在厂区（</w:t>
            </w:r>
            <w:r>
              <w:rPr>
                <w:rFonts w:hint="eastAsia"/>
                <w:color w:val="auto"/>
                <w:szCs w:val="21"/>
                <w:lang w:val="en-US" w:eastAsia="zh-CN"/>
              </w:rPr>
              <w:t>原料仓库、危废仓库</w:t>
            </w:r>
            <w:r>
              <w:rPr>
                <w:rFonts w:hint="eastAsia"/>
                <w:color w:val="auto"/>
                <w:szCs w:val="21"/>
              </w:rPr>
              <w:t>、生产车间等区域）</w:t>
            </w:r>
            <w:r>
              <w:rPr>
                <w:rFonts w:hint="eastAsia" w:ascii="宋体" w:hAnsi="宋体"/>
                <w:color w:val="auto"/>
                <w:szCs w:val="21"/>
              </w:rPr>
              <w:t>设置可燃气体报警器，一旦生产和储存过程中可燃气体浓度接近极值点，可燃气体报警器发出声光报警，以提醒采取人员疏散、强制排风、关停设备等安全措施。生产车间根据需要配置便携式可燃气体检测仪，岗位一线员工按照工艺规范要求，每班检测两次并记录。</w:t>
            </w:r>
          </w:p>
          <w:p w14:paraId="42532C1A">
            <w:pPr>
              <w:autoSpaceDE w:val="0"/>
              <w:autoSpaceDN w:val="0"/>
              <w:adjustRightInd w:val="0"/>
              <w:snapToGrid w:val="0"/>
              <w:spacing w:line="400" w:lineRule="exact"/>
              <w:ind w:firstLine="420" w:firstLineChars="200"/>
              <w:jc w:val="left"/>
              <w:rPr>
                <w:color w:val="auto"/>
                <w:szCs w:val="21"/>
              </w:rPr>
            </w:pPr>
            <w:r>
              <w:rPr>
                <w:rFonts w:hint="eastAsia" w:ascii="宋体" w:hAnsi="宋体"/>
                <w:color w:val="auto"/>
                <w:szCs w:val="21"/>
              </w:rPr>
              <w:t>⑤其他监控措</w:t>
            </w:r>
            <w:r>
              <w:rPr>
                <w:color w:val="auto"/>
                <w:szCs w:val="21"/>
              </w:rPr>
              <w:t>施</w:t>
            </w:r>
          </w:p>
          <w:p w14:paraId="716A51DF">
            <w:pPr>
              <w:autoSpaceDE w:val="0"/>
              <w:autoSpaceDN w:val="0"/>
              <w:adjustRightInd w:val="0"/>
              <w:snapToGrid w:val="0"/>
              <w:spacing w:line="400" w:lineRule="exact"/>
              <w:ind w:firstLine="420" w:firstLineChars="200"/>
              <w:jc w:val="left"/>
              <w:rPr>
                <w:color w:val="auto"/>
                <w:szCs w:val="21"/>
              </w:rPr>
            </w:pPr>
            <w:r>
              <w:rPr>
                <w:color w:val="auto"/>
                <w:szCs w:val="21"/>
              </w:rPr>
              <w:t>厂区内主要道路、各建筑物及环保设施等重点关键部位设置摄像头监控，可实现全厂重点部位24小时监控；安全附件和仪表按国家相关法律法规强制检定，主要包括各压力容器、压力管道应该配备的安全阀、压力表等；公司设置值班人员和安全巡检人员，对厂区实行24小时巡回检查，并做好记录，建立相关台账、档案。</w:t>
            </w:r>
          </w:p>
          <w:p w14:paraId="6746931A">
            <w:pPr>
              <w:autoSpaceDE w:val="0"/>
              <w:autoSpaceDN w:val="0"/>
              <w:adjustRightInd w:val="0"/>
              <w:snapToGrid w:val="0"/>
              <w:spacing w:line="400" w:lineRule="exact"/>
              <w:ind w:firstLine="420" w:firstLineChars="200"/>
              <w:jc w:val="left"/>
              <w:rPr>
                <w:color w:val="auto"/>
                <w:szCs w:val="21"/>
              </w:rPr>
            </w:pPr>
            <w:r>
              <w:rPr>
                <w:rFonts w:hint="eastAsia"/>
                <w:color w:val="auto"/>
                <w:szCs w:val="21"/>
              </w:rPr>
              <w:t>现有项目应急物资与装备设置情况见表2-20。</w:t>
            </w:r>
          </w:p>
          <w:p w14:paraId="4CFA6AFF">
            <w:pPr>
              <w:adjustRightInd w:val="0"/>
              <w:snapToGrid w:val="0"/>
              <w:jc w:val="center"/>
              <w:rPr>
                <w:b/>
                <w:color w:val="auto"/>
                <w:vertAlign w:val="superscript"/>
              </w:rPr>
            </w:pPr>
            <w:r>
              <w:rPr>
                <w:b/>
                <w:color w:val="auto"/>
              </w:rPr>
              <w:t>表</w:t>
            </w:r>
            <w:r>
              <w:rPr>
                <w:rFonts w:hint="eastAsia"/>
                <w:b/>
                <w:color w:val="auto"/>
              </w:rPr>
              <w:t xml:space="preserve">2-20 </w:t>
            </w:r>
            <w:r>
              <w:rPr>
                <w:b/>
                <w:color w:val="auto"/>
              </w:rPr>
              <w:t xml:space="preserve"> 现有应急物资</w:t>
            </w:r>
            <w:r>
              <w:rPr>
                <w:rFonts w:hint="eastAsia"/>
                <w:b/>
                <w:color w:val="auto"/>
              </w:rPr>
              <w:t>与装备设置</w:t>
            </w:r>
            <w:r>
              <w:rPr>
                <w:b/>
                <w:color w:val="auto"/>
              </w:rPr>
              <w:t>一览表</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2254"/>
              <w:gridCol w:w="1575"/>
              <w:gridCol w:w="3379"/>
            </w:tblGrid>
            <w:tr w14:paraId="0C1A53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tcBorders>
                    <w:tl2br w:val="nil"/>
                    <w:tr2bl w:val="nil"/>
                  </w:tcBorders>
                  <w:vAlign w:val="center"/>
                </w:tcPr>
                <w:p w14:paraId="3DE798EC">
                  <w:pPr>
                    <w:pStyle w:val="51"/>
                    <w:ind w:left="-8" w:leftChars="-4" w:firstLine="27" w:firstLineChars="15"/>
                    <w:rPr>
                      <w:b/>
                      <w:bCs/>
                      <w:color w:val="auto"/>
                      <w:sz w:val="18"/>
                      <w:szCs w:val="18"/>
                    </w:rPr>
                  </w:pPr>
                  <w:r>
                    <w:rPr>
                      <w:b/>
                      <w:bCs/>
                      <w:color w:val="auto"/>
                      <w:sz w:val="18"/>
                      <w:szCs w:val="18"/>
                    </w:rPr>
                    <w:t>序号</w:t>
                  </w:r>
                </w:p>
              </w:tc>
              <w:tc>
                <w:tcPr>
                  <w:tcW w:w="1361" w:type="pct"/>
                  <w:tcBorders>
                    <w:tl2br w:val="nil"/>
                    <w:tr2bl w:val="nil"/>
                  </w:tcBorders>
                  <w:vAlign w:val="center"/>
                </w:tcPr>
                <w:p w14:paraId="78E258DE">
                  <w:pPr>
                    <w:pStyle w:val="51"/>
                    <w:ind w:left="-8" w:leftChars="-4" w:firstLine="27" w:firstLineChars="15"/>
                    <w:rPr>
                      <w:b/>
                      <w:bCs/>
                      <w:color w:val="auto"/>
                      <w:sz w:val="18"/>
                      <w:szCs w:val="18"/>
                    </w:rPr>
                  </w:pPr>
                  <w:r>
                    <w:rPr>
                      <w:b/>
                      <w:bCs/>
                      <w:color w:val="auto"/>
                      <w:sz w:val="18"/>
                      <w:szCs w:val="18"/>
                    </w:rPr>
                    <w:t>名称</w:t>
                  </w:r>
                </w:p>
              </w:tc>
              <w:tc>
                <w:tcPr>
                  <w:tcW w:w="951" w:type="pct"/>
                  <w:tcBorders>
                    <w:tl2br w:val="nil"/>
                    <w:tr2bl w:val="nil"/>
                  </w:tcBorders>
                  <w:vAlign w:val="center"/>
                </w:tcPr>
                <w:p w14:paraId="1E783343">
                  <w:pPr>
                    <w:pStyle w:val="51"/>
                    <w:ind w:left="-8" w:leftChars="-4" w:firstLine="27" w:firstLineChars="15"/>
                    <w:rPr>
                      <w:b/>
                      <w:bCs/>
                      <w:color w:val="auto"/>
                      <w:sz w:val="18"/>
                      <w:szCs w:val="18"/>
                    </w:rPr>
                  </w:pPr>
                  <w:r>
                    <w:rPr>
                      <w:b/>
                      <w:bCs/>
                      <w:color w:val="auto"/>
                      <w:sz w:val="18"/>
                      <w:szCs w:val="18"/>
                    </w:rPr>
                    <w:t>数量</w:t>
                  </w:r>
                </w:p>
              </w:tc>
              <w:tc>
                <w:tcPr>
                  <w:tcW w:w="2041" w:type="pct"/>
                  <w:tcBorders>
                    <w:tl2br w:val="nil"/>
                    <w:tr2bl w:val="nil"/>
                  </w:tcBorders>
                  <w:vAlign w:val="center"/>
                </w:tcPr>
                <w:p w14:paraId="04535980">
                  <w:pPr>
                    <w:pStyle w:val="51"/>
                    <w:ind w:left="-8" w:leftChars="-4" w:firstLine="27" w:firstLineChars="15"/>
                    <w:rPr>
                      <w:b/>
                      <w:bCs/>
                      <w:color w:val="auto"/>
                      <w:sz w:val="18"/>
                      <w:szCs w:val="18"/>
                    </w:rPr>
                  </w:pPr>
                  <w:r>
                    <w:rPr>
                      <w:rFonts w:hint="eastAsia"/>
                      <w:b/>
                      <w:bCs/>
                      <w:color w:val="auto"/>
                      <w:sz w:val="18"/>
                      <w:szCs w:val="18"/>
                    </w:rPr>
                    <w:t>存放位置</w:t>
                  </w:r>
                </w:p>
              </w:tc>
            </w:tr>
            <w:tr w14:paraId="3390DD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tcBorders>
                    <w:tl2br w:val="nil"/>
                    <w:tr2bl w:val="nil"/>
                  </w:tcBorders>
                  <w:vAlign w:val="center"/>
                </w:tcPr>
                <w:p w14:paraId="6907C62B">
                  <w:pPr>
                    <w:pStyle w:val="51"/>
                    <w:ind w:left="-8" w:leftChars="-4" w:firstLine="27" w:firstLineChars="15"/>
                    <w:rPr>
                      <w:color w:val="auto"/>
                      <w:sz w:val="18"/>
                      <w:szCs w:val="18"/>
                    </w:rPr>
                  </w:pPr>
                  <w:r>
                    <w:rPr>
                      <w:color w:val="auto"/>
                      <w:sz w:val="18"/>
                      <w:szCs w:val="18"/>
                    </w:rPr>
                    <w:t>1</w:t>
                  </w:r>
                </w:p>
              </w:tc>
              <w:tc>
                <w:tcPr>
                  <w:tcW w:w="1361" w:type="pct"/>
                  <w:tcBorders>
                    <w:tl2br w:val="nil"/>
                    <w:tr2bl w:val="nil"/>
                  </w:tcBorders>
                  <w:vAlign w:val="center"/>
                </w:tcPr>
                <w:p w14:paraId="6A4A48AB">
                  <w:pPr>
                    <w:pStyle w:val="51"/>
                    <w:ind w:left="-8" w:leftChars="-4" w:firstLine="27" w:firstLineChars="15"/>
                    <w:rPr>
                      <w:color w:val="auto"/>
                      <w:sz w:val="18"/>
                      <w:szCs w:val="18"/>
                    </w:rPr>
                  </w:pPr>
                  <w:r>
                    <w:rPr>
                      <w:rFonts w:hint="eastAsia"/>
                      <w:color w:val="auto"/>
                      <w:sz w:val="18"/>
                      <w:szCs w:val="18"/>
                    </w:rPr>
                    <w:t>温度计</w:t>
                  </w:r>
                </w:p>
              </w:tc>
              <w:tc>
                <w:tcPr>
                  <w:tcW w:w="951" w:type="pct"/>
                  <w:tcBorders>
                    <w:tl2br w:val="nil"/>
                    <w:tr2bl w:val="nil"/>
                  </w:tcBorders>
                  <w:vAlign w:val="center"/>
                </w:tcPr>
                <w:p w14:paraId="3ED2BB49">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10</w:t>
                  </w:r>
                </w:p>
              </w:tc>
              <w:tc>
                <w:tcPr>
                  <w:tcW w:w="2041" w:type="pct"/>
                  <w:vMerge w:val="restart"/>
                  <w:tcBorders>
                    <w:tl2br w:val="nil"/>
                    <w:tr2bl w:val="nil"/>
                  </w:tcBorders>
                  <w:vAlign w:val="center"/>
                </w:tcPr>
                <w:p w14:paraId="3567C054">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厂区、车间</w:t>
                  </w:r>
                </w:p>
              </w:tc>
            </w:tr>
            <w:tr w14:paraId="210C6F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tcBorders>
                    <w:tl2br w:val="nil"/>
                    <w:tr2bl w:val="nil"/>
                  </w:tcBorders>
                  <w:vAlign w:val="center"/>
                </w:tcPr>
                <w:p w14:paraId="5784E433">
                  <w:pPr>
                    <w:pStyle w:val="51"/>
                    <w:ind w:left="-8" w:leftChars="-4" w:firstLine="27" w:firstLineChars="15"/>
                    <w:rPr>
                      <w:color w:val="auto"/>
                      <w:sz w:val="18"/>
                      <w:szCs w:val="18"/>
                    </w:rPr>
                  </w:pPr>
                  <w:r>
                    <w:rPr>
                      <w:color w:val="auto"/>
                      <w:sz w:val="18"/>
                      <w:szCs w:val="18"/>
                    </w:rPr>
                    <w:t>2</w:t>
                  </w:r>
                </w:p>
              </w:tc>
              <w:tc>
                <w:tcPr>
                  <w:tcW w:w="1361" w:type="pct"/>
                  <w:tcBorders>
                    <w:tl2br w:val="nil"/>
                    <w:tr2bl w:val="nil"/>
                  </w:tcBorders>
                  <w:vAlign w:val="center"/>
                </w:tcPr>
                <w:p w14:paraId="20334D59">
                  <w:pPr>
                    <w:pStyle w:val="51"/>
                    <w:ind w:left="-8" w:leftChars="-4" w:firstLine="27" w:firstLineChars="15"/>
                    <w:rPr>
                      <w:color w:val="auto"/>
                      <w:sz w:val="18"/>
                      <w:szCs w:val="18"/>
                    </w:rPr>
                  </w:pPr>
                  <w:r>
                    <w:rPr>
                      <w:rFonts w:hint="eastAsia"/>
                      <w:color w:val="auto"/>
                      <w:sz w:val="18"/>
                      <w:szCs w:val="18"/>
                    </w:rPr>
                    <w:t>便携式 pH 计</w:t>
                  </w:r>
                </w:p>
              </w:tc>
              <w:tc>
                <w:tcPr>
                  <w:tcW w:w="951" w:type="pct"/>
                  <w:tcBorders>
                    <w:tl2br w:val="nil"/>
                    <w:tr2bl w:val="nil"/>
                  </w:tcBorders>
                  <w:vAlign w:val="center"/>
                </w:tcPr>
                <w:p w14:paraId="6B2B1A7C">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2</w:t>
                  </w:r>
                </w:p>
              </w:tc>
              <w:tc>
                <w:tcPr>
                  <w:tcW w:w="2041" w:type="pct"/>
                  <w:vMerge w:val="continue"/>
                  <w:tcBorders>
                    <w:tl2br w:val="nil"/>
                    <w:tr2bl w:val="nil"/>
                  </w:tcBorders>
                  <w:vAlign w:val="center"/>
                </w:tcPr>
                <w:p w14:paraId="6FA3E800">
                  <w:pPr>
                    <w:pStyle w:val="51"/>
                    <w:ind w:left="-8" w:leftChars="-4" w:firstLine="27" w:firstLineChars="15"/>
                    <w:rPr>
                      <w:color w:val="auto"/>
                      <w:sz w:val="18"/>
                      <w:szCs w:val="18"/>
                    </w:rPr>
                  </w:pPr>
                </w:p>
              </w:tc>
            </w:tr>
            <w:tr w14:paraId="423967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tcBorders>
                    <w:tl2br w:val="nil"/>
                    <w:tr2bl w:val="nil"/>
                  </w:tcBorders>
                  <w:vAlign w:val="center"/>
                </w:tcPr>
                <w:p w14:paraId="750C133E">
                  <w:pPr>
                    <w:pStyle w:val="51"/>
                    <w:ind w:left="-8" w:leftChars="-4" w:firstLine="27" w:firstLineChars="15"/>
                    <w:rPr>
                      <w:color w:val="auto"/>
                      <w:sz w:val="18"/>
                      <w:szCs w:val="18"/>
                    </w:rPr>
                  </w:pPr>
                  <w:r>
                    <w:rPr>
                      <w:color w:val="auto"/>
                      <w:sz w:val="18"/>
                      <w:szCs w:val="18"/>
                    </w:rPr>
                    <w:t>3</w:t>
                  </w:r>
                </w:p>
              </w:tc>
              <w:tc>
                <w:tcPr>
                  <w:tcW w:w="1361" w:type="pct"/>
                  <w:tcBorders>
                    <w:tl2br w:val="nil"/>
                    <w:tr2bl w:val="nil"/>
                  </w:tcBorders>
                  <w:vAlign w:val="center"/>
                </w:tcPr>
                <w:p w14:paraId="6B4B1819">
                  <w:pPr>
                    <w:pStyle w:val="51"/>
                    <w:ind w:left="-8" w:leftChars="-4" w:firstLine="27" w:firstLineChars="15"/>
                    <w:rPr>
                      <w:color w:val="auto"/>
                      <w:sz w:val="18"/>
                      <w:szCs w:val="18"/>
                    </w:rPr>
                  </w:pPr>
                  <w:r>
                    <w:rPr>
                      <w:rFonts w:hint="eastAsia"/>
                      <w:color w:val="auto"/>
                      <w:sz w:val="18"/>
                      <w:szCs w:val="18"/>
                    </w:rPr>
                    <w:t>pH 试纸</w:t>
                  </w:r>
                </w:p>
              </w:tc>
              <w:tc>
                <w:tcPr>
                  <w:tcW w:w="951" w:type="pct"/>
                  <w:tcBorders>
                    <w:tl2br w:val="nil"/>
                    <w:tr2bl w:val="nil"/>
                  </w:tcBorders>
                  <w:vAlign w:val="center"/>
                </w:tcPr>
                <w:p w14:paraId="3AE86A8C">
                  <w:pPr>
                    <w:pStyle w:val="51"/>
                    <w:ind w:left="-8" w:leftChars="-4" w:firstLine="27" w:firstLineChars="15"/>
                    <w:rPr>
                      <w:color w:val="auto"/>
                      <w:sz w:val="18"/>
                      <w:szCs w:val="18"/>
                    </w:rPr>
                  </w:pPr>
                  <w:r>
                    <w:rPr>
                      <w:rFonts w:hint="eastAsia"/>
                      <w:color w:val="auto"/>
                      <w:sz w:val="18"/>
                      <w:szCs w:val="18"/>
                      <w:lang w:val="en-US" w:eastAsia="zh-CN"/>
                    </w:rPr>
                    <w:t>50</w:t>
                  </w:r>
                </w:p>
              </w:tc>
              <w:tc>
                <w:tcPr>
                  <w:tcW w:w="2041" w:type="pct"/>
                  <w:vMerge w:val="continue"/>
                  <w:tcBorders>
                    <w:tl2br w:val="nil"/>
                    <w:tr2bl w:val="nil"/>
                  </w:tcBorders>
                  <w:vAlign w:val="center"/>
                </w:tcPr>
                <w:p w14:paraId="014C5341">
                  <w:pPr>
                    <w:pStyle w:val="51"/>
                    <w:ind w:left="-8" w:leftChars="-4" w:firstLine="27" w:firstLineChars="15"/>
                    <w:rPr>
                      <w:color w:val="auto"/>
                      <w:sz w:val="18"/>
                      <w:szCs w:val="18"/>
                    </w:rPr>
                  </w:pPr>
                </w:p>
              </w:tc>
            </w:tr>
            <w:tr w14:paraId="1BAB35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tcBorders>
                    <w:tl2br w:val="nil"/>
                    <w:tr2bl w:val="nil"/>
                  </w:tcBorders>
                  <w:vAlign w:val="center"/>
                </w:tcPr>
                <w:p w14:paraId="2F3A3513">
                  <w:pPr>
                    <w:pStyle w:val="51"/>
                    <w:ind w:left="-8" w:leftChars="-4" w:firstLine="27" w:firstLineChars="15"/>
                    <w:rPr>
                      <w:color w:val="auto"/>
                      <w:sz w:val="18"/>
                      <w:szCs w:val="18"/>
                    </w:rPr>
                  </w:pPr>
                  <w:r>
                    <w:rPr>
                      <w:color w:val="auto"/>
                      <w:sz w:val="18"/>
                      <w:szCs w:val="18"/>
                    </w:rPr>
                    <w:t>4</w:t>
                  </w:r>
                </w:p>
              </w:tc>
              <w:tc>
                <w:tcPr>
                  <w:tcW w:w="1361" w:type="pct"/>
                  <w:tcBorders>
                    <w:tl2br w:val="nil"/>
                    <w:tr2bl w:val="nil"/>
                  </w:tcBorders>
                  <w:vAlign w:val="center"/>
                </w:tcPr>
                <w:p w14:paraId="6712F04B">
                  <w:pPr>
                    <w:pStyle w:val="51"/>
                    <w:ind w:left="-8" w:leftChars="-4" w:firstLine="27" w:firstLineChars="15"/>
                    <w:rPr>
                      <w:color w:val="auto"/>
                      <w:sz w:val="18"/>
                      <w:szCs w:val="18"/>
                    </w:rPr>
                  </w:pPr>
                  <w:r>
                    <w:rPr>
                      <w:rFonts w:hint="eastAsia"/>
                      <w:color w:val="auto"/>
                      <w:sz w:val="18"/>
                      <w:szCs w:val="18"/>
                    </w:rPr>
                    <w:t>废水简易采样器</w:t>
                  </w:r>
                </w:p>
              </w:tc>
              <w:tc>
                <w:tcPr>
                  <w:tcW w:w="951" w:type="pct"/>
                  <w:tcBorders>
                    <w:tl2br w:val="nil"/>
                    <w:tr2bl w:val="nil"/>
                  </w:tcBorders>
                  <w:vAlign w:val="center"/>
                </w:tcPr>
                <w:p w14:paraId="5C9957A5">
                  <w:pPr>
                    <w:pStyle w:val="51"/>
                    <w:ind w:left="-8" w:leftChars="-4" w:firstLine="27" w:firstLineChars="15"/>
                    <w:rPr>
                      <w:rFonts w:hint="eastAsia" w:eastAsia="宋体"/>
                      <w:color w:val="auto"/>
                      <w:sz w:val="18"/>
                      <w:szCs w:val="18"/>
                      <w:lang w:val="en-US" w:eastAsia="zh-CN"/>
                    </w:rPr>
                  </w:pPr>
                  <w:r>
                    <w:rPr>
                      <w:rFonts w:hint="eastAsia"/>
                      <w:color w:val="auto"/>
                      <w:sz w:val="18"/>
                      <w:szCs w:val="18"/>
                      <w:lang w:val="en-US" w:eastAsia="zh-CN"/>
                    </w:rPr>
                    <w:t>2</w:t>
                  </w:r>
                </w:p>
              </w:tc>
              <w:tc>
                <w:tcPr>
                  <w:tcW w:w="2041" w:type="pct"/>
                  <w:vMerge w:val="continue"/>
                  <w:tcBorders>
                    <w:tl2br w:val="nil"/>
                    <w:tr2bl w:val="nil"/>
                  </w:tcBorders>
                  <w:vAlign w:val="center"/>
                </w:tcPr>
                <w:p w14:paraId="01C42C16">
                  <w:pPr>
                    <w:pStyle w:val="51"/>
                    <w:ind w:left="-8" w:leftChars="-4" w:firstLine="27" w:firstLineChars="15"/>
                    <w:rPr>
                      <w:color w:val="auto"/>
                      <w:sz w:val="18"/>
                      <w:szCs w:val="18"/>
                    </w:rPr>
                  </w:pPr>
                </w:p>
              </w:tc>
            </w:tr>
            <w:tr w14:paraId="6CB3F2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tcBorders>
                    <w:tl2br w:val="nil"/>
                    <w:tr2bl w:val="nil"/>
                  </w:tcBorders>
                  <w:vAlign w:val="center"/>
                </w:tcPr>
                <w:p w14:paraId="122526FF">
                  <w:pPr>
                    <w:pStyle w:val="51"/>
                    <w:ind w:left="-8" w:leftChars="-4" w:firstLine="27" w:firstLineChars="15"/>
                    <w:rPr>
                      <w:color w:val="auto"/>
                      <w:sz w:val="18"/>
                      <w:szCs w:val="18"/>
                    </w:rPr>
                  </w:pPr>
                  <w:r>
                    <w:rPr>
                      <w:color w:val="auto"/>
                      <w:sz w:val="18"/>
                      <w:szCs w:val="18"/>
                    </w:rPr>
                    <w:t>5</w:t>
                  </w:r>
                </w:p>
              </w:tc>
              <w:tc>
                <w:tcPr>
                  <w:tcW w:w="1361" w:type="pct"/>
                  <w:tcBorders>
                    <w:tl2br w:val="nil"/>
                    <w:tr2bl w:val="nil"/>
                  </w:tcBorders>
                  <w:vAlign w:val="center"/>
                </w:tcPr>
                <w:p w14:paraId="117F4278">
                  <w:pPr>
                    <w:pStyle w:val="51"/>
                    <w:ind w:left="-8" w:leftChars="-4" w:firstLine="27" w:firstLineChars="15"/>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视频探头</w:t>
                  </w:r>
                </w:p>
              </w:tc>
              <w:tc>
                <w:tcPr>
                  <w:tcW w:w="951" w:type="pct"/>
                  <w:tcBorders>
                    <w:tl2br w:val="nil"/>
                    <w:tr2bl w:val="nil"/>
                  </w:tcBorders>
                  <w:vAlign w:val="center"/>
                </w:tcPr>
                <w:p w14:paraId="5A25B0DC">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158</w:t>
                  </w:r>
                </w:p>
              </w:tc>
              <w:tc>
                <w:tcPr>
                  <w:tcW w:w="2041" w:type="pct"/>
                  <w:vMerge w:val="continue"/>
                  <w:tcBorders>
                    <w:tl2br w:val="nil"/>
                    <w:tr2bl w:val="nil"/>
                  </w:tcBorders>
                  <w:vAlign w:val="center"/>
                </w:tcPr>
                <w:p w14:paraId="72FEDBC2">
                  <w:pPr>
                    <w:pStyle w:val="51"/>
                    <w:ind w:left="-8" w:leftChars="-4" w:firstLine="27" w:firstLineChars="15"/>
                    <w:rPr>
                      <w:color w:val="auto"/>
                      <w:sz w:val="18"/>
                      <w:szCs w:val="18"/>
                    </w:rPr>
                  </w:pPr>
                </w:p>
              </w:tc>
            </w:tr>
            <w:tr w14:paraId="4D31AA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tcBorders>
                    <w:tl2br w:val="nil"/>
                    <w:tr2bl w:val="nil"/>
                  </w:tcBorders>
                  <w:vAlign w:val="center"/>
                </w:tcPr>
                <w:p w14:paraId="4E704AD4">
                  <w:pPr>
                    <w:pStyle w:val="51"/>
                    <w:ind w:left="-8" w:leftChars="-4" w:firstLine="27" w:firstLineChars="15"/>
                    <w:rPr>
                      <w:color w:val="auto"/>
                      <w:sz w:val="18"/>
                      <w:szCs w:val="18"/>
                    </w:rPr>
                  </w:pPr>
                  <w:r>
                    <w:rPr>
                      <w:color w:val="auto"/>
                      <w:sz w:val="18"/>
                      <w:szCs w:val="18"/>
                    </w:rPr>
                    <w:t>6</w:t>
                  </w:r>
                </w:p>
              </w:tc>
              <w:tc>
                <w:tcPr>
                  <w:tcW w:w="1361" w:type="pct"/>
                  <w:tcBorders>
                    <w:tl2br w:val="nil"/>
                    <w:tr2bl w:val="nil"/>
                  </w:tcBorders>
                  <w:vAlign w:val="center"/>
                </w:tcPr>
                <w:p w14:paraId="44F38B58">
                  <w:pPr>
                    <w:pStyle w:val="51"/>
                    <w:ind w:left="-8" w:leftChars="-4" w:firstLine="27" w:firstLineChars="15"/>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有毒气体报警器</w:t>
                  </w:r>
                </w:p>
              </w:tc>
              <w:tc>
                <w:tcPr>
                  <w:tcW w:w="951" w:type="pct"/>
                  <w:tcBorders>
                    <w:tl2br w:val="nil"/>
                    <w:tr2bl w:val="nil"/>
                  </w:tcBorders>
                  <w:vAlign w:val="center"/>
                </w:tcPr>
                <w:p w14:paraId="4E359120">
                  <w:pPr>
                    <w:pStyle w:val="51"/>
                    <w:ind w:left="-8" w:leftChars="-4" w:firstLine="27" w:firstLineChars="15"/>
                    <w:rPr>
                      <w:rFonts w:hint="eastAsia" w:eastAsia="宋体"/>
                      <w:color w:val="auto"/>
                      <w:sz w:val="18"/>
                      <w:szCs w:val="18"/>
                      <w:lang w:val="en-US" w:eastAsia="zh-CN"/>
                    </w:rPr>
                  </w:pPr>
                  <w:r>
                    <w:rPr>
                      <w:rFonts w:hint="eastAsia"/>
                      <w:color w:val="auto"/>
                      <w:sz w:val="18"/>
                      <w:szCs w:val="18"/>
                      <w:lang w:val="en-US" w:eastAsia="zh-CN"/>
                    </w:rPr>
                    <w:t>1</w:t>
                  </w:r>
                </w:p>
              </w:tc>
              <w:tc>
                <w:tcPr>
                  <w:tcW w:w="2041" w:type="pct"/>
                  <w:tcBorders>
                    <w:tl2br w:val="nil"/>
                    <w:tr2bl w:val="nil"/>
                  </w:tcBorders>
                  <w:vAlign w:val="center"/>
                </w:tcPr>
                <w:p w14:paraId="780D5083">
                  <w:pPr>
                    <w:pStyle w:val="51"/>
                    <w:ind w:left="-8" w:leftChars="-4" w:firstLine="27" w:firstLineChars="15"/>
                    <w:rPr>
                      <w:color w:val="auto"/>
                      <w:sz w:val="18"/>
                      <w:szCs w:val="18"/>
                    </w:rPr>
                  </w:pPr>
                  <w:r>
                    <w:rPr>
                      <w:rFonts w:hint="eastAsia"/>
                      <w:color w:val="auto"/>
                      <w:sz w:val="18"/>
                      <w:szCs w:val="18"/>
                    </w:rPr>
                    <w:t>微型消防站</w:t>
                  </w:r>
                </w:p>
              </w:tc>
            </w:tr>
            <w:tr w14:paraId="4BD4E8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tcBorders>
                    <w:tl2br w:val="nil"/>
                    <w:tr2bl w:val="nil"/>
                  </w:tcBorders>
                  <w:vAlign w:val="center"/>
                </w:tcPr>
                <w:p w14:paraId="056CA343">
                  <w:pPr>
                    <w:pStyle w:val="51"/>
                    <w:ind w:left="-8" w:leftChars="-4" w:firstLine="27" w:firstLineChars="15"/>
                    <w:rPr>
                      <w:color w:val="auto"/>
                      <w:sz w:val="18"/>
                      <w:szCs w:val="18"/>
                    </w:rPr>
                  </w:pPr>
                  <w:r>
                    <w:rPr>
                      <w:color w:val="auto"/>
                      <w:sz w:val="18"/>
                      <w:szCs w:val="18"/>
                    </w:rPr>
                    <w:t>7</w:t>
                  </w:r>
                </w:p>
              </w:tc>
              <w:tc>
                <w:tcPr>
                  <w:tcW w:w="1361" w:type="pct"/>
                  <w:tcBorders>
                    <w:tl2br w:val="nil"/>
                    <w:tr2bl w:val="nil"/>
                  </w:tcBorders>
                  <w:vAlign w:val="center"/>
                </w:tcPr>
                <w:p w14:paraId="33BFE59B">
                  <w:pPr>
                    <w:pStyle w:val="51"/>
                    <w:ind w:left="-8" w:leftChars="-4" w:firstLine="27" w:firstLineChars="15"/>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防护口罩</w:t>
                  </w:r>
                </w:p>
              </w:tc>
              <w:tc>
                <w:tcPr>
                  <w:tcW w:w="951" w:type="pct"/>
                  <w:tcBorders>
                    <w:tl2br w:val="nil"/>
                    <w:tr2bl w:val="nil"/>
                  </w:tcBorders>
                  <w:vAlign w:val="center"/>
                </w:tcPr>
                <w:p w14:paraId="63D841D9">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5800</w:t>
                  </w:r>
                </w:p>
              </w:tc>
              <w:tc>
                <w:tcPr>
                  <w:tcW w:w="2041" w:type="pct"/>
                  <w:tcBorders>
                    <w:tl2br w:val="nil"/>
                    <w:tr2bl w:val="nil"/>
                  </w:tcBorders>
                  <w:vAlign w:val="center"/>
                </w:tcPr>
                <w:p w14:paraId="7A631A2A">
                  <w:pPr>
                    <w:pStyle w:val="51"/>
                    <w:ind w:left="-8" w:leftChars="-4" w:firstLine="27" w:firstLineChars="15"/>
                    <w:rPr>
                      <w:rFonts w:hint="eastAsia" w:eastAsia="宋体"/>
                      <w:color w:val="auto"/>
                      <w:sz w:val="18"/>
                      <w:szCs w:val="18"/>
                      <w:lang w:val="en-US" w:eastAsia="zh-CN"/>
                    </w:rPr>
                  </w:pPr>
                  <w:r>
                    <w:rPr>
                      <w:rFonts w:hint="eastAsia"/>
                      <w:color w:val="auto"/>
                      <w:sz w:val="18"/>
                      <w:szCs w:val="18"/>
                      <w:lang w:val="en-US" w:eastAsia="zh-CN"/>
                    </w:rPr>
                    <w:t>门卫</w:t>
                  </w:r>
                </w:p>
              </w:tc>
            </w:tr>
            <w:tr w14:paraId="51430F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tcBorders>
                    <w:tl2br w:val="nil"/>
                    <w:tr2bl w:val="nil"/>
                  </w:tcBorders>
                  <w:vAlign w:val="center"/>
                </w:tcPr>
                <w:p w14:paraId="41E2CB31">
                  <w:pPr>
                    <w:pStyle w:val="51"/>
                    <w:ind w:left="-8" w:leftChars="-4" w:firstLine="27" w:firstLineChars="15"/>
                    <w:rPr>
                      <w:color w:val="auto"/>
                      <w:sz w:val="18"/>
                      <w:szCs w:val="18"/>
                    </w:rPr>
                  </w:pPr>
                  <w:r>
                    <w:rPr>
                      <w:color w:val="auto"/>
                      <w:sz w:val="18"/>
                      <w:szCs w:val="18"/>
                    </w:rPr>
                    <w:t>8</w:t>
                  </w:r>
                </w:p>
              </w:tc>
              <w:tc>
                <w:tcPr>
                  <w:tcW w:w="1361" w:type="pct"/>
                  <w:tcBorders>
                    <w:tl2br w:val="nil"/>
                    <w:tr2bl w:val="nil"/>
                  </w:tcBorders>
                  <w:vAlign w:val="center"/>
                </w:tcPr>
                <w:p w14:paraId="3499F25D">
                  <w:pPr>
                    <w:pStyle w:val="51"/>
                    <w:ind w:left="-8" w:leftChars="-4" w:firstLine="27" w:firstLineChars="15"/>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防护服</w:t>
                  </w:r>
                </w:p>
              </w:tc>
              <w:tc>
                <w:tcPr>
                  <w:tcW w:w="951" w:type="pct"/>
                  <w:tcBorders>
                    <w:tl2br w:val="nil"/>
                    <w:tr2bl w:val="nil"/>
                  </w:tcBorders>
                  <w:vAlign w:val="center"/>
                </w:tcPr>
                <w:p w14:paraId="10F3B247">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10</w:t>
                  </w:r>
                </w:p>
              </w:tc>
              <w:tc>
                <w:tcPr>
                  <w:tcW w:w="2041" w:type="pct"/>
                  <w:tcBorders>
                    <w:tl2br w:val="nil"/>
                    <w:tr2bl w:val="nil"/>
                  </w:tcBorders>
                  <w:vAlign w:val="center"/>
                </w:tcPr>
                <w:p w14:paraId="700B151F">
                  <w:pPr>
                    <w:pStyle w:val="51"/>
                    <w:ind w:left="-8" w:leftChars="-4" w:firstLine="27" w:firstLineChars="15"/>
                    <w:rPr>
                      <w:color w:val="auto"/>
                      <w:sz w:val="18"/>
                      <w:szCs w:val="18"/>
                    </w:rPr>
                  </w:pPr>
                  <w:r>
                    <w:rPr>
                      <w:rFonts w:hint="eastAsia"/>
                      <w:color w:val="auto"/>
                      <w:sz w:val="18"/>
                      <w:szCs w:val="18"/>
                    </w:rPr>
                    <w:t>微型消防站</w:t>
                  </w:r>
                </w:p>
              </w:tc>
            </w:tr>
            <w:tr w14:paraId="4EE704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tcBorders>
                    <w:tl2br w:val="nil"/>
                    <w:tr2bl w:val="nil"/>
                  </w:tcBorders>
                  <w:vAlign w:val="center"/>
                </w:tcPr>
                <w:p w14:paraId="14BB5594">
                  <w:pPr>
                    <w:pStyle w:val="51"/>
                    <w:ind w:left="-8" w:leftChars="-4" w:firstLine="27" w:firstLineChars="15"/>
                    <w:rPr>
                      <w:color w:val="auto"/>
                      <w:sz w:val="18"/>
                      <w:szCs w:val="18"/>
                    </w:rPr>
                  </w:pPr>
                  <w:r>
                    <w:rPr>
                      <w:color w:val="auto"/>
                      <w:sz w:val="18"/>
                      <w:szCs w:val="18"/>
                    </w:rPr>
                    <w:t>9</w:t>
                  </w:r>
                </w:p>
              </w:tc>
              <w:tc>
                <w:tcPr>
                  <w:tcW w:w="1361" w:type="pct"/>
                  <w:tcBorders>
                    <w:tl2br w:val="nil"/>
                    <w:tr2bl w:val="nil"/>
                  </w:tcBorders>
                  <w:vAlign w:val="center"/>
                </w:tcPr>
                <w:p w14:paraId="71CECA2E">
                  <w:pPr>
                    <w:pStyle w:val="51"/>
                    <w:ind w:left="-8" w:leftChars="-4" w:firstLine="27" w:firstLineChars="15"/>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防护眼镜</w:t>
                  </w:r>
                </w:p>
              </w:tc>
              <w:tc>
                <w:tcPr>
                  <w:tcW w:w="951" w:type="pct"/>
                  <w:tcBorders>
                    <w:tl2br w:val="nil"/>
                    <w:tr2bl w:val="nil"/>
                  </w:tcBorders>
                  <w:vAlign w:val="center"/>
                </w:tcPr>
                <w:p w14:paraId="252F487D">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20</w:t>
                  </w:r>
                </w:p>
              </w:tc>
              <w:tc>
                <w:tcPr>
                  <w:tcW w:w="2041" w:type="pct"/>
                  <w:tcBorders>
                    <w:tl2br w:val="nil"/>
                    <w:tr2bl w:val="nil"/>
                  </w:tcBorders>
                  <w:vAlign w:val="center"/>
                </w:tcPr>
                <w:p w14:paraId="21FCADF7">
                  <w:pPr>
                    <w:pStyle w:val="51"/>
                    <w:ind w:left="-8" w:leftChars="-4" w:firstLine="27" w:firstLineChars="15"/>
                    <w:rPr>
                      <w:rFonts w:hint="eastAsia" w:eastAsia="宋体"/>
                      <w:color w:val="auto"/>
                      <w:sz w:val="18"/>
                      <w:szCs w:val="18"/>
                      <w:lang w:val="en-US" w:eastAsia="zh-CN"/>
                    </w:rPr>
                  </w:pPr>
                  <w:r>
                    <w:rPr>
                      <w:rFonts w:hint="eastAsia"/>
                      <w:color w:val="auto"/>
                      <w:sz w:val="18"/>
                      <w:szCs w:val="18"/>
                      <w:lang w:val="en-US" w:eastAsia="zh-CN"/>
                    </w:rPr>
                    <w:t>仓库</w:t>
                  </w:r>
                </w:p>
              </w:tc>
            </w:tr>
            <w:tr w14:paraId="611569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tcBorders>
                    <w:tl2br w:val="nil"/>
                    <w:tr2bl w:val="nil"/>
                  </w:tcBorders>
                  <w:vAlign w:val="center"/>
                </w:tcPr>
                <w:p w14:paraId="0FA6D08C">
                  <w:pPr>
                    <w:pStyle w:val="51"/>
                    <w:ind w:left="-8" w:leftChars="-4" w:firstLine="27" w:firstLineChars="15"/>
                    <w:rPr>
                      <w:color w:val="auto"/>
                      <w:sz w:val="18"/>
                      <w:szCs w:val="18"/>
                    </w:rPr>
                  </w:pPr>
                  <w:r>
                    <w:rPr>
                      <w:color w:val="auto"/>
                      <w:sz w:val="18"/>
                      <w:szCs w:val="18"/>
                    </w:rPr>
                    <w:t>10</w:t>
                  </w:r>
                </w:p>
              </w:tc>
              <w:tc>
                <w:tcPr>
                  <w:tcW w:w="1361" w:type="pct"/>
                  <w:tcBorders>
                    <w:tl2br w:val="nil"/>
                    <w:tr2bl w:val="nil"/>
                  </w:tcBorders>
                  <w:vAlign w:val="center"/>
                </w:tcPr>
                <w:p w14:paraId="0D9B423C">
                  <w:pPr>
                    <w:pStyle w:val="51"/>
                    <w:ind w:left="-8" w:leftChars="-4" w:firstLine="27" w:firstLineChars="15"/>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橡胶手套</w:t>
                  </w:r>
                </w:p>
              </w:tc>
              <w:tc>
                <w:tcPr>
                  <w:tcW w:w="951" w:type="pct"/>
                  <w:tcBorders>
                    <w:tl2br w:val="nil"/>
                    <w:tr2bl w:val="nil"/>
                  </w:tcBorders>
                  <w:vAlign w:val="center"/>
                </w:tcPr>
                <w:p w14:paraId="1848B431">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10</w:t>
                  </w:r>
                </w:p>
              </w:tc>
              <w:tc>
                <w:tcPr>
                  <w:tcW w:w="2041" w:type="pct"/>
                  <w:tcBorders>
                    <w:tl2br w:val="nil"/>
                    <w:tr2bl w:val="nil"/>
                  </w:tcBorders>
                  <w:vAlign w:val="center"/>
                </w:tcPr>
                <w:p w14:paraId="38357EB6">
                  <w:pPr>
                    <w:pStyle w:val="51"/>
                    <w:ind w:left="-8" w:leftChars="-4" w:firstLine="27" w:firstLineChars="15"/>
                    <w:rPr>
                      <w:color w:val="auto"/>
                      <w:sz w:val="18"/>
                      <w:szCs w:val="18"/>
                    </w:rPr>
                  </w:pPr>
                  <w:r>
                    <w:rPr>
                      <w:rFonts w:hint="eastAsia"/>
                      <w:color w:val="auto"/>
                      <w:sz w:val="18"/>
                      <w:szCs w:val="18"/>
                    </w:rPr>
                    <w:t>微型消防站</w:t>
                  </w:r>
                </w:p>
              </w:tc>
            </w:tr>
            <w:tr w14:paraId="4CB7A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tcBorders>
                    <w:tl2br w:val="nil"/>
                    <w:tr2bl w:val="nil"/>
                  </w:tcBorders>
                  <w:vAlign w:val="center"/>
                </w:tcPr>
                <w:p w14:paraId="0D89E68D">
                  <w:pPr>
                    <w:pStyle w:val="51"/>
                    <w:ind w:left="-8" w:leftChars="-4" w:firstLine="27" w:firstLineChars="15"/>
                    <w:rPr>
                      <w:color w:val="auto"/>
                      <w:sz w:val="18"/>
                      <w:szCs w:val="18"/>
                    </w:rPr>
                  </w:pPr>
                  <w:r>
                    <w:rPr>
                      <w:color w:val="auto"/>
                      <w:sz w:val="18"/>
                      <w:szCs w:val="18"/>
                    </w:rPr>
                    <w:t>11</w:t>
                  </w:r>
                </w:p>
              </w:tc>
              <w:tc>
                <w:tcPr>
                  <w:tcW w:w="1361" w:type="pct"/>
                  <w:tcBorders>
                    <w:tl2br w:val="nil"/>
                    <w:tr2bl w:val="nil"/>
                  </w:tcBorders>
                  <w:vAlign w:val="center"/>
                </w:tcPr>
                <w:p w14:paraId="7E5E5E59">
                  <w:pPr>
                    <w:pStyle w:val="51"/>
                    <w:ind w:left="-8" w:leftChars="-4" w:firstLine="27" w:firstLineChars="15"/>
                    <w:rPr>
                      <w:rFonts w:hint="eastAsia"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警示牌</w:t>
                  </w:r>
                </w:p>
              </w:tc>
              <w:tc>
                <w:tcPr>
                  <w:tcW w:w="951" w:type="pct"/>
                  <w:tcBorders>
                    <w:tl2br w:val="nil"/>
                    <w:tr2bl w:val="nil"/>
                  </w:tcBorders>
                  <w:vAlign w:val="center"/>
                </w:tcPr>
                <w:p w14:paraId="05568634">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50</w:t>
                  </w:r>
                </w:p>
              </w:tc>
              <w:tc>
                <w:tcPr>
                  <w:tcW w:w="2041" w:type="pct"/>
                  <w:tcBorders>
                    <w:tl2br w:val="nil"/>
                    <w:tr2bl w:val="nil"/>
                  </w:tcBorders>
                  <w:vAlign w:val="center"/>
                </w:tcPr>
                <w:p w14:paraId="636734C2">
                  <w:pPr>
                    <w:pStyle w:val="51"/>
                    <w:ind w:left="-8" w:leftChars="-4" w:firstLine="27" w:firstLineChars="15"/>
                    <w:rPr>
                      <w:color w:val="auto"/>
                      <w:sz w:val="18"/>
                      <w:szCs w:val="18"/>
                    </w:rPr>
                  </w:pPr>
                  <w:r>
                    <w:rPr>
                      <w:rFonts w:hint="eastAsia"/>
                      <w:color w:val="auto"/>
                      <w:sz w:val="18"/>
                      <w:szCs w:val="18"/>
                      <w:lang w:val="en-US" w:eastAsia="zh-CN"/>
                    </w:rPr>
                    <w:t>厂区、车间</w:t>
                  </w:r>
                </w:p>
              </w:tc>
            </w:tr>
            <w:tr w14:paraId="44CB20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tcBorders>
                    <w:tl2br w:val="nil"/>
                    <w:tr2bl w:val="nil"/>
                  </w:tcBorders>
                  <w:vAlign w:val="center"/>
                </w:tcPr>
                <w:p w14:paraId="3B8792C5">
                  <w:pPr>
                    <w:pStyle w:val="51"/>
                    <w:ind w:left="-8" w:leftChars="-4" w:firstLine="27" w:firstLineChars="15"/>
                    <w:rPr>
                      <w:color w:val="auto"/>
                      <w:sz w:val="18"/>
                      <w:szCs w:val="18"/>
                    </w:rPr>
                  </w:pPr>
                  <w:r>
                    <w:rPr>
                      <w:color w:val="auto"/>
                      <w:sz w:val="18"/>
                      <w:szCs w:val="18"/>
                    </w:rPr>
                    <w:t>12</w:t>
                  </w:r>
                </w:p>
              </w:tc>
              <w:tc>
                <w:tcPr>
                  <w:tcW w:w="1361" w:type="pct"/>
                  <w:tcBorders>
                    <w:tl2br w:val="nil"/>
                    <w:tr2bl w:val="nil"/>
                  </w:tcBorders>
                  <w:vAlign w:val="center"/>
                </w:tcPr>
                <w:p w14:paraId="5B16558C">
                  <w:pPr>
                    <w:pStyle w:val="51"/>
                    <w:ind w:left="-8" w:leftChars="-4" w:firstLine="27" w:firstLineChars="15"/>
                    <w:rPr>
                      <w:color w:val="auto"/>
                      <w:sz w:val="18"/>
                      <w:szCs w:val="18"/>
                    </w:rPr>
                  </w:pPr>
                  <w:r>
                    <w:rPr>
                      <w:rFonts w:hint="eastAsia"/>
                      <w:color w:val="auto"/>
                      <w:sz w:val="18"/>
                      <w:szCs w:val="18"/>
                    </w:rPr>
                    <w:t>警铃</w:t>
                  </w:r>
                </w:p>
              </w:tc>
              <w:tc>
                <w:tcPr>
                  <w:tcW w:w="951" w:type="pct"/>
                  <w:tcBorders>
                    <w:tl2br w:val="nil"/>
                    <w:tr2bl w:val="nil"/>
                  </w:tcBorders>
                  <w:vAlign w:val="center"/>
                </w:tcPr>
                <w:p w14:paraId="02DCCEBA">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10</w:t>
                  </w:r>
                </w:p>
              </w:tc>
              <w:tc>
                <w:tcPr>
                  <w:tcW w:w="2041" w:type="pct"/>
                  <w:tcBorders>
                    <w:tl2br w:val="nil"/>
                    <w:tr2bl w:val="nil"/>
                  </w:tcBorders>
                  <w:vAlign w:val="center"/>
                </w:tcPr>
                <w:p w14:paraId="6BF37A81">
                  <w:pPr>
                    <w:pStyle w:val="51"/>
                    <w:ind w:left="-8" w:leftChars="-4" w:firstLine="27" w:firstLineChars="15"/>
                    <w:rPr>
                      <w:rFonts w:hint="default"/>
                      <w:color w:val="auto"/>
                      <w:sz w:val="18"/>
                      <w:szCs w:val="18"/>
                      <w:lang w:val="en-US"/>
                    </w:rPr>
                  </w:pPr>
                  <w:r>
                    <w:rPr>
                      <w:rFonts w:hint="eastAsia"/>
                      <w:color w:val="auto"/>
                      <w:sz w:val="18"/>
                      <w:szCs w:val="18"/>
                      <w:lang w:val="en-US" w:eastAsia="zh-CN"/>
                    </w:rPr>
                    <w:t xml:space="preserve">厂区 </w:t>
                  </w:r>
                </w:p>
              </w:tc>
            </w:tr>
            <w:tr w14:paraId="538308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tcBorders>
                    <w:tl2br w:val="nil"/>
                    <w:tr2bl w:val="nil"/>
                  </w:tcBorders>
                  <w:vAlign w:val="center"/>
                </w:tcPr>
                <w:p w14:paraId="3FA8C6C6">
                  <w:pPr>
                    <w:pStyle w:val="51"/>
                    <w:ind w:left="-8" w:leftChars="-4" w:firstLine="27" w:firstLineChars="15"/>
                    <w:rPr>
                      <w:color w:val="auto"/>
                      <w:sz w:val="18"/>
                      <w:szCs w:val="18"/>
                    </w:rPr>
                  </w:pPr>
                  <w:r>
                    <w:rPr>
                      <w:color w:val="auto"/>
                      <w:sz w:val="18"/>
                      <w:szCs w:val="18"/>
                    </w:rPr>
                    <w:t>13</w:t>
                  </w:r>
                </w:p>
              </w:tc>
              <w:tc>
                <w:tcPr>
                  <w:tcW w:w="1361" w:type="pct"/>
                  <w:tcBorders>
                    <w:tl2br w:val="nil"/>
                    <w:tr2bl w:val="nil"/>
                  </w:tcBorders>
                  <w:shd w:val="clear" w:color="auto" w:fill="auto"/>
                  <w:vAlign w:val="center"/>
                </w:tcPr>
                <w:p w14:paraId="48DE8274">
                  <w:pPr>
                    <w:spacing w:line="300" w:lineRule="exact"/>
                    <w:jc w:val="center"/>
                    <w:rPr>
                      <w:rFonts w:ascii="Times New Roman" w:hAnsi="Times New Roman" w:eastAsia="宋体" w:cs="Times New Roman"/>
                      <w:color w:val="auto"/>
                      <w:kern w:val="0"/>
                      <w:position w:val="-1"/>
                      <w:sz w:val="18"/>
                      <w:szCs w:val="18"/>
                      <w:lang w:val="en-US" w:eastAsia="zh-CN" w:bidi="ar-SA"/>
                    </w:rPr>
                  </w:pPr>
                  <w:r>
                    <w:rPr>
                      <w:rFonts w:hint="eastAsia"/>
                      <w:color w:val="auto"/>
                      <w:kern w:val="0"/>
                      <w:position w:val="-1"/>
                      <w:sz w:val="18"/>
                      <w:szCs w:val="18"/>
                    </w:rPr>
                    <w:t>消防系统主机</w:t>
                  </w:r>
                </w:p>
              </w:tc>
              <w:tc>
                <w:tcPr>
                  <w:tcW w:w="951" w:type="pct"/>
                  <w:tcBorders>
                    <w:tl2br w:val="nil"/>
                    <w:tr2bl w:val="nil"/>
                  </w:tcBorders>
                  <w:vAlign w:val="center"/>
                </w:tcPr>
                <w:p w14:paraId="1B3F84E5">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1</w:t>
                  </w:r>
                </w:p>
              </w:tc>
              <w:tc>
                <w:tcPr>
                  <w:tcW w:w="2041" w:type="pct"/>
                  <w:tcBorders>
                    <w:tl2br w:val="nil"/>
                    <w:tr2bl w:val="nil"/>
                  </w:tcBorders>
                  <w:vAlign w:val="center"/>
                </w:tcPr>
                <w:p w14:paraId="6ED9F61E">
                  <w:pPr>
                    <w:pStyle w:val="51"/>
                    <w:ind w:left="-8" w:leftChars="-4" w:firstLine="27" w:firstLineChars="15"/>
                    <w:rPr>
                      <w:rFonts w:hint="eastAsia" w:eastAsia="宋体"/>
                      <w:color w:val="auto"/>
                      <w:sz w:val="18"/>
                      <w:szCs w:val="18"/>
                      <w:lang w:val="en-US" w:eastAsia="zh-CN"/>
                    </w:rPr>
                  </w:pPr>
                  <w:r>
                    <w:rPr>
                      <w:rFonts w:hint="eastAsia"/>
                      <w:color w:val="auto"/>
                      <w:sz w:val="18"/>
                      <w:szCs w:val="18"/>
                      <w:lang w:val="en-US" w:eastAsia="zh-CN"/>
                    </w:rPr>
                    <w:t>门卫</w:t>
                  </w:r>
                </w:p>
              </w:tc>
            </w:tr>
            <w:tr w14:paraId="68CDA7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tcBorders>
                    <w:tl2br w:val="nil"/>
                    <w:tr2bl w:val="nil"/>
                  </w:tcBorders>
                  <w:vAlign w:val="center"/>
                </w:tcPr>
                <w:p w14:paraId="64D884C1">
                  <w:pPr>
                    <w:pStyle w:val="51"/>
                    <w:ind w:left="-8" w:leftChars="-4" w:firstLine="27" w:firstLineChars="15"/>
                    <w:rPr>
                      <w:color w:val="auto"/>
                      <w:sz w:val="18"/>
                      <w:szCs w:val="18"/>
                    </w:rPr>
                  </w:pPr>
                  <w:r>
                    <w:rPr>
                      <w:color w:val="auto"/>
                      <w:sz w:val="18"/>
                      <w:szCs w:val="18"/>
                    </w:rPr>
                    <w:t>14</w:t>
                  </w:r>
                </w:p>
              </w:tc>
              <w:tc>
                <w:tcPr>
                  <w:tcW w:w="1361" w:type="pct"/>
                  <w:tcBorders>
                    <w:tl2br w:val="nil"/>
                    <w:tr2bl w:val="nil"/>
                  </w:tcBorders>
                  <w:shd w:val="clear" w:color="auto" w:fill="auto"/>
                  <w:vAlign w:val="center"/>
                </w:tcPr>
                <w:p w14:paraId="6169DC7E">
                  <w:pPr>
                    <w:spacing w:line="300" w:lineRule="exact"/>
                    <w:jc w:val="center"/>
                    <w:rPr>
                      <w:rFonts w:ascii="Times New Roman" w:hAnsi="Times New Roman" w:eastAsia="宋体" w:cs="Times New Roman"/>
                      <w:color w:val="auto"/>
                      <w:kern w:val="0"/>
                      <w:position w:val="-1"/>
                      <w:sz w:val="18"/>
                      <w:szCs w:val="18"/>
                      <w:lang w:val="en-US" w:eastAsia="zh-CN" w:bidi="ar-SA"/>
                    </w:rPr>
                  </w:pPr>
                  <w:r>
                    <w:rPr>
                      <w:rFonts w:hint="eastAsia"/>
                      <w:color w:val="auto"/>
                      <w:kern w:val="0"/>
                      <w:position w:val="-1"/>
                      <w:sz w:val="18"/>
                      <w:szCs w:val="18"/>
                    </w:rPr>
                    <w:t>烟感、温感</w:t>
                  </w:r>
                </w:p>
              </w:tc>
              <w:tc>
                <w:tcPr>
                  <w:tcW w:w="951" w:type="pct"/>
                  <w:tcBorders>
                    <w:tl2br w:val="nil"/>
                    <w:tr2bl w:val="nil"/>
                  </w:tcBorders>
                  <w:vAlign w:val="center"/>
                </w:tcPr>
                <w:p w14:paraId="353CBBB2">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1147</w:t>
                  </w:r>
                </w:p>
              </w:tc>
              <w:tc>
                <w:tcPr>
                  <w:tcW w:w="2041" w:type="pct"/>
                  <w:vMerge w:val="restart"/>
                  <w:tcBorders>
                    <w:tl2br w:val="nil"/>
                    <w:tr2bl w:val="nil"/>
                  </w:tcBorders>
                  <w:vAlign w:val="center"/>
                </w:tcPr>
                <w:p w14:paraId="494E8E86">
                  <w:pPr>
                    <w:pStyle w:val="51"/>
                    <w:ind w:left="-8" w:leftChars="-4" w:firstLine="27" w:firstLineChars="15"/>
                    <w:rPr>
                      <w:color w:val="auto"/>
                      <w:sz w:val="18"/>
                      <w:szCs w:val="18"/>
                    </w:rPr>
                  </w:pPr>
                  <w:r>
                    <w:rPr>
                      <w:color w:val="auto"/>
                      <w:sz w:val="18"/>
                      <w:szCs w:val="18"/>
                    </w:rPr>
                    <w:t>全厂</w:t>
                  </w:r>
                </w:p>
              </w:tc>
            </w:tr>
            <w:tr w14:paraId="65C5FA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tcBorders>
                    <w:tl2br w:val="nil"/>
                    <w:tr2bl w:val="nil"/>
                  </w:tcBorders>
                  <w:vAlign w:val="center"/>
                </w:tcPr>
                <w:p w14:paraId="34A7C20A">
                  <w:pPr>
                    <w:pStyle w:val="51"/>
                    <w:ind w:left="-8" w:leftChars="-4" w:firstLine="27" w:firstLineChars="15"/>
                    <w:rPr>
                      <w:color w:val="auto"/>
                      <w:sz w:val="18"/>
                      <w:szCs w:val="18"/>
                    </w:rPr>
                  </w:pPr>
                  <w:r>
                    <w:rPr>
                      <w:color w:val="auto"/>
                      <w:sz w:val="18"/>
                      <w:szCs w:val="18"/>
                    </w:rPr>
                    <w:t>15</w:t>
                  </w:r>
                </w:p>
              </w:tc>
              <w:tc>
                <w:tcPr>
                  <w:tcW w:w="1361" w:type="pct"/>
                  <w:tcBorders>
                    <w:tl2br w:val="nil"/>
                    <w:tr2bl w:val="nil"/>
                  </w:tcBorders>
                  <w:shd w:val="clear" w:color="auto" w:fill="auto"/>
                  <w:vAlign w:val="center"/>
                </w:tcPr>
                <w:p w14:paraId="01798F41">
                  <w:pPr>
                    <w:spacing w:line="300" w:lineRule="exact"/>
                    <w:jc w:val="center"/>
                    <w:rPr>
                      <w:rFonts w:hint="default" w:ascii="Times New Roman" w:hAnsi="Times New Roman" w:eastAsia="宋体" w:cs="Times New Roman"/>
                      <w:color w:val="auto"/>
                      <w:kern w:val="0"/>
                      <w:position w:val="-1"/>
                      <w:sz w:val="18"/>
                      <w:szCs w:val="18"/>
                      <w:lang w:val="en-US" w:eastAsia="zh-CN" w:bidi="ar-SA"/>
                    </w:rPr>
                  </w:pPr>
                  <w:r>
                    <w:rPr>
                      <w:rFonts w:hint="eastAsia" w:cs="Times New Roman"/>
                      <w:color w:val="auto"/>
                      <w:kern w:val="0"/>
                      <w:position w:val="-1"/>
                      <w:sz w:val="18"/>
                      <w:szCs w:val="18"/>
                      <w:lang w:val="en-US" w:eastAsia="zh-CN" w:bidi="ar-SA"/>
                    </w:rPr>
                    <w:t>手动报警装置</w:t>
                  </w:r>
                </w:p>
              </w:tc>
              <w:tc>
                <w:tcPr>
                  <w:tcW w:w="951" w:type="pct"/>
                  <w:tcBorders>
                    <w:tl2br w:val="nil"/>
                    <w:tr2bl w:val="nil"/>
                  </w:tcBorders>
                  <w:vAlign w:val="center"/>
                </w:tcPr>
                <w:p w14:paraId="2F795242">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112</w:t>
                  </w:r>
                </w:p>
              </w:tc>
              <w:tc>
                <w:tcPr>
                  <w:tcW w:w="2041" w:type="pct"/>
                  <w:vMerge w:val="continue"/>
                  <w:tcBorders>
                    <w:tl2br w:val="nil"/>
                    <w:tr2bl w:val="nil"/>
                  </w:tcBorders>
                  <w:vAlign w:val="center"/>
                </w:tcPr>
                <w:p w14:paraId="5C5576CE">
                  <w:pPr>
                    <w:pStyle w:val="51"/>
                    <w:ind w:left="-8" w:leftChars="-4" w:firstLine="27" w:firstLineChars="15"/>
                    <w:rPr>
                      <w:color w:val="auto"/>
                      <w:sz w:val="18"/>
                      <w:szCs w:val="18"/>
                    </w:rPr>
                  </w:pPr>
                </w:p>
              </w:tc>
            </w:tr>
            <w:tr w14:paraId="074DDB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tcBorders>
                    <w:tl2br w:val="nil"/>
                    <w:tr2bl w:val="nil"/>
                  </w:tcBorders>
                  <w:vAlign w:val="center"/>
                </w:tcPr>
                <w:p w14:paraId="77339AA2">
                  <w:pPr>
                    <w:pStyle w:val="51"/>
                    <w:ind w:left="-8" w:leftChars="-4" w:firstLine="27" w:firstLineChars="15"/>
                    <w:rPr>
                      <w:color w:val="auto"/>
                      <w:sz w:val="18"/>
                      <w:szCs w:val="18"/>
                    </w:rPr>
                  </w:pPr>
                  <w:r>
                    <w:rPr>
                      <w:color w:val="auto"/>
                      <w:sz w:val="18"/>
                      <w:szCs w:val="18"/>
                    </w:rPr>
                    <w:t>16</w:t>
                  </w:r>
                </w:p>
              </w:tc>
              <w:tc>
                <w:tcPr>
                  <w:tcW w:w="1361" w:type="pct"/>
                  <w:tcBorders>
                    <w:tl2br w:val="nil"/>
                    <w:tr2bl w:val="nil"/>
                  </w:tcBorders>
                  <w:shd w:val="clear" w:color="auto" w:fill="auto"/>
                  <w:vAlign w:val="center"/>
                </w:tcPr>
                <w:p w14:paraId="11C024FA">
                  <w:pPr>
                    <w:spacing w:line="300" w:lineRule="exact"/>
                    <w:jc w:val="center"/>
                    <w:rPr>
                      <w:rFonts w:ascii="Times New Roman" w:hAnsi="Times New Roman" w:eastAsia="宋体" w:cs="Times New Roman"/>
                      <w:color w:val="auto"/>
                      <w:kern w:val="0"/>
                      <w:position w:val="-1"/>
                      <w:sz w:val="18"/>
                      <w:szCs w:val="18"/>
                      <w:lang w:val="en-US" w:eastAsia="zh-CN" w:bidi="ar-SA"/>
                    </w:rPr>
                  </w:pPr>
                  <w:r>
                    <w:rPr>
                      <w:rFonts w:hint="eastAsia"/>
                      <w:color w:val="auto"/>
                      <w:kern w:val="0"/>
                      <w:position w:val="-1"/>
                      <w:sz w:val="18"/>
                      <w:szCs w:val="18"/>
                    </w:rPr>
                    <w:t>室内消火栓</w:t>
                  </w:r>
                </w:p>
              </w:tc>
              <w:tc>
                <w:tcPr>
                  <w:tcW w:w="951" w:type="pct"/>
                  <w:tcBorders>
                    <w:tl2br w:val="nil"/>
                    <w:tr2bl w:val="nil"/>
                  </w:tcBorders>
                  <w:vAlign w:val="center"/>
                </w:tcPr>
                <w:p w14:paraId="1357427F">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221</w:t>
                  </w:r>
                </w:p>
              </w:tc>
              <w:tc>
                <w:tcPr>
                  <w:tcW w:w="2041" w:type="pct"/>
                  <w:vMerge w:val="continue"/>
                  <w:tcBorders>
                    <w:tl2br w:val="nil"/>
                    <w:tr2bl w:val="nil"/>
                  </w:tcBorders>
                  <w:vAlign w:val="center"/>
                </w:tcPr>
                <w:p w14:paraId="159EB40B">
                  <w:pPr>
                    <w:pStyle w:val="51"/>
                    <w:ind w:left="-8" w:leftChars="-4" w:firstLine="27" w:firstLineChars="15"/>
                    <w:rPr>
                      <w:color w:val="auto"/>
                      <w:sz w:val="18"/>
                      <w:szCs w:val="18"/>
                    </w:rPr>
                  </w:pPr>
                </w:p>
              </w:tc>
            </w:tr>
            <w:tr w14:paraId="26C30B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tcBorders>
                    <w:tl2br w:val="nil"/>
                    <w:tr2bl w:val="nil"/>
                  </w:tcBorders>
                  <w:vAlign w:val="center"/>
                </w:tcPr>
                <w:p w14:paraId="50E71420">
                  <w:pPr>
                    <w:pStyle w:val="51"/>
                    <w:ind w:left="-8" w:leftChars="-4" w:firstLine="27" w:firstLineChars="15"/>
                    <w:rPr>
                      <w:color w:val="auto"/>
                      <w:sz w:val="18"/>
                      <w:szCs w:val="18"/>
                    </w:rPr>
                  </w:pPr>
                  <w:r>
                    <w:rPr>
                      <w:color w:val="auto"/>
                      <w:sz w:val="18"/>
                      <w:szCs w:val="18"/>
                    </w:rPr>
                    <w:t>17</w:t>
                  </w:r>
                </w:p>
              </w:tc>
              <w:tc>
                <w:tcPr>
                  <w:tcW w:w="1361" w:type="pct"/>
                  <w:tcBorders>
                    <w:tl2br w:val="nil"/>
                    <w:tr2bl w:val="nil"/>
                  </w:tcBorders>
                  <w:shd w:val="clear" w:color="auto" w:fill="auto"/>
                  <w:vAlign w:val="center"/>
                </w:tcPr>
                <w:p w14:paraId="4BFBF1D1">
                  <w:pPr>
                    <w:spacing w:line="300" w:lineRule="exact"/>
                    <w:jc w:val="center"/>
                    <w:rPr>
                      <w:rFonts w:ascii="Times New Roman" w:hAnsi="Times New Roman" w:eastAsia="宋体" w:cs="Times New Roman"/>
                      <w:color w:val="auto"/>
                      <w:kern w:val="0"/>
                      <w:position w:val="-1"/>
                      <w:sz w:val="18"/>
                      <w:szCs w:val="18"/>
                      <w:lang w:val="en-US" w:eastAsia="zh-CN" w:bidi="ar-SA"/>
                    </w:rPr>
                  </w:pPr>
                  <w:r>
                    <w:rPr>
                      <w:rFonts w:hint="eastAsia"/>
                      <w:color w:val="auto"/>
                      <w:kern w:val="0"/>
                      <w:position w:val="-1"/>
                      <w:sz w:val="18"/>
                      <w:szCs w:val="18"/>
                    </w:rPr>
                    <w:t>室外消火栓</w:t>
                  </w:r>
                </w:p>
              </w:tc>
              <w:tc>
                <w:tcPr>
                  <w:tcW w:w="951" w:type="pct"/>
                  <w:tcBorders>
                    <w:tl2br w:val="nil"/>
                    <w:tr2bl w:val="nil"/>
                  </w:tcBorders>
                  <w:vAlign w:val="center"/>
                </w:tcPr>
                <w:p w14:paraId="1B78CD86">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15</w:t>
                  </w:r>
                </w:p>
              </w:tc>
              <w:tc>
                <w:tcPr>
                  <w:tcW w:w="2041" w:type="pct"/>
                  <w:vMerge w:val="continue"/>
                  <w:tcBorders>
                    <w:tl2br w:val="nil"/>
                    <w:tr2bl w:val="nil"/>
                  </w:tcBorders>
                  <w:vAlign w:val="center"/>
                </w:tcPr>
                <w:p w14:paraId="0471450E">
                  <w:pPr>
                    <w:pStyle w:val="51"/>
                    <w:ind w:left="-8" w:leftChars="-4" w:firstLine="27" w:firstLineChars="15"/>
                    <w:rPr>
                      <w:color w:val="auto"/>
                      <w:sz w:val="18"/>
                      <w:szCs w:val="18"/>
                    </w:rPr>
                  </w:pPr>
                </w:p>
              </w:tc>
            </w:tr>
            <w:tr w14:paraId="6E1E10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tcBorders>
                    <w:tl2br w:val="nil"/>
                    <w:tr2bl w:val="nil"/>
                  </w:tcBorders>
                  <w:vAlign w:val="center"/>
                </w:tcPr>
                <w:p w14:paraId="23AD578B">
                  <w:pPr>
                    <w:pStyle w:val="51"/>
                    <w:ind w:left="-8" w:leftChars="-4" w:firstLine="27" w:firstLineChars="15"/>
                    <w:rPr>
                      <w:color w:val="auto"/>
                      <w:sz w:val="18"/>
                      <w:szCs w:val="18"/>
                    </w:rPr>
                  </w:pPr>
                  <w:r>
                    <w:rPr>
                      <w:color w:val="auto"/>
                      <w:sz w:val="18"/>
                      <w:szCs w:val="18"/>
                    </w:rPr>
                    <w:t>18</w:t>
                  </w:r>
                </w:p>
              </w:tc>
              <w:tc>
                <w:tcPr>
                  <w:tcW w:w="1361" w:type="pct"/>
                  <w:tcBorders>
                    <w:tl2br w:val="nil"/>
                    <w:tr2bl w:val="nil"/>
                  </w:tcBorders>
                  <w:shd w:val="clear" w:color="auto" w:fill="auto"/>
                  <w:vAlign w:val="center"/>
                </w:tcPr>
                <w:p w14:paraId="4C043E2C">
                  <w:pPr>
                    <w:spacing w:line="300" w:lineRule="exact"/>
                    <w:jc w:val="center"/>
                    <w:rPr>
                      <w:rFonts w:ascii="Times New Roman" w:hAnsi="Times New Roman" w:eastAsia="宋体" w:cs="Times New Roman"/>
                      <w:color w:val="auto"/>
                      <w:kern w:val="0"/>
                      <w:position w:val="-1"/>
                      <w:sz w:val="18"/>
                      <w:szCs w:val="18"/>
                      <w:lang w:val="en-US" w:eastAsia="zh-CN" w:bidi="ar-SA"/>
                    </w:rPr>
                  </w:pPr>
                  <w:r>
                    <w:rPr>
                      <w:rFonts w:hint="eastAsia"/>
                      <w:color w:val="auto"/>
                      <w:kern w:val="0"/>
                      <w:position w:val="-1"/>
                      <w:sz w:val="18"/>
                      <w:szCs w:val="18"/>
                    </w:rPr>
                    <w:t>喷淋</w:t>
                  </w:r>
                </w:p>
              </w:tc>
              <w:tc>
                <w:tcPr>
                  <w:tcW w:w="951" w:type="pct"/>
                  <w:tcBorders>
                    <w:tl2br w:val="nil"/>
                    <w:tr2bl w:val="nil"/>
                  </w:tcBorders>
                  <w:vAlign w:val="center"/>
                </w:tcPr>
                <w:p w14:paraId="59D1ED2F">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2161</w:t>
                  </w:r>
                </w:p>
              </w:tc>
              <w:tc>
                <w:tcPr>
                  <w:tcW w:w="2041" w:type="pct"/>
                  <w:vMerge w:val="continue"/>
                  <w:tcBorders>
                    <w:tl2br w:val="nil"/>
                    <w:tr2bl w:val="nil"/>
                  </w:tcBorders>
                  <w:vAlign w:val="center"/>
                </w:tcPr>
                <w:p w14:paraId="6584FDB0">
                  <w:pPr>
                    <w:pStyle w:val="51"/>
                    <w:ind w:left="-8" w:leftChars="-4" w:firstLine="27" w:firstLineChars="15"/>
                    <w:rPr>
                      <w:color w:val="auto"/>
                      <w:sz w:val="18"/>
                      <w:szCs w:val="18"/>
                    </w:rPr>
                  </w:pPr>
                </w:p>
              </w:tc>
            </w:tr>
            <w:tr w14:paraId="140585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tcBorders>
                    <w:tl2br w:val="nil"/>
                    <w:tr2bl w:val="nil"/>
                  </w:tcBorders>
                  <w:vAlign w:val="center"/>
                </w:tcPr>
                <w:p w14:paraId="126E3AB5">
                  <w:pPr>
                    <w:pStyle w:val="51"/>
                    <w:ind w:left="-8" w:leftChars="-4" w:firstLine="27" w:firstLineChars="15"/>
                    <w:rPr>
                      <w:color w:val="auto"/>
                      <w:sz w:val="18"/>
                      <w:szCs w:val="18"/>
                    </w:rPr>
                  </w:pPr>
                  <w:r>
                    <w:rPr>
                      <w:color w:val="auto"/>
                      <w:sz w:val="18"/>
                      <w:szCs w:val="18"/>
                    </w:rPr>
                    <w:t>19</w:t>
                  </w:r>
                </w:p>
              </w:tc>
              <w:tc>
                <w:tcPr>
                  <w:tcW w:w="1361" w:type="pct"/>
                  <w:tcBorders>
                    <w:tl2br w:val="nil"/>
                    <w:tr2bl w:val="nil"/>
                  </w:tcBorders>
                  <w:shd w:val="clear" w:color="auto" w:fill="auto"/>
                  <w:vAlign w:val="center"/>
                </w:tcPr>
                <w:p w14:paraId="29CEF5DE">
                  <w:pPr>
                    <w:spacing w:line="300" w:lineRule="exact"/>
                    <w:jc w:val="center"/>
                    <w:rPr>
                      <w:rFonts w:ascii="Times New Roman" w:hAnsi="Times New Roman" w:eastAsia="宋体" w:cs="Times New Roman"/>
                      <w:color w:val="auto"/>
                      <w:kern w:val="0"/>
                      <w:position w:val="-1"/>
                      <w:sz w:val="18"/>
                      <w:szCs w:val="18"/>
                      <w:lang w:val="en-US" w:eastAsia="zh-CN" w:bidi="ar-SA"/>
                    </w:rPr>
                  </w:pPr>
                  <w:r>
                    <w:rPr>
                      <w:rFonts w:hint="eastAsia"/>
                      <w:color w:val="auto"/>
                      <w:kern w:val="0"/>
                      <w:position w:val="-1"/>
                      <w:sz w:val="18"/>
                      <w:szCs w:val="18"/>
                    </w:rPr>
                    <w:t>灭火器</w:t>
                  </w:r>
                </w:p>
              </w:tc>
              <w:tc>
                <w:tcPr>
                  <w:tcW w:w="951" w:type="pct"/>
                  <w:tcBorders>
                    <w:tl2br w:val="nil"/>
                    <w:tr2bl w:val="nil"/>
                  </w:tcBorders>
                  <w:vAlign w:val="center"/>
                </w:tcPr>
                <w:p w14:paraId="03BAFD66">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586</w:t>
                  </w:r>
                </w:p>
              </w:tc>
              <w:tc>
                <w:tcPr>
                  <w:tcW w:w="2041" w:type="pct"/>
                  <w:vMerge w:val="continue"/>
                  <w:tcBorders>
                    <w:tl2br w:val="nil"/>
                    <w:tr2bl w:val="nil"/>
                  </w:tcBorders>
                  <w:vAlign w:val="center"/>
                </w:tcPr>
                <w:p w14:paraId="3797EAED">
                  <w:pPr>
                    <w:pStyle w:val="51"/>
                    <w:ind w:left="-8" w:leftChars="-4" w:firstLine="27" w:firstLineChars="15"/>
                    <w:rPr>
                      <w:color w:val="auto"/>
                      <w:sz w:val="18"/>
                      <w:szCs w:val="18"/>
                    </w:rPr>
                  </w:pPr>
                </w:p>
              </w:tc>
            </w:tr>
            <w:tr w14:paraId="60046F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tcBorders>
                    <w:tl2br w:val="nil"/>
                    <w:tr2bl w:val="nil"/>
                  </w:tcBorders>
                  <w:vAlign w:val="center"/>
                </w:tcPr>
                <w:p w14:paraId="32ECFD4C">
                  <w:pPr>
                    <w:pStyle w:val="51"/>
                    <w:ind w:left="-8" w:leftChars="-4" w:firstLine="27" w:firstLineChars="15"/>
                    <w:rPr>
                      <w:color w:val="auto"/>
                      <w:sz w:val="18"/>
                      <w:szCs w:val="18"/>
                    </w:rPr>
                  </w:pPr>
                  <w:r>
                    <w:rPr>
                      <w:color w:val="auto"/>
                      <w:sz w:val="18"/>
                      <w:szCs w:val="18"/>
                    </w:rPr>
                    <w:t>20</w:t>
                  </w:r>
                </w:p>
              </w:tc>
              <w:tc>
                <w:tcPr>
                  <w:tcW w:w="1361" w:type="pct"/>
                  <w:tcBorders>
                    <w:tl2br w:val="nil"/>
                    <w:tr2bl w:val="nil"/>
                  </w:tcBorders>
                  <w:shd w:val="clear" w:color="auto" w:fill="auto"/>
                  <w:vAlign w:val="center"/>
                </w:tcPr>
                <w:p w14:paraId="48BE252D">
                  <w:pPr>
                    <w:spacing w:line="300" w:lineRule="exact"/>
                    <w:jc w:val="center"/>
                    <w:rPr>
                      <w:rFonts w:hint="default" w:ascii="Times New Roman" w:hAnsi="Times New Roman" w:eastAsia="宋体" w:cs="Times New Roman"/>
                      <w:color w:val="auto"/>
                      <w:kern w:val="0"/>
                      <w:position w:val="-1"/>
                      <w:sz w:val="18"/>
                      <w:szCs w:val="18"/>
                      <w:lang w:val="en-US" w:eastAsia="zh-CN" w:bidi="ar-SA"/>
                    </w:rPr>
                  </w:pPr>
                  <w:r>
                    <w:rPr>
                      <w:rFonts w:hint="eastAsia" w:cs="Times New Roman"/>
                      <w:color w:val="auto"/>
                      <w:kern w:val="0"/>
                      <w:position w:val="-1"/>
                      <w:sz w:val="18"/>
                      <w:szCs w:val="18"/>
                      <w:lang w:val="en-US" w:eastAsia="zh-CN" w:bidi="ar-SA"/>
                    </w:rPr>
                    <w:t>黄沙箱</w:t>
                  </w:r>
                </w:p>
              </w:tc>
              <w:tc>
                <w:tcPr>
                  <w:tcW w:w="951" w:type="pct"/>
                  <w:tcBorders>
                    <w:tl2br w:val="nil"/>
                    <w:tr2bl w:val="nil"/>
                  </w:tcBorders>
                  <w:vAlign w:val="center"/>
                </w:tcPr>
                <w:p w14:paraId="41A4FDA6">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3</w:t>
                  </w:r>
                </w:p>
              </w:tc>
              <w:tc>
                <w:tcPr>
                  <w:tcW w:w="2041" w:type="pct"/>
                  <w:vMerge w:val="continue"/>
                  <w:tcBorders>
                    <w:tl2br w:val="nil"/>
                    <w:tr2bl w:val="nil"/>
                  </w:tcBorders>
                  <w:vAlign w:val="center"/>
                </w:tcPr>
                <w:p w14:paraId="71A39C06">
                  <w:pPr>
                    <w:pStyle w:val="51"/>
                    <w:ind w:left="-8" w:leftChars="-4" w:firstLine="27" w:firstLineChars="15"/>
                    <w:rPr>
                      <w:color w:val="auto"/>
                      <w:sz w:val="18"/>
                      <w:szCs w:val="18"/>
                    </w:rPr>
                  </w:pPr>
                </w:p>
              </w:tc>
            </w:tr>
            <w:tr w14:paraId="29E432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tcBorders>
                    <w:tl2br w:val="nil"/>
                    <w:tr2bl w:val="nil"/>
                  </w:tcBorders>
                  <w:vAlign w:val="center"/>
                </w:tcPr>
                <w:p w14:paraId="2546E0BE">
                  <w:pPr>
                    <w:pStyle w:val="51"/>
                    <w:ind w:left="-8" w:leftChars="-4" w:firstLine="27" w:firstLineChars="15"/>
                    <w:rPr>
                      <w:color w:val="auto"/>
                      <w:sz w:val="18"/>
                      <w:szCs w:val="18"/>
                    </w:rPr>
                  </w:pPr>
                  <w:r>
                    <w:rPr>
                      <w:color w:val="auto"/>
                      <w:sz w:val="18"/>
                      <w:szCs w:val="18"/>
                    </w:rPr>
                    <w:t>21</w:t>
                  </w:r>
                </w:p>
              </w:tc>
              <w:tc>
                <w:tcPr>
                  <w:tcW w:w="1361" w:type="pct"/>
                  <w:tcBorders>
                    <w:tl2br w:val="nil"/>
                    <w:tr2bl w:val="nil"/>
                  </w:tcBorders>
                  <w:shd w:val="clear" w:color="auto" w:fill="auto"/>
                  <w:vAlign w:val="center"/>
                </w:tcPr>
                <w:p w14:paraId="2B28A65A">
                  <w:pPr>
                    <w:spacing w:line="300" w:lineRule="exact"/>
                    <w:jc w:val="center"/>
                    <w:rPr>
                      <w:rFonts w:ascii="Times New Roman" w:hAnsi="Times New Roman" w:eastAsia="宋体" w:cs="Times New Roman"/>
                      <w:color w:val="auto"/>
                      <w:kern w:val="0"/>
                      <w:position w:val="-1"/>
                      <w:sz w:val="18"/>
                      <w:szCs w:val="18"/>
                      <w:lang w:val="en-US" w:eastAsia="zh-CN" w:bidi="ar-SA"/>
                    </w:rPr>
                  </w:pPr>
                  <w:r>
                    <w:rPr>
                      <w:rFonts w:hint="eastAsia"/>
                      <w:color w:val="auto"/>
                      <w:kern w:val="0"/>
                      <w:position w:val="-1"/>
                      <w:sz w:val="18"/>
                      <w:szCs w:val="18"/>
                    </w:rPr>
                    <w:t>应急照明灯</w:t>
                  </w:r>
                </w:p>
              </w:tc>
              <w:tc>
                <w:tcPr>
                  <w:tcW w:w="951" w:type="pct"/>
                  <w:tcBorders>
                    <w:tl2br w:val="nil"/>
                    <w:tr2bl w:val="nil"/>
                  </w:tcBorders>
                  <w:vAlign w:val="center"/>
                </w:tcPr>
                <w:p w14:paraId="51828F8E">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340</w:t>
                  </w:r>
                </w:p>
              </w:tc>
              <w:tc>
                <w:tcPr>
                  <w:tcW w:w="2041" w:type="pct"/>
                  <w:vMerge w:val="continue"/>
                  <w:tcBorders>
                    <w:tl2br w:val="nil"/>
                    <w:tr2bl w:val="nil"/>
                  </w:tcBorders>
                  <w:vAlign w:val="center"/>
                </w:tcPr>
                <w:p w14:paraId="18CA11A8">
                  <w:pPr>
                    <w:pStyle w:val="51"/>
                    <w:ind w:left="-8" w:leftChars="-4" w:firstLine="27" w:firstLineChars="15"/>
                    <w:rPr>
                      <w:color w:val="auto"/>
                      <w:sz w:val="18"/>
                      <w:szCs w:val="18"/>
                    </w:rPr>
                  </w:pPr>
                </w:p>
              </w:tc>
            </w:tr>
            <w:tr w14:paraId="354A0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tcBorders>
                    <w:tl2br w:val="nil"/>
                    <w:tr2bl w:val="nil"/>
                  </w:tcBorders>
                  <w:vAlign w:val="center"/>
                </w:tcPr>
                <w:p w14:paraId="3267B61C">
                  <w:pPr>
                    <w:pStyle w:val="51"/>
                    <w:ind w:left="-8" w:leftChars="-4" w:firstLine="27" w:firstLineChars="15"/>
                    <w:rPr>
                      <w:color w:val="auto"/>
                      <w:sz w:val="18"/>
                      <w:szCs w:val="18"/>
                    </w:rPr>
                  </w:pPr>
                  <w:r>
                    <w:rPr>
                      <w:color w:val="auto"/>
                      <w:sz w:val="18"/>
                      <w:szCs w:val="18"/>
                    </w:rPr>
                    <w:t>22</w:t>
                  </w:r>
                </w:p>
              </w:tc>
              <w:tc>
                <w:tcPr>
                  <w:tcW w:w="1361" w:type="pct"/>
                  <w:tcBorders>
                    <w:tl2br w:val="nil"/>
                    <w:tr2bl w:val="nil"/>
                  </w:tcBorders>
                  <w:shd w:val="clear" w:color="auto" w:fill="auto"/>
                  <w:vAlign w:val="center"/>
                </w:tcPr>
                <w:p w14:paraId="4FC21E3F">
                  <w:pPr>
                    <w:spacing w:line="300" w:lineRule="exact"/>
                    <w:jc w:val="center"/>
                    <w:rPr>
                      <w:rFonts w:ascii="Times New Roman" w:hAnsi="Times New Roman" w:eastAsia="宋体" w:cs="Times New Roman"/>
                      <w:color w:val="auto"/>
                      <w:kern w:val="0"/>
                      <w:position w:val="-1"/>
                      <w:sz w:val="18"/>
                      <w:szCs w:val="18"/>
                      <w:lang w:val="en-US" w:eastAsia="zh-CN" w:bidi="ar-SA"/>
                    </w:rPr>
                  </w:pPr>
                  <w:r>
                    <w:rPr>
                      <w:rFonts w:hint="eastAsia"/>
                      <w:color w:val="auto"/>
                      <w:kern w:val="0"/>
                      <w:position w:val="-1"/>
                      <w:sz w:val="18"/>
                      <w:szCs w:val="18"/>
                    </w:rPr>
                    <w:t>疏散指示灯</w:t>
                  </w:r>
                </w:p>
              </w:tc>
              <w:tc>
                <w:tcPr>
                  <w:tcW w:w="951" w:type="pct"/>
                  <w:tcBorders>
                    <w:tl2br w:val="nil"/>
                    <w:tr2bl w:val="nil"/>
                  </w:tcBorders>
                  <w:vAlign w:val="center"/>
                </w:tcPr>
                <w:p w14:paraId="650F3B10">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151</w:t>
                  </w:r>
                </w:p>
              </w:tc>
              <w:tc>
                <w:tcPr>
                  <w:tcW w:w="2041" w:type="pct"/>
                  <w:vMerge w:val="continue"/>
                  <w:tcBorders>
                    <w:tl2br w:val="nil"/>
                    <w:tr2bl w:val="nil"/>
                  </w:tcBorders>
                  <w:vAlign w:val="center"/>
                </w:tcPr>
                <w:p w14:paraId="1459CF66">
                  <w:pPr>
                    <w:pStyle w:val="51"/>
                    <w:ind w:left="-8" w:leftChars="-4" w:firstLine="27" w:firstLineChars="15"/>
                    <w:rPr>
                      <w:color w:val="auto"/>
                      <w:sz w:val="18"/>
                      <w:szCs w:val="18"/>
                    </w:rPr>
                  </w:pPr>
                </w:p>
              </w:tc>
            </w:tr>
            <w:tr w14:paraId="38310D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tcBorders>
                    <w:tl2br w:val="nil"/>
                    <w:tr2bl w:val="nil"/>
                  </w:tcBorders>
                  <w:vAlign w:val="center"/>
                </w:tcPr>
                <w:p w14:paraId="73C0BA49">
                  <w:pPr>
                    <w:pStyle w:val="51"/>
                    <w:ind w:left="-8" w:leftChars="-4" w:firstLine="27" w:firstLineChars="15"/>
                    <w:rPr>
                      <w:color w:val="auto"/>
                      <w:sz w:val="18"/>
                      <w:szCs w:val="18"/>
                    </w:rPr>
                  </w:pPr>
                  <w:r>
                    <w:rPr>
                      <w:color w:val="auto"/>
                      <w:sz w:val="18"/>
                      <w:szCs w:val="18"/>
                    </w:rPr>
                    <w:t>23</w:t>
                  </w:r>
                </w:p>
              </w:tc>
              <w:tc>
                <w:tcPr>
                  <w:tcW w:w="1361" w:type="pct"/>
                  <w:tcBorders>
                    <w:tl2br w:val="nil"/>
                    <w:tr2bl w:val="nil"/>
                  </w:tcBorders>
                  <w:shd w:val="clear" w:color="auto" w:fill="auto"/>
                  <w:vAlign w:val="center"/>
                </w:tcPr>
                <w:p w14:paraId="43B77FBA">
                  <w:pPr>
                    <w:spacing w:line="300" w:lineRule="exact"/>
                    <w:jc w:val="center"/>
                    <w:rPr>
                      <w:rFonts w:ascii="Times New Roman" w:hAnsi="Times New Roman" w:eastAsia="宋体" w:cs="Times New Roman"/>
                      <w:color w:val="auto"/>
                      <w:kern w:val="0"/>
                      <w:position w:val="-1"/>
                      <w:sz w:val="18"/>
                      <w:szCs w:val="18"/>
                      <w:lang w:val="en-US" w:eastAsia="zh-CN" w:bidi="ar-SA"/>
                    </w:rPr>
                  </w:pPr>
                  <w:r>
                    <w:rPr>
                      <w:rFonts w:hint="eastAsia"/>
                      <w:color w:val="auto"/>
                      <w:kern w:val="0"/>
                      <w:position w:val="-1"/>
                      <w:sz w:val="18"/>
                      <w:szCs w:val="18"/>
                    </w:rPr>
                    <w:t>消防衣</w:t>
                  </w:r>
                </w:p>
              </w:tc>
              <w:tc>
                <w:tcPr>
                  <w:tcW w:w="951" w:type="pct"/>
                  <w:tcBorders>
                    <w:tl2br w:val="nil"/>
                    <w:tr2bl w:val="nil"/>
                  </w:tcBorders>
                  <w:vAlign w:val="center"/>
                </w:tcPr>
                <w:p w14:paraId="71ABCA20">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10</w:t>
                  </w:r>
                </w:p>
              </w:tc>
              <w:tc>
                <w:tcPr>
                  <w:tcW w:w="2041" w:type="pct"/>
                  <w:vMerge w:val="restart"/>
                  <w:tcBorders>
                    <w:tl2br w:val="nil"/>
                    <w:tr2bl w:val="nil"/>
                  </w:tcBorders>
                  <w:vAlign w:val="center"/>
                </w:tcPr>
                <w:p w14:paraId="6676195F">
                  <w:pPr>
                    <w:pStyle w:val="51"/>
                    <w:ind w:left="-8" w:leftChars="-4" w:firstLine="27" w:firstLineChars="15"/>
                    <w:rPr>
                      <w:color w:val="auto"/>
                      <w:sz w:val="18"/>
                      <w:szCs w:val="18"/>
                    </w:rPr>
                  </w:pPr>
                  <w:r>
                    <w:rPr>
                      <w:rFonts w:hint="eastAsia"/>
                      <w:color w:val="auto"/>
                      <w:sz w:val="18"/>
                      <w:szCs w:val="18"/>
                    </w:rPr>
                    <w:t>微型消防站</w:t>
                  </w:r>
                </w:p>
              </w:tc>
            </w:tr>
            <w:tr w14:paraId="4C7218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tcBorders>
                    <w:tl2br w:val="nil"/>
                    <w:tr2bl w:val="nil"/>
                  </w:tcBorders>
                  <w:vAlign w:val="center"/>
                </w:tcPr>
                <w:p w14:paraId="4CD2F972">
                  <w:pPr>
                    <w:pStyle w:val="51"/>
                    <w:ind w:left="-8" w:leftChars="-4" w:firstLine="27" w:firstLineChars="15"/>
                    <w:rPr>
                      <w:color w:val="auto"/>
                      <w:sz w:val="18"/>
                      <w:szCs w:val="18"/>
                    </w:rPr>
                  </w:pPr>
                  <w:r>
                    <w:rPr>
                      <w:color w:val="auto"/>
                      <w:sz w:val="18"/>
                      <w:szCs w:val="18"/>
                    </w:rPr>
                    <w:t>24</w:t>
                  </w:r>
                </w:p>
              </w:tc>
              <w:tc>
                <w:tcPr>
                  <w:tcW w:w="1361" w:type="pct"/>
                  <w:tcBorders>
                    <w:tl2br w:val="nil"/>
                    <w:tr2bl w:val="nil"/>
                  </w:tcBorders>
                  <w:shd w:val="clear" w:color="auto" w:fill="auto"/>
                  <w:vAlign w:val="center"/>
                </w:tcPr>
                <w:p w14:paraId="54B8678D">
                  <w:pPr>
                    <w:spacing w:line="300" w:lineRule="exact"/>
                    <w:jc w:val="center"/>
                    <w:rPr>
                      <w:rFonts w:ascii="Times New Roman" w:hAnsi="Times New Roman" w:eastAsia="宋体" w:cs="Times New Roman"/>
                      <w:color w:val="auto"/>
                      <w:kern w:val="0"/>
                      <w:position w:val="-1"/>
                      <w:sz w:val="18"/>
                      <w:szCs w:val="18"/>
                      <w:lang w:val="en-US" w:eastAsia="zh-CN" w:bidi="ar-SA"/>
                    </w:rPr>
                  </w:pPr>
                  <w:r>
                    <w:rPr>
                      <w:rFonts w:hint="eastAsia"/>
                      <w:color w:val="auto"/>
                      <w:kern w:val="0"/>
                      <w:position w:val="-1"/>
                      <w:sz w:val="18"/>
                      <w:szCs w:val="18"/>
                    </w:rPr>
                    <w:t>自给式空气呼吸</w:t>
                  </w:r>
                </w:p>
              </w:tc>
              <w:tc>
                <w:tcPr>
                  <w:tcW w:w="951" w:type="pct"/>
                  <w:tcBorders>
                    <w:tl2br w:val="nil"/>
                    <w:tr2bl w:val="nil"/>
                  </w:tcBorders>
                  <w:vAlign w:val="center"/>
                </w:tcPr>
                <w:p w14:paraId="41695D98">
                  <w:pPr>
                    <w:pStyle w:val="51"/>
                    <w:ind w:left="-8" w:leftChars="-4" w:firstLine="27" w:firstLineChars="15"/>
                    <w:rPr>
                      <w:rFonts w:hint="eastAsia" w:eastAsia="宋体"/>
                      <w:color w:val="auto"/>
                      <w:sz w:val="18"/>
                      <w:szCs w:val="18"/>
                      <w:lang w:val="en-US" w:eastAsia="zh-CN"/>
                    </w:rPr>
                  </w:pPr>
                  <w:r>
                    <w:rPr>
                      <w:rFonts w:hint="eastAsia"/>
                      <w:color w:val="auto"/>
                      <w:sz w:val="18"/>
                      <w:szCs w:val="18"/>
                      <w:lang w:val="en-US" w:eastAsia="zh-CN"/>
                    </w:rPr>
                    <w:t>2</w:t>
                  </w:r>
                </w:p>
              </w:tc>
              <w:tc>
                <w:tcPr>
                  <w:tcW w:w="2041" w:type="pct"/>
                  <w:vMerge w:val="continue"/>
                  <w:tcBorders>
                    <w:tl2br w:val="nil"/>
                    <w:tr2bl w:val="nil"/>
                  </w:tcBorders>
                  <w:vAlign w:val="center"/>
                </w:tcPr>
                <w:p w14:paraId="0238741A">
                  <w:pPr>
                    <w:widowControl/>
                    <w:adjustRightInd w:val="0"/>
                    <w:snapToGrid w:val="0"/>
                    <w:spacing w:line="288" w:lineRule="auto"/>
                    <w:jc w:val="left"/>
                    <w:rPr>
                      <w:color w:val="auto"/>
                      <w:kern w:val="0"/>
                      <w:sz w:val="18"/>
                      <w:szCs w:val="18"/>
                    </w:rPr>
                  </w:pPr>
                </w:p>
              </w:tc>
            </w:tr>
            <w:tr w14:paraId="0A7862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tcBorders>
                    <w:tl2br w:val="nil"/>
                    <w:tr2bl w:val="nil"/>
                  </w:tcBorders>
                  <w:vAlign w:val="center"/>
                </w:tcPr>
                <w:p w14:paraId="05116505">
                  <w:pPr>
                    <w:pStyle w:val="51"/>
                    <w:ind w:left="-8" w:leftChars="-4" w:firstLine="27" w:firstLineChars="15"/>
                    <w:rPr>
                      <w:color w:val="auto"/>
                      <w:sz w:val="18"/>
                      <w:szCs w:val="18"/>
                    </w:rPr>
                  </w:pPr>
                  <w:r>
                    <w:rPr>
                      <w:rFonts w:hint="eastAsia"/>
                      <w:color w:val="auto"/>
                      <w:sz w:val="18"/>
                      <w:szCs w:val="18"/>
                    </w:rPr>
                    <w:t>25</w:t>
                  </w:r>
                </w:p>
              </w:tc>
              <w:tc>
                <w:tcPr>
                  <w:tcW w:w="1361" w:type="pct"/>
                  <w:tcBorders>
                    <w:tl2br w:val="nil"/>
                    <w:tr2bl w:val="nil"/>
                  </w:tcBorders>
                  <w:shd w:val="clear" w:color="auto" w:fill="auto"/>
                  <w:vAlign w:val="center"/>
                </w:tcPr>
                <w:p w14:paraId="075D13E1">
                  <w:pPr>
                    <w:spacing w:line="300" w:lineRule="exact"/>
                    <w:jc w:val="center"/>
                    <w:rPr>
                      <w:rFonts w:ascii="Times New Roman" w:hAnsi="Times New Roman" w:eastAsia="宋体" w:cs="Times New Roman"/>
                      <w:color w:val="auto"/>
                      <w:kern w:val="0"/>
                      <w:position w:val="-1"/>
                      <w:sz w:val="18"/>
                      <w:szCs w:val="18"/>
                      <w:lang w:val="en-US" w:eastAsia="zh-CN" w:bidi="ar-SA"/>
                    </w:rPr>
                  </w:pPr>
                  <w:r>
                    <w:rPr>
                      <w:rFonts w:hint="eastAsia"/>
                      <w:color w:val="auto"/>
                      <w:kern w:val="0"/>
                      <w:position w:val="-1"/>
                      <w:sz w:val="18"/>
                      <w:szCs w:val="18"/>
                    </w:rPr>
                    <w:t>担架</w:t>
                  </w:r>
                  <w:r>
                    <w:rPr>
                      <w:color w:val="auto"/>
                      <w:kern w:val="0"/>
                      <w:position w:val="-1"/>
                      <w:sz w:val="18"/>
                      <w:szCs w:val="18"/>
                    </w:rPr>
                    <w:t xml:space="preserve"> </w:t>
                  </w:r>
                </w:p>
              </w:tc>
              <w:tc>
                <w:tcPr>
                  <w:tcW w:w="951" w:type="pct"/>
                  <w:tcBorders>
                    <w:tl2br w:val="nil"/>
                    <w:tr2bl w:val="nil"/>
                  </w:tcBorders>
                  <w:vAlign w:val="center"/>
                </w:tcPr>
                <w:p w14:paraId="18D04342">
                  <w:pPr>
                    <w:pStyle w:val="51"/>
                    <w:ind w:left="-8" w:leftChars="-4" w:firstLine="27" w:firstLineChars="15"/>
                    <w:rPr>
                      <w:rFonts w:hint="eastAsia" w:eastAsia="宋体"/>
                      <w:color w:val="auto"/>
                      <w:sz w:val="18"/>
                      <w:szCs w:val="18"/>
                      <w:lang w:val="en-US" w:eastAsia="zh-CN"/>
                    </w:rPr>
                  </w:pPr>
                  <w:r>
                    <w:rPr>
                      <w:rFonts w:hint="eastAsia"/>
                      <w:color w:val="auto"/>
                      <w:sz w:val="18"/>
                      <w:szCs w:val="18"/>
                      <w:lang w:val="en-US" w:eastAsia="zh-CN"/>
                    </w:rPr>
                    <w:t>1</w:t>
                  </w:r>
                </w:p>
              </w:tc>
              <w:tc>
                <w:tcPr>
                  <w:tcW w:w="2041" w:type="pct"/>
                  <w:vMerge w:val="continue"/>
                  <w:tcBorders>
                    <w:tl2br w:val="nil"/>
                    <w:tr2bl w:val="nil"/>
                  </w:tcBorders>
                  <w:vAlign w:val="center"/>
                </w:tcPr>
                <w:p w14:paraId="08B10779">
                  <w:pPr>
                    <w:widowControl/>
                    <w:adjustRightInd w:val="0"/>
                    <w:snapToGrid w:val="0"/>
                    <w:spacing w:line="288" w:lineRule="auto"/>
                    <w:jc w:val="left"/>
                    <w:rPr>
                      <w:color w:val="auto"/>
                      <w:kern w:val="0"/>
                      <w:sz w:val="18"/>
                      <w:szCs w:val="18"/>
                    </w:rPr>
                  </w:pPr>
                </w:p>
              </w:tc>
            </w:tr>
            <w:tr w14:paraId="03AD43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tcBorders>
                    <w:tl2br w:val="nil"/>
                    <w:tr2bl w:val="nil"/>
                  </w:tcBorders>
                  <w:vAlign w:val="center"/>
                </w:tcPr>
                <w:p w14:paraId="07107288">
                  <w:pPr>
                    <w:pStyle w:val="51"/>
                    <w:ind w:left="-8" w:leftChars="-4" w:firstLine="27" w:firstLineChars="15"/>
                    <w:rPr>
                      <w:color w:val="auto"/>
                      <w:sz w:val="18"/>
                      <w:szCs w:val="18"/>
                    </w:rPr>
                  </w:pPr>
                  <w:r>
                    <w:rPr>
                      <w:rFonts w:hint="eastAsia"/>
                      <w:color w:val="auto"/>
                      <w:sz w:val="18"/>
                      <w:szCs w:val="18"/>
                    </w:rPr>
                    <w:t>26</w:t>
                  </w:r>
                </w:p>
              </w:tc>
              <w:tc>
                <w:tcPr>
                  <w:tcW w:w="1361" w:type="pct"/>
                  <w:tcBorders>
                    <w:tl2br w:val="nil"/>
                    <w:tr2bl w:val="nil"/>
                  </w:tcBorders>
                  <w:shd w:val="clear" w:color="auto" w:fill="auto"/>
                  <w:vAlign w:val="center"/>
                </w:tcPr>
                <w:p w14:paraId="1D0683E8">
                  <w:pPr>
                    <w:spacing w:line="300" w:lineRule="exact"/>
                    <w:jc w:val="center"/>
                    <w:rPr>
                      <w:rFonts w:ascii="Times New Roman" w:hAnsi="Times New Roman" w:eastAsia="宋体" w:cs="Times New Roman"/>
                      <w:color w:val="auto"/>
                      <w:kern w:val="0"/>
                      <w:position w:val="-1"/>
                      <w:sz w:val="18"/>
                      <w:szCs w:val="18"/>
                      <w:lang w:val="en-US" w:eastAsia="zh-CN" w:bidi="ar-SA"/>
                    </w:rPr>
                  </w:pPr>
                  <w:r>
                    <w:rPr>
                      <w:rFonts w:hint="eastAsia"/>
                      <w:color w:val="auto"/>
                      <w:kern w:val="0"/>
                      <w:position w:val="-1"/>
                      <w:sz w:val="18"/>
                      <w:szCs w:val="18"/>
                    </w:rPr>
                    <w:t>消防斧</w:t>
                  </w:r>
                  <w:r>
                    <w:rPr>
                      <w:color w:val="auto"/>
                      <w:kern w:val="0"/>
                      <w:position w:val="-1"/>
                      <w:sz w:val="18"/>
                      <w:szCs w:val="18"/>
                    </w:rPr>
                    <w:t xml:space="preserve"> </w:t>
                  </w:r>
                </w:p>
              </w:tc>
              <w:tc>
                <w:tcPr>
                  <w:tcW w:w="951" w:type="pct"/>
                  <w:tcBorders>
                    <w:tl2br w:val="nil"/>
                    <w:tr2bl w:val="nil"/>
                  </w:tcBorders>
                  <w:vAlign w:val="center"/>
                </w:tcPr>
                <w:p w14:paraId="1DFF0D1C">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10</w:t>
                  </w:r>
                </w:p>
              </w:tc>
              <w:tc>
                <w:tcPr>
                  <w:tcW w:w="2041" w:type="pct"/>
                  <w:vMerge w:val="continue"/>
                  <w:tcBorders>
                    <w:tl2br w:val="nil"/>
                    <w:tr2bl w:val="nil"/>
                  </w:tcBorders>
                  <w:vAlign w:val="center"/>
                </w:tcPr>
                <w:p w14:paraId="5CA6BCFE">
                  <w:pPr>
                    <w:widowControl/>
                    <w:adjustRightInd w:val="0"/>
                    <w:snapToGrid w:val="0"/>
                    <w:spacing w:line="288" w:lineRule="auto"/>
                    <w:jc w:val="left"/>
                    <w:rPr>
                      <w:color w:val="auto"/>
                      <w:kern w:val="0"/>
                      <w:sz w:val="18"/>
                      <w:szCs w:val="18"/>
                    </w:rPr>
                  </w:pPr>
                </w:p>
              </w:tc>
            </w:tr>
            <w:tr w14:paraId="2712E5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tcBorders>
                    <w:tl2br w:val="nil"/>
                    <w:tr2bl w:val="nil"/>
                  </w:tcBorders>
                  <w:vAlign w:val="center"/>
                </w:tcPr>
                <w:p w14:paraId="37A9138B">
                  <w:pPr>
                    <w:pStyle w:val="51"/>
                    <w:ind w:left="-8" w:leftChars="-4" w:firstLine="27" w:firstLineChars="15"/>
                    <w:rPr>
                      <w:color w:val="auto"/>
                      <w:sz w:val="18"/>
                      <w:szCs w:val="18"/>
                    </w:rPr>
                  </w:pPr>
                  <w:r>
                    <w:rPr>
                      <w:rFonts w:hint="eastAsia"/>
                      <w:color w:val="auto"/>
                      <w:sz w:val="18"/>
                      <w:szCs w:val="18"/>
                    </w:rPr>
                    <w:t>27</w:t>
                  </w:r>
                </w:p>
              </w:tc>
              <w:tc>
                <w:tcPr>
                  <w:tcW w:w="1361" w:type="pct"/>
                  <w:tcBorders>
                    <w:tl2br w:val="nil"/>
                    <w:tr2bl w:val="nil"/>
                  </w:tcBorders>
                  <w:shd w:val="clear" w:color="auto" w:fill="auto"/>
                  <w:vAlign w:val="center"/>
                </w:tcPr>
                <w:p w14:paraId="6C5F835A">
                  <w:pPr>
                    <w:spacing w:line="300" w:lineRule="exact"/>
                    <w:jc w:val="center"/>
                    <w:rPr>
                      <w:rFonts w:ascii="Times New Roman" w:hAnsi="Times New Roman" w:eastAsia="宋体" w:cs="Times New Roman"/>
                      <w:color w:val="auto"/>
                      <w:kern w:val="0"/>
                      <w:position w:val="-1"/>
                      <w:sz w:val="18"/>
                      <w:szCs w:val="18"/>
                      <w:lang w:val="en-US" w:eastAsia="zh-CN" w:bidi="ar-SA"/>
                    </w:rPr>
                  </w:pPr>
                  <w:r>
                    <w:rPr>
                      <w:rFonts w:hint="eastAsia"/>
                      <w:color w:val="auto"/>
                      <w:kern w:val="0"/>
                      <w:position w:val="-1"/>
                      <w:sz w:val="18"/>
                      <w:szCs w:val="18"/>
                    </w:rPr>
                    <w:t>消防绳</w:t>
                  </w:r>
                  <w:r>
                    <w:rPr>
                      <w:color w:val="auto"/>
                      <w:kern w:val="0"/>
                      <w:position w:val="-1"/>
                      <w:sz w:val="18"/>
                      <w:szCs w:val="18"/>
                    </w:rPr>
                    <w:t xml:space="preserve"> </w:t>
                  </w:r>
                </w:p>
              </w:tc>
              <w:tc>
                <w:tcPr>
                  <w:tcW w:w="951" w:type="pct"/>
                  <w:tcBorders>
                    <w:tl2br w:val="nil"/>
                    <w:tr2bl w:val="nil"/>
                  </w:tcBorders>
                  <w:vAlign w:val="center"/>
                </w:tcPr>
                <w:p w14:paraId="273EF4F4">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10</w:t>
                  </w:r>
                </w:p>
              </w:tc>
              <w:tc>
                <w:tcPr>
                  <w:tcW w:w="2041" w:type="pct"/>
                  <w:vMerge w:val="continue"/>
                  <w:tcBorders>
                    <w:tl2br w:val="nil"/>
                    <w:tr2bl w:val="nil"/>
                  </w:tcBorders>
                  <w:vAlign w:val="center"/>
                </w:tcPr>
                <w:p w14:paraId="354805CA">
                  <w:pPr>
                    <w:widowControl/>
                    <w:adjustRightInd w:val="0"/>
                    <w:snapToGrid w:val="0"/>
                    <w:spacing w:line="288" w:lineRule="auto"/>
                    <w:jc w:val="left"/>
                    <w:rPr>
                      <w:color w:val="auto"/>
                      <w:kern w:val="0"/>
                      <w:sz w:val="18"/>
                      <w:szCs w:val="18"/>
                    </w:rPr>
                  </w:pPr>
                </w:p>
              </w:tc>
            </w:tr>
            <w:tr w14:paraId="0CA651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tcBorders>
                    <w:tl2br w:val="nil"/>
                    <w:tr2bl w:val="nil"/>
                  </w:tcBorders>
                  <w:vAlign w:val="center"/>
                </w:tcPr>
                <w:p w14:paraId="53A6E906">
                  <w:pPr>
                    <w:pStyle w:val="51"/>
                    <w:ind w:left="-8" w:leftChars="-4" w:firstLine="27" w:firstLineChars="15"/>
                    <w:rPr>
                      <w:color w:val="auto"/>
                      <w:sz w:val="18"/>
                      <w:szCs w:val="18"/>
                    </w:rPr>
                  </w:pPr>
                  <w:r>
                    <w:rPr>
                      <w:rFonts w:hint="eastAsia"/>
                      <w:color w:val="auto"/>
                      <w:sz w:val="18"/>
                      <w:szCs w:val="18"/>
                    </w:rPr>
                    <w:t>28</w:t>
                  </w:r>
                </w:p>
              </w:tc>
              <w:tc>
                <w:tcPr>
                  <w:tcW w:w="1361" w:type="pct"/>
                  <w:tcBorders>
                    <w:tl2br w:val="nil"/>
                    <w:tr2bl w:val="nil"/>
                  </w:tcBorders>
                  <w:shd w:val="clear" w:color="auto" w:fill="auto"/>
                  <w:vAlign w:val="center"/>
                </w:tcPr>
                <w:p w14:paraId="45467E6B">
                  <w:pPr>
                    <w:spacing w:line="300" w:lineRule="exact"/>
                    <w:jc w:val="center"/>
                    <w:rPr>
                      <w:rFonts w:ascii="Times New Roman" w:hAnsi="Times New Roman" w:eastAsia="宋体" w:cs="Times New Roman"/>
                      <w:color w:val="auto"/>
                      <w:kern w:val="0"/>
                      <w:position w:val="-1"/>
                      <w:sz w:val="18"/>
                      <w:szCs w:val="18"/>
                      <w:lang w:val="en-US" w:eastAsia="zh-CN" w:bidi="ar-SA"/>
                    </w:rPr>
                  </w:pPr>
                  <w:r>
                    <w:rPr>
                      <w:rFonts w:hint="eastAsia"/>
                      <w:color w:val="auto"/>
                      <w:kern w:val="0"/>
                      <w:position w:val="-1"/>
                      <w:sz w:val="18"/>
                      <w:szCs w:val="18"/>
                    </w:rPr>
                    <w:t>消防扳手</w:t>
                  </w:r>
                  <w:r>
                    <w:rPr>
                      <w:color w:val="auto"/>
                      <w:kern w:val="0"/>
                      <w:position w:val="-1"/>
                      <w:sz w:val="18"/>
                      <w:szCs w:val="18"/>
                    </w:rPr>
                    <w:t xml:space="preserve"> </w:t>
                  </w:r>
                </w:p>
              </w:tc>
              <w:tc>
                <w:tcPr>
                  <w:tcW w:w="951" w:type="pct"/>
                  <w:tcBorders>
                    <w:tl2br w:val="nil"/>
                    <w:tr2bl w:val="nil"/>
                  </w:tcBorders>
                  <w:vAlign w:val="center"/>
                </w:tcPr>
                <w:p w14:paraId="3C6CB6A6">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10</w:t>
                  </w:r>
                </w:p>
              </w:tc>
              <w:tc>
                <w:tcPr>
                  <w:tcW w:w="2041" w:type="pct"/>
                  <w:vMerge w:val="continue"/>
                  <w:tcBorders>
                    <w:tl2br w:val="nil"/>
                    <w:tr2bl w:val="nil"/>
                  </w:tcBorders>
                  <w:vAlign w:val="center"/>
                </w:tcPr>
                <w:p w14:paraId="31A7C7BC">
                  <w:pPr>
                    <w:pStyle w:val="51"/>
                    <w:ind w:left="-8" w:leftChars="-4" w:firstLine="27" w:firstLineChars="15"/>
                    <w:rPr>
                      <w:color w:val="auto"/>
                      <w:sz w:val="18"/>
                      <w:szCs w:val="18"/>
                    </w:rPr>
                  </w:pPr>
                </w:p>
              </w:tc>
            </w:tr>
            <w:tr w14:paraId="6B729C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tcBorders>
                    <w:tl2br w:val="nil"/>
                    <w:tr2bl w:val="nil"/>
                  </w:tcBorders>
                  <w:vAlign w:val="center"/>
                </w:tcPr>
                <w:p w14:paraId="53499893">
                  <w:pPr>
                    <w:pStyle w:val="51"/>
                    <w:ind w:left="-8" w:leftChars="-4" w:firstLine="27" w:firstLineChars="15"/>
                    <w:rPr>
                      <w:color w:val="auto"/>
                      <w:sz w:val="18"/>
                      <w:szCs w:val="18"/>
                    </w:rPr>
                  </w:pPr>
                  <w:r>
                    <w:rPr>
                      <w:rFonts w:hint="eastAsia"/>
                      <w:color w:val="auto"/>
                      <w:sz w:val="18"/>
                      <w:szCs w:val="18"/>
                    </w:rPr>
                    <w:t>29</w:t>
                  </w:r>
                </w:p>
              </w:tc>
              <w:tc>
                <w:tcPr>
                  <w:tcW w:w="1361" w:type="pct"/>
                  <w:tcBorders>
                    <w:tl2br w:val="nil"/>
                    <w:tr2bl w:val="nil"/>
                  </w:tcBorders>
                  <w:shd w:val="clear" w:color="auto" w:fill="auto"/>
                  <w:vAlign w:val="center"/>
                </w:tcPr>
                <w:p w14:paraId="496F1A11">
                  <w:pPr>
                    <w:spacing w:line="300" w:lineRule="exact"/>
                    <w:jc w:val="center"/>
                    <w:rPr>
                      <w:rFonts w:ascii="Times New Roman" w:hAnsi="Times New Roman" w:eastAsia="宋体" w:cs="Times New Roman"/>
                      <w:color w:val="auto"/>
                      <w:kern w:val="0"/>
                      <w:position w:val="-1"/>
                      <w:sz w:val="18"/>
                      <w:szCs w:val="18"/>
                      <w:lang w:val="en-US" w:eastAsia="zh-CN" w:bidi="ar-SA"/>
                    </w:rPr>
                  </w:pPr>
                  <w:r>
                    <w:rPr>
                      <w:rFonts w:hint="eastAsia"/>
                      <w:color w:val="auto"/>
                      <w:kern w:val="0"/>
                      <w:position w:val="-1"/>
                      <w:sz w:val="18"/>
                      <w:szCs w:val="18"/>
                    </w:rPr>
                    <w:t>扬声器</w:t>
                  </w:r>
                </w:p>
              </w:tc>
              <w:tc>
                <w:tcPr>
                  <w:tcW w:w="951" w:type="pct"/>
                  <w:tcBorders>
                    <w:tl2br w:val="nil"/>
                    <w:tr2bl w:val="nil"/>
                  </w:tcBorders>
                  <w:vAlign w:val="center"/>
                </w:tcPr>
                <w:p w14:paraId="4647CFC6">
                  <w:pPr>
                    <w:pStyle w:val="51"/>
                    <w:ind w:left="-8" w:leftChars="-4" w:firstLine="27" w:firstLineChars="15"/>
                    <w:rPr>
                      <w:rFonts w:hint="eastAsia" w:eastAsia="宋体"/>
                      <w:color w:val="auto"/>
                      <w:sz w:val="18"/>
                      <w:szCs w:val="18"/>
                      <w:lang w:val="en-US" w:eastAsia="zh-CN"/>
                    </w:rPr>
                  </w:pPr>
                  <w:r>
                    <w:rPr>
                      <w:rFonts w:hint="eastAsia"/>
                      <w:color w:val="auto"/>
                      <w:sz w:val="18"/>
                      <w:szCs w:val="18"/>
                      <w:lang w:val="en-US" w:eastAsia="zh-CN"/>
                    </w:rPr>
                    <w:t>5</w:t>
                  </w:r>
                </w:p>
              </w:tc>
              <w:tc>
                <w:tcPr>
                  <w:tcW w:w="2041" w:type="pct"/>
                  <w:vMerge w:val="continue"/>
                  <w:tcBorders>
                    <w:tl2br w:val="nil"/>
                    <w:tr2bl w:val="nil"/>
                  </w:tcBorders>
                  <w:vAlign w:val="center"/>
                </w:tcPr>
                <w:p w14:paraId="4BFAB15A">
                  <w:pPr>
                    <w:pStyle w:val="51"/>
                    <w:ind w:left="-8" w:leftChars="-4" w:firstLine="27" w:firstLineChars="15"/>
                    <w:rPr>
                      <w:color w:val="auto"/>
                      <w:sz w:val="18"/>
                      <w:szCs w:val="18"/>
                    </w:rPr>
                  </w:pPr>
                </w:p>
              </w:tc>
            </w:tr>
            <w:tr w14:paraId="05DF23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tcPr>
                <w:p w14:paraId="5DF21525">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30</w:t>
                  </w:r>
                </w:p>
              </w:tc>
              <w:tc>
                <w:tcPr>
                  <w:tcW w:w="0" w:type="auto"/>
                  <w:tcBorders>
                    <w:tl2br w:val="nil"/>
                    <w:tr2bl w:val="nil"/>
                  </w:tcBorders>
                  <w:shd w:val="clear" w:color="auto" w:fill="auto"/>
                  <w:vAlign w:val="center"/>
                </w:tcPr>
                <w:p w14:paraId="0791348C">
                  <w:pPr>
                    <w:spacing w:line="300" w:lineRule="exact"/>
                    <w:jc w:val="center"/>
                    <w:rPr>
                      <w:rFonts w:ascii="Times New Roman" w:hAnsi="Times New Roman" w:eastAsia="宋体" w:cs="Times New Roman"/>
                      <w:color w:val="auto"/>
                      <w:kern w:val="0"/>
                      <w:position w:val="-1"/>
                      <w:sz w:val="18"/>
                      <w:szCs w:val="18"/>
                      <w:lang w:val="en-US" w:eastAsia="zh-CN" w:bidi="ar-SA"/>
                    </w:rPr>
                  </w:pPr>
                  <w:r>
                    <w:rPr>
                      <w:rFonts w:hint="eastAsia"/>
                      <w:color w:val="auto"/>
                      <w:kern w:val="0"/>
                      <w:position w:val="-1"/>
                      <w:sz w:val="18"/>
                      <w:szCs w:val="18"/>
                    </w:rPr>
                    <w:t>警戒带</w:t>
                  </w:r>
                </w:p>
              </w:tc>
              <w:tc>
                <w:tcPr>
                  <w:tcW w:w="0" w:type="auto"/>
                  <w:tcBorders>
                    <w:tl2br w:val="nil"/>
                    <w:tr2bl w:val="nil"/>
                  </w:tcBorders>
                </w:tcPr>
                <w:p w14:paraId="172938CB">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10</w:t>
                  </w:r>
                </w:p>
              </w:tc>
              <w:tc>
                <w:tcPr>
                  <w:tcW w:w="2041" w:type="pct"/>
                  <w:vMerge w:val="continue"/>
                  <w:tcBorders>
                    <w:tl2br w:val="nil"/>
                    <w:tr2bl w:val="nil"/>
                  </w:tcBorders>
                </w:tcPr>
                <w:p w14:paraId="558D8ACE">
                  <w:pPr>
                    <w:pStyle w:val="51"/>
                    <w:ind w:left="-8" w:leftChars="-4" w:firstLine="27" w:firstLineChars="15"/>
                    <w:rPr>
                      <w:color w:val="auto"/>
                      <w:sz w:val="18"/>
                      <w:szCs w:val="18"/>
                    </w:rPr>
                  </w:pPr>
                </w:p>
              </w:tc>
            </w:tr>
            <w:tr w14:paraId="3DD7BC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tcPr>
                <w:p w14:paraId="201D437B">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31</w:t>
                  </w:r>
                </w:p>
              </w:tc>
              <w:tc>
                <w:tcPr>
                  <w:tcW w:w="0" w:type="auto"/>
                  <w:tcBorders>
                    <w:tl2br w:val="nil"/>
                    <w:tr2bl w:val="nil"/>
                  </w:tcBorders>
                  <w:shd w:val="clear" w:color="auto" w:fill="auto"/>
                  <w:vAlign w:val="center"/>
                </w:tcPr>
                <w:p w14:paraId="2E228781">
                  <w:pPr>
                    <w:spacing w:line="300" w:lineRule="exact"/>
                    <w:jc w:val="center"/>
                    <w:rPr>
                      <w:rFonts w:ascii="Times New Roman" w:hAnsi="Times New Roman" w:eastAsia="宋体" w:cs="Times New Roman"/>
                      <w:color w:val="auto"/>
                      <w:kern w:val="0"/>
                      <w:position w:val="-1"/>
                      <w:sz w:val="18"/>
                      <w:szCs w:val="18"/>
                      <w:lang w:val="en-US" w:eastAsia="zh-CN" w:bidi="ar-SA"/>
                    </w:rPr>
                  </w:pPr>
                  <w:r>
                    <w:rPr>
                      <w:rFonts w:hint="eastAsia"/>
                      <w:color w:val="auto"/>
                      <w:kern w:val="0"/>
                      <w:position w:val="-1"/>
                      <w:sz w:val="18"/>
                      <w:szCs w:val="18"/>
                    </w:rPr>
                    <w:t>应急手电</w:t>
                  </w:r>
                </w:p>
              </w:tc>
              <w:tc>
                <w:tcPr>
                  <w:tcW w:w="0" w:type="auto"/>
                  <w:tcBorders>
                    <w:tl2br w:val="nil"/>
                    <w:tr2bl w:val="nil"/>
                  </w:tcBorders>
                </w:tcPr>
                <w:p w14:paraId="2456BE1C">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10</w:t>
                  </w:r>
                </w:p>
              </w:tc>
              <w:tc>
                <w:tcPr>
                  <w:tcW w:w="2041" w:type="pct"/>
                  <w:vMerge w:val="continue"/>
                  <w:tcBorders>
                    <w:tl2br w:val="nil"/>
                    <w:tr2bl w:val="nil"/>
                  </w:tcBorders>
                </w:tcPr>
                <w:p w14:paraId="7FD39A28">
                  <w:pPr>
                    <w:pStyle w:val="51"/>
                    <w:ind w:left="-8" w:leftChars="-4" w:firstLine="27" w:firstLineChars="15"/>
                    <w:rPr>
                      <w:color w:val="auto"/>
                      <w:sz w:val="18"/>
                      <w:szCs w:val="18"/>
                    </w:rPr>
                  </w:pPr>
                </w:p>
              </w:tc>
            </w:tr>
            <w:tr w14:paraId="73B8D1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tcPr>
                <w:p w14:paraId="5FFCFB1D">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32</w:t>
                  </w:r>
                </w:p>
              </w:tc>
              <w:tc>
                <w:tcPr>
                  <w:tcW w:w="0" w:type="auto"/>
                  <w:tcBorders>
                    <w:tl2br w:val="nil"/>
                    <w:tr2bl w:val="nil"/>
                  </w:tcBorders>
                  <w:shd w:val="clear" w:color="auto" w:fill="auto"/>
                  <w:vAlign w:val="center"/>
                </w:tcPr>
                <w:p w14:paraId="4AFEDEDA">
                  <w:pPr>
                    <w:spacing w:line="300" w:lineRule="exact"/>
                    <w:jc w:val="center"/>
                    <w:rPr>
                      <w:rFonts w:ascii="Times New Roman" w:hAnsi="Times New Roman" w:eastAsia="宋体" w:cs="Times New Roman"/>
                      <w:color w:val="auto"/>
                      <w:kern w:val="0"/>
                      <w:position w:val="-1"/>
                      <w:sz w:val="18"/>
                      <w:szCs w:val="18"/>
                      <w:lang w:val="en-US" w:eastAsia="zh-CN" w:bidi="ar-SA"/>
                    </w:rPr>
                  </w:pPr>
                  <w:r>
                    <w:rPr>
                      <w:rFonts w:hint="eastAsia"/>
                      <w:color w:val="auto"/>
                      <w:kern w:val="0"/>
                      <w:position w:val="-1"/>
                      <w:sz w:val="18"/>
                      <w:szCs w:val="18"/>
                    </w:rPr>
                    <w:t>急救箱</w:t>
                  </w:r>
                </w:p>
              </w:tc>
              <w:tc>
                <w:tcPr>
                  <w:tcW w:w="0" w:type="auto"/>
                  <w:tcBorders>
                    <w:tl2br w:val="nil"/>
                    <w:tr2bl w:val="nil"/>
                  </w:tcBorders>
                </w:tcPr>
                <w:p w14:paraId="3B7C7E16">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10</w:t>
                  </w:r>
                </w:p>
              </w:tc>
              <w:tc>
                <w:tcPr>
                  <w:tcW w:w="2041" w:type="pct"/>
                  <w:vMerge w:val="continue"/>
                  <w:tcBorders>
                    <w:tl2br w:val="nil"/>
                    <w:tr2bl w:val="nil"/>
                  </w:tcBorders>
                </w:tcPr>
                <w:p w14:paraId="73B48B59">
                  <w:pPr>
                    <w:pStyle w:val="51"/>
                    <w:ind w:left="-8" w:leftChars="-4" w:firstLine="27" w:firstLineChars="15"/>
                    <w:rPr>
                      <w:color w:val="auto"/>
                      <w:sz w:val="18"/>
                      <w:szCs w:val="18"/>
                    </w:rPr>
                  </w:pPr>
                </w:p>
              </w:tc>
            </w:tr>
            <w:tr w14:paraId="15D755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tcPr>
                <w:p w14:paraId="6ED3330B">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33</w:t>
                  </w:r>
                </w:p>
              </w:tc>
              <w:tc>
                <w:tcPr>
                  <w:tcW w:w="0" w:type="auto"/>
                  <w:tcBorders>
                    <w:tl2br w:val="nil"/>
                    <w:tr2bl w:val="nil"/>
                  </w:tcBorders>
                  <w:shd w:val="clear" w:color="auto" w:fill="auto"/>
                  <w:vAlign w:val="center"/>
                </w:tcPr>
                <w:p w14:paraId="21665372">
                  <w:pPr>
                    <w:spacing w:line="300" w:lineRule="exact"/>
                    <w:jc w:val="center"/>
                    <w:rPr>
                      <w:rFonts w:hint="default" w:ascii="Times New Roman" w:hAnsi="Times New Roman" w:eastAsia="宋体" w:cs="Times New Roman"/>
                      <w:color w:val="auto"/>
                      <w:kern w:val="0"/>
                      <w:position w:val="-1"/>
                      <w:sz w:val="18"/>
                      <w:szCs w:val="18"/>
                      <w:lang w:val="en-US" w:eastAsia="zh-CN" w:bidi="ar-SA"/>
                    </w:rPr>
                  </w:pPr>
                  <w:r>
                    <w:rPr>
                      <w:rFonts w:hint="eastAsia" w:ascii="Times New Roman" w:hAnsi="Times New Roman" w:eastAsia="宋体" w:cs="Times New Roman"/>
                      <w:color w:val="auto"/>
                      <w:kern w:val="0"/>
                      <w:position w:val="-1"/>
                      <w:sz w:val="18"/>
                      <w:szCs w:val="18"/>
                      <w:lang w:val="en-US" w:eastAsia="zh-CN" w:bidi="ar-SA"/>
                    </w:rPr>
                    <w:t>对讲机</w:t>
                  </w:r>
                </w:p>
              </w:tc>
              <w:tc>
                <w:tcPr>
                  <w:tcW w:w="0" w:type="auto"/>
                  <w:tcBorders>
                    <w:tl2br w:val="nil"/>
                    <w:tr2bl w:val="nil"/>
                  </w:tcBorders>
                </w:tcPr>
                <w:p w14:paraId="61935B96">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10</w:t>
                  </w:r>
                </w:p>
              </w:tc>
              <w:tc>
                <w:tcPr>
                  <w:tcW w:w="2041" w:type="pct"/>
                  <w:vMerge w:val="continue"/>
                  <w:tcBorders>
                    <w:tl2br w:val="nil"/>
                    <w:tr2bl w:val="nil"/>
                  </w:tcBorders>
                </w:tcPr>
                <w:p w14:paraId="2C2A0F14">
                  <w:pPr>
                    <w:pStyle w:val="51"/>
                    <w:ind w:left="-8" w:leftChars="-4" w:firstLine="27" w:firstLineChars="15"/>
                    <w:rPr>
                      <w:color w:val="auto"/>
                      <w:sz w:val="18"/>
                      <w:szCs w:val="18"/>
                    </w:rPr>
                  </w:pPr>
                </w:p>
              </w:tc>
            </w:tr>
            <w:tr w14:paraId="52E523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tcPr>
                <w:p w14:paraId="4375826B">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34</w:t>
                  </w:r>
                </w:p>
              </w:tc>
              <w:tc>
                <w:tcPr>
                  <w:tcW w:w="0" w:type="auto"/>
                  <w:tcBorders>
                    <w:tl2br w:val="nil"/>
                    <w:tr2bl w:val="nil"/>
                  </w:tcBorders>
                  <w:shd w:val="clear" w:color="auto" w:fill="auto"/>
                  <w:vAlign w:val="center"/>
                </w:tcPr>
                <w:p w14:paraId="2E079103">
                  <w:pPr>
                    <w:spacing w:line="300" w:lineRule="exact"/>
                    <w:jc w:val="center"/>
                    <w:rPr>
                      <w:rFonts w:hint="eastAsia" w:ascii="Times New Roman" w:hAnsi="Times New Roman" w:eastAsia="宋体" w:cs="Times New Roman"/>
                      <w:color w:val="auto"/>
                      <w:kern w:val="0"/>
                      <w:position w:val="-1"/>
                      <w:sz w:val="18"/>
                      <w:szCs w:val="18"/>
                      <w:lang w:val="en-US" w:eastAsia="zh-CN" w:bidi="ar-SA"/>
                    </w:rPr>
                  </w:pPr>
                  <w:r>
                    <w:rPr>
                      <w:rFonts w:hint="eastAsia" w:eastAsia="宋体"/>
                      <w:color w:val="auto"/>
                      <w:kern w:val="0"/>
                      <w:position w:val="-1"/>
                      <w:sz w:val="18"/>
                      <w:szCs w:val="18"/>
                      <w:lang w:val="en-US" w:eastAsia="zh-CN"/>
                    </w:rPr>
                    <w:t>氧气瓶</w:t>
                  </w:r>
                </w:p>
              </w:tc>
              <w:tc>
                <w:tcPr>
                  <w:tcW w:w="0" w:type="auto"/>
                  <w:tcBorders>
                    <w:tl2br w:val="nil"/>
                    <w:tr2bl w:val="nil"/>
                  </w:tcBorders>
                </w:tcPr>
                <w:p w14:paraId="07EC4F41">
                  <w:pPr>
                    <w:pStyle w:val="51"/>
                    <w:ind w:left="-8" w:leftChars="-4" w:firstLine="27" w:firstLineChars="15"/>
                    <w:rPr>
                      <w:rFonts w:hint="eastAsia" w:eastAsia="宋体"/>
                      <w:color w:val="auto"/>
                      <w:sz w:val="18"/>
                      <w:szCs w:val="18"/>
                      <w:lang w:val="en-US" w:eastAsia="zh-CN"/>
                    </w:rPr>
                  </w:pPr>
                  <w:r>
                    <w:rPr>
                      <w:rFonts w:hint="eastAsia"/>
                      <w:color w:val="auto"/>
                      <w:sz w:val="18"/>
                      <w:szCs w:val="18"/>
                      <w:lang w:val="en-US" w:eastAsia="zh-CN"/>
                    </w:rPr>
                    <w:t>1</w:t>
                  </w:r>
                </w:p>
              </w:tc>
              <w:tc>
                <w:tcPr>
                  <w:tcW w:w="2041" w:type="pct"/>
                  <w:vMerge w:val="continue"/>
                  <w:tcBorders>
                    <w:tl2br w:val="nil"/>
                    <w:tr2bl w:val="nil"/>
                  </w:tcBorders>
                </w:tcPr>
                <w:p w14:paraId="4E27EB97">
                  <w:pPr>
                    <w:pStyle w:val="51"/>
                    <w:ind w:left="-8" w:leftChars="-4" w:firstLine="27" w:firstLineChars="15"/>
                    <w:rPr>
                      <w:rFonts w:hint="eastAsia" w:eastAsia="宋体"/>
                      <w:color w:val="auto"/>
                      <w:sz w:val="18"/>
                      <w:szCs w:val="18"/>
                      <w:lang w:val="en-US" w:eastAsia="zh-CN"/>
                    </w:rPr>
                  </w:pPr>
                </w:p>
              </w:tc>
            </w:tr>
            <w:tr w14:paraId="57A047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tcPr>
                <w:p w14:paraId="5F37516A">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35</w:t>
                  </w:r>
                </w:p>
              </w:tc>
              <w:tc>
                <w:tcPr>
                  <w:tcW w:w="0" w:type="auto"/>
                  <w:tcBorders>
                    <w:tl2br w:val="nil"/>
                    <w:tr2bl w:val="nil"/>
                  </w:tcBorders>
                  <w:shd w:val="clear" w:color="auto" w:fill="auto"/>
                  <w:vAlign w:val="center"/>
                </w:tcPr>
                <w:p w14:paraId="7BDA70F8">
                  <w:pPr>
                    <w:spacing w:line="300" w:lineRule="exact"/>
                    <w:jc w:val="center"/>
                    <w:rPr>
                      <w:rFonts w:ascii="Times New Roman" w:hAnsi="Times New Roman" w:eastAsia="宋体" w:cs="Times New Roman"/>
                      <w:color w:val="auto"/>
                      <w:kern w:val="0"/>
                      <w:position w:val="-1"/>
                      <w:sz w:val="18"/>
                      <w:szCs w:val="18"/>
                      <w:lang w:val="en-US" w:eastAsia="zh-CN" w:bidi="ar-SA"/>
                    </w:rPr>
                  </w:pPr>
                  <w:r>
                    <w:rPr>
                      <w:rFonts w:hint="eastAsia"/>
                      <w:color w:val="auto"/>
                      <w:kern w:val="0"/>
                      <w:position w:val="-1"/>
                      <w:sz w:val="18"/>
                      <w:szCs w:val="18"/>
                    </w:rPr>
                    <w:t>应急水泵</w:t>
                  </w:r>
                </w:p>
              </w:tc>
              <w:tc>
                <w:tcPr>
                  <w:tcW w:w="0" w:type="auto"/>
                  <w:tcBorders>
                    <w:tl2br w:val="nil"/>
                    <w:tr2bl w:val="nil"/>
                  </w:tcBorders>
                </w:tcPr>
                <w:p w14:paraId="1BC54A6D">
                  <w:pPr>
                    <w:pStyle w:val="51"/>
                    <w:ind w:left="-8" w:leftChars="-4" w:firstLine="27" w:firstLineChars="15"/>
                    <w:rPr>
                      <w:rFonts w:hint="eastAsia" w:eastAsia="宋体"/>
                      <w:color w:val="auto"/>
                      <w:sz w:val="18"/>
                      <w:szCs w:val="18"/>
                      <w:lang w:val="en-US" w:eastAsia="zh-CN"/>
                    </w:rPr>
                  </w:pPr>
                  <w:r>
                    <w:rPr>
                      <w:rFonts w:hint="eastAsia"/>
                      <w:color w:val="auto"/>
                      <w:sz w:val="18"/>
                      <w:szCs w:val="18"/>
                      <w:lang w:val="en-US" w:eastAsia="zh-CN"/>
                    </w:rPr>
                    <w:t>6</w:t>
                  </w:r>
                </w:p>
              </w:tc>
              <w:tc>
                <w:tcPr>
                  <w:tcW w:w="0" w:type="auto"/>
                  <w:tcBorders>
                    <w:tl2br w:val="nil"/>
                    <w:tr2bl w:val="nil"/>
                  </w:tcBorders>
                  <w:shd w:val="clear" w:color="auto" w:fill="auto"/>
                  <w:vAlign w:val="top"/>
                </w:tcPr>
                <w:p w14:paraId="280EA3D1">
                  <w:pPr>
                    <w:pStyle w:val="51"/>
                    <w:ind w:left="-8" w:leftChars="-4" w:firstLine="27" w:firstLineChars="15"/>
                    <w:rPr>
                      <w:rFonts w:hint="eastAsia" w:ascii="Times New Roman" w:hAnsi="Times New Roman" w:eastAsia="宋体" w:cs="Times New Roman"/>
                      <w:color w:val="auto"/>
                      <w:kern w:val="0"/>
                      <w:sz w:val="18"/>
                      <w:szCs w:val="18"/>
                      <w:lang w:val="en-US" w:eastAsia="zh-CN" w:bidi="ar-SA"/>
                    </w:rPr>
                  </w:pPr>
                  <w:r>
                    <w:rPr>
                      <w:rFonts w:hint="eastAsia"/>
                      <w:color w:val="auto"/>
                      <w:sz w:val="18"/>
                      <w:szCs w:val="18"/>
                      <w:lang w:val="en-US" w:eastAsia="zh-CN"/>
                    </w:rPr>
                    <w:t>泵房</w:t>
                  </w:r>
                </w:p>
              </w:tc>
            </w:tr>
            <w:tr w14:paraId="34A43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0" w:type="auto"/>
                  <w:tcBorders>
                    <w:tl2br w:val="nil"/>
                    <w:tr2bl w:val="nil"/>
                  </w:tcBorders>
                </w:tcPr>
                <w:p w14:paraId="0D6B6216">
                  <w:pPr>
                    <w:pStyle w:val="51"/>
                    <w:ind w:left="-8" w:leftChars="-4" w:firstLine="27" w:firstLineChars="15"/>
                    <w:rPr>
                      <w:rFonts w:hint="default" w:eastAsia="宋体"/>
                      <w:color w:val="auto"/>
                      <w:sz w:val="18"/>
                      <w:szCs w:val="18"/>
                      <w:lang w:val="en-US" w:eastAsia="zh-CN"/>
                    </w:rPr>
                  </w:pPr>
                  <w:r>
                    <w:rPr>
                      <w:rFonts w:hint="eastAsia"/>
                      <w:color w:val="auto"/>
                      <w:sz w:val="18"/>
                      <w:szCs w:val="18"/>
                      <w:lang w:val="en-US" w:eastAsia="zh-CN"/>
                    </w:rPr>
                    <w:t>36</w:t>
                  </w:r>
                </w:p>
              </w:tc>
              <w:tc>
                <w:tcPr>
                  <w:tcW w:w="0" w:type="auto"/>
                  <w:tcBorders>
                    <w:tl2br w:val="nil"/>
                    <w:tr2bl w:val="nil"/>
                  </w:tcBorders>
                  <w:shd w:val="clear" w:color="auto" w:fill="auto"/>
                  <w:vAlign w:val="center"/>
                </w:tcPr>
                <w:p w14:paraId="09E1FA3D">
                  <w:pPr>
                    <w:spacing w:line="300" w:lineRule="exact"/>
                    <w:jc w:val="center"/>
                    <w:rPr>
                      <w:rFonts w:ascii="Times New Roman" w:hAnsi="Times New Roman" w:eastAsia="宋体" w:cs="Times New Roman"/>
                      <w:color w:val="auto"/>
                      <w:kern w:val="0"/>
                      <w:position w:val="-1"/>
                      <w:sz w:val="18"/>
                      <w:szCs w:val="18"/>
                      <w:lang w:val="en-US" w:eastAsia="zh-CN" w:bidi="ar-SA"/>
                    </w:rPr>
                  </w:pPr>
                  <w:r>
                    <w:rPr>
                      <w:rFonts w:hint="eastAsia"/>
                      <w:color w:val="auto"/>
                      <w:kern w:val="0"/>
                      <w:position w:val="-1"/>
                      <w:sz w:val="18"/>
                      <w:szCs w:val="18"/>
                    </w:rPr>
                    <w:t>消防水池</w:t>
                  </w:r>
                </w:p>
              </w:tc>
              <w:tc>
                <w:tcPr>
                  <w:tcW w:w="0" w:type="auto"/>
                  <w:tcBorders>
                    <w:tl2br w:val="nil"/>
                    <w:tr2bl w:val="nil"/>
                  </w:tcBorders>
                </w:tcPr>
                <w:p w14:paraId="3EB3CFFD">
                  <w:pPr>
                    <w:pStyle w:val="51"/>
                    <w:ind w:left="-8" w:leftChars="-4" w:firstLine="27" w:firstLineChars="15"/>
                    <w:rPr>
                      <w:rFonts w:hint="eastAsia" w:eastAsia="宋体"/>
                      <w:color w:val="auto"/>
                      <w:sz w:val="18"/>
                      <w:szCs w:val="18"/>
                      <w:lang w:val="en-US" w:eastAsia="zh-CN"/>
                    </w:rPr>
                  </w:pPr>
                  <w:r>
                    <w:rPr>
                      <w:rFonts w:hint="eastAsia"/>
                      <w:color w:val="auto"/>
                      <w:sz w:val="18"/>
                      <w:szCs w:val="18"/>
                      <w:lang w:val="en-US" w:eastAsia="zh-CN"/>
                    </w:rPr>
                    <w:t>2</w:t>
                  </w:r>
                </w:p>
              </w:tc>
              <w:tc>
                <w:tcPr>
                  <w:tcW w:w="0" w:type="auto"/>
                  <w:tcBorders>
                    <w:tl2br w:val="nil"/>
                    <w:tr2bl w:val="nil"/>
                  </w:tcBorders>
                  <w:shd w:val="clear" w:color="auto" w:fill="auto"/>
                  <w:vAlign w:val="top"/>
                </w:tcPr>
                <w:p w14:paraId="6D2B2F82">
                  <w:pPr>
                    <w:pStyle w:val="51"/>
                    <w:ind w:left="-8" w:leftChars="-4" w:firstLine="27" w:firstLineChars="15"/>
                    <w:rPr>
                      <w:rFonts w:hint="eastAsia" w:ascii="Times New Roman" w:hAnsi="Times New Roman" w:eastAsia="宋体" w:cs="Times New Roman"/>
                      <w:color w:val="auto"/>
                      <w:kern w:val="0"/>
                      <w:sz w:val="18"/>
                      <w:szCs w:val="18"/>
                      <w:lang w:val="en-US" w:eastAsia="zh-CN" w:bidi="ar-SA"/>
                    </w:rPr>
                  </w:pPr>
                  <w:r>
                    <w:rPr>
                      <w:rFonts w:hint="eastAsia"/>
                      <w:color w:val="auto"/>
                      <w:sz w:val="18"/>
                      <w:szCs w:val="18"/>
                      <w:lang w:val="en-US" w:eastAsia="zh-CN"/>
                    </w:rPr>
                    <w:t>厂区</w:t>
                  </w:r>
                </w:p>
              </w:tc>
            </w:tr>
          </w:tbl>
          <w:p w14:paraId="41135639">
            <w:pPr>
              <w:pStyle w:val="4"/>
              <w:numPr>
                <w:ilvl w:val="0"/>
                <w:numId w:val="0"/>
              </w:numPr>
              <w:suppressLineNumbers w:val="0"/>
              <w:tabs>
                <w:tab w:val="left" w:pos="1363"/>
              </w:tabs>
              <w:spacing w:beforeAutospacing="0" w:after="5" w:afterAutospacing="0" w:line="360" w:lineRule="auto"/>
              <w:ind w:right="0" w:rightChars="0"/>
              <w:rPr>
                <w:rFonts w:hint="default"/>
                <w:b/>
                <w:bCs w:val="0"/>
                <w:color w:val="auto"/>
                <w:highlight w:val="none"/>
                <w:lang w:val="en-US" w:eastAsia="zh-CN"/>
              </w:rPr>
            </w:pPr>
            <w:r>
              <w:rPr>
                <w:rFonts w:hint="eastAsia"/>
                <w:b/>
                <w:bCs w:val="0"/>
                <w:color w:val="auto"/>
                <w:highlight w:val="none"/>
                <w:lang w:val="en-US" w:eastAsia="zh-CN"/>
              </w:rPr>
              <w:t>6、</w:t>
            </w:r>
            <w:r>
              <w:rPr>
                <w:rFonts w:hint="default"/>
                <w:b/>
                <w:bCs w:val="0"/>
                <w:color w:val="auto"/>
                <w:highlight w:val="none"/>
                <w:lang w:val="en-US" w:eastAsia="zh-CN"/>
              </w:rPr>
              <w:t>污染物</w:t>
            </w:r>
            <w:r>
              <w:rPr>
                <w:rFonts w:hint="eastAsia"/>
                <w:b/>
                <w:bCs w:val="0"/>
                <w:color w:val="auto"/>
                <w:highlight w:val="none"/>
                <w:lang w:val="en-US" w:eastAsia="zh-CN"/>
              </w:rPr>
              <w:t>实际</w:t>
            </w:r>
            <w:r>
              <w:rPr>
                <w:rFonts w:hint="default"/>
                <w:b/>
                <w:bCs w:val="0"/>
                <w:color w:val="auto"/>
                <w:highlight w:val="none"/>
                <w:lang w:val="en-US" w:eastAsia="zh-CN"/>
              </w:rPr>
              <w:t>排放总量</w:t>
            </w:r>
          </w:p>
          <w:p w14:paraId="27F296AD">
            <w:pPr>
              <w:bidi w:val="0"/>
              <w:spacing w:line="360" w:lineRule="auto"/>
              <w:ind w:firstLine="420"/>
              <w:rPr>
                <w:rFonts w:hint="default"/>
                <w:color w:val="auto"/>
                <w:highlight w:val="yellow"/>
                <w:lang w:val="en-US" w:eastAsia="zh-CN"/>
              </w:rPr>
            </w:pPr>
            <w:r>
              <w:rPr>
                <w:rFonts w:hint="eastAsia"/>
                <w:color w:val="auto"/>
                <w:szCs w:val="21"/>
                <w:lang w:val="en-US" w:eastAsia="zh-CN"/>
              </w:rPr>
              <w:t>企业2025年全厂职工人数未达到现有项目环评人数，但生产已达到满负荷，</w:t>
            </w:r>
            <w:r>
              <w:rPr>
                <w:color w:val="auto"/>
                <w:szCs w:val="21"/>
              </w:rPr>
              <w:t>根据现有项目环评批复</w:t>
            </w:r>
            <w:r>
              <w:rPr>
                <w:rFonts w:hint="eastAsia"/>
                <w:color w:val="auto"/>
                <w:szCs w:val="21"/>
              </w:rPr>
              <w:t>、</w:t>
            </w:r>
            <w:r>
              <w:rPr>
                <w:rFonts w:hint="eastAsia"/>
                <w:color w:val="auto"/>
                <w:szCs w:val="21"/>
                <w:lang w:val="en-US" w:eastAsia="zh-CN"/>
              </w:rPr>
              <w:t>2025年日常检测</w:t>
            </w:r>
            <w:r>
              <w:rPr>
                <w:rFonts w:hint="eastAsia"/>
                <w:color w:val="auto"/>
                <w:szCs w:val="21"/>
              </w:rPr>
              <w:t>核算</w:t>
            </w:r>
            <w:r>
              <w:rPr>
                <w:color w:val="auto"/>
                <w:szCs w:val="21"/>
              </w:rPr>
              <w:t>排放量</w:t>
            </w:r>
            <w:r>
              <w:rPr>
                <w:rFonts w:hint="eastAsia"/>
                <w:color w:val="auto"/>
                <w:szCs w:val="21"/>
              </w:rPr>
              <w:t>及</w:t>
            </w:r>
            <w:r>
              <w:rPr>
                <w:color w:val="auto"/>
                <w:szCs w:val="21"/>
              </w:rPr>
              <w:t>见表2-</w:t>
            </w:r>
            <w:r>
              <w:rPr>
                <w:rFonts w:hint="eastAsia"/>
                <w:color w:val="auto"/>
                <w:szCs w:val="21"/>
              </w:rPr>
              <w:t>21</w:t>
            </w:r>
            <w:r>
              <w:rPr>
                <w:rFonts w:hint="eastAsia"/>
                <w:color w:val="auto"/>
                <w:highlight w:val="none"/>
                <w:lang w:val="en-US" w:eastAsia="zh-CN"/>
              </w:rPr>
              <w:t>。</w:t>
            </w:r>
          </w:p>
          <w:p w14:paraId="3CFDD3E8">
            <w:pPr>
              <w:pStyle w:val="10"/>
              <w:spacing w:line="400" w:lineRule="exact"/>
              <w:ind w:firstLine="0" w:firstLineChars="0"/>
              <w:jc w:val="center"/>
              <w:outlineLvl w:val="0"/>
              <w:rPr>
                <w:rFonts w:ascii="Times New Roman" w:hAnsi="Times New Roman"/>
                <w:b/>
                <w:color w:val="auto"/>
                <w:szCs w:val="21"/>
              </w:rPr>
            </w:pPr>
            <w:r>
              <w:rPr>
                <w:rFonts w:ascii="Times New Roman" w:hAnsi="Times New Roman"/>
                <w:b/>
                <w:color w:val="auto"/>
                <w:szCs w:val="21"/>
              </w:rPr>
              <w:t>表2-</w:t>
            </w:r>
            <w:r>
              <w:rPr>
                <w:rFonts w:hint="eastAsia" w:ascii="Times New Roman" w:hAnsi="Times New Roman"/>
                <w:b/>
                <w:color w:val="auto"/>
                <w:szCs w:val="21"/>
              </w:rPr>
              <w:t>21</w:t>
            </w:r>
            <w:r>
              <w:rPr>
                <w:rFonts w:ascii="Times New Roman" w:hAnsi="Times New Roman"/>
                <w:b/>
                <w:color w:val="auto"/>
                <w:szCs w:val="21"/>
              </w:rPr>
              <w:t xml:space="preserve">  现有项目主要污染物排放情况（t/a）</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020"/>
              <w:gridCol w:w="1395"/>
              <w:gridCol w:w="1650"/>
              <w:gridCol w:w="1980"/>
              <w:gridCol w:w="2228"/>
            </w:tblGrid>
            <w:tr w14:paraId="5A4148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645" w:hRule="atLeast"/>
                <w:jc w:val="center"/>
              </w:trPr>
              <w:tc>
                <w:tcPr>
                  <w:tcW w:w="616" w:type="pct"/>
                  <w:tcBorders>
                    <w:top w:val="single" w:color="auto" w:sz="12" w:space="0"/>
                  </w:tcBorders>
                  <w:vAlign w:val="center"/>
                </w:tcPr>
                <w:p w14:paraId="70B74591">
                  <w:pPr>
                    <w:pStyle w:val="51"/>
                    <w:ind w:left="-8" w:leftChars="-4" w:firstLine="27" w:firstLineChars="15"/>
                    <w:rPr>
                      <w:b/>
                      <w:bCs/>
                      <w:color w:val="auto"/>
                      <w:sz w:val="18"/>
                      <w:szCs w:val="18"/>
                    </w:rPr>
                  </w:pPr>
                  <w:r>
                    <w:rPr>
                      <w:b/>
                      <w:bCs/>
                      <w:color w:val="auto"/>
                      <w:sz w:val="18"/>
                      <w:szCs w:val="18"/>
                    </w:rPr>
                    <w:t>类别</w:t>
                  </w:r>
                </w:p>
              </w:tc>
              <w:tc>
                <w:tcPr>
                  <w:tcW w:w="843" w:type="pct"/>
                  <w:tcBorders>
                    <w:top w:val="single" w:color="auto" w:sz="12" w:space="0"/>
                  </w:tcBorders>
                  <w:vAlign w:val="center"/>
                </w:tcPr>
                <w:p w14:paraId="41F4C728">
                  <w:pPr>
                    <w:pStyle w:val="51"/>
                    <w:ind w:left="-8" w:leftChars="-4" w:firstLine="27" w:firstLineChars="15"/>
                    <w:rPr>
                      <w:b/>
                      <w:bCs/>
                      <w:color w:val="auto"/>
                      <w:sz w:val="18"/>
                      <w:szCs w:val="18"/>
                    </w:rPr>
                  </w:pPr>
                  <w:r>
                    <w:rPr>
                      <w:b/>
                      <w:bCs/>
                      <w:color w:val="auto"/>
                      <w:sz w:val="18"/>
                      <w:szCs w:val="18"/>
                    </w:rPr>
                    <w:t>污染物</w:t>
                  </w:r>
                </w:p>
              </w:tc>
              <w:tc>
                <w:tcPr>
                  <w:tcW w:w="997" w:type="pct"/>
                  <w:tcBorders>
                    <w:top w:val="single" w:color="auto" w:sz="12" w:space="0"/>
                    <w:bottom w:val="single" w:color="auto" w:sz="12" w:space="0"/>
                  </w:tcBorders>
                  <w:vAlign w:val="center"/>
                </w:tcPr>
                <w:p w14:paraId="6689308E">
                  <w:pPr>
                    <w:pStyle w:val="51"/>
                    <w:ind w:left="-8" w:leftChars="-4" w:firstLine="27" w:firstLineChars="15"/>
                    <w:rPr>
                      <w:rFonts w:hint="eastAsia"/>
                      <w:b/>
                      <w:bCs/>
                      <w:color w:val="auto"/>
                      <w:sz w:val="18"/>
                      <w:szCs w:val="18"/>
                    </w:rPr>
                  </w:pPr>
                  <w:r>
                    <w:rPr>
                      <w:rFonts w:hint="eastAsia"/>
                      <w:b/>
                      <w:bCs/>
                      <w:color w:val="auto"/>
                      <w:sz w:val="18"/>
                      <w:szCs w:val="18"/>
                    </w:rPr>
                    <w:t>环评批复</w:t>
                  </w:r>
                  <w:r>
                    <w:rPr>
                      <w:b/>
                      <w:bCs/>
                      <w:color w:val="auto"/>
                      <w:sz w:val="18"/>
                      <w:szCs w:val="18"/>
                    </w:rPr>
                    <w:t>总量</w:t>
                  </w:r>
                </w:p>
                <w:p w14:paraId="558EE5AF">
                  <w:pPr>
                    <w:pStyle w:val="51"/>
                    <w:ind w:left="-8" w:leftChars="-4" w:firstLine="27" w:firstLineChars="15"/>
                    <w:rPr>
                      <w:b/>
                      <w:bCs/>
                      <w:color w:val="auto"/>
                      <w:sz w:val="18"/>
                      <w:szCs w:val="18"/>
                    </w:rPr>
                  </w:pPr>
                </w:p>
              </w:tc>
              <w:tc>
                <w:tcPr>
                  <w:tcW w:w="1196" w:type="pct"/>
                  <w:tcBorders>
                    <w:top w:val="single" w:color="auto" w:sz="12" w:space="0"/>
                  </w:tcBorders>
                  <w:vAlign w:val="center"/>
                </w:tcPr>
                <w:p w14:paraId="4416536C">
                  <w:pPr>
                    <w:pStyle w:val="51"/>
                    <w:ind w:left="-8" w:leftChars="-4" w:firstLine="27" w:firstLineChars="15"/>
                    <w:rPr>
                      <w:rFonts w:hint="eastAsia"/>
                      <w:b/>
                      <w:bCs/>
                      <w:color w:val="auto"/>
                      <w:sz w:val="18"/>
                      <w:szCs w:val="18"/>
                      <w:lang w:val="en-US" w:eastAsia="zh-CN"/>
                    </w:rPr>
                  </w:pPr>
                  <w:r>
                    <w:rPr>
                      <w:rFonts w:hint="eastAsia"/>
                      <w:b/>
                      <w:bCs/>
                      <w:color w:val="auto"/>
                      <w:sz w:val="18"/>
                      <w:szCs w:val="18"/>
                      <w:lang w:val="en-US" w:eastAsia="zh-CN"/>
                    </w:rPr>
                    <w:t>日常检测</w:t>
                  </w:r>
                  <w:r>
                    <w:rPr>
                      <w:rFonts w:hint="eastAsia"/>
                      <w:b/>
                      <w:bCs/>
                      <w:color w:val="auto"/>
                      <w:sz w:val="18"/>
                      <w:szCs w:val="18"/>
                    </w:rPr>
                    <w:t>核算</w:t>
                  </w:r>
                  <w:r>
                    <w:rPr>
                      <w:b/>
                      <w:bCs/>
                      <w:color w:val="auto"/>
                      <w:sz w:val="18"/>
                      <w:szCs w:val="18"/>
                    </w:rPr>
                    <w:t>排放量</w:t>
                  </w:r>
                </w:p>
              </w:tc>
              <w:tc>
                <w:tcPr>
                  <w:tcW w:w="1346" w:type="pct"/>
                  <w:tcBorders>
                    <w:top w:val="single" w:color="auto" w:sz="12" w:space="0"/>
                  </w:tcBorders>
                  <w:vAlign w:val="center"/>
                </w:tcPr>
                <w:p w14:paraId="25E84239">
                  <w:pPr>
                    <w:pStyle w:val="51"/>
                    <w:ind w:left="-8" w:leftChars="-4" w:firstLine="27" w:firstLineChars="15"/>
                    <w:rPr>
                      <w:b/>
                      <w:bCs/>
                      <w:color w:val="auto"/>
                      <w:sz w:val="18"/>
                      <w:szCs w:val="18"/>
                    </w:rPr>
                  </w:pPr>
                  <w:r>
                    <w:rPr>
                      <w:rFonts w:hint="eastAsia"/>
                      <w:b/>
                      <w:bCs/>
                      <w:color w:val="auto"/>
                      <w:sz w:val="18"/>
                      <w:szCs w:val="18"/>
                    </w:rPr>
                    <w:t>是否满足</w:t>
                  </w:r>
                  <w:r>
                    <w:rPr>
                      <w:rFonts w:hint="eastAsia"/>
                      <w:b/>
                      <w:bCs/>
                      <w:color w:val="auto"/>
                      <w:sz w:val="18"/>
                      <w:szCs w:val="18"/>
                      <w:lang w:eastAsia="zh-CN"/>
                    </w:rPr>
                    <w:t>环评批复</w:t>
                  </w:r>
                  <w:r>
                    <w:rPr>
                      <w:rFonts w:hint="eastAsia"/>
                      <w:b/>
                      <w:bCs/>
                      <w:color w:val="auto"/>
                      <w:sz w:val="18"/>
                      <w:szCs w:val="18"/>
                    </w:rPr>
                    <w:t>总量要求</w:t>
                  </w:r>
                </w:p>
              </w:tc>
            </w:tr>
            <w:tr w14:paraId="33BC2A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16" w:type="pct"/>
                  <w:vMerge w:val="restart"/>
                  <w:tcBorders>
                    <w:top w:val="single" w:color="auto" w:sz="12" w:space="0"/>
                  </w:tcBorders>
                  <w:vAlign w:val="center"/>
                </w:tcPr>
                <w:p w14:paraId="76A17E84">
                  <w:pPr>
                    <w:pStyle w:val="51"/>
                    <w:ind w:left="-8" w:leftChars="-4" w:firstLine="27" w:firstLineChars="15"/>
                    <w:rPr>
                      <w:color w:val="auto"/>
                      <w:sz w:val="18"/>
                      <w:szCs w:val="18"/>
                    </w:rPr>
                  </w:pPr>
                  <w:bookmarkStart w:id="15" w:name="_Hlk452555842"/>
                  <w:r>
                    <w:rPr>
                      <w:rFonts w:hint="eastAsia"/>
                      <w:color w:val="auto"/>
                      <w:sz w:val="18"/>
                      <w:szCs w:val="18"/>
                    </w:rPr>
                    <w:t>生活污水</w:t>
                  </w:r>
                </w:p>
              </w:tc>
              <w:tc>
                <w:tcPr>
                  <w:tcW w:w="843" w:type="pct"/>
                  <w:tcBorders>
                    <w:top w:val="single" w:color="auto" w:sz="12" w:space="0"/>
                  </w:tcBorders>
                  <w:vAlign w:val="center"/>
                </w:tcPr>
                <w:p w14:paraId="2C7F907B">
                  <w:pPr>
                    <w:pStyle w:val="51"/>
                    <w:ind w:left="-8" w:leftChars="-4" w:firstLine="27" w:firstLineChars="15"/>
                    <w:rPr>
                      <w:color w:val="auto"/>
                      <w:sz w:val="18"/>
                      <w:szCs w:val="18"/>
                    </w:rPr>
                  </w:pPr>
                  <w:r>
                    <w:rPr>
                      <w:color w:val="auto"/>
                      <w:sz w:val="18"/>
                      <w:szCs w:val="18"/>
                    </w:rPr>
                    <w:t>废水量</w:t>
                  </w:r>
                </w:p>
              </w:tc>
              <w:tc>
                <w:tcPr>
                  <w:tcW w:w="997" w:type="pct"/>
                  <w:tcBorders>
                    <w:top w:val="single" w:color="auto" w:sz="12" w:space="0"/>
                  </w:tcBorders>
                  <w:vAlign w:val="center"/>
                </w:tcPr>
                <w:p w14:paraId="34D68258">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18"/>
                      <w:szCs w:val="18"/>
                      <w:lang w:val="en-US" w:eastAsia="zh-CN" w:bidi="ar-SA"/>
                    </w:rPr>
                  </w:pPr>
                  <w:r>
                    <w:rPr>
                      <w:rFonts w:hint="eastAsia" w:ascii="Times New Roman" w:cs="Times New Roman"/>
                      <w:snapToGrid w:val="0"/>
                      <w:color w:val="auto"/>
                      <w:kern w:val="21"/>
                      <w:sz w:val="18"/>
                      <w:szCs w:val="18"/>
                      <w:lang w:val="en-US" w:eastAsia="zh-CN" w:bidi="ar-SA"/>
                    </w:rPr>
                    <w:t>22356</w:t>
                  </w:r>
                </w:p>
              </w:tc>
              <w:tc>
                <w:tcPr>
                  <w:tcW w:w="1196" w:type="pct"/>
                  <w:tcBorders>
                    <w:top w:val="single" w:color="auto" w:sz="12" w:space="0"/>
                  </w:tcBorders>
                  <w:vAlign w:val="center"/>
                </w:tcPr>
                <w:p w14:paraId="265080BA">
                  <w:pPr>
                    <w:pStyle w:val="51"/>
                    <w:ind w:left="-8" w:leftChars="-4" w:firstLine="27" w:firstLineChars="15"/>
                    <w:rPr>
                      <w:rFonts w:hint="eastAsia" w:ascii="Times New Roman" w:hAnsi="Times New Roman" w:eastAsia="宋体" w:cs="Times New Roman"/>
                      <w:snapToGrid w:val="0"/>
                      <w:color w:val="auto"/>
                      <w:kern w:val="21"/>
                      <w:sz w:val="18"/>
                      <w:szCs w:val="18"/>
                      <w:lang w:val="en-US" w:eastAsia="zh-CN" w:bidi="ar-SA"/>
                    </w:rPr>
                  </w:pPr>
                  <w:r>
                    <w:rPr>
                      <w:rFonts w:hint="eastAsia" w:ascii="Times New Roman" w:hAnsi="Times New Roman" w:eastAsia="宋体" w:cs="Times New Roman"/>
                      <w:snapToGrid w:val="0"/>
                      <w:color w:val="auto"/>
                      <w:kern w:val="21"/>
                      <w:sz w:val="18"/>
                      <w:szCs w:val="18"/>
                      <w:lang w:val="en-US" w:eastAsia="zh-CN" w:bidi="ar-SA"/>
                    </w:rPr>
                    <w:t>10656</w:t>
                  </w:r>
                </w:p>
              </w:tc>
              <w:tc>
                <w:tcPr>
                  <w:tcW w:w="1346" w:type="pct"/>
                  <w:tcBorders>
                    <w:top w:val="single" w:color="auto" w:sz="12" w:space="0"/>
                  </w:tcBorders>
                  <w:vAlign w:val="center"/>
                </w:tcPr>
                <w:p w14:paraId="297CCC73">
                  <w:pPr>
                    <w:ind w:left="-8" w:leftChars="-4" w:firstLine="27" w:firstLineChars="15"/>
                    <w:jc w:val="center"/>
                    <w:rPr>
                      <w:color w:val="auto"/>
                      <w:sz w:val="18"/>
                      <w:szCs w:val="18"/>
                    </w:rPr>
                  </w:pPr>
                  <w:r>
                    <w:rPr>
                      <w:rFonts w:hint="eastAsia"/>
                      <w:color w:val="auto"/>
                      <w:sz w:val="18"/>
                      <w:szCs w:val="18"/>
                    </w:rPr>
                    <w:t>是</w:t>
                  </w:r>
                </w:p>
              </w:tc>
            </w:tr>
            <w:bookmarkEnd w:id="15"/>
            <w:tr w14:paraId="63BADA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16" w:type="pct"/>
                  <w:vMerge w:val="continue"/>
                  <w:vAlign w:val="center"/>
                </w:tcPr>
                <w:p w14:paraId="77777B15">
                  <w:pPr>
                    <w:pStyle w:val="51"/>
                    <w:ind w:left="-8" w:leftChars="-4" w:firstLine="27" w:firstLineChars="15"/>
                    <w:rPr>
                      <w:color w:val="auto"/>
                      <w:sz w:val="18"/>
                      <w:szCs w:val="18"/>
                    </w:rPr>
                  </w:pPr>
                </w:p>
              </w:tc>
              <w:tc>
                <w:tcPr>
                  <w:tcW w:w="843" w:type="pct"/>
                  <w:vAlign w:val="center"/>
                </w:tcPr>
                <w:p w14:paraId="3DB9CC71">
                  <w:pPr>
                    <w:pStyle w:val="51"/>
                    <w:ind w:left="-8" w:leftChars="-4" w:firstLine="27" w:firstLineChars="15"/>
                    <w:rPr>
                      <w:color w:val="auto"/>
                      <w:sz w:val="18"/>
                      <w:szCs w:val="18"/>
                    </w:rPr>
                  </w:pPr>
                  <w:r>
                    <w:rPr>
                      <w:color w:val="auto"/>
                      <w:sz w:val="18"/>
                      <w:szCs w:val="18"/>
                    </w:rPr>
                    <w:t>COD</w:t>
                  </w:r>
                </w:p>
              </w:tc>
              <w:tc>
                <w:tcPr>
                  <w:tcW w:w="997" w:type="pct"/>
                  <w:vAlign w:val="center"/>
                </w:tcPr>
                <w:p w14:paraId="1BE4CF9D">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18"/>
                      <w:szCs w:val="18"/>
                      <w:lang w:val="en-US" w:eastAsia="zh-CN" w:bidi="ar-SA"/>
                    </w:rPr>
                  </w:pPr>
                  <w:r>
                    <w:rPr>
                      <w:rFonts w:hint="eastAsia" w:ascii="Times New Roman" w:cs="Times New Roman"/>
                      <w:snapToGrid w:val="0"/>
                      <w:color w:val="auto"/>
                      <w:kern w:val="21"/>
                      <w:sz w:val="18"/>
                      <w:szCs w:val="18"/>
                      <w:lang w:val="en-US" w:eastAsia="zh-CN" w:bidi="ar-SA"/>
                    </w:rPr>
                    <w:t>5.9195</w:t>
                  </w:r>
                </w:p>
              </w:tc>
              <w:tc>
                <w:tcPr>
                  <w:tcW w:w="1196" w:type="pct"/>
                  <w:vAlign w:val="center"/>
                </w:tcPr>
                <w:p w14:paraId="4F648CD3">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18"/>
                      <w:szCs w:val="18"/>
                      <w:lang w:val="en-US" w:eastAsia="zh-CN" w:bidi="ar-SA"/>
                    </w:rPr>
                  </w:pPr>
                  <w:r>
                    <w:rPr>
                      <w:rFonts w:hint="eastAsia" w:ascii="Times New Roman" w:hAnsi="Times New Roman" w:eastAsia="宋体" w:cs="Times New Roman"/>
                      <w:snapToGrid w:val="0"/>
                      <w:color w:val="auto"/>
                      <w:kern w:val="21"/>
                      <w:sz w:val="18"/>
                      <w:szCs w:val="18"/>
                      <w:lang w:val="en-US" w:eastAsia="zh-CN" w:bidi="ar-SA"/>
                    </w:rPr>
                    <w:t>1.0230</w:t>
                  </w:r>
                </w:p>
              </w:tc>
              <w:tc>
                <w:tcPr>
                  <w:tcW w:w="1346" w:type="pct"/>
                  <w:vAlign w:val="center"/>
                </w:tcPr>
                <w:p w14:paraId="1D871EF2">
                  <w:pPr>
                    <w:keepNext w:val="0"/>
                    <w:keepLines w:val="0"/>
                    <w:widowControl/>
                    <w:suppressLineNumbers w:val="0"/>
                    <w:jc w:val="center"/>
                    <w:textAlignment w:val="center"/>
                    <w:rPr>
                      <w:color w:val="auto"/>
                      <w:sz w:val="18"/>
                      <w:szCs w:val="18"/>
                    </w:rPr>
                  </w:pPr>
                  <w:r>
                    <w:rPr>
                      <w:rFonts w:hint="eastAsia"/>
                      <w:color w:val="auto"/>
                      <w:sz w:val="18"/>
                      <w:szCs w:val="18"/>
                    </w:rPr>
                    <w:t>是</w:t>
                  </w:r>
                </w:p>
              </w:tc>
            </w:tr>
            <w:tr w14:paraId="2007EA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16" w:type="pct"/>
                  <w:vMerge w:val="continue"/>
                  <w:vAlign w:val="center"/>
                </w:tcPr>
                <w:p w14:paraId="125BFC0C">
                  <w:pPr>
                    <w:pStyle w:val="51"/>
                    <w:ind w:left="-8" w:leftChars="-4" w:firstLine="27" w:firstLineChars="15"/>
                    <w:rPr>
                      <w:color w:val="auto"/>
                      <w:sz w:val="18"/>
                      <w:szCs w:val="18"/>
                    </w:rPr>
                  </w:pPr>
                </w:p>
              </w:tc>
              <w:tc>
                <w:tcPr>
                  <w:tcW w:w="843" w:type="pct"/>
                  <w:vAlign w:val="center"/>
                </w:tcPr>
                <w:p w14:paraId="6DE112A7">
                  <w:pPr>
                    <w:pStyle w:val="51"/>
                    <w:ind w:left="-8" w:leftChars="-4" w:firstLine="27" w:firstLineChars="15"/>
                    <w:rPr>
                      <w:color w:val="auto"/>
                      <w:sz w:val="18"/>
                      <w:szCs w:val="18"/>
                    </w:rPr>
                  </w:pPr>
                  <w:r>
                    <w:rPr>
                      <w:color w:val="auto"/>
                      <w:sz w:val="18"/>
                      <w:szCs w:val="18"/>
                    </w:rPr>
                    <w:t>SS</w:t>
                  </w:r>
                </w:p>
              </w:tc>
              <w:tc>
                <w:tcPr>
                  <w:tcW w:w="997" w:type="pct"/>
                  <w:vAlign w:val="center"/>
                </w:tcPr>
                <w:p w14:paraId="6E9576A5">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18"/>
                      <w:szCs w:val="18"/>
                      <w:lang w:val="en-US" w:eastAsia="zh-CN" w:bidi="ar-SA"/>
                    </w:rPr>
                  </w:pPr>
                  <w:r>
                    <w:rPr>
                      <w:rFonts w:hint="eastAsia" w:cs="Times New Roman"/>
                      <w:snapToGrid w:val="0"/>
                      <w:color w:val="auto"/>
                      <w:kern w:val="21"/>
                      <w:sz w:val="18"/>
                      <w:szCs w:val="18"/>
                      <w:lang w:val="en-US" w:eastAsia="zh-CN" w:bidi="ar-SA"/>
                    </w:rPr>
                    <w:t>4.4712</w:t>
                  </w:r>
                </w:p>
              </w:tc>
              <w:tc>
                <w:tcPr>
                  <w:tcW w:w="1196" w:type="pct"/>
                  <w:vAlign w:val="center"/>
                </w:tcPr>
                <w:p w14:paraId="00A0A4E5">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18"/>
                      <w:szCs w:val="18"/>
                      <w:lang w:val="en-US" w:eastAsia="zh-CN" w:bidi="ar-SA"/>
                    </w:rPr>
                  </w:pPr>
                  <w:r>
                    <w:rPr>
                      <w:rFonts w:hint="eastAsia" w:ascii="Times New Roman" w:hAnsi="Times New Roman" w:eastAsia="宋体" w:cs="Times New Roman"/>
                      <w:snapToGrid w:val="0"/>
                      <w:color w:val="auto"/>
                      <w:kern w:val="21"/>
                      <w:sz w:val="18"/>
                      <w:szCs w:val="18"/>
                      <w:lang w:val="en-US" w:eastAsia="zh-CN" w:bidi="ar-SA"/>
                    </w:rPr>
                    <w:t>0.1492</w:t>
                  </w:r>
                </w:p>
              </w:tc>
              <w:tc>
                <w:tcPr>
                  <w:tcW w:w="1346" w:type="pct"/>
                  <w:vAlign w:val="center"/>
                </w:tcPr>
                <w:p w14:paraId="4257092D">
                  <w:pPr>
                    <w:keepNext w:val="0"/>
                    <w:keepLines w:val="0"/>
                    <w:widowControl/>
                    <w:suppressLineNumbers w:val="0"/>
                    <w:jc w:val="center"/>
                    <w:textAlignment w:val="center"/>
                    <w:rPr>
                      <w:color w:val="auto"/>
                      <w:sz w:val="18"/>
                      <w:szCs w:val="18"/>
                    </w:rPr>
                  </w:pPr>
                  <w:r>
                    <w:rPr>
                      <w:rFonts w:hint="eastAsia"/>
                      <w:color w:val="auto"/>
                      <w:sz w:val="18"/>
                      <w:szCs w:val="18"/>
                    </w:rPr>
                    <w:t>是</w:t>
                  </w:r>
                </w:p>
              </w:tc>
            </w:tr>
            <w:tr w14:paraId="5E4BA5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16" w:type="pct"/>
                  <w:vMerge w:val="continue"/>
                  <w:vAlign w:val="center"/>
                </w:tcPr>
                <w:p w14:paraId="6AC87492">
                  <w:pPr>
                    <w:pStyle w:val="51"/>
                    <w:ind w:left="-8" w:leftChars="-4" w:firstLine="27" w:firstLineChars="15"/>
                    <w:rPr>
                      <w:color w:val="auto"/>
                      <w:sz w:val="18"/>
                      <w:szCs w:val="18"/>
                    </w:rPr>
                  </w:pPr>
                </w:p>
              </w:tc>
              <w:tc>
                <w:tcPr>
                  <w:tcW w:w="843" w:type="pct"/>
                  <w:vAlign w:val="center"/>
                </w:tcPr>
                <w:p w14:paraId="272CEFAA">
                  <w:pPr>
                    <w:pStyle w:val="51"/>
                    <w:ind w:left="-8" w:leftChars="-4" w:firstLine="27" w:firstLineChars="15"/>
                    <w:rPr>
                      <w:color w:val="auto"/>
                      <w:sz w:val="18"/>
                      <w:szCs w:val="18"/>
                    </w:rPr>
                  </w:pPr>
                  <w:r>
                    <w:rPr>
                      <w:rFonts w:hint="eastAsia"/>
                      <w:color w:val="auto"/>
                      <w:sz w:val="18"/>
                      <w:szCs w:val="18"/>
                    </w:rPr>
                    <w:t>NH</w:t>
                  </w:r>
                  <w:r>
                    <w:rPr>
                      <w:rFonts w:hint="eastAsia"/>
                      <w:color w:val="auto"/>
                      <w:sz w:val="18"/>
                      <w:szCs w:val="18"/>
                      <w:vertAlign w:val="subscript"/>
                    </w:rPr>
                    <w:t>3</w:t>
                  </w:r>
                  <w:r>
                    <w:rPr>
                      <w:rFonts w:hint="eastAsia"/>
                      <w:color w:val="auto"/>
                      <w:sz w:val="18"/>
                      <w:szCs w:val="18"/>
                    </w:rPr>
                    <w:t>-N</w:t>
                  </w:r>
                </w:p>
              </w:tc>
              <w:tc>
                <w:tcPr>
                  <w:tcW w:w="997" w:type="pct"/>
                  <w:vAlign w:val="center"/>
                </w:tcPr>
                <w:p w14:paraId="01F31285">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18"/>
                      <w:szCs w:val="18"/>
                      <w:lang w:val="en-US" w:eastAsia="zh-CN" w:bidi="ar-SA"/>
                    </w:rPr>
                  </w:pPr>
                  <w:r>
                    <w:rPr>
                      <w:rFonts w:hint="eastAsia" w:ascii="Times New Roman" w:cs="Times New Roman"/>
                      <w:snapToGrid w:val="0"/>
                      <w:color w:val="auto"/>
                      <w:kern w:val="21"/>
                      <w:sz w:val="18"/>
                      <w:szCs w:val="18"/>
                      <w:lang w:val="en-US" w:eastAsia="zh-CN" w:bidi="ar-SA"/>
                    </w:rPr>
                    <w:t>0.5589</w:t>
                  </w:r>
                </w:p>
              </w:tc>
              <w:tc>
                <w:tcPr>
                  <w:tcW w:w="1196" w:type="pct"/>
                  <w:vAlign w:val="center"/>
                </w:tcPr>
                <w:p w14:paraId="39CC343C">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18"/>
                      <w:szCs w:val="18"/>
                      <w:lang w:val="en-US" w:eastAsia="zh-CN" w:bidi="ar-SA"/>
                    </w:rPr>
                  </w:pPr>
                  <w:r>
                    <w:rPr>
                      <w:rFonts w:hint="eastAsia" w:ascii="Times New Roman" w:hAnsi="Times New Roman" w:eastAsia="宋体" w:cs="Times New Roman"/>
                      <w:snapToGrid w:val="0"/>
                      <w:color w:val="auto"/>
                      <w:kern w:val="21"/>
                      <w:sz w:val="18"/>
                      <w:szCs w:val="18"/>
                      <w:lang w:val="en-US" w:eastAsia="zh-CN" w:bidi="ar-SA"/>
                    </w:rPr>
                    <w:t>0.4007</w:t>
                  </w:r>
                </w:p>
              </w:tc>
              <w:tc>
                <w:tcPr>
                  <w:tcW w:w="1346" w:type="pct"/>
                  <w:vAlign w:val="center"/>
                </w:tcPr>
                <w:p w14:paraId="38ACF54F">
                  <w:pPr>
                    <w:keepNext w:val="0"/>
                    <w:keepLines w:val="0"/>
                    <w:widowControl/>
                    <w:suppressLineNumbers w:val="0"/>
                    <w:jc w:val="center"/>
                    <w:textAlignment w:val="center"/>
                    <w:rPr>
                      <w:rFonts w:hint="eastAsia" w:eastAsia="宋体"/>
                      <w:color w:val="auto"/>
                      <w:sz w:val="18"/>
                      <w:szCs w:val="18"/>
                      <w:lang w:eastAsia="zh-CN"/>
                    </w:rPr>
                  </w:pPr>
                  <w:r>
                    <w:rPr>
                      <w:rFonts w:hint="eastAsia"/>
                      <w:color w:val="auto"/>
                      <w:sz w:val="18"/>
                      <w:szCs w:val="18"/>
                    </w:rPr>
                    <w:t>是</w:t>
                  </w:r>
                </w:p>
              </w:tc>
            </w:tr>
            <w:tr w14:paraId="3CDE73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16" w:type="pct"/>
                  <w:vMerge w:val="continue"/>
                  <w:vAlign w:val="center"/>
                </w:tcPr>
                <w:p w14:paraId="170F6204">
                  <w:pPr>
                    <w:pStyle w:val="51"/>
                    <w:ind w:left="-8" w:leftChars="-4" w:firstLine="27" w:firstLineChars="15"/>
                    <w:rPr>
                      <w:color w:val="auto"/>
                      <w:sz w:val="18"/>
                      <w:szCs w:val="18"/>
                    </w:rPr>
                  </w:pPr>
                </w:p>
              </w:tc>
              <w:tc>
                <w:tcPr>
                  <w:tcW w:w="843" w:type="pct"/>
                  <w:vAlign w:val="center"/>
                </w:tcPr>
                <w:p w14:paraId="442FFE28">
                  <w:pPr>
                    <w:pStyle w:val="51"/>
                    <w:ind w:left="-8" w:leftChars="-4" w:firstLine="27" w:firstLineChars="15"/>
                    <w:rPr>
                      <w:color w:val="auto"/>
                      <w:sz w:val="18"/>
                      <w:szCs w:val="18"/>
                    </w:rPr>
                  </w:pPr>
                  <w:r>
                    <w:rPr>
                      <w:rFonts w:hint="eastAsia"/>
                      <w:color w:val="auto"/>
                      <w:sz w:val="18"/>
                      <w:szCs w:val="18"/>
                    </w:rPr>
                    <w:t>TN</w:t>
                  </w:r>
                </w:p>
              </w:tc>
              <w:tc>
                <w:tcPr>
                  <w:tcW w:w="997" w:type="pct"/>
                  <w:vAlign w:val="center"/>
                </w:tcPr>
                <w:p w14:paraId="0036220C">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18"/>
                      <w:szCs w:val="18"/>
                      <w:lang w:val="en-US" w:eastAsia="zh-CN" w:bidi="ar-SA"/>
                    </w:rPr>
                  </w:pPr>
                  <w:r>
                    <w:rPr>
                      <w:rFonts w:hint="eastAsia" w:cs="Times New Roman"/>
                      <w:snapToGrid w:val="0"/>
                      <w:color w:val="auto"/>
                      <w:kern w:val="21"/>
                      <w:sz w:val="18"/>
                      <w:szCs w:val="18"/>
                      <w:lang w:val="en-US" w:eastAsia="zh-CN" w:bidi="ar-SA"/>
                    </w:rPr>
                    <w:t>1.0060</w:t>
                  </w:r>
                </w:p>
              </w:tc>
              <w:tc>
                <w:tcPr>
                  <w:tcW w:w="1196" w:type="pct"/>
                  <w:vAlign w:val="center"/>
                </w:tcPr>
                <w:p w14:paraId="41755E6D">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18"/>
                      <w:szCs w:val="18"/>
                      <w:lang w:val="en-US" w:eastAsia="zh-CN" w:bidi="ar-SA"/>
                    </w:rPr>
                  </w:pPr>
                  <w:r>
                    <w:rPr>
                      <w:rFonts w:hint="eastAsia" w:cs="Times New Roman"/>
                      <w:snapToGrid w:val="0"/>
                      <w:color w:val="auto"/>
                      <w:kern w:val="21"/>
                      <w:sz w:val="18"/>
                      <w:szCs w:val="18"/>
                      <w:lang w:val="en-US" w:eastAsia="zh-CN" w:bidi="ar-SA"/>
                    </w:rPr>
                    <w:t>0.4795</w:t>
                  </w:r>
                </w:p>
              </w:tc>
              <w:tc>
                <w:tcPr>
                  <w:tcW w:w="1346" w:type="pct"/>
                  <w:vAlign w:val="center"/>
                </w:tcPr>
                <w:p w14:paraId="1419CD1C">
                  <w:pPr>
                    <w:keepNext w:val="0"/>
                    <w:keepLines w:val="0"/>
                    <w:widowControl/>
                    <w:suppressLineNumbers w:val="0"/>
                    <w:jc w:val="center"/>
                    <w:textAlignment w:val="center"/>
                    <w:rPr>
                      <w:color w:val="auto"/>
                      <w:sz w:val="18"/>
                      <w:szCs w:val="18"/>
                    </w:rPr>
                  </w:pPr>
                  <w:r>
                    <w:rPr>
                      <w:rFonts w:hint="eastAsia"/>
                      <w:color w:val="auto"/>
                      <w:sz w:val="18"/>
                      <w:szCs w:val="18"/>
                    </w:rPr>
                    <w:t>是</w:t>
                  </w:r>
                </w:p>
              </w:tc>
            </w:tr>
            <w:tr w14:paraId="538AD2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16" w:type="pct"/>
                  <w:vMerge w:val="continue"/>
                  <w:vAlign w:val="center"/>
                </w:tcPr>
                <w:p w14:paraId="3D0C7382">
                  <w:pPr>
                    <w:pStyle w:val="51"/>
                    <w:ind w:left="-8" w:leftChars="-4" w:firstLine="27" w:firstLineChars="15"/>
                    <w:rPr>
                      <w:color w:val="auto"/>
                      <w:sz w:val="18"/>
                      <w:szCs w:val="18"/>
                    </w:rPr>
                  </w:pPr>
                </w:p>
              </w:tc>
              <w:tc>
                <w:tcPr>
                  <w:tcW w:w="843" w:type="pct"/>
                  <w:vAlign w:val="center"/>
                </w:tcPr>
                <w:p w14:paraId="21B81061">
                  <w:pPr>
                    <w:pStyle w:val="51"/>
                    <w:ind w:left="-8" w:leftChars="-4" w:firstLine="27" w:firstLineChars="15"/>
                    <w:rPr>
                      <w:color w:val="auto"/>
                      <w:sz w:val="18"/>
                      <w:szCs w:val="18"/>
                    </w:rPr>
                  </w:pPr>
                  <w:r>
                    <w:rPr>
                      <w:rFonts w:hint="eastAsia"/>
                      <w:color w:val="auto"/>
                      <w:sz w:val="18"/>
                      <w:szCs w:val="18"/>
                    </w:rPr>
                    <w:t>TP</w:t>
                  </w:r>
                </w:p>
              </w:tc>
              <w:tc>
                <w:tcPr>
                  <w:tcW w:w="997" w:type="pct"/>
                  <w:vAlign w:val="center"/>
                </w:tcPr>
                <w:p w14:paraId="2D591E06">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18"/>
                      <w:szCs w:val="18"/>
                      <w:lang w:val="en-US" w:eastAsia="zh-CN" w:bidi="ar-SA"/>
                    </w:rPr>
                  </w:pPr>
                  <w:r>
                    <w:rPr>
                      <w:rFonts w:hint="eastAsia" w:ascii="Times New Roman" w:cs="Times New Roman"/>
                      <w:snapToGrid w:val="0"/>
                      <w:color w:val="auto"/>
                      <w:kern w:val="21"/>
                      <w:sz w:val="18"/>
                      <w:szCs w:val="18"/>
                      <w:lang w:val="en-US" w:eastAsia="zh-CN" w:bidi="ar-SA"/>
                    </w:rPr>
                    <w:t>0.1118</w:t>
                  </w:r>
                </w:p>
              </w:tc>
              <w:tc>
                <w:tcPr>
                  <w:tcW w:w="1196" w:type="pct"/>
                  <w:vAlign w:val="center"/>
                </w:tcPr>
                <w:p w14:paraId="44736C45">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18"/>
                      <w:szCs w:val="18"/>
                      <w:lang w:val="en-US" w:eastAsia="zh-CN" w:bidi="ar-SA"/>
                    </w:rPr>
                  </w:pPr>
                  <w:r>
                    <w:rPr>
                      <w:rFonts w:hint="eastAsia" w:ascii="Times New Roman" w:hAnsi="Times New Roman" w:eastAsia="宋体" w:cs="Times New Roman"/>
                      <w:snapToGrid w:val="0"/>
                      <w:color w:val="auto"/>
                      <w:kern w:val="21"/>
                      <w:sz w:val="18"/>
                      <w:szCs w:val="18"/>
                      <w:lang w:val="en-US" w:eastAsia="zh-CN" w:bidi="ar-SA"/>
                    </w:rPr>
                    <w:t>0.0016</w:t>
                  </w:r>
                </w:p>
              </w:tc>
              <w:tc>
                <w:tcPr>
                  <w:tcW w:w="1346" w:type="pct"/>
                  <w:vAlign w:val="center"/>
                </w:tcPr>
                <w:p w14:paraId="4035304D">
                  <w:pPr>
                    <w:keepNext w:val="0"/>
                    <w:keepLines w:val="0"/>
                    <w:widowControl/>
                    <w:suppressLineNumbers w:val="0"/>
                    <w:jc w:val="center"/>
                    <w:textAlignment w:val="center"/>
                    <w:rPr>
                      <w:color w:val="auto"/>
                      <w:sz w:val="18"/>
                      <w:szCs w:val="18"/>
                    </w:rPr>
                  </w:pPr>
                  <w:r>
                    <w:rPr>
                      <w:rFonts w:hint="eastAsia"/>
                      <w:color w:val="auto"/>
                      <w:sz w:val="18"/>
                      <w:szCs w:val="18"/>
                    </w:rPr>
                    <w:t>是</w:t>
                  </w:r>
                </w:p>
              </w:tc>
            </w:tr>
            <w:tr w14:paraId="619B93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16" w:type="pct"/>
                  <w:vMerge w:val="continue"/>
                  <w:vAlign w:val="center"/>
                </w:tcPr>
                <w:p w14:paraId="0FA7A757">
                  <w:pPr>
                    <w:pStyle w:val="51"/>
                    <w:ind w:left="-8" w:leftChars="-4" w:firstLine="27" w:firstLineChars="15"/>
                    <w:rPr>
                      <w:color w:val="auto"/>
                      <w:sz w:val="18"/>
                      <w:szCs w:val="18"/>
                    </w:rPr>
                  </w:pPr>
                </w:p>
              </w:tc>
              <w:tc>
                <w:tcPr>
                  <w:tcW w:w="843" w:type="pct"/>
                  <w:vAlign w:val="center"/>
                </w:tcPr>
                <w:p w14:paraId="2DCB7DD0">
                  <w:pPr>
                    <w:pStyle w:val="51"/>
                    <w:ind w:left="-8" w:leftChars="-4" w:firstLine="27" w:firstLineChars="15"/>
                    <w:rPr>
                      <w:color w:val="auto"/>
                      <w:sz w:val="18"/>
                      <w:szCs w:val="18"/>
                    </w:rPr>
                  </w:pPr>
                  <w:r>
                    <w:rPr>
                      <w:rFonts w:hint="eastAsia"/>
                      <w:color w:val="auto"/>
                      <w:sz w:val="18"/>
                      <w:szCs w:val="18"/>
                    </w:rPr>
                    <w:t>动植物油</w:t>
                  </w:r>
                </w:p>
              </w:tc>
              <w:tc>
                <w:tcPr>
                  <w:tcW w:w="997" w:type="pct"/>
                  <w:vAlign w:val="center"/>
                </w:tcPr>
                <w:p w14:paraId="72A659CB">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18"/>
                      <w:szCs w:val="18"/>
                      <w:lang w:val="en-US" w:eastAsia="zh-CN" w:bidi="ar-SA"/>
                    </w:rPr>
                  </w:pPr>
                  <w:r>
                    <w:rPr>
                      <w:rFonts w:hint="eastAsia" w:cs="Times New Roman"/>
                      <w:snapToGrid w:val="0"/>
                      <w:color w:val="auto"/>
                      <w:kern w:val="21"/>
                      <w:sz w:val="18"/>
                      <w:szCs w:val="18"/>
                      <w:lang w:val="en-US" w:eastAsia="zh-CN" w:bidi="ar-SA"/>
                    </w:rPr>
                    <w:t>0.0350</w:t>
                  </w:r>
                </w:p>
              </w:tc>
              <w:tc>
                <w:tcPr>
                  <w:tcW w:w="1196" w:type="pct"/>
                  <w:vAlign w:val="center"/>
                </w:tcPr>
                <w:p w14:paraId="0693AE27">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18"/>
                      <w:szCs w:val="18"/>
                      <w:lang w:val="en-US" w:eastAsia="zh-CN" w:bidi="ar-SA"/>
                    </w:rPr>
                  </w:pPr>
                  <w:r>
                    <w:rPr>
                      <w:rFonts w:hint="eastAsia" w:cs="Times New Roman"/>
                      <w:snapToGrid w:val="0"/>
                      <w:color w:val="auto"/>
                      <w:kern w:val="21"/>
                      <w:sz w:val="18"/>
                      <w:szCs w:val="18"/>
                      <w:lang w:val="en-US" w:eastAsia="zh-CN" w:bidi="ar-SA"/>
                    </w:rPr>
                    <w:t>0.0167</w:t>
                  </w:r>
                </w:p>
              </w:tc>
              <w:tc>
                <w:tcPr>
                  <w:tcW w:w="1346" w:type="pct"/>
                  <w:vAlign w:val="center"/>
                </w:tcPr>
                <w:p w14:paraId="263886E4">
                  <w:pPr>
                    <w:ind w:left="-8" w:leftChars="-4" w:firstLine="27" w:firstLineChars="15"/>
                    <w:jc w:val="center"/>
                    <w:rPr>
                      <w:rFonts w:hint="eastAsia" w:eastAsia="宋体"/>
                      <w:color w:val="auto"/>
                      <w:sz w:val="18"/>
                      <w:szCs w:val="18"/>
                      <w:lang w:eastAsia="zh-CN"/>
                    </w:rPr>
                  </w:pPr>
                  <w:r>
                    <w:rPr>
                      <w:rFonts w:hint="eastAsia"/>
                      <w:color w:val="auto"/>
                      <w:sz w:val="18"/>
                      <w:szCs w:val="18"/>
                    </w:rPr>
                    <w:t>是</w:t>
                  </w:r>
                </w:p>
              </w:tc>
            </w:tr>
            <w:tr w14:paraId="6625765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616" w:type="pct"/>
                  <w:vAlign w:val="center"/>
                </w:tcPr>
                <w:p w14:paraId="374BAEC7">
                  <w:pPr>
                    <w:pStyle w:val="51"/>
                    <w:ind w:left="-8" w:leftChars="-4" w:firstLine="27" w:firstLineChars="15"/>
                    <w:rPr>
                      <w:color w:val="auto"/>
                      <w:sz w:val="18"/>
                      <w:szCs w:val="18"/>
                    </w:rPr>
                  </w:pPr>
                  <w:r>
                    <w:rPr>
                      <w:rFonts w:hint="eastAsia"/>
                      <w:color w:val="auto"/>
                      <w:sz w:val="18"/>
                      <w:szCs w:val="18"/>
                    </w:rPr>
                    <w:t>废气</w:t>
                  </w:r>
                </w:p>
                <w:p w14:paraId="378C0560">
                  <w:pPr>
                    <w:pStyle w:val="51"/>
                    <w:ind w:left="-8" w:leftChars="-4" w:firstLine="27" w:firstLineChars="15"/>
                    <w:rPr>
                      <w:color w:val="auto"/>
                      <w:sz w:val="18"/>
                      <w:szCs w:val="18"/>
                    </w:rPr>
                  </w:pPr>
                  <w:r>
                    <w:rPr>
                      <w:rFonts w:hint="eastAsia"/>
                      <w:color w:val="auto"/>
                      <w:sz w:val="18"/>
                      <w:szCs w:val="18"/>
                    </w:rPr>
                    <w:t>（有组织）</w:t>
                  </w:r>
                </w:p>
              </w:tc>
              <w:tc>
                <w:tcPr>
                  <w:tcW w:w="843" w:type="pct"/>
                  <w:vAlign w:val="center"/>
                </w:tcPr>
                <w:p w14:paraId="11B6F943">
                  <w:pPr>
                    <w:pStyle w:val="51"/>
                    <w:ind w:left="-8" w:leftChars="-4" w:firstLine="27" w:firstLineChars="15"/>
                    <w:rPr>
                      <w:color w:val="auto"/>
                      <w:sz w:val="18"/>
                      <w:szCs w:val="18"/>
                    </w:rPr>
                  </w:pPr>
                  <w:r>
                    <w:rPr>
                      <w:rFonts w:hint="eastAsia"/>
                      <w:color w:val="auto"/>
                      <w:sz w:val="18"/>
                      <w:szCs w:val="18"/>
                    </w:rPr>
                    <w:t>非甲烷总烃</w:t>
                  </w:r>
                </w:p>
              </w:tc>
              <w:tc>
                <w:tcPr>
                  <w:tcW w:w="997" w:type="pct"/>
                  <w:vAlign w:val="center"/>
                </w:tcPr>
                <w:p w14:paraId="6C2863E8">
                  <w:pPr>
                    <w:pStyle w:val="51"/>
                    <w:ind w:left="-8" w:leftChars="-4" w:firstLine="27" w:firstLineChars="15"/>
                    <w:rPr>
                      <w:rFonts w:hint="default" w:cs="Times New Roman"/>
                      <w:snapToGrid w:val="0"/>
                      <w:color w:val="auto"/>
                      <w:kern w:val="21"/>
                      <w:sz w:val="18"/>
                      <w:szCs w:val="18"/>
                      <w:lang w:val="en-US" w:eastAsia="zh-CN" w:bidi="ar-SA"/>
                    </w:rPr>
                  </w:pPr>
                  <w:r>
                    <w:rPr>
                      <w:rFonts w:hint="eastAsia" w:cs="Times New Roman"/>
                      <w:snapToGrid w:val="0"/>
                      <w:color w:val="auto"/>
                      <w:kern w:val="21"/>
                      <w:sz w:val="18"/>
                      <w:szCs w:val="18"/>
                      <w:lang w:val="en-US" w:eastAsia="zh-CN" w:bidi="ar-SA"/>
                    </w:rPr>
                    <w:t>1.5097</w:t>
                  </w:r>
                </w:p>
              </w:tc>
              <w:tc>
                <w:tcPr>
                  <w:tcW w:w="1196" w:type="pct"/>
                  <w:vAlign w:val="center"/>
                </w:tcPr>
                <w:p w14:paraId="2A5BD3F5">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18"/>
                      <w:szCs w:val="18"/>
                      <w:lang w:val="en-US" w:eastAsia="zh-CN" w:bidi="ar-SA"/>
                    </w:rPr>
                  </w:pPr>
                  <w:r>
                    <w:rPr>
                      <w:rFonts w:hint="eastAsia" w:ascii="Times New Roman" w:hAnsi="Times New Roman" w:eastAsia="宋体" w:cs="Times New Roman"/>
                      <w:snapToGrid w:val="0"/>
                      <w:color w:val="auto"/>
                      <w:kern w:val="21"/>
                      <w:sz w:val="18"/>
                      <w:szCs w:val="18"/>
                      <w:lang w:val="en-US" w:eastAsia="zh-CN" w:bidi="ar-SA"/>
                    </w:rPr>
                    <w:t>0.3550</w:t>
                  </w:r>
                </w:p>
              </w:tc>
              <w:tc>
                <w:tcPr>
                  <w:tcW w:w="1346" w:type="pct"/>
                  <w:vAlign w:val="center"/>
                </w:tcPr>
                <w:p w14:paraId="0EEAF0D3">
                  <w:pPr>
                    <w:pStyle w:val="51"/>
                    <w:ind w:left="-8" w:leftChars="-4" w:firstLine="27" w:firstLineChars="15"/>
                    <w:rPr>
                      <w:color w:val="auto"/>
                      <w:sz w:val="18"/>
                      <w:szCs w:val="18"/>
                    </w:rPr>
                  </w:pPr>
                  <w:r>
                    <w:rPr>
                      <w:rFonts w:hint="eastAsia"/>
                      <w:color w:val="auto"/>
                      <w:sz w:val="18"/>
                      <w:szCs w:val="18"/>
                    </w:rPr>
                    <w:t>是</w:t>
                  </w:r>
                </w:p>
              </w:tc>
            </w:tr>
          </w:tbl>
          <w:p w14:paraId="0E04B91A">
            <w:pPr>
              <w:keepNext w:val="0"/>
              <w:keepLines w:val="0"/>
              <w:suppressLineNumbers w:val="0"/>
              <w:spacing w:before="0" w:beforeAutospacing="0" w:after="0" w:afterAutospacing="0" w:line="360" w:lineRule="auto"/>
              <w:ind w:right="0"/>
              <w:rPr>
                <w:rFonts w:hint="eastAsia"/>
                <w:b/>
                <w:bCs/>
                <w:color w:val="auto"/>
                <w:sz w:val="18"/>
                <w:szCs w:val="18"/>
                <w:highlight w:val="none"/>
                <w:lang w:val="en-US" w:eastAsia="zh-CN"/>
              </w:rPr>
            </w:pPr>
            <w:r>
              <w:rPr>
                <w:rFonts w:hint="eastAsia"/>
                <w:b/>
                <w:bCs/>
                <w:color w:val="auto"/>
                <w:sz w:val="18"/>
                <w:szCs w:val="18"/>
                <w:highlight w:val="none"/>
                <w:lang w:val="en-US" w:eastAsia="zh-CN"/>
              </w:rPr>
              <w:t>注：总氮环评批复总量为本次补充核算。</w:t>
            </w:r>
          </w:p>
          <w:p w14:paraId="1F412633">
            <w:pPr>
              <w:keepNext w:val="0"/>
              <w:keepLines w:val="0"/>
              <w:suppressLineNumbers w:val="0"/>
              <w:spacing w:before="0" w:beforeAutospacing="0" w:after="0" w:afterAutospacing="0" w:line="360" w:lineRule="auto"/>
              <w:ind w:right="0"/>
              <w:rPr>
                <w:rFonts w:hint="default"/>
                <w:b/>
                <w:bCs/>
                <w:color w:val="auto"/>
                <w:highlight w:val="none"/>
              </w:rPr>
            </w:pPr>
            <w:r>
              <w:rPr>
                <w:rFonts w:hint="eastAsia"/>
                <w:b/>
                <w:bCs/>
                <w:color w:val="auto"/>
                <w:highlight w:val="none"/>
                <w:lang w:val="en-US" w:eastAsia="zh-CN"/>
              </w:rPr>
              <w:t>7、与本项目相关的主要环境问题及整改措施</w:t>
            </w:r>
          </w:p>
          <w:p w14:paraId="0324B871">
            <w:pPr>
              <w:bidi w:val="0"/>
              <w:spacing w:line="360" w:lineRule="auto"/>
              <w:ind w:firstLine="420"/>
              <w:rPr>
                <w:rFonts w:ascii="Times New Roman" w:hAnsi="Times New Roman" w:eastAsia="宋体" w:cs="Times New Roman"/>
                <w:color w:val="auto"/>
                <w:szCs w:val="21"/>
              </w:rPr>
            </w:pPr>
            <w:r>
              <w:rPr>
                <w:rFonts w:hint="eastAsia" w:ascii="Times New Roman" w:hAnsi="Times New Roman" w:eastAsia="宋体" w:cs="Times New Roman"/>
                <w:color w:val="auto"/>
                <w:szCs w:val="21"/>
              </w:rPr>
              <w:t>（1）目前存在的问题</w:t>
            </w:r>
          </w:p>
          <w:p w14:paraId="37BBB49C">
            <w:pPr>
              <w:bidi w:val="0"/>
              <w:spacing w:line="360" w:lineRule="auto"/>
              <w:ind w:firstLine="420"/>
              <w:rPr>
                <w:rFonts w:hint="eastAsia" w:ascii="Times New Roman" w:hAnsi="Times New Roman" w:eastAsia="宋体" w:cs="Times New Roman"/>
                <w:color w:val="auto"/>
                <w:szCs w:val="21"/>
                <w:lang w:val="en-US" w:eastAsia="zh-CN"/>
              </w:rPr>
            </w:pPr>
            <w:r>
              <w:rPr>
                <w:rFonts w:hint="eastAsia" w:cs="Times New Roman"/>
                <w:color w:val="auto"/>
                <w:szCs w:val="21"/>
                <w:lang w:eastAsia="zh-CN"/>
              </w:rPr>
              <w:t>①</w:t>
            </w:r>
            <w:r>
              <w:rPr>
                <w:rFonts w:hint="eastAsia" w:ascii="Times New Roman" w:hAnsi="Times New Roman" w:eastAsia="宋体" w:cs="Times New Roman"/>
                <w:color w:val="auto"/>
                <w:szCs w:val="21"/>
              </w:rPr>
              <w:t>现有项目</w:t>
            </w:r>
            <w:r>
              <w:rPr>
                <w:rFonts w:hint="eastAsia" w:ascii="Times New Roman" w:hAnsi="Times New Roman" w:eastAsia="宋体" w:cs="Times New Roman"/>
                <w:color w:val="auto"/>
                <w:szCs w:val="21"/>
                <w:lang w:val="en-US" w:eastAsia="zh-CN"/>
              </w:rPr>
              <w:t>日常检测未检测动植物油</w:t>
            </w:r>
            <w:r>
              <w:rPr>
                <w:rFonts w:hint="eastAsia" w:cs="Times New Roman"/>
                <w:color w:val="auto"/>
                <w:szCs w:val="21"/>
                <w:lang w:val="en-US" w:eastAsia="zh-CN"/>
              </w:rPr>
              <w:t>、总氮</w:t>
            </w:r>
            <w:r>
              <w:rPr>
                <w:rFonts w:hint="eastAsia"/>
                <w:color w:val="auto"/>
                <w:lang w:eastAsia="zh-CN"/>
              </w:rPr>
              <w:t>，</w:t>
            </w:r>
            <w:r>
              <w:rPr>
                <w:rFonts w:hint="eastAsia"/>
                <w:color w:val="auto"/>
                <w:lang w:eastAsia="zh-CN"/>
              </w:rPr>
              <w:t>现有项目未核算总氮排放量</w:t>
            </w:r>
            <w:r>
              <w:rPr>
                <w:rFonts w:hint="eastAsia" w:cs="Times New Roman"/>
                <w:color w:val="auto"/>
                <w:szCs w:val="21"/>
                <w:lang w:eastAsia="zh-CN"/>
              </w:rPr>
              <w:t>；</w:t>
            </w:r>
          </w:p>
          <w:p w14:paraId="26E0CDC3">
            <w:pPr>
              <w:bidi w:val="0"/>
              <w:spacing w:line="360" w:lineRule="auto"/>
              <w:ind w:firstLine="420"/>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②</w:t>
            </w:r>
            <w:r>
              <w:rPr>
                <w:rFonts w:hint="eastAsia" w:ascii="Times New Roman" w:hAnsi="Times New Roman" w:eastAsia="宋体" w:cs="Times New Roman"/>
                <w:color w:val="auto"/>
                <w:szCs w:val="21"/>
                <w:lang w:val="en-US" w:eastAsia="zh-CN"/>
              </w:rPr>
              <w:t>现有项目</w:t>
            </w:r>
            <w:r>
              <w:rPr>
                <w:rFonts w:hint="eastAsia" w:cs="Times New Roman"/>
                <w:color w:val="auto"/>
                <w:szCs w:val="21"/>
                <w:lang w:val="en-US" w:eastAsia="zh-CN"/>
              </w:rPr>
              <w:t>遇到突发环境事故，拟采用</w:t>
            </w:r>
            <w:r>
              <w:rPr>
                <w:rFonts w:hint="eastAsia" w:ascii="Times New Roman" w:hAnsi="Times New Roman" w:eastAsia="宋体" w:cs="Times New Roman"/>
                <w:color w:val="auto"/>
                <w:szCs w:val="21"/>
                <w:lang w:val="en-US" w:eastAsia="zh-CN"/>
              </w:rPr>
              <w:t>雨水管容纳事故水</w:t>
            </w:r>
            <w:r>
              <w:rPr>
                <w:rFonts w:hint="eastAsia" w:ascii="Times New Roman" w:hAnsi="Times New Roman" w:eastAsia="宋体" w:cs="Times New Roman"/>
                <w:color w:val="auto"/>
                <w:szCs w:val="21"/>
                <w:lang w:val="en-US" w:eastAsia="zh-CN"/>
              </w:rPr>
              <w:t>，存在较大隐患</w:t>
            </w:r>
            <w:r>
              <w:rPr>
                <w:rFonts w:hint="eastAsia" w:cs="Times New Roman"/>
                <w:color w:val="auto"/>
                <w:szCs w:val="21"/>
                <w:lang w:val="en-US" w:eastAsia="zh-CN"/>
              </w:rPr>
              <w:t>；</w:t>
            </w:r>
          </w:p>
          <w:p w14:paraId="161C4F95">
            <w:pPr>
              <w:bidi w:val="0"/>
              <w:spacing w:line="360" w:lineRule="auto"/>
              <w:ind w:firstLine="420"/>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③</w:t>
            </w:r>
            <w:r>
              <w:rPr>
                <w:rFonts w:hint="eastAsia" w:ascii="Times New Roman" w:hAnsi="Times New Roman" w:eastAsia="宋体" w:cs="Times New Roman"/>
                <w:color w:val="auto"/>
                <w:szCs w:val="21"/>
                <w:lang w:val="en-US" w:eastAsia="zh-CN"/>
              </w:rPr>
              <w:t>现有项目大气污染物未</w:t>
            </w:r>
            <w:r>
              <w:rPr>
                <w:rFonts w:hint="eastAsia" w:cs="Times New Roman"/>
                <w:color w:val="auto"/>
                <w:szCs w:val="21"/>
                <w:lang w:val="en-US" w:eastAsia="zh-CN"/>
              </w:rPr>
              <w:t>检测</w:t>
            </w:r>
            <w:r>
              <w:rPr>
                <w:rFonts w:hint="eastAsia" w:ascii="Times New Roman" w:hAnsi="Times New Roman" w:eastAsia="宋体" w:cs="Times New Roman"/>
                <w:color w:val="auto"/>
                <w:szCs w:val="21"/>
                <w:lang w:val="en-US" w:eastAsia="zh-CN"/>
              </w:rPr>
              <w:t>甲苯、乙苯、丙烯腈、二氯甲烷、氯苯</w:t>
            </w:r>
            <w:r>
              <w:rPr>
                <w:rFonts w:hint="eastAsia"/>
                <w:color w:val="auto"/>
                <w:lang w:eastAsia="zh-CN"/>
              </w:rPr>
              <w:t>。</w:t>
            </w:r>
          </w:p>
          <w:p w14:paraId="423B4F6F">
            <w:pPr>
              <w:bidi w:val="0"/>
              <w:spacing w:line="360" w:lineRule="auto"/>
              <w:ind w:firstLine="420"/>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（2）</w:t>
            </w:r>
            <w:r>
              <w:rPr>
                <w:rFonts w:hint="eastAsia" w:ascii="Times New Roman" w:hAnsi="Times New Roman" w:eastAsia="宋体" w:cs="Times New Roman"/>
                <w:color w:val="auto"/>
                <w:szCs w:val="21"/>
              </w:rPr>
              <w:t>以新带老措施</w:t>
            </w:r>
          </w:p>
          <w:p w14:paraId="397533EC">
            <w:pPr>
              <w:bidi w:val="0"/>
              <w:spacing w:line="360" w:lineRule="auto"/>
              <w:ind w:firstLine="420"/>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①为了避免环境隐患，</w:t>
            </w:r>
            <w:r>
              <w:rPr>
                <w:rFonts w:hint="eastAsia" w:ascii="Times New Roman" w:hAnsi="Times New Roman" w:eastAsia="宋体" w:cs="Times New Roman"/>
                <w:color w:val="auto"/>
                <w:szCs w:val="21"/>
                <w:lang w:val="en-US" w:eastAsia="zh-CN"/>
              </w:rPr>
              <w:t>企业将购入可储存330m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废水的应急水囊</w:t>
            </w:r>
            <w:r>
              <w:rPr>
                <w:rFonts w:hint="eastAsia" w:cs="Times New Roman"/>
                <w:color w:val="auto"/>
                <w:szCs w:val="21"/>
                <w:lang w:val="en-US" w:eastAsia="zh-CN"/>
              </w:rPr>
              <w:t>代替现有环评拟采用的雨水管网</w:t>
            </w:r>
            <w:r>
              <w:rPr>
                <w:rFonts w:hint="eastAsia" w:ascii="Times New Roman" w:hAnsi="Times New Roman" w:eastAsia="宋体" w:cs="Times New Roman"/>
                <w:color w:val="auto"/>
                <w:szCs w:val="21"/>
                <w:lang w:val="en-US" w:eastAsia="zh-CN"/>
              </w:rPr>
              <w:t>储存事故水</w:t>
            </w:r>
            <w:r>
              <w:rPr>
                <w:rFonts w:hint="eastAsia" w:cs="Times New Roman"/>
                <w:color w:val="auto"/>
                <w:szCs w:val="21"/>
                <w:lang w:val="en-US" w:eastAsia="zh-CN"/>
              </w:rPr>
              <w:t>；</w:t>
            </w:r>
          </w:p>
          <w:p w14:paraId="3C4EA887">
            <w:pPr>
              <w:bidi w:val="0"/>
              <w:spacing w:line="360" w:lineRule="auto"/>
              <w:ind w:firstLine="420"/>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②</w:t>
            </w:r>
            <w:r>
              <w:rPr>
                <w:rFonts w:hint="eastAsia" w:ascii="Times New Roman" w:hAnsi="Times New Roman" w:eastAsia="宋体" w:cs="Times New Roman"/>
                <w:color w:val="auto"/>
                <w:szCs w:val="21"/>
                <w:lang w:val="en-US" w:eastAsia="zh-CN"/>
              </w:rPr>
              <w:t>企业拟将</w:t>
            </w:r>
            <w:r>
              <w:rPr>
                <w:rFonts w:hint="eastAsia" w:cs="Times New Roman"/>
                <w:color w:val="auto"/>
                <w:szCs w:val="21"/>
                <w:lang w:val="en-US" w:eastAsia="zh-CN"/>
              </w:rPr>
              <w:t>动植物油、</w:t>
            </w:r>
            <w:r>
              <w:rPr>
                <w:rFonts w:hint="eastAsia" w:ascii="Times New Roman" w:hAnsi="Times New Roman" w:eastAsia="宋体" w:cs="Times New Roman"/>
                <w:color w:val="auto"/>
                <w:szCs w:val="21"/>
                <w:lang w:val="en-US" w:eastAsia="zh-CN"/>
              </w:rPr>
              <w:t>总氮纳入监测计划，并在之后的日常检测中补充</w:t>
            </w:r>
            <w:r>
              <w:rPr>
                <w:rFonts w:hint="eastAsia" w:cs="Times New Roman"/>
                <w:color w:val="auto"/>
                <w:szCs w:val="21"/>
                <w:lang w:val="en-US" w:eastAsia="zh-CN"/>
              </w:rPr>
              <w:t>动植物油、</w:t>
            </w:r>
            <w:r>
              <w:rPr>
                <w:rFonts w:hint="eastAsia" w:ascii="Times New Roman" w:hAnsi="Times New Roman" w:eastAsia="宋体" w:cs="Times New Roman"/>
                <w:color w:val="auto"/>
                <w:szCs w:val="21"/>
                <w:lang w:val="en-US" w:eastAsia="zh-CN"/>
              </w:rPr>
              <w:t>总氮检测；</w:t>
            </w:r>
          </w:p>
          <w:p w14:paraId="2772223C">
            <w:pPr>
              <w:bidi w:val="0"/>
              <w:spacing w:line="360" w:lineRule="auto"/>
              <w:ind w:firstLine="420"/>
              <w:rPr>
                <w:rFonts w:hint="default" w:ascii="宋体" w:hAnsi="宋体"/>
                <w:bCs/>
                <w:color w:val="auto"/>
                <w:szCs w:val="21"/>
                <w:lang w:val="en-US"/>
              </w:rPr>
            </w:pPr>
            <w:r>
              <w:rPr>
                <w:rFonts w:hint="eastAsia" w:cs="Times New Roman"/>
                <w:color w:val="auto"/>
                <w:szCs w:val="21"/>
                <w:lang w:val="en-US" w:eastAsia="zh-CN"/>
              </w:rPr>
              <w:t>③</w:t>
            </w:r>
            <w:r>
              <w:rPr>
                <w:rFonts w:hint="eastAsia" w:ascii="Times New Roman" w:hAnsi="Times New Roman" w:eastAsia="宋体" w:cs="Times New Roman"/>
                <w:color w:val="auto"/>
                <w:szCs w:val="21"/>
                <w:lang w:val="en-US" w:eastAsia="zh-CN"/>
              </w:rPr>
              <w:t>企业拟将甲苯、乙苯、丙烯腈、二氯甲烷、氯苯纳入监测计划，并在之后的日常检测中补充甲苯、乙苯、丙烯腈、二氯甲烷、氯苯检测。</w:t>
            </w:r>
          </w:p>
        </w:tc>
      </w:tr>
    </w:tbl>
    <w:p w14:paraId="3539FBC6">
      <w:pPr>
        <w:bidi w:val="0"/>
        <w:rPr>
          <w:rFonts w:hint="eastAsia"/>
          <w:color w:val="auto"/>
        </w:rPr>
      </w:pPr>
    </w:p>
    <w:p w14:paraId="7AC0D8A9">
      <w:pPr>
        <w:bidi w:val="0"/>
        <w:rPr>
          <w:rFonts w:hint="eastAsia"/>
          <w:color w:val="auto"/>
        </w:rPr>
      </w:pPr>
    </w:p>
    <w:p w14:paraId="5026DF49">
      <w:pPr>
        <w:bidi w:val="0"/>
        <w:rPr>
          <w:rFonts w:hint="eastAsia"/>
          <w:color w:val="auto"/>
        </w:rPr>
      </w:pPr>
    </w:p>
    <w:p w14:paraId="7FF0524D">
      <w:pPr>
        <w:bidi w:val="0"/>
        <w:rPr>
          <w:rFonts w:hint="eastAsia"/>
          <w:color w:val="auto"/>
        </w:rPr>
      </w:pPr>
    </w:p>
    <w:p w14:paraId="3F5DDB8B">
      <w:pPr>
        <w:pStyle w:val="18"/>
        <w:jc w:val="center"/>
        <w:outlineLvl w:val="0"/>
        <w:rPr>
          <w:rFonts w:ascii="黑体" w:hAnsi="黑体" w:eastAsia="黑体"/>
          <w:snapToGrid w:val="0"/>
          <w:color w:val="auto"/>
          <w:sz w:val="36"/>
          <w:szCs w:val="36"/>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7F952270">
      <w:pPr>
        <w:pStyle w:val="2"/>
        <w:bidi w:val="0"/>
        <w:jc w:val="center"/>
        <w:rPr>
          <w:color w:val="auto"/>
        </w:rPr>
      </w:pPr>
      <w:bookmarkStart w:id="16" w:name="_Toc13158"/>
      <w:r>
        <w:rPr>
          <w:rFonts w:hint="eastAsia"/>
          <w:color w:val="auto"/>
        </w:rPr>
        <w:t>三、区域环境质量现状、环境保护目标及评价标准</w:t>
      </w:r>
      <w:bookmarkEnd w:id="16"/>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06"/>
        <w:gridCol w:w="8455"/>
      </w:tblGrid>
      <w:tr w14:paraId="6BBCEE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623" w:type="dxa"/>
            <w:noWrap w:val="0"/>
            <w:vAlign w:val="center"/>
          </w:tcPr>
          <w:p w14:paraId="7047CFA1">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区域</w:t>
            </w:r>
          </w:p>
          <w:p w14:paraId="369AACEF">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环境</w:t>
            </w:r>
          </w:p>
          <w:p w14:paraId="4815124F">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质量</w:t>
            </w:r>
          </w:p>
          <w:p w14:paraId="2D57B695">
            <w:pPr>
              <w:adjustRightInd w:val="0"/>
              <w:snapToGrid w:val="0"/>
              <w:jc w:val="center"/>
              <w:rPr>
                <w:rFonts w:ascii="宋体" w:hAnsi="宋体" w:cs="宋体"/>
                <w:color w:val="auto"/>
                <w:kern w:val="0"/>
                <w:szCs w:val="21"/>
              </w:rPr>
            </w:pPr>
            <w:r>
              <w:rPr>
                <w:rFonts w:hint="eastAsia" w:ascii="宋体" w:hAnsi="宋体" w:cs="宋体"/>
                <w:color w:val="auto"/>
                <w:kern w:val="0"/>
                <w:szCs w:val="21"/>
              </w:rPr>
              <w:t>现状</w:t>
            </w:r>
          </w:p>
        </w:tc>
        <w:tc>
          <w:tcPr>
            <w:tcW w:w="8367" w:type="dxa"/>
            <w:noWrap w:val="0"/>
            <w:vAlign w:val="center"/>
          </w:tcPr>
          <w:p w14:paraId="0B29F003">
            <w:pPr>
              <w:pStyle w:val="3"/>
              <w:bidi w:val="0"/>
              <w:rPr>
                <w:color w:val="auto"/>
              </w:rPr>
            </w:pPr>
            <w:r>
              <w:rPr>
                <w:rFonts w:hint="eastAsia"/>
                <w:color w:val="auto"/>
                <w:lang w:eastAsia="zh-CN"/>
              </w:rPr>
              <w:t>（一）</w:t>
            </w:r>
            <w:r>
              <w:rPr>
                <w:color w:val="auto"/>
              </w:rPr>
              <w:t>大气环境</w:t>
            </w:r>
          </w:p>
          <w:p w14:paraId="2C24E3BF">
            <w:pPr>
              <w:pStyle w:val="4"/>
              <w:bidi w:val="0"/>
              <w:rPr>
                <w:rFonts w:ascii="宋体" w:hAnsi="宋体" w:eastAsia="宋体" w:cs="宋体"/>
                <w:b w:val="0"/>
                <w:color w:val="auto"/>
                <w:sz w:val="21"/>
                <w:szCs w:val="22"/>
                <w:lang w:val="zh-CN" w:eastAsia="zh-CN" w:bidi="zh-CN"/>
              </w:rPr>
            </w:pPr>
            <w:r>
              <w:rPr>
                <w:rFonts w:hint="eastAsia"/>
                <w:color w:val="auto"/>
                <w:lang w:val="en-US" w:eastAsia="zh-CN"/>
              </w:rPr>
              <w:t>1、</w:t>
            </w:r>
            <w:r>
              <w:rPr>
                <w:rFonts w:ascii="宋体" w:hAnsi="宋体" w:eastAsia="宋体" w:cs="宋体"/>
                <w:b/>
                <w:bCs/>
                <w:color w:val="auto"/>
                <w:sz w:val="21"/>
                <w:szCs w:val="22"/>
                <w:lang w:val="zh-CN" w:eastAsia="zh-CN" w:bidi="zh-CN"/>
              </w:rPr>
              <w:t>达标区判定</w:t>
            </w:r>
          </w:p>
          <w:p w14:paraId="74B716B7">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color w:val="auto"/>
              </w:rPr>
            </w:pPr>
            <w:r>
              <w:rPr>
                <w:color w:val="auto"/>
              </w:rPr>
              <w:t>根据《环境影响评价技术导则 大气环境》（HJ2.2-2018），项目所在区域达标情况判定优先采用国家或地方生态环境主管部门公开发布的环境质量公告或环境质量报告中的数据和结论。根据《</w:t>
            </w:r>
            <w:r>
              <w:rPr>
                <w:rFonts w:hint="eastAsia"/>
                <w:color w:val="auto"/>
                <w:lang w:eastAsia="zh-CN"/>
              </w:rPr>
              <w:t>南通市生态环境状况公报</w:t>
            </w:r>
            <w:r>
              <w:rPr>
                <w:color w:val="auto"/>
              </w:rPr>
              <w:t>》（20</w:t>
            </w:r>
            <w:r>
              <w:rPr>
                <w:rFonts w:hint="eastAsia"/>
                <w:color w:val="auto"/>
                <w:lang w:val="en-US" w:eastAsia="zh-CN"/>
              </w:rPr>
              <w:t>24年</w:t>
            </w:r>
            <w:r>
              <w:rPr>
                <w:color w:val="auto"/>
              </w:rPr>
              <w:t>），</w:t>
            </w:r>
            <w:r>
              <w:rPr>
                <w:rFonts w:hint="eastAsia"/>
                <w:color w:val="auto"/>
                <w:lang w:eastAsia="zh-CN"/>
              </w:rPr>
              <w:t>南通市</w:t>
            </w:r>
            <w:r>
              <w:rPr>
                <w:color w:val="auto"/>
              </w:rPr>
              <w:t>海门</w:t>
            </w:r>
            <w:r>
              <w:rPr>
                <w:rFonts w:hint="eastAsia"/>
                <w:color w:val="auto"/>
                <w:lang w:eastAsia="zh-CN"/>
              </w:rPr>
              <w:t>区空气环境质量现状见表</w:t>
            </w:r>
            <w:r>
              <w:rPr>
                <w:color w:val="auto"/>
              </w:rPr>
              <w:t>3-1。</w:t>
            </w:r>
          </w:p>
          <w:p w14:paraId="13970DF0">
            <w:pPr>
              <w:autoSpaceDE w:val="0"/>
              <w:autoSpaceDN w:val="0"/>
              <w:adjustRightInd w:val="0"/>
              <w:ind w:firstLine="482"/>
              <w:jc w:val="center"/>
              <w:rPr>
                <w:b/>
                <w:bCs/>
                <w:color w:val="auto"/>
                <w:sz w:val="21"/>
                <w:szCs w:val="21"/>
                <w:highlight w:val="none"/>
              </w:rPr>
            </w:pPr>
          </w:p>
          <w:p w14:paraId="2DD0B22B">
            <w:pPr>
              <w:autoSpaceDE w:val="0"/>
              <w:autoSpaceDN w:val="0"/>
              <w:adjustRightInd w:val="0"/>
              <w:ind w:firstLine="482"/>
              <w:jc w:val="center"/>
              <w:rPr>
                <w:b/>
                <w:bCs/>
                <w:color w:val="auto"/>
                <w:sz w:val="21"/>
                <w:szCs w:val="21"/>
                <w:highlight w:val="none"/>
              </w:rPr>
            </w:pPr>
            <w:r>
              <w:rPr>
                <w:b/>
                <w:bCs/>
                <w:color w:val="auto"/>
                <w:sz w:val="21"/>
                <w:szCs w:val="21"/>
                <w:highlight w:val="none"/>
              </w:rPr>
              <w:t>表3-1  大气环境质量现状监测     单位：μg/m</w:t>
            </w:r>
            <w:r>
              <w:rPr>
                <w:b/>
                <w:bCs/>
                <w:color w:val="auto"/>
                <w:sz w:val="21"/>
                <w:szCs w:val="21"/>
                <w:highlight w:val="none"/>
                <w:vertAlign w:val="superscript"/>
              </w:rPr>
              <w:t>3</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2758"/>
              <w:gridCol w:w="979"/>
              <w:gridCol w:w="1186"/>
              <w:gridCol w:w="1106"/>
              <w:gridCol w:w="1279"/>
            </w:tblGrid>
            <w:tr w14:paraId="74868C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65" w:type="pct"/>
                  <w:noWrap w:val="0"/>
                  <w:vAlign w:val="center"/>
                </w:tcPr>
                <w:p w14:paraId="7C76E1FA">
                  <w:pPr>
                    <w:spacing w:line="44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w:t>
                  </w:r>
                </w:p>
              </w:tc>
              <w:tc>
                <w:tcPr>
                  <w:tcW w:w="1674" w:type="pct"/>
                  <w:noWrap w:val="0"/>
                  <w:vAlign w:val="center"/>
                </w:tcPr>
                <w:p w14:paraId="39EFB534">
                  <w:pPr>
                    <w:spacing w:line="44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年评价指标</w:t>
                  </w:r>
                </w:p>
              </w:tc>
              <w:tc>
                <w:tcPr>
                  <w:tcW w:w="594" w:type="pct"/>
                  <w:noWrap w:val="0"/>
                  <w:vAlign w:val="center"/>
                </w:tcPr>
                <w:p w14:paraId="7783A554">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结果μg/m</w:t>
                  </w:r>
                  <w:r>
                    <w:rPr>
                      <w:rFonts w:hint="default" w:ascii="Times New Roman" w:hAnsi="Times New Roman" w:cs="Times New Roman"/>
                      <w:b/>
                      <w:bCs/>
                      <w:color w:val="auto"/>
                      <w:sz w:val="18"/>
                      <w:szCs w:val="18"/>
                      <w:vertAlign w:val="superscript"/>
                    </w:rPr>
                    <w:t>3</w:t>
                  </w:r>
                </w:p>
              </w:tc>
              <w:tc>
                <w:tcPr>
                  <w:tcW w:w="1182" w:type="dxa"/>
                  <w:noWrap w:val="0"/>
                  <w:vAlign w:val="center"/>
                </w:tcPr>
                <w:p w14:paraId="5B77BC46">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b/>
                      <w:bCs/>
                      <w:color w:val="auto"/>
                      <w:sz w:val="18"/>
                      <w:szCs w:val="18"/>
                    </w:rPr>
                  </w:pPr>
                  <w:r>
                    <w:rPr>
                      <w:rFonts w:hint="eastAsia" w:cs="Times New Roman"/>
                      <w:b/>
                      <w:bCs/>
                      <w:color w:val="auto"/>
                      <w:sz w:val="18"/>
                      <w:szCs w:val="18"/>
                      <w:lang w:eastAsia="zh-CN"/>
                    </w:rPr>
                    <w:t>过渡阶段浓度限值</w:t>
                  </w:r>
                  <w:r>
                    <w:rPr>
                      <w:rFonts w:hint="default" w:ascii="Times New Roman" w:hAnsi="Times New Roman" w:cs="Times New Roman"/>
                      <w:b/>
                      <w:bCs/>
                      <w:color w:val="auto"/>
                      <w:sz w:val="18"/>
                      <w:szCs w:val="18"/>
                    </w:rPr>
                    <w:t>μg/m</w:t>
                  </w:r>
                  <w:r>
                    <w:rPr>
                      <w:rFonts w:hint="default" w:ascii="Times New Roman" w:hAnsi="Times New Roman" w:cs="Times New Roman"/>
                      <w:b/>
                      <w:bCs/>
                      <w:color w:val="auto"/>
                      <w:sz w:val="18"/>
                      <w:szCs w:val="18"/>
                      <w:vertAlign w:val="superscript"/>
                    </w:rPr>
                    <w:t>3</w:t>
                  </w:r>
                </w:p>
              </w:tc>
              <w:tc>
                <w:tcPr>
                  <w:tcW w:w="671" w:type="pct"/>
                  <w:noWrap w:val="0"/>
                  <w:vAlign w:val="center"/>
                </w:tcPr>
                <w:p w14:paraId="7AA79B98">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lang w:eastAsia="zh-CN"/>
                    </w:rPr>
                    <w:t>超标倍数</w:t>
                  </w:r>
                  <w:r>
                    <w:rPr>
                      <w:rFonts w:hint="default" w:ascii="Times New Roman" w:hAnsi="Times New Roman" w:cs="Times New Roman"/>
                      <w:b/>
                      <w:bCs/>
                      <w:color w:val="auto"/>
                      <w:sz w:val="18"/>
                      <w:szCs w:val="18"/>
                    </w:rPr>
                    <w:t>%</w:t>
                  </w:r>
                </w:p>
              </w:tc>
              <w:tc>
                <w:tcPr>
                  <w:tcW w:w="776" w:type="pct"/>
                  <w:noWrap w:val="0"/>
                  <w:vAlign w:val="center"/>
                </w:tcPr>
                <w:p w14:paraId="5EA8F6ED">
                  <w:pPr>
                    <w:keepNext w:val="0"/>
                    <w:keepLines w:val="0"/>
                    <w:pageBreakBefore w:val="0"/>
                    <w:widowControl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达标情况</w:t>
                  </w:r>
                </w:p>
              </w:tc>
            </w:tr>
            <w:tr w14:paraId="7AAC15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65" w:type="pct"/>
                  <w:noWrap w:val="0"/>
                  <w:vAlign w:val="center"/>
                </w:tcPr>
                <w:p w14:paraId="633DF38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SO</w:t>
                  </w:r>
                  <w:r>
                    <w:rPr>
                      <w:rFonts w:hint="default" w:ascii="Times New Roman" w:hAnsi="Times New Roman" w:cs="Times New Roman"/>
                      <w:color w:val="auto"/>
                      <w:sz w:val="18"/>
                      <w:szCs w:val="18"/>
                      <w:vertAlign w:val="subscript"/>
                    </w:rPr>
                    <w:t>2</w:t>
                  </w:r>
                </w:p>
              </w:tc>
              <w:tc>
                <w:tcPr>
                  <w:tcW w:w="1674" w:type="pct"/>
                  <w:noWrap w:val="0"/>
                  <w:vAlign w:val="center"/>
                </w:tcPr>
                <w:p w14:paraId="5C9E0F59">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w:t>
                  </w:r>
                </w:p>
              </w:tc>
              <w:tc>
                <w:tcPr>
                  <w:tcW w:w="1013" w:type="dxa"/>
                  <w:noWrap w:val="0"/>
                  <w:vAlign w:val="center"/>
                </w:tcPr>
                <w:p w14:paraId="68FAF7F9">
                  <w:pPr>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rPr>
                    <w:t>8</w:t>
                  </w:r>
                </w:p>
              </w:tc>
              <w:tc>
                <w:tcPr>
                  <w:tcW w:w="1182" w:type="dxa"/>
                  <w:noWrap w:val="0"/>
                  <w:vAlign w:val="center"/>
                </w:tcPr>
                <w:p w14:paraId="055D3DD8">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val="en-US" w:eastAsia="zh-CN"/>
                    </w:rPr>
                    <w:t>60</w:t>
                  </w:r>
                </w:p>
              </w:tc>
              <w:tc>
                <w:tcPr>
                  <w:tcW w:w="671" w:type="pct"/>
                  <w:noWrap w:val="0"/>
                  <w:vAlign w:val="center"/>
                </w:tcPr>
                <w:p w14:paraId="31DF8FE1">
                  <w:pPr>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val="en-US" w:eastAsia="zh-CN"/>
                    </w:rPr>
                    <w:t>0</w:t>
                  </w:r>
                </w:p>
              </w:tc>
              <w:tc>
                <w:tcPr>
                  <w:tcW w:w="776" w:type="pct"/>
                  <w:noWrap w:val="0"/>
                  <w:vAlign w:val="center"/>
                </w:tcPr>
                <w:p w14:paraId="5E5B6201">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1A39B2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65" w:type="pct"/>
                  <w:noWrap w:val="0"/>
                  <w:vAlign w:val="center"/>
                </w:tcPr>
                <w:p w14:paraId="5C32A8D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NO</w:t>
                  </w:r>
                  <w:r>
                    <w:rPr>
                      <w:rFonts w:hint="default" w:ascii="Times New Roman" w:hAnsi="Times New Roman" w:cs="Times New Roman"/>
                      <w:color w:val="auto"/>
                      <w:sz w:val="18"/>
                      <w:szCs w:val="18"/>
                      <w:vertAlign w:val="subscript"/>
                    </w:rPr>
                    <w:t>2</w:t>
                  </w:r>
                </w:p>
              </w:tc>
              <w:tc>
                <w:tcPr>
                  <w:tcW w:w="1674" w:type="pct"/>
                  <w:noWrap w:val="0"/>
                  <w:vAlign w:val="center"/>
                </w:tcPr>
                <w:p w14:paraId="2C2A3144">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w:t>
                  </w:r>
                </w:p>
              </w:tc>
              <w:tc>
                <w:tcPr>
                  <w:tcW w:w="1013" w:type="dxa"/>
                  <w:noWrap w:val="0"/>
                  <w:vAlign w:val="center"/>
                </w:tcPr>
                <w:p w14:paraId="00D6B5C4">
                  <w:pPr>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rPr>
                    <w:t>19</w:t>
                  </w:r>
                </w:p>
              </w:tc>
              <w:tc>
                <w:tcPr>
                  <w:tcW w:w="1182" w:type="dxa"/>
                  <w:noWrap w:val="0"/>
                  <w:vAlign w:val="center"/>
                </w:tcPr>
                <w:p w14:paraId="2D967D0E">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val="en-US" w:eastAsia="zh-CN"/>
                    </w:rPr>
                    <w:t>40</w:t>
                  </w:r>
                </w:p>
              </w:tc>
              <w:tc>
                <w:tcPr>
                  <w:tcW w:w="671" w:type="pct"/>
                  <w:noWrap w:val="0"/>
                  <w:vAlign w:val="center"/>
                </w:tcPr>
                <w:p w14:paraId="0C062FF9">
                  <w:pPr>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val="en-US" w:eastAsia="zh-CN"/>
                    </w:rPr>
                    <w:t>0</w:t>
                  </w:r>
                </w:p>
              </w:tc>
              <w:tc>
                <w:tcPr>
                  <w:tcW w:w="776" w:type="pct"/>
                  <w:noWrap w:val="0"/>
                  <w:vAlign w:val="center"/>
                </w:tcPr>
                <w:p w14:paraId="2AA4F0B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3F9BBC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65" w:type="pct"/>
                  <w:noWrap w:val="0"/>
                  <w:vAlign w:val="center"/>
                </w:tcPr>
                <w:p w14:paraId="3C602B3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PM</w:t>
                  </w:r>
                  <w:r>
                    <w:rPr>
                      <w:rFonts w:hint="default" w:ascii="Times New Roman" w:hAnsi="Times New Roman" w:cs="Times New Roman"/>
                      <w:color w:val="auto"/>
                      <w:sz w:val="18"/>
                      <w:szCs w:val="18"/>
                      <w:vertAlign w:val="subscript"/>
                    </w:rPr>
                    <w:t>10</w:t>
                  </w:r>
                </w:p>
              </w:tc>
              <w:tc>
                <w:tcPr>
                  <w:tcW w:w="1674" w:type="pct"/>
                  <w:noWrap w:val="0"/>
                  <w:vAlign w:val="center"/>
                </w:tcPr>
                <w:p w14:paraId="663AE698">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w:t>
                  </w:r>
                </w:p>
              </w:tc>
              <w:tc>
                <w:tcPr>
                  <w:tcW w:w="1013" w:type="dxa"/>
                  <w:noWrap w:val="0"/>
                  <w:vAlign w:val="center"/>
                </w:tcPr>
                <w:p w14:paraId="1AA80426">
                  <w:pPr>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rPr>
                    <w:t>42</w:t>
                  </w:r>
                </w:p>
              </w:tc>
              <w:tc>
                <w:tcPr>
                  <w:tcW w:w="1182" w:type="dxa"/>
                  <w:noWrap w:val="0"/>
                  <w:vAlign w:val="center"/>
                </w:tcPr>
                <w:p w14:paraId="4DBCC3A0">
                  <w:pPr>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60</w:t>
                  </w:r>
                </w:p>
              </w:tc>
              <w:tc>
                <w:tcPr>
                  <w:tcW w:w="671" w:type="pct"/>
                  <w:noWrap w:val="0"/>
                  <w:vAlign w:val="center"/>
                </w:tcPr>
                <w:p w14:paraId="7BBD4318">
                  <w:pPr>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val="en-US" w:eastAsia="zh-CN"/>
                    </w:rPr>
                    <w:t>0</w:t>
                  </w:r>
                </w:p>
              </w:tc>
              <w:tc>
                <w:tcPr>
                  <w:tcW w:w="776" w:type="pct"/>
                  <w:noWrap w:val="0"/>
                  <w:vAlign w:val="center"/>
                </w:tcPr>
                <w:p w14:paraId="4D95A3E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0E7C4E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65" w:type="pct"/>
                  <w:noWrap w:val="0"/>
                  <w:vAlign w:val="center"/>
                </w:tcPr>
                <w:p w14:paraId="2369C10C">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PM</w:t>
                  </w:r>
                  <w:r>
                    <w:rPr>
                      <w:rFonts w:hint="default" w:ascii="Times New Roman" w:hAnsi="Times New Roman" w:cs="Times New Roman"/>
                      <w:color w:val="auto"/>
                      <w:sz w:val="18"/>
                      <w:szCs w:val="18"/>
                      <w:vertAlign w:val="subscript"/>
                    </w:rPr>
                    <w:t>2.5</w:t>
                  </w:r>
                </w:p>
              </w:tc>
              <w:tc>
                <w:tcPr>
                  <w:tcW w:w="1674" w:type="pct"/>
                  <w:noWrap w:val="0"/>
                  <w:vAlign w:val="center"/>
                </w:tcPr>
                <w:p w14:paraId="13985D75">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w:t>
                  </w:r>
                </w:p>
              </w:tc>
              <w:tc>
                <w:tcPr>
                  <w:tcW w:w="1013" w:type="dxa"/>
                  <w:noWrap w:val="0"/>
                  <w:vAlign w:val="center"/>
                </w:tcPr>
                <w:p w14:paraId="0487BBDB">
                  <w:pPr>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rPr>
                    <w:t>27</w:t>
                  </w:r>
                </w:p>
              </w:tc>
              <w:tc>
                <w:tcPr>
                  <w:tcW w:w="1182" w:type="dxa"/>
                  <w:noWrap w:val="0"/>
                  <w:vAlign w:val="center"/>
                </w:tcPr>
                <w:p w14:paraId="0E279A63">
                  <w:pPr>
                    <w:jc w:val="center"/>
                    <w:rPr>
                      <w:rFonts w:hint="default" w:ascii="Times New Roman" w:hAnsi="Times New Roman" w:cs="Times New Roman"/>
                      <w:color w:val="auto"/>
                      <w:sz w:val="18"/>
                      <w:szCs w:val="18"/>
                    </w:rPr>
                  </w:pPr>
                  <w:r>
                    <w:rPr>
                      <w:rFonts w:hint="eastAsia" w:cs="Times New Roman"/>
                      <w:color w:val="auto"/>
                      <w:sz w:val="18"/>
                      <w:szCs w:val="18"/>
                      <w:lang w:val="en-US" w:eastAsia="zh-CN"/>
                    </w:rPr>
                    <w:t>30</w:t>
                  </w:r>
                </w:p>
              </w:tc>
              <w:tc>
                <w:tcPr>
                  <w:tcW w:w="671" w:type="pct"/>
                  <w:noWrap w:val="0"/>
                  <w:vAlign w:val="center"/>
                </w:tcPr>
                <w:p w14:paraId="4EFEFC50">
                  <w:pPr>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val="en-US" w:eastAsia="zh-CN"/>
                    </w:rPr>
                    <w:t>0</w:t>
                  </w:r>
                </w:p>
              </w:tc>
              <w:tc>
                <w:tcPr>
                  <w:tcW w:w="776" w:type="pct"/>
                  <w:noWrap w:val="0"/>
                  <w:vAlign w:val="center"/>
                </w:tcPr>
                <w:p w14:paraId="618EA116">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1BA6DD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65" w:type="pct"/>
                  <w:noWrap w:val="0"/>
                  <w:vAlign w:val="center"/>
                </w:tcPr>
                <w:p w14:paraId="7218E98F">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CO</w:t>
                  </w:r>
                </w:p>
              </w:tc>
              <w:tc>
                <w:tcPr>
                  <w:tcW w:w="2760" w:type="dxa"/>
                  <w:noWrap w:val="0"/>
                  <w:vAlign w:val="center"/>
                </w:tcPr>
                <w:p w14:paraId="5C558F57">
                  <w:pPr>
                    <w:jc w:val="center"/>
                    <w:rPr>
                      <w:rFonts w:hint="default" w:ascii="Times New Roman" w:hAnsi="Times New Roman" w:cs="Times New Roman"/>
                      <w:color w:val="auto"/>
                      <w:sz w:val="18"/>
                      <w:szCs w:val="18"/>
                    </w:rPr>
                  </w:pPr>
                  <w:r>
                    <w:rPr>
                      <w:rFonts w:hint="eastAsia" w:cs="Times New Roman"/>
                      <w:color w:val="auto"/>
                      <w:sz w:val="18"/>
                      <w:szCs w:val="18"/>
                      <w:lang w:eastAsia="zh-CN"/>
                    </w:rPr>
                    <w:t>日平均</w:t>
                  </w:r>
                </w:p>
              </w:tc>
              <w:tc>
                <w:tcPr>
                  <w:tcW w:w="1013" w:type="dxa"/>
                  <w:noWrap w:val="0"/>
                  <w:vAlign w:val="center"/>
                </w:tcPr>
                <w:p w14:paraId="74C25FE1">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rPr>
                    <w:t>1</w:t>
                  </w:r>
                  <w:r>
                    <w:rPr>
                      <w:rFonts w:hint="eastAsia" w:cs="Times New Roman"/>
                      <w:color w:val="auto"/>
                      <w:sz w:val="18"/>
                      <w:szCs w:val="18"/>
                      <w:lang w:val="en-US" w:eastAsia="zh-CN"/>
                    </w:rPr>
                    <w:t>000</w:t>
                  </w:r>
                </w:p>
              </w:tc>
              <w:tc>
                <w:tcPr>
                  <w:tcW w:w="1182" w:type="dxa"/>
                  <w:noWrap w:val="0"/>
                  <w:vAlign w:val="center"/>
                </w:tcPr>
                <w:p w14:paraId="4E4ED45D">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val="en-US" w:eastAsia="zh-CN"/>
                    </w:rPr>
                    <w:t>4000</w:t>
                  </w:r>
                </w:p>
              </w:tc>
              <w:tc>
                <w:tcPr>
                  <w:tcW w:w="671" w:type="pct"/>
                  <w:noWrap w:val="0"/>
                  <w:vAlign w:val="center"/>
                </w:tcPr>
                <w:p w14:paraId="4362F2D9">
                  <w:pPr>
                    <w:jc w:val="center"/>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val="en-US" w:eastAsia="zh-CN"/>
                    </w:rPr>
                    <w:t>0</w:t>
                  </w:r>
                </w:p>
              </w:tc>
              <w:tc>
                <w:tcPr>
                  <w:tcW w:w="776" w:type="pct"/>
                  <w:noWrap w:val="0"/>
                  <w:vAlign w:val="center"/>
                </w:tcPr>
                <w:p w14:paraId="4BD8F5CD">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14:paraId="010995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65" w:type="pct"/>
                  <w:noWrap w:val="0"/>
                  <w:vAlign w:val="center"/>
                </w:tcPr>
                <w:p w14:paraId="50393AB7">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O</w:t>
                  </w:r>
                  <w:r>
                    <w:rPr>
                      <w:rFonts w:hint="default" w:ascii="Times New Roman" w:hAnsi="Times New Roman" w:cs="Times New Roman"/>
                      <w:color w:val="auto"/>
                      <w:sz w:val="18"/>
                      <w:szCs w:val="18"/>
                      <w:vertAlign w:val="subscript"/>
                    </w:rPr>
                    <w:t>3</w:t>
                  </w:r>
                </w:p>
              </w:tc>
              <w:tc>
                <w:tcPr>
                  <w:tcW w:w="2760" w:type="dxa"/>
                  <w:noWrap w:val="0"/>
                  <w:vAlign w:val="center"/>
                </w:tcPr>
                <w:p w14:paraId="3D42B9B2">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eastAsia="zh-CN"/>
                    </w:rPr>
                    <w:t>日最大</w:t>
                  </w:r>
                  <w:r>
                    <w:rPr>
                      <w:rFonts w:hint="default" w:ascii="Times New Roman" w:hAnsi="Times New Roman" w:cs="Times New Roman"/>
                      <w:color w:val="auto"/>
                      <w:sz w:val="18"/>
                      <w:szCs w:val="18"/>
                    </w:rPr>
                    <w:t>8小时</w:t>
                  </w:r>
                  <w:r>
                    <w:rPr>
                      <w:rFonts w:hint="eastAsia" w:cs="Times New Roman"/>
                      <w:color w:val="auto"/>
                      <w:sz w:val="18"/>
                      <w:szCs w:val="18"/>
                      <w:lang w:eastAsia="zh-CN"/>
                    </w:rPr>
                    <w:t>平均</w:t>
                  </w:r>
                </w:p>
              </w:tc>
              <w:tc>
                <w:tcPr>
                  <w:tcW w:w="1013" w:type="dxa"/>
                  <w:noWrap w:val="0"/>
                  <w:vAlign w:val="center"/>
                </w:tcPr>
                <w:p w14:paraId="71557697">
                  <w:pPr>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rPr>
                    <w:t>156</w:t>
                  </w:r>
                </w:p>
              </w:tc>
              <w:tc>
                <w:tcPr>
                  <w:tcW w:w="1182" w:type="dxa"/>
                  <w:noWrap w:val="0"/>
                  <w:vAlign w:val="center"/>
                </w:tcPr>
                <w:p w14:paraId="56601A2F">
                  <w:pPr>
                    <w:jc w:val="center"/>
                    <w:rPr>
                      <w:rFonts w:hint="default" w:ascii="Times New Roman" w:hAnsi="Times New Roman" w:cs="Times New Roman"/>
                      <w:color w:val="auto"/>
                      <w:sz w:val="18"/>
                      <w:szCs w:val="18"/>
                    </w:rPr>
                  </w:pPr>
                  <w:r>
                    <w:rPr>
                      <w:rFonts w:hint="default" w:ascii="Times New Roman" w:hAnsi="Times New Roman" w:eastAsia="宋体" w:cs="Times New Roman"/>
                      <w:color w:val="auto"/>
                      <w:sz w:val="18"/>
                      <w:szCs w:val="18"/>
                      <w:lang w:val="en-US" w:eastAsia="zh-CN"/>
                    </w:rPr>
                    <w:t>160</w:t>
                  </w:r>
                </w:p>
              </w:tc>
              <w:tc>
                <w:tcPr>
                  <w:tcW w:w="671" w:type="pct"/>
                  <w:noWrap w:val="0"/>
                  <w:vAlign w:val="center"/>
                </w:tcPr>
                <w:p w14:paraId="72289367">
                  <w:pPr>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0</w:t>
                  </w:r>
                </w:p>
              </w:tc>
              <w:tc>
                <w:tcPr>
                  <w:tcW w:w="776" w:type="pct"/>
                  <w:noWrap w:val="0"/>
                  <w:vAlign w:val="center"/>
                </w:tcPr>
                <w:p w14:paraId="05C187E9">
                  <w:pPr>
                    <w:jc w:val="center"/>
                    <w:rPr>
                      <w:rFonts w:hint="default" w:ascii="Times New Roman" w:hAnsi="Times New Roman" w:cs="Times New Roman"/>
                      <w:color w:val="auto"/>
                      <w:sz w:val="18"/>
                      <w:szCs w:val="18"/>
                      <w:lang w:eastAsia="zh-CN"/>
                    </w:rPr>
                  </w:pPr>
                  <w:r>
                    <w:rPr>
                      <w:rFonts w:hint="eastAsia" w:cs="Times New Roman"/>
                      <w:color w:val="auto"/>
                      <w:sz w:val="18"/>
                      <w:szCs w:val="18"/>
                      <w:lang w:eastAsia="zh-CN"/>
                    </w:rPr>
                    <w:t>达标</w:t>
                  </w:r>
                </w:p>
              </w:tc>
            </w:tr>
          </w:tbl>
          <w:p w14:paraId="1DF7979D">
            <w:pPr>
              <w:pStyle w:val="3"/>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jc w:val="left"/>
              <w:textAlignment w:val="auto"/>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b w:val="0"/>
                <w:bCs w:val="0"/>
                <w:color w:val="auto"/>
                <w:kern w:val="2"/>
                <w:sz w:val="21"/>
                <w:szCs w:val="24"/>
                <w:lang w:val="en-US" w:eastAsia="zh-CN" w:bidi="ar-SA"/>
              </w:rPr>
              <w:t>根据公布的环境空气质量数据，202</w:t>
            </w:r>
            <w:r>
              <w:rPr>
                <w:rFonts w:hint="eastAsia" w:ascii="Times New Roman" w:hAnsi="Times New Roman" w:eastAsia="宋体" w:cs="Times New Roman"/>
                <w:b w:val="0"/>
                <w:bCs w:val="0"/>
                <w:color w:val="auto"/>
                <w:kern w:val="2"/>
                <w:sz w:val="21"/>
                <w:szCs w:val="24"/>
                <w:lang w:val="en-US" w:eastAsia="zh-CN" w:bidi="ar-SA"/>
              </w:rPr>
              <w:t>4</w:t>
            </w:r>
            <w:r>
              <w:rPr>
                <w:rFonts w:hint="default" w:ascii="Times New Roman" w:hAnsi="Times New Roman" w:eastAsia="宋体" w:cs="Times New Roman"/>
                <w:b w:val="0"/>
                <w:bCs w:val="0"/>
                <w:color w:val="auto"/>
                <w:kern w:val="2"/>
                <w:sz w:val="21"/>
                <w:szCs w:val="24"/>
                <w:lang w:val="en-US" w:eastAsia="zh-CN" w:bidi="ar-SA"/>
              </w:rPr>
              <w:t>年海门区SO</w:t>
            </w:r>
            <w:r>
              <w:rPr>
                <w:rFonts w:hint="default" w:ascii="Times New Roman" w:hAnsi="Times New Roman" w:eastAsia="宋体" w:cs="Times New Roman"/>
                <w:b w:val="0"/>
                <w:bCs w:val="0"/>
                <w:color w:val="auto"/>
                <w:kern w:val="2"/>
                <w:sz w:val="21"/>
                <w:szCs w:val="24"/>
                <w:vertAlign w:val="subscript"/>
                <w:lang w:val="en-US" w:eastAsia="zh-CN" w:bidi="ar-SA"/>
              </w:rPr>
              <w:t>2</w:t>
            </w:r>
            <w:r>
              <w:rPr>
                <w:rFonts w:hint="default" w:ascii="Times New Roman" w:hAnsi="Times New Roman" w:eastAsia="宋体" w:cs="Times New Roman"/>
                <w:b w:val="0"/>
                <w:bCs w:val="0"/>
                <w:color w:val="auto"/>
                <w:kern w:val="2"/>
                <w:sz w:val="21"/>
                <w:szCs w:val="24"/>
                <w:lang w:val="en-US" w:eastAsia="zh-CN" w:bidi="ar-SA"/>
              </w:rPr>
              <w:t>、NO</w:t>
            </w:r>
            <w:r>
              <w:rPr>
                <w:rFonts w:hint="default" w:ascii="Times New Roman" w:hAnsi="Times New Roman" w:eastAsia="宋体" w:cs="Times New Roman"/>
                <w:b w:val="0"/>
                <w:bCs w:val="0"/>
                <w:color w:val="auto"/>
                <w:kern w:val="2"/>
                <w:sz w:val="21"/>
                <w:szCs w:val="24"/>
                <w:vertAlign w:val="subscript"/>
                <w:lang w:val="en-US" w:eastAsia="zh-CN" w:bidi="ar-SA"/>
              </w:rPr>
              <w:t>2</w:t>
            </w:r>
            <w:r>
              <w:rPr>
                <w:rFonts w:hint="default" w:ascii="Times New Roman" w:hAnsi="Times New Roman" w:eastAsia="宋体" w:cs="Times New Roman"/>
                <w:b w:val="0"/>
                <w:bCs w:val="0"/>
                <w:color w:val="auto"/>
                <w:kern w:val="2"/>
                <w:sz w:val="21"/>
                <w:szCs w:val="24"/>
                <w:lang w:val="en-US" w:eastAsia="zh-CN" w:bidi="ar-SA"/>
              </w:rPr>
              <w:t>、PM</w:t>
            </w:r>
            <w:r>
              <w:rPr>
                <w:rFonts w:hint="default" w:ascii="Times New Roman" w:hAnsi="Times New Roman" w:eastAsia="宋体" w:cs="Times New Roman"/>
                <w:b w:val="0"/>
                <w:bCs w:val="0"/>
                <w:color w:val="auto"/>
                <w:kern w:val="2"/>
                <w:sz w:val="21"/>
                <w:szCs w:val="24"/>
                <w:vertAlign w:val="subscript"/>
                <w:lang w:val="en-US" w:eastAsia="zh-CN" w:bidi="ar-SA"/>
              </w:rPr>
              <w:t>10</w:t>
            </w:r>
            <w:r>
              <w:rPr>
                <w:rFonts w:hint="default" w:ascii="Times New Roman" w:hAnsi="Times New Roman" w:eastAsia="宋体" w:cs="Times New Roman"/>
                <w:b w:val="0"/>
                <w:bCs w:val="0"/>
                <w:color w:val="auto"/>
                <w:kern w:val="2"/>
                <w:sz w:val="21"/>
                <w:szCs w:val="24"/>
                <w:lang w:val="en-US" w:eastAsia="zh-CN" w:bidi="ar-SA"/>
              </w:rPr>
              <w:t>、PM</w:t>
            </w:r>
            <w:r>
              <w:rPr>
                <w:rFonts w:hint="default" w:ascii="Times New Roman" w:hAnsi="Times New Roman" w:eastAsia="宋体" w:cs="Times New Roman"/>
                <w:b w:val="0"/>
                <w:bCs w:val="0"/>
                <w:color w:val="auto"/>
                <w:kern w:val="2"/>
                <w:sz w:val="21"/>
                <w:szCs w:val="24"/>
                <w:vertAlign w:val="subscript"/>
                <w:lang w:val="en-US" w:eastAsia="zh-CN" w:bidi="ar-SA"/>
              </w:rPr>
              <w:t>2.5</w:t>
            </w:r>
            <w:r>
              <w:rPr>
                <w:rFonts w:hint="eastAsia" w:ascii="Times New Roman" w:hAnsi="Times New Roman" w:cs="Times New Roman"/>
                <w:b w:val="0"/>
                <w:bCs w:val="0"/>
                <w:color w:val="auto"/>
                <w:kern w:val="2"/>
                <w:sz w:val="21"/>
                <w:szCs w:val="24"/>
                <w:lang w:val="en-US" w:eastAsia="zh-CN" w:bidi="ar-SA"/>
              </w:rPr>
              <w:t>年平均质量浓度、</w:t>
            </w:r>
            <w:r>
              <w:rPr>
                <w:rFonts w:hint="default" w:ascii="Times New Roman" w:hAnsi="Times New Roman" w:eastAsia="宋体" w:cs="Times New Roman"/>
                <w:b w:val="0"/>
                <w:bCs w:val="0"/>
                <w:color w:val="auto"/>
                <w:kern w:val="2"/>
                <w:sz w:val="21"/>
                <w:szCs w:val="24"/>
                <w:lang w:val="en-US" w:eastAsia="zh-CN" w:bidi="ar-SA"/>
              </w:rPr>
              <w:t>CO日平均质量浓度</w:t>
            </w:r>
            <w:r>
              <w:rPr>
                <w:rFonts w:hint="eastAsia" w:ascii="Times New Roman" w:hAnsi="Times New Roman" w:eastAsia="宋体" w:cs="Times New Roman"/>
                <w:b w:val="0"/>
                <w:bCs w:val="0"/>
                <w:color w:val="auto"/>
                <w:kern w:val="2"/>
                <w:sz w:val="21"/>
                <w:szCs w:val="24"/>
                <w:lang w:val="en-US" w:eastAsia="zh-CN" w:bidi="ar-SA"/>
              </w:rPr>
              <w:t>及</w:t>
            </w:r>
            <w:r>
              <w:rPr>
                <w:rFonts w:hint="default" w:ascii="Times New Roman" w:hAnsi="Times New Roman" w:eastAsia="宋体" w:cs="Times New Roman"/>
                <w:b w:val="0"/>
                <w:bCs w:val="0"/>
                <w:color w:val="auto"/>
                <w:kern w:val="2"/>
                <w:sz w:val="21"/>
                <w:szCs w:val="24"/>
                <w:lang w:val="en-US" w:eastAsia="zh-CN" w:bidi="ar-SA"/>
              </w:rPr>
              <w:t>O</w:t>
            </w:r>
            <w:r>
              <w:rPr>
                <w:rFonts w:hint="default" w:ascii="Times New Roman" w:hAnsi="Times New Roman" w:eastAsia="宋体" w:cs="Times New Roman"/>
                <w:b w:val="0"/>
                <w:bCs w:val="0"/>
                <w:color w:val="auto"/>
                <w:kern w:val="2"/>
                <w:sz w:val="21"/>
                <w:szCs w:val="24"/>
                <w:vertAlign w:val="subscript"/>
                <w:lang w:val="en-US" w:eastAsia="zh-CN" w:bidi="ar-SA"/>
              </w:rPr>
              <w:t>3</w:t>
            </w:r>
            <w:r>
              <w:rPr>
                <w:rFonts w:hint="default" w:ascii="Times New Roman" w:hAnsi="Times New Roman" w:eastAsia="宋体" w:cs="Times New Roman"/>
                <w:b w:val="0"/>
                <w:bCs w:val="0"/>
                <w:color w:val="auto"/>
                <w:kern w:val="2"/>
                <w:sz w:val="21"/>
                <w:szCs w:val="24"/>
                <w:lang w:val="en-US" w:eastAsia="zh-CN" w:bidi="ar-SA"/>
              </w:rPr>
              <w:t>日最大8小时</w:t>
            </w:r>
            <w:r>
              <w:rPr>
                <w:rFonts w:hint="eastAsia" w:ascii="Times New Roman" w:hAnsi="Times New Roman" w:cs="Times New Roman"/>
                <w:b w:val="0"/>
                <w:bCs w:val="0"/>
                <w:color w:val="auto"/>
                <w:kern w:val="2"/>
                <w:sz w:val="21"/>
                <w:szCs w:val="24"/>
                <w:lang w:val="en-US" w:eastAsia="zh-CN" w:bidi="ar-SA"/>
              </w:rPr>
              <w:t>平均</w:t>
            </w:r>
            <w:r>
              <w:rPr>
                <w:rFonts w:hint="default" w:ascii="Times New Roman" w:hAnsi="Times New Roman" w:eastAsia="宋体" w:cs="Times New Roman"/>
                <w:b w:val="0"/>
                <w:bCs w:val="0"/>
                <w:color w:val="auto"/>
                <w:kern w:val="2"/>
                <w:sz w:val="21"/>
                <w:szCs w:val="24"/>
                <w:lang w:val="en-US" w:eastAsia="zh-CN" w:bidi="ar-SA"/>
              </w:rPr>
              <w:t>质量浓度均达到</w:t>
            </w:r>
            <w:r>
              <w:rPr>
                <w:rFonts w:hint="eastAsia" w:ascii="Times New Roman" w:hAnsi="Times New Roman" w:cs="Times New Roman"/>
                <w:b w:val="0"/>
                <w:bCs w:val="0"/>
                <w:color w:val="auto"/>
                <w:kern w:val="2"/>
                <w:sz w:val="21"/>
                <w:szCs w:val="24"/>
                <w:lang w:val="en-US" w:eastAsia="zh-CN" w:bidi="ar-SA"/>
              </w:rPr>
              <w:t>《环境空气质量标准》（GB3095-2026）</w:t>
            </w:r>
            <w:r>
              <w:rPr>
                <w:rFonts w:hint="default" w:ascii="Times New Roman" w:hAnsi="Times New Roman" w:eastAsia="宋体" w:cs="Times New Roman"/>
                <w:b w:val="0"/>
                <w:bCs w:val="0"/>
                <w:color w:val="auto"/>
                <w:kern w:val="2"/>
                <w:sz w:val="21"/>
                <w:szCs w:val="24"/>
                <w:lang w:val="en-US" w:eastAsia="zh-CN" w:bidi="ar-SA"/>
              </w:rPr>
              <w:t>二级标准，</w:t>
            </w:r>
            <w:r>
              <w:rPr>
                <w:rFonts w:hint="default" w:ascii="Times New Roman" w:hAnsi="Times New Roman" w:eastAsia="宋体" w:cs="Times New Roman"/>
                <w:b w:val="0"/>
                <w:bCs w:val="0"/>
                <w:color w:val="auto"/>
                <w:kern w:val="2"/>
                <w:sz w:val="21"/>
                <w:szCs w:val="24"/>
                <w:lang w:val="en-US" w:eastAsia="zh-CN" w:bidi="ar-SA"/>
              </w:rPr>
              <w:t>根据《环境影响评价技术导则大气环境》（HJ2.2-2018）6.4.1.1判定，评价区属于达标区。</w:t>
            </w:r>
          </w:p>
          <w:p w14:paraId="36513AAE">
            <w:pPr>
              <w:pStyle w:val="3"/>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jc w:val="left"/>
              <w:textAlignment w:val="auto"/>
              <w:rPr>
                <w:rFonts w:hint="eastAsia" w:ascii="Times New Roman" w:hAnsi="Times New Roman" w:eastAsia="宋体" w:cs="Times New Roman"/>
                <w:b w:val="0"/>
                <w:bCs w:val="0"/>
                <w:color w:val="auto"/>
                <w:kern w:val="2"/>
                <w:sz w:val="21"/>
                <w:szCs w:val="24"/>
                <w:lang w:val="en-US" w:eastAsia="zh-CN" w:bidi="ar-SA"/>
              </w:rPr>
            </w:pPr>
            <w:r>
              <w:rPr>
                <w:rFonts w:hint="eastAsia" w:ascii="Times New Roman" w:hAnsi="Times New Roman" w:cs="Times New Roman"/>
                <w:b w:val="0"/>
                <w:bCs w:val="0"/>
                <w:color w:val="auto"/>
                <w:kern w:val="2"/>
                <w:sz w:val="21"/>
                <w:szCs w:val="24"/>
                <w:lang w:val="en-US" w:eastAsia="zh-CN" w:bidi="ar-SA"/>
              </w:rPr>
              <w:t>江苏宏钢再生资源有限公司</w:t>
            </w:r>
            <w:r>
              <w:rPr>
                <w:rFonts w:hint="eastAsia" w:ascii="Times New Roman" w:hAnsi="Times New Roman" w:eastAsia="宋体" w:cs="Times New Roman"/>
                <w:b w:val="0"/>
                <w:bCs w:val="0"/>
                <w:color w:val="auto"/>
                <w:kern w:val="2"/>
                <w:sz w:val="21"/>
                <w:szCs w:val="24"/>
                <w:lang w:val="en-US" w:eastAsia="zh-CN" w:bidi="ar-SA"/>
              </w:rPr>
              <w:t>距离本项目</w:t>
            </w:r>
            <w:r>
              <w:rPr>
                <w:rFonts w:hint="eastAsia" w:ascii="Times New Roman" w:hAnsi="Times New Roman" w:cs="Times New Roman"/>
                <w:b w:val="0"/>
                <w:bCs w:val="0"/>
                <w:color w:val="auto"/>
                <w:kern w:val="2"/>
                <w:sz w:val="21"/>
                <w:szCs w:val="24"/>
                <w:lang w:val="en-US" w:eastAsia="zh-CN" w:bidi="ar-SA"/>
              </w:rPr>
              <w:t>1.5km</w:t>
            </w:r>
            <w:r>
              <w:rPr>
                <w:rFonts w:hint="eastAsia" w:ascii="Times New Roman" w:hAnsi="Times New Roman" w:eastAsia="宋体" w:cs="Times New Roman"/>
                <w:b w:val="0"/>
                <w:bCs w:val="0"/>
                <w:color w:val="auto"/>
                <w:kern w:val="2"/>
                <w:sz w:val="21"/>
                <w:szCs w:val="24"/>
                <w:lang w:val="en-US" w:eastAsia="zh-CN" w:bidi="ar-SA"/>
              </w:rPr>
              <w:t>，本项目</w:t>
            </w:r>
            <w:r>
              <w:rPr>
                <w:rFonts w:hint="eastAsia" w:ascii="Times New Roman" w:hAnsi="Times New Roman" w:cs="Times New Roman"/>
                <w:b w:val="0"/>
                <w:bCs w:val="0"/>
                <w:color w:val="auto"/>
                <w:kern w:val="2"/>
                <w:sz w:val="21"/>
                <w:szCs w:val="24"/>
                <w:lang w:val="en-US" w:eastAsia="zh-CN" w:bidi="ar-SA"/>
              </w:rPr>
              <w:t>TSP</w:t>
            </w:r>
            <w:r>
              <w:rPr>
                <w:rFonts w:hint="eastAsia" w:ascii="Times New Roman" w:hAnsi="Times New Roman" w:eastAsia="宋体" w:cs="Times New Roman"/>
                <w:b w:val="0"/>
                <w:bCs w:val="0"/>
                <w:color w:val="auto"/>
                <w:kern w:val="2"/>
                <w:sz w:val="21"/>
                <w:szCs w:val="24"/>
                <w:lang w:val="en-US" w:eastAsia="zh-CN" w:bidi="ar-SA"/>
              </w:rPr>
              <w:t>引用</w:t>
            </w:r>
            <w:r>
              <w:rPr>
                <w:rFonts w:hint="eastAsia" w:ascii="Times New Roman" w:hAnsi="Times New Roman" w:cs="Times New Roman"/>
                <w:b w:val="0"/>
                <w:bCs w:val="0"/>
                <w:color w:val="auto"/>
                <w:kern w:val="2"/>
                <w:sz w:val="21"/>
                <w:szCs w:val="24"/>
                <w:lang w:val="en-US" w:eastAsia="zh-CN" w:bidi="ar-SA"/>
              </w:rPr>
              <w:t>江苏华睿巨辉环境检测有限公司</w:t>
            </w:r>
            <w:r>
              <w:rPr>
                <w:rFonts w:hint="default" w:ascii="Times New Roman" w:hAnsi="Times New Roman" w:eastAsia="宋体" w:cs="Times New Roman"/>
                <w:b w:val="0"/>
                <w:bCs w:val="0"/>
                <w:color w:val="auto"/>
                <w:kern w:val="2"/>
                <w:sz w:val="21"/>
                <w:szCs w:val="24"/>
                <w:lang w:val="en-US" w:eastAsia="zh-CN" w:bidi="ar-SA"/>
              </w:rPr>
              <w:t>20</w:t>
            </w:r>
            <w:r>
              <w:rPr>
                <w:rFonts w:hint="eastAsia" w:ascii="Times New Roman" w:hAnsi="Times New Roman" w:eastAsia="宋体" w:cs="Times New Roman"/>
                <w:b w:val="0"/>
                <w:bCs w:val="0"/>
                <w:color w:val="auto"/>
                <w:kern w:val="2"/>
                <w:sz w:val="21"/>
                <w:szCs w:val="24"/>
                <w:lang w:val="en-US" w:eastAsia="zh-CN" w:bidi="ar-SA"/>
              </w:rPr>
              <w:t>2</w:t>
            </w:r>
            <w:r>
              <w:rPr>
                <w:rFonts w:hint="eastAsia" w:ascii="Times New Roman" w:hAnsi="Times New Roman" w:cs="Times New Roman"/>
                <w:b w:val="0"/>
                <w:bCs w:val="0"/>
                <w:color w:val="auto"/>
                <w:kern w:val="2"/>
                <w:sz w:val="21"/>
                <w:szCs w:val="24"/>
                <w:lang w:val="en-US" w:eastAsia="zh-CN" w:bidi="ar-SA"/>
              </w:rPr>
              <w:t>4</w:t>
            </w:r>
            <w:r>
              <w:rPr>
                <w:rFonts w:hint="default" w:ascii="Times New Roman" w:hAnsi="Times New Roman" w:eastAsia="宋体" w:cs="Times New Roman"/>
                <w:b w:val="0"/>
                <w:bCs w:val="0"/>
                <w:color w:val="auto"/>
                <w:kern w:val="2"/>
                <w:sz w:val="21"/>
                <w:szCs w:val="24"/>
                <w:lang w:val="en-US" w:eastAsia="zh-CN" w:bidi="ar-SA"/>
              </w:rPr>
              <w:t>年</w:t>
            </w:r>
            <w:r>
              <w:rPr>
                <w:rFonts w:hint="eastAsia" w:ascii="Times New Roman" w:hAnsi="Times New Roman" w:cs="Times New Roman"/>
                <w:b w:val="0"/>
                <w:bCs w:val="0"/>
                <w:color w:val="auto"/>
                <w:kern w:val="2"/>
                <w:sz w:val="21"/>
                <w:szCs w:val="24"/>
                <w:lang w:val="en-US" w:eastAsia="zh-CN" w:bidi="ar-SA"/>
              </w:rPr>
              <w:t>5</w:t>
            </w:r>
            <w:r>
              <w:rPr>
                <w:rFonts w:hint="default" w:ascii="Times New Roman" w:hAnsi="Times New Roman" w:eastAsia="宋体" w:cs="Times New Roman"/>
                <w:b w:val="0"/>
                <w:bCs w:val="0"/>
                <w:color w:val="auto"/>
                <w:kern w:val="2"/>
                <w:sz w:val="21"/>
                <w:szCs w:val="24"/>
                <w:lang w:val="en-US" w:eastAsia="zh-CN" w:bidi="ar-SA"/>
              </w:rPr>
              <w:t>月</w:t>
            </w:r>
            <w:r>
              <w:rPr>
                <w:rFonts w:hint="eastAsia" w:ascii="Times New Roman" w:hAnsi="Times New Roman" w:cs="Times New Roman"/>
                <w:b w:val="0"/>
                <w:bCs w:val="0"/>
                <w:color w:val="auto"/>
                <w:kern w:val="2"/>
                <w:sz w:val="21"/>
                <w:szCs w:val="24"/>
                <w:lang w:val="en-US" w:eastAsia="zh-CN" w:bidi="ar-SA"/>
              </w:rPr>
              <w:t>13</w:t>
            </w:r>
            <w:r>
              <w:rPr>
                <w:rFonts w:hint="eastAsia" w:ascii="Times New Roman" w:hAnsi="Times New Roman" w:eastAsia="宋体" w:cs="Times New Roman"/>
                <w:b w:val="0"/>
                <w:bCs w:val="0"/>
                <w:color w:val="auto"/>
                <w:kern w:val="2"/>
                <w:sz w:val="21"/>
                <w:szCs w:val="24"/>
                <w:lang w:val="en-US" w:eastAsia="zh-CN" w:bidi="ar-SA"/>
              </w:rPr>
              <w:t>-</w:t>
            </w:r>
            <w:r>
              <w:rPr>
                <w:rFonts w:hint="eastAsia" w:ascii="Times New Roman" w:hAnsi="Times New Roman" w:cs="Times New Roman"/>
                <w:b w:val="0"/>
                <w:bCs w:val="0"/>
                <w:color w:val="auto"/>
                <w:kern w:val="2"/>
                <w:sz w:val="21"/>
                <w:szCs w:val="24"/>
                <w:lang w:val="en-US" w:eastAsia="zh-CN" w:bidi="ar-SA"/>
              </w:rPr>
              <w:t>20</w:t>
            </w:r>
            <w:r>
              <w:rPr>
                <w:rFonts w:hint="eastAsia" w:ascii="Times New Roman" w:hAnsi="Times New Roman" w:eastAsia="宋体" w:cs="Times New Roman"/>
                <w:b w:val="0"/>
                <w:bCs w:val="0"/>
                <w:color w:val="auto"/>
                <w:kern w:val="2"/>
                <w:sz w:val="21"/>
                <w:szCs w:val="24"/>
                <w:lang w:val="en-US" w:eastAsia="zh-CN" w:bidi="ar-SA"/>
              </w:rPr>
              <w:t>日</w:t>
            </w:r>
            <w:r>
              <w:rPr>
                <w:rFonts w:hint="default" w:ascii="Times New Roman" w:hAnsi="Times New Roman" w:eastAsia="宋体" w:cs="Times New Roman"/>
                <w:b w:val="0"/>
                <w:bCs w:val="0"/>
                <w:color w:val="auto"/>
                <w:kern w:val="2"/>
                <w:sz w:val="21"/>
                <w:szCs w:val="24"/>
                <w:lang w:val="en-US" w:eastAsia="zh-CN" w:bidi="ar-SA"/>
              </w:rPr>
              <w:t>对</w:t>
            </w:r>
            <w:r>
              <w:rPr>
                <w:rFonts w:hint="eastAsia" w:ascii="Times New Roman" w:hAnsi="Times New Roman" w:cs="Times New Roman"/>
                <w:b w:val="0"/>
                <w:bCs w:val="0"/>
                <w:color w:val="auto"/>
                <w:kern w:val="2"/>
                <w:sz w:val="21"/>
                <w:szCs w:val="24"/>
                <w:lang w:val="en-US" w:eastAsia="zh-CN" w:bidi="ar-SA"/>
              </w:rPr>
              <w:t>江苏宏钢再生资源有限公司所在地</w:t>
            </w:r>
            <w:r>
              <w:rPr>
                <w:rFonts w:hint="eastAsia" w:ascii="Times New Roman" w:hAnsi="Times New Roman" w:eastAsia="宋体" w:cs="Times New Roman"/>
                <w:b w:val="0"/>
                <w:bCs w:val="0"/>
                <w:color w:val="auto"/>
                <w:kern w:val="2"/>
                <w:sz w:val="21"/>
                <w:szCs w:val="24"/>
                <w:lang w:val="en-US" w:eastAsia="zh-CN" w:bidi="ar-SA"/>
              </w:rPr>
              <w:t>监测数据（监测报告：</w:t>
            </w:r>
            <w:r>
              <w:rPr>
                <w:rFonts w:hint="eastAsia" w:ascii="Times New Roman" w:hAnsi="Times New Roman" w:cs="Times New Roman"/>
                <w:b w:val="0"/>
                <w:bCs w:val="0"/>
                <w:color w:val="auto"/>
                <w:kern w:val="2"/>
                <w:sz w:val="21"/>
                <w:szCs w:val="24"/>
                <w:lang w:val="en-US" w:eastAsia="zh-CN" w:bidi="ar-SA"/>
              </w:rPr>
              <w:t>HR24050614</w:t>
            </w:r>
            <w:r>
              <w:rPr>
                <w:rFonts w:hint="eastAsia" w:ascii="Times New Roman" w:hAnsi="Times New Roman" w:eastAsia="宋体" w:cs="Times New Roman"/>
                <w:b w:val="0"/>
                <w:bCs w:val="0"/>
                <w:color w:val="auto"/>
                <w:kern w:val="2"/>
                <w:sz w:val="21"/>
                <w:szCs w:val="24"/>
                <w:lang w:val="en-US" w:eastAsia="zh-CN" w:bidi="ar-SA"/>
              </w:rPr>
              <w:t>号），监测结果见表3-2。</w:t>
            </w:r>
          </w:p>
          <w:p w14:paraId="5F8A7329">
            <w:pPr>
              <w:spacing w:line="360" w:lineRule="auto"/>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eastAsia="zh-CN"/>
              </w:rPr>
              <w:t>表</w:t>
            </w:r>
            <w:r>
              <w:rPr>
                <w:rFonts w:hint="eastAsia" w:ascii="Times New Roman" w:hAnsi="Times New Roman" w:eastAsia="宋体" w:cs="Times New Roman"/>
                <w:b/>
                <w:bCs/>
                <w:color w:val="auto"/>
                <w:szCs w:val="21"/>
                <w:lang w:val="en-US" w:eastAsia="zh-CN"/>
              </w:rPr>
              <w:t>3-2 建设项目周边五千米范围内</w:t>
            </w:r>
            <w:r>
              <w:rPr>
                <w:rFonts w:hint="eastAsia" w:ascii="Times New Roman" w:hAnsi="Times New Roman" w:cs="Times New Roman"/>
                <w:b/>
                <w:bCs/>
                <w:color w:val="auto"/>
                <w:szCs w:val="21"/>
                <w:lang w:val="en-US" w:eastAsia="zh-CN"/>
              </w:rPr>
              <w:t>TSP</w:t>
            </w:r>
            <w:r>
              <w:rPr>
                <w:rFonts w:hint="eastAsia" w:ascii="Times New Roman" w:hAnsi="Times New Roman" w:eastAsia="宋体" w:cs="Times New Roman"/>
                <w:b/>
                <w:bCs/>
                <w:color w:val="auto"/>
                <w:szCs w:val="21"/>
                <w:lang w:val="en-US" w:eastAsia="zh-CN"/>
              </w:rPr>
              <w:t>监测数据</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70"/>
              <w:gridCol w:w="1594"/>
              <w:gridCol w:w="1105"/>
              <w:gridCol w:w="1168"/>
              <w:gridCol w:w="1061"/>
              <w:gridCol w:w="3"/>
              <w:gridCol w:w="931"/>
              <w:gridCol w:w="4"/>
            </w:tblGrid>
            <w:tr w14:paraId="4FC23F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1439" w:type="pct"/>
                  <w:tcBorders>
                    <w:tl2br w:val="nil"/>
                    <w:tr2bl w:val="nil"/>
                  </w:tcBorders>
                  <w:noWrap w:val="0"/>
                  <w:tcMar>
                    <w:top w:w="0" w:type="dxa"/>
                    <w:left w:w="0" w:type="dxa"/>
                    <w:bottom w:w="0" w:type="dxa"/>
                    <w:right w:w="0" w:type="dxa"/>
                  </w:tcMar>
                  <w:vAlign w:val="center"/>
                </w:tcPr>
                <w:p w14:paraId="0B5F0596">
                  <w:pPr>
                    <w:jc w:val="center"/>
                    <w:rPr>
                      <w:rFonts w:hint="eastAsia" w:ascii="Times New Roman" w:hAnsi="Times New Roman" w:eastAsia="宋体"/>
                      <w:b/>
                      <w:bCs/>
                      <w:color w:val="auto"/>
                      <w:sz w:val="18"/>
                      <w:szCs w:val="18"/>
                      <w:lang w:eastAsia="zh-CN"/>
                    </w:rPr>
                  </w:pPr>
                  <w:r>
                    <w:rPr>
                      <w:rFonts w:ascii="Times New Roman" w:hAnsi="Times New Roman" w:eastAsia="Times New Roman"/>
                      <w:b/>
                      <w:bCs/>
                      <w:color w:val="auto"/>
                      <w:sz w:val="18"/>
                      <w:szCs w:val="18"/>
                    </w:rPr>
                    <w:t>采样</w:t>
                  </w:r>
                  <w:r>
                    <w:rPr>
                      <w:rFonts w:hint="eastAsia" w:ascii="Times New Roman" w:hAnsi="Times New Roman" w:eastAsia="宋体"/>
                      <w:b/>
                      <w:bCs/>
                      <w:color w:val="auto"/>
                      <w:sz w:val="18"/>
                      <w:szCs w:val="18"/>
                      <w:lang w:val="en-US" w:eastAsia="zh-CN"/>
                    </w:rPr>
                    <w:t>日期</w:t>
                  </w:r>
                </w:p>
              </w:tc>
              <w:tc>
                <w:tcPr>
                  <w:tcW w:w="968" w:type="pct"/>
                  <w:tcBorders>
                    <w:tl2br w:val="nil"/>
                    <w:tr2bl w:val="nil"/>
                  </w:tcBorders>
                  <w:noWrap w:val="0"/>
                  <w:tcMar>
                    <w:top w:w="0" w:type="dxa"/>
                    <w:left w:w="0" w:type="dxa"/>
                    <w:bottom w:w="0" w:type="dxa"/>
                    <w:right w:w="0" w:type="dxa"/>
                  </w:tcMar>
                  <w:vAlign w:val="center"/>
                </w:tcPr>
                <w:p w14:paraId="28D48E70">
                  <w:pPr>
                    <w:jc w:val="center"/>
                    <w:rPr>
                      <w:rFonts w:ascii="Times New Roman" w:hAnsi="Times New Roman" w:eastAsia="Times New Roman"/>
                      <w:b/>
                      <w:bCs/>
                      <w:color w:val="auto"/>
                      <w:sz w:val="18"/>
                      <w:szCs w:val="18"/>
                    </w:rPr>
                  </w:pPr>
                  <w:r>
                    <w:rPr>
                      <w:rFonts w:ascii="Times New Roman" w:hAnsi="Times New Roman" w:eastAsia="Times New Roman"/>
                      <w:b/>
                      <w:bCs/>
                      <w:color w:val="auto"/>
                      <w:sz w:val="18"/>
                      <w:szCs w:val="18"/>
                    </w:rPr>
                    <w:t>检测项目</w:t>
                  </w:r>
                </w:p>
              </w:tc>
              <w:tc>
                <w:tcPr>
                  <w:tcW w:w="671" w:type="pct"/>
                  <w:tcBorders>
                    <w:tl2br w:val="nil"/>
                    <w:tr2bl w:val="nil"/>
                  </w:tcBorders>
                  <w:noWrap w:val="0"/>
                  <w:tcMar>
                    <w:top w:w="0" w:type="dxa"/>
                    <w:left w:w="0" w:type="dxa"/>
                    <w:bottom w:w="0" w:type="dxa"/>
                    <w:right w:w="0" w:type="dxa"/>
                  </w:tcMar>
                  <w:vAlign w:val="center"/>
                </w:tcPr>
                <w:p w14:paraId="7FCE40A7">
                  <w:pPr>
                    <w:jc w:val="center"/>
                    <w:rPr>
                      <w:rFonts w:ascii="Times New Roman" w:hAnsi="Times New Roman" w:eastAsia="Times New Roman"/>
                      <w:b/>
                      <w:bCs/>
                      <w:color w:val="auto"/>
                      <w:sz w:val="18"/>
                      <w:szCs w:val="18"/>
                    </w:rPr>
                  </w:pPr>
                  <w:r>
                    <w:rPr>
                      <w:rFonts w:ascii="Times New Roman" w:hAnsi="Times New Roman" w:eastAsia="Times New Roman"/>
                      <w:b/>
                      <w:bCs/>
                      <w:color w:val="auto"/>
                      <w:sz w:val="18"/>
                      <w:szCs w:val="18"/>
                    </w:rPr>
                    <w:t>采样点位</w:t>
                  </w:r>
                </w:p>
              </w:tc>
              <w:tc>
                <w:tcPr>
                  <w:tcW w:w="709" w:type="pct"/>
                  <w:tcBorders>
                    <w:tl2br w:val="nil"/>
                    <w:tr2bl w:val="nil"/>
                  </w:tcBorders>
                  <w:noWrap w:val="0"/>
                  <w:tcMar>
                    <w:top w:w="0" w:type="dxa"/>
                    <w:left w:w="0" w:type="dxa"/>
                    <w:bottom w:w="0" w:type="dxa"/>
                    <w:right w:w="0" w:type="dxa"/>
                  </w:tcMar>
                  <w:vAlign w:val="center"/>
                </w:tcPr>
                <w:p w14:paraId="55EE364F">
                  <w:pPr>
                    <w:jc w:val="center"/>
                    <w:rPr>
                      <w:rFonts w:ascii="Times New Roman" w:hAnsi="Times New Roman" w:eastAsia="Times New Roman"/>
                      <w:b/>
                      <w:bCs/>
                      <w:color w:val="auto"/>
                      <w:sz w:val="18"/>
                      <w:szCs w:val="18"/>
                    </w:rPr>
                  </w:pPr>
                  <w:r>
                    <w:rPr>
                      <w:rFonts w:ascii="Times New Roman" w:hAnsi="Times New Roman" w:eastAsia="Times New Roman"/>
                      <w:b/>
                      <w:bCs/>
                      <w:color w:val="auto"/>
                      <w:sz w:val="18"/>
                      <w:szCs w:val="18"/>
                    </w:rPr>
                    <w:t>浓度</w:t>
                  </w:r>
                </w:p>
              </w:tc>
              <w:tc>
                <w:tcPr>
                  <w:tcW w:w="646" w:type="pct"/>
                  <w:gridSpan w:val="2"/>
                  <w:tcBorders>
                    <w:tl2br w:val="nil"/>
                    <w:tr2bl w:val="nil"/>
                  </w:tcBorders>
                  <w:noWrap w:val="0"/>
                  <w:tcMar>
                    <w:top w:w="0" w:type="dxa"/>
                    <w:left w:w="0" w:type="dxa"/>
                    <w:bottom w:w="0" w:type="dxa"/>
                    <w:right w:w="0" w:type="dxa"/>
                  </w:tcMar>
                  <w:vAlign w:val="center"/>
                </w:tcPr>
                <w:p w14:paraId="043CE3C5">
                  <w:pPr>
                    <w:jc w:val="center"/>
                    <w:rPr>
                      <w:rFonts w:ascii="Times New Roman" w:hAnsi="Times New Roman" w:eastAsia="Times New Roman"/>
                      <w:b/>
                      <w:bCs/>
                      <w:color w:val="auto"/>
                      <w:sz w:val="18"/>
                      <w:szCs w:val="18"/>
                    </w:rPr>
                  </w:pPr>
                  <w:r>
                    <w:rPr>
                      <w:rFonts w:ascii="Times New Roman" w:hAnsi="Times New Roman" w:eastAsia="Times New Roman"/>
                      <w:b/>
                      <w:bCs/>
                      <w:color w:val="auto"/>
                      <w:sz w:val="18"/>
                      <w:szCs w:val="18"/>
                    </w:rPr>
                    <w:t>标准限值</w:t>
                  </w:r>
                </w:p>
              </w:tc>
              <w:tc>
                <w:tcPr>
                  <w:tcW w:w="563" w:type="pct"/>
                  <w:gridSpan w:val="2"/>
                  <w:tcBorders>
                    <w:tl2br w:val="nil"/>
                    <w:tr2bl w:val="nil"/>
                  </w:tcBorders>
                  <w:noWrap w:val="0"/>
                  <w:tcMar>
                    <w:top w:w="0" w:type="dxa"/>
                    <w:left w:w="0" w:type="dxa"/>
                    <w:bottom w:w="0" w:type="dxa"/>
                    <w:right w:w="0" w:type="dxa"/>
                  </w:tcMar>
                  <w:vAlign w:val="center"/>
                </w:tcPr>
                <w:p w14:paraId="0C33D8F9">
                  <w:pPr>
                    <w:jc w:val="center"/>
                    <w:rPr>
                      <w:rFonts w:ascii="Times New Roman" w:hAnsi="Times New Roman" w:eastAsia="Times New Roman"/>
                      <w:b/>
                      <w:bCs/>
                      <w:color w:val="auto"/>
                      <w:sz w:val="18"/>
                      <w:szCs w:val="18"/>
                    </w:rPr>
                  </w:pPr>
                  <w:r>
                    <w:rPr>
                      <w:rFonts w:ascii="Times New Roman" w:hAnsi="Times New Roman" w:eastAsia="Times New Roman"/>
                      <w:b/>
                      <w:bCs/>
                      <w:color w:val="auto"/>
                      <w:sz w:val="18"/>
                      <w:szCs w:val="18"/>
                    </w:rPr>
                    <w:t>评价</w:t>
                  </w:r>
                </w:p>
              </w:tc>
            </w:tr>
            <w:tr w14:paraId="159C6F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80" w:hRule="atLeast"/>
                <w:jc w:val="center"/>
              </w:trPr>
              <w:tc>
                <w:tcPr>
                  <w:tcW w:w="1439" w:type="pct"/>
                  <w:tcBorders>
                    <w:tl2br w:val="nil"/>
                    <w:tr2bl w:val="nil"/>
                  </w:tcBorders>
                  <w:noWrap w:val="0"/>
                  <w:tcMar>
                    <w:top w:w="0" w:type="dxa"/>
                    <w:left w:w="0" w:type="dxa"/>
                    <w:bottom w:w="0" w:type="dxa"/>
                    <w:right w:w="0" w:type="dxa"/>
                  </w:tcMar>
                  <w:vAlign w:val="center"/>
                </w:tcPr>
                <w:p w14:paraId="1DEB9C02">
                  <w:pPr>
                    <w:jc w:val="center"/>
                    <w:rPr>
                      <w:rFonts w:hint="default" w:ascii="Times New Roman" w:hAnsi="Times New Roman" w:eastAsia="Times New Roman"/>
                      <w:color w:val="auto"/>
                      <w:sz w:val="18"/>
                      <w:szCs w:val="18"/>
                      <w:lang w:val="en-US" w:eastAsia="zh-CN"/>
                    </w:rPr>
                  </w:pPr>
                  <w:r>
                    <w:rPr>
                      <w:rFonts w:hint="eastAsia" w:ascii="Times New Roman" w:hAnsi="Times New Roman" w:eastAsia="Times New Roman"/>
                      <w:color w:val="auto"/>
                      <w:sz w:val="18"/>
                      <w:szCs w:val="18"/>
                      <w:lang w:val="en-US" w:eastAsia="zh-CN"/>
                    </w:rPr>
                    <w:t>2024.5.13~2024.5.14</w:t>
                  </w:r>
                </w:p>
              </w:tc>
              <w:tc>
                <w:tcPr>
                  <w:tcW w:w="968" w:type="pct"/>
                  <w:vMerge w:val="restart"/>
                  <w:tcBorders>
                    <w:tl2br w:val="nil"/>
                    <w:tr2bl w:val="nil"/>
                  </w:tcBorders>
                  <w:noWrap w:val="0"/>
                  <w:tcMar>
                    <w:top w:w="0" w:type="dxa"/>
                    <w:left w:w="0" w:type="dxa"/>
                    <w:bottom w:w="0" w:type="dxa"/>
                    <w:right w:w="0" w:type="dxa"/>
                  </w:tcMar>
                  <w:vAlign w:val="center"/>
                </w:tcPr>
                <w:p w14:paraId="0AAFF783">
                  <w:pPr>
                    <w:spacing w:line="240" w:lineRule="exact"/>
                    <w:jc w:val="center"/>
                    <w:rPr>
                      <w:rFonts w:hint="eastAsia" w:ascii="Times New Roman" w:hAnsi="Times New Roman" w:eastAsia="Times New Roman"/>
                      <w:color w:val="auto"/>
                      <w:sz w:val="18"/>
                      <w:szCs w:val="18"/>
                      <w:lang w:val="en-US" w:eastAsia="zh-CN"/>
                    </w:rPr>
                  </w:pPr>
                  <w:r>
                    <w:rPr>
                      <w:rFonts w:hint="eastAsia" w:ascii="Times New Roman" w:hAnsi="Times New Roman" w:eastAsia="Times New Roman"/>
                      <w:color w:val="auto"/>
                      <w:sz w:val="18"/>
                      <w:szCs w:val="18"/>
                      <w:lang w:val="en-US" w:eastAsia="zh-CN"/>
                    </w:rPr>
                    <w:t>TSP（</w:t>
                  </w:r>
                  <w:r>
                    <w:rPr>
                      <w:rFonts w:ascii="Times New Roman" w:hAnsi="Times New Roman" w:eastAsia="Times New Roman"/>
                      <w:color w:val="auto"/>
                      <w:sz w:val="18"/>
                      <w:szCs w:val="18"/>
                      <w:lang w:val="en-US" w:eastAsia="en-US"/>
                    </w:rPr>
                    <w:t>mg/m</w:t>
                  </w:r>
                  <w:r>
                    <w:rPr>
                      <w:rFonts w:ascii="Times New Roman" w:hAnsi="Times New Roman" w:eastAsia="Times New Roman"/>
                      <w:color w:val="auto"/>
                      <w:sz w:val="18"/>
                      <w:szCs w:val="18"/>
                      <w:vertAlign w:val="superscript"/>
                      <w:lang w:val="en-US" w:eastAsia="en-US"/>
                    </w:rPr>
                    <w:t>3</w:t>
                  </w:r>
                  <w:r>
                    <w:rPr>
                      <w:rFonts w:hint="eastAsia" w:ascii="Times New Roman" w:hAnsi="Times New Roman" w:eastAsia="Times New Roman"/>
                      <w:color w:val="auto"/>
                      <w:sz w:val="18"/>
                      <w:szCs w:val="18"/>
                      <w:lang w:val="en-US" w:eastAsia="zh-CN"/>
                    </w:rPr>
                    <w:t>）</w:t>
                  </w:r>
                </w:p>
              </w:tc>
              <w:tc>
                <w:tcPr>
                  <w:tcW w:w="671" w:type="pct"/>
                  <w:vMerge w:val="restart"/>
                  <w:tcBorders>
                    <w:tl2br w:val="nil"/>
                    <w:tr2bl w:val="nil"/>
                  </w:tcBorders>
                  <w:noWrap w:val="0"/>
                  <w:tcMar>
                    <w:top w:w="0" w:type="dxa"/>
                    <w:left w:w="0" w:type="dxa"/>
                    <w:bottom w:w="0" w:type="dxa"/>
                    <w:right w:w="0" w:type="dxa"/>
                  </w:tcMar>
                  <w:vAlign w:val="center"/>
                </w:tcPr>
                <w:p w14:paraId="428FD732">
                  <w:pPr>
                    <w:spacing w:line="240" w:lineRule="exact"/>
                    <w:jc w:val="center"/>
                    <w:rPr>
                      <w:rFonts w:hint="default" w:ascii="Times New Roman" w:hAnsi="Times New Roman" w:eastAsia="Times New Roman"/>
                      <w:color w:val="auto"/>
                      <w:sz w:val="18"/>
                      <w:szCs w:val="18"/>
                      <w:lang w:val="en-US" w:eastAsia="zh-CN"/>
                    </w:rPr>
                  </w:pPr>
                  <w:r>
                    <w:rPr>
                      <w:rFonts w:hint="eastAsia" w:ascii="Times New Roman" w:hAnsi="Times New Roman" w:eastAsia="Times New Roman"/>
                      <w:color w:val="auto"/>
                      <w:sz w:val="18"/>
                      <w:szCs w:val="18"/>
                      <w:lang w:val="en-US" w:eastAsia="zh-CN"/>
                    </w:rPr>
                    <w:t>项目所在地</w:t>
                  </w:r>
                </w:p>
              </w:tc>
              <w:tc>
                <w:tcPr>
                  <w:tcW w:w="709" w:type="pct"/>
                  <w:tcBorders>
                    <w:tl2br w:val="nil"/>
                    <w:tr2bl w:val="nil"/>
                  </w:tcBorders>
                  <w:noWrap w:val="0"/>
                  <w:tcMar>
                    <w:top w:w="0" w:type="dxa"/>
                    <w:left w:w="0" w:type="dxa"/>
                    <w:bottom w:w="0" w:type="dxa"/>
                    <w:right w:w="0" w:type="dxa"/>
                  </w:tcMar>
                  <w:vAlign w:val="center"/>
                </w:tcPr>
                <w:p w14:paraId="78E328C9">
                  <w:pPr>
                    <w:jc w:val="center"/>
                    <w:rPr>
                      <w:rFonts w:hint="default" w:ascii="Times New Roman" w:hAnsi="Times New Roman" w:eastAsia="Times New Roman"/>
                      <w:color w:val="auto"/>
                      <w:sz w:val="18"/>
                      <w:szCs w:val="18"/>
                      <w:lang w:val="en-US" w:eastAsia="zh-CN"/>
                    </w:rPr>
                  </w:pPr>
                  <w:r>
                    <w:rPr>
                      <w:rFonts w:hint="eastAsia" w:ascii="Times New Roman" w:hAnsi="Times New Roman" w:eastAsia="Times New Roman"/>
                      <w:color w:val="auto"/>
                      <w:sz w:val="18"/>
                      <w:szCs w:val="18"/>
                      <w:lang w:val="en-US" w:eastAsia="zh-CN"/>
                    </w:rPr>
                    <w:t>0.092</w:t>
                  </w:r>
                </w:p>
              </w:tc>
              <w:tc>
                <w:tcPr>
                  <w:tcW w:w="644" w:type="pct"/>
                  <w:vMerge w:val="restart"/>
                  <w:tcBorders>
                    <w:tl2br w:val="nil"/>
                    <w:tr2bl w:val="nil"/>
                  </w:tcBorders>
                  <w:noWrap w:val="0"/>
                  <w:tcMar>
                    <w:top w:w="0" w:type="dxa"/>
                    <w:left w:w="0" w:type="dxa"/>
                    <w:bottom w:w="0" w:type="dxa"/>
                    <w:right w:w="0" w:type="dxa"/>
                  </w:tcMar>
                  <w:vAlign w:val="center"/>
                </w:tcPr>
                <w:p w14:paraId="0C6C5D9F">
                  <w:pPr>
                    <w:spacing w:line="240" w:lineRule="exact"/>
                    <w:jc w:val="center"/>
                    <w:rPr>
                      <w:rFonts w:hint="default" w:ascii="Times New Roman" w:hAnsi="Times New Roman" w:eastAsia="Times New Roman"/>
                      <w:color w:val="auto"/>
                      <w:sz w:val="18"/>
                      <w:szCs w:val="18"/>
                      <w:lang w:val="en-US" w:eastAsia="zh-CN"/>
                    </w:rPr>
                  </w:pPr>
                  <w:r>
                    <w:rPr>
                      <w:rFonts w:hint="eastAsia" w:ascii="Times New Roman" w:hAnsi="Times New Roman" w:eastAsia="宋体"/>
                      <w:color w:val="auto"/>
                      <w:sz w:val="18"/>
                      <w:szCs w:val="18"/>
                      <w:lang w:val="en-US" w:eastAsia="zh-CN"/>
                    </w:rPr>
                    <w:t>0.3</w:t>
                  </w:r>
                  <w:r>
                    <w:rPr>
                      <w:rFonts w:hint="eastAsia" w:ascii="Times New Roman" w:hAnsi="Times New Roman" w:eastAsia="Times New Roman"/>
                      <w:color w:val="auto"/>
                      <w:sz w:val="18"/>
                      <w:szCs w:val="18"/>
                      <w:lang w:val="en-US" w:eastAsia="en-US"/>
                    </w:rPr>
                    <w:t>mg/m</w:t>
                  </w:r>
                  <w:r>
                    <w:rPr>
                      <w:rFonts w:hint="eastAsia" w:ascii="Times New Roman" w:hAnsi="Times New Roman" w:eastAsia="Times New Roman"/>
                      <w:color w:val="auto"/>
                      <w:sz w:val="18"/>
                      <w:szCs w:val="18"/>
                      <w:vertAlign w:val="superscript"/>
                      <w:lang w:val="en-US" w:eastAsia="en-US"/>
                    </w:rPr>
                    <w:t>3</w:t>
                  </w:r>
                </w:p>
              </w:tc>
              <w:tc>
                <w:tcPr>
                  <w:tcW w:w="563" w:type="pct"/>
                  <w:gridSpan w:val="2"/>
                  <w:tcBorders>
                    <w:tl2br w:val="nil"/>
                    <w:tr2bl w:val="nil"/>
                  </w:tcBorders>
                  <w:noWrap w:val="0"/>
                  <w:tcMar>
                    <w:top w:w="0" w:type="dxa"/>
                    <w:left w:w="0" w:type="dxa"/>
                    <w:bottom w:w="0" w:type="dxa"/>
                    <w:right w:w="0" w:type="dxa"/>
                  </w:tcMar>
                  <w:vAlign w:val="center"/>
                </w:tcPr>
                <w:p w14:paraId="2E923302">
                  <w:pPr>
                    <w:spacing w:line="240" w:lineRule="exact"/>
                    <w:jc w:val="center"/>
                    <w:rPr>
                      <w:rFonts w:hint="eastAsia" w:ascii="Times New Roman" w:hAnsi="Times New Roman" w:eastAsia="Times New Roman"/>
                      <w:color w:val="auto"/>
                      <w:sz w:val="18"/>
                      <w:szCs w:val="18"/>
                      <w:lang w:val="en-US" w:eastAsia="en-US"/>
                    </w:rPr>
                  </w:pPr>
                  <w:r>
                    <w:rPr>
                      <w:rFonts w:hint="eastAsia" w:ascii="Times New Roman" w:hAnsi="Times New Roman" w:eastAsia="Times New Roman"/>
                      <w:color w:val="auto"/>
                      <w:sz w:val="18"/>
                      <w:szCs w:val="18"/>
                      <w:lang w:val="en-US" w:eastAsia="en-US"/>
                    </w:rPr>
                    <w:t>达标</w:t>
                  </w:r>
                </w:p>
              </w:tc>
            </w:tr>
            <w:tr w14:paraId="68EFF7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61" w:hRule="atLeast"/>
                <w:jc w:val="center"/>
              </w:trPr>
              <w:tc>
                <w:tcPr>
                  <w:tcW w:w="1439" w:type="pct"/>
                  <w:tcBorders>
                    <w:tl2br w:val="nil"/>
                    <w:tr2bl w:val="nil"/>
                  </w:tcBorders>
                  <w:noWrap w:val="0"/>
                  <w:tcMar>
                    <w:top w:w="0" w:type="dxa"/>
                    <w:left w:w="0" w:type="dxa"/>
                    <w:bottom w:w="0" w:type="dxa"/>
                    <w:right w:w="0" w:type="dxa"/>
                  </w:tcMar>
                  <w:vAlign w:val="center"/>
                </w:tcPr>
                <w:p w14:paraId="6BC57000">
                  <w:pPr>
                    <w:spacing w:line="240" w:lineRule="exact"/>
                    <w:jc w:val="center"/>
                    <w:rPr>
                      <w:rFonts w:ascii="Times New Roman" w:hAnsi="Times New Roman" w:eastAsia="Times New Roman"/>
                      <w:color w:val="auto"/>
                      <w:sz w:val="18"/>
                      <w:szCs w:val="18"/>
                      <w:lang w:val="en-US" w:eastAsia="en-US"/>
                    </w:rPr>
                  </w:pPr>
                  <w:r>
                    <w:rPr>
                      <w:rFonts w:hint="eastAsia" w:ascii="Times New Roman" w:hAnsi="Times New Roman" w:eastAsia="Times New Roman"/>
                      <w:color w:val="auto"/>
                      <w:sz w:val="18"/>
                      <w:szCs w:val="18"/>
                      <w:lang w:val="en-US" w:eastAsia="zh-CN"/>
                    </w:rPr>
                    <w:t>2024.5.14~2024.5.15</w:t>
                  </w:r>
                </w:p>
              </w:tc>
              <w:tc>
                <w:tcPr>
                  <w:tcW w:w="968" w:type="pct"/>
                  <w:vMerge w:val="continue"/>
                  <w:tcBorders>
                    <w:tl2br w:val="nil"/>
                    <w:tr2bl w:val="nil"/>
                  </w:tcBorders>
                  <w:noWrap w:val="0"/>
                  <w:tcMar>
                    <w:top w:w="0" w:type="dxa"/>
                    <w:left w:w="0" w:type="dxa"/>
                    <w:bottom w:w="0" w:type="dxa"/>
                    <w:right w:w="0" w:type="dxa"/>
                  </w:tcMar>
                  <w:vAlign w:val="center"/>
                </w:tcPr>
                <w:p w14:paraId="41783D37">
                  <w:pPr>
                    <w:spacing w:line="240" w:lineRule="exact"/>
                    <w:jc w:val="center"/>
                    <w:rPr>
                      <w:rFonts w:ascii="Times New Roman" w:hAnsi="Times New Roman" w:eastAsia="Times New Roman"/>
                      <w:color w:val="auto"/>
                      <w:sz w:val="18"/>
                      <w:szCs w:val="18"/>
                      <w:lang w:val="en-US" w:eastAsia="en-US"/>
                    </w:rPr>
                  </w:pPr>
                </w:p>
              </w:tc>
              <w:tc>
                <w:tcPr>
                  <w:tcW w:w="671" w:type="pct"/>
                  <w:vMerge w:val="continue"/>
                  <w:tcBorders>
                    <w:tl2br w:val="nil"/>
                    <w:tr2bl w:val="nil"/>
                  </w:tcBorders>
                  <w:noWrap w:val="0"/>
                  <w:tcMar>
                    <w:top w:w="0" w:type="dxa"/>
                    <w:left w:w="0" w:type="dxa"/>
                    <w:bottom w:w="0" w:type="dxa"/>
                    <w:right w:w="0" w:type="dxa"/>
                  </w:tcMar>
                  <w:vAlign w:val="center"/>
                </w:tcPr>
                <w:p w14:paraId="3D767A85">
                  <w:pPr>
                    <w:spacing w:line="240" w:lineRule="exact"/>
                    <w:jc w:val="center"/>
                    <w:rPr>
                      <w:rFonts w:hint="eastAsia" w:ascii="Times New Roman" w:hAnsi="Times New Roman" w:eastAsia="Times New Roman"/>
                      <w:color w:val="auto"/>
                      <w:sz w:val="18"/>
                      <w:szCs w:val="18"/>
                      <w:lang w:val="en-US" w:eastAsia="zh-CN"/>
                    </w:rPr>
                  </w:pPr>
                </w:p>
              </w:tc>
              <w:tc>
                <w:tcPr>
                  <w:tcW w:w="709" w:type="pct"/>
                  <w:tcBorders>
                    <w:tl2br w:val="nil"/>
                    <w:tr2bl w:val="nil"/>
                  </w:tcBorders>
                  <w:noWrap w:val="0"/>
                  <w:tcMar>
                    <w:top w:w="0" w:type="dxa"/>
                    <w:left w:w="0" w:type="dxa"/>
                    <w:bottom w:w="0" w:type="dxa"/>
                    <w:right w:w="0" w:type="dxa"/>
                  </w:tcMar>
                  <w:vAlign w:val="center"/>
                </w:tcPr>
                <w:p w14:paraId="0B425829">
                  <w:pPr>
                    <w:jc w:val="center"/>
                    <w:rPr>
                      <w:rFonts w:hint="default" w:ascii="Times New Roman" w:hAnsi="Times New Roman" w:eastAsia="Times New Roman"/>
                      <w:color w:val="auto"/>
                      <w:sz w:val="18"/>
                      <w:szCs w:val="18"/>
                      <w:lang w:val="en-US" w:eastAsia="zh-CN"/>
                    </w:rPr>
                  </w:pPr>
                  <w:r>
                    <w:rPr>
                      <w:rFonts w:hint="eastAsia" w:ascii="Times New Roman" w:hAnsi="Times New Roman" w:eastAsia="Times New Roman"/>
                      <w:color w:val="auto"/>
                      <w:sz w:val="18"/>
                      <w:szCs w:val="18"/>
                      <w:lang w:val="en-US" w:eastAsia="zh-CN"/>
                    </w:rPr>
                    <w:t>0.105</w:t>
                  </w:r>
                </w:p>
              </w:tc>
              <w:tc>
                <w:tcPr>
                  <w:tcW w:w="644" w:type="pct"/>
                  <w:vMerge w:val="continue"/>
                  <w:tcBorders>
                    <w:tl2br w:val="nil"/>
                    <w:tr2bl w:val="nil"/>
                  </w:tcBorders>
                  <w:noWrap w:val="0"/>
                  <w:tcMar>
                    <w:top w:w="0" w:type="dxa"/>
                    <w:left w:w="0" w:type="dxa"/>
                    <w:bottom w:w="0" w:type="dxa"/>
                    <w:right w:w="0" w:type="dxa"/>
                  </w:tcMar>
                  <w:vAlign w:val="center"/>
                </w:tcPr>
                <w:p w14:paraId="564A54E1">
                  <w:pPr>
                    <w:spacing w:line="240" w:lineRule="exact"/>
                    <w:jc w:val="center"/>
                    <w:rPr>
                      <w:rFonts w:hint="eastAsia" w:ascii="Times New Roman" w:hAnsi="Times New Roman" w:eastAsia="Times New Roman"/>
                      <w:color w:val="auto"/>
                      <w:sz w:val="18"/>
                      <w:szCs w:val="18"/>
                      <w:lang w:val="en-US" w:eastAsia="en-US"/>
                    </w:rPr>
                  </w:pPr>
                </w:p>
              </w:tc>
              <w:tc>
                <w:tcPr>
                  <w:tcW w:w="563" w:type="pct"/>
                  <w:gridSpan w:val="2"/>
                  <w:tcBorders>
                    <w:tl2br w:val="nil"/>
                    <w:tr2bl w:val="nil"/>
                  </w:tcBorders>
                  <w:noWrap w:val="0"/>
                  <w:tcMar>
                    <w:top w:w="0" w:type="dxa"/>
                    <w:left w:w="0" w:type="dxa"/>
                    <w:bottom w:w="0" w:type="dxa"/>
                    <w:right w:w="0" w:type="dxa"/>
                  </w:tcMar>
                  <w:vAlign w:val="center"/>
                </w:tcPr>
                <w:p w14:paraId="602660C6">
                  <w:pPr>
                    <w:spacing w:line="240" w:lineRule="exact"/>
                    <w:jc w:val="center"/>
                    <w:rPr>
                      <w:rFonts w:hint="eastAsia" w:ascii="Times New Roman" w:hAnsi="Times New Roman" w:eastAsia="Times New Roman"/>
                      <w:color w:val="auto"/>
                      <w:sz w:val="18"/>
                      <w:szCs w:val="18"/>
                      <w:lang w:val="en-US" w:eastAsia="en-US"/>
                    </w:rPr>
                  </w:pPr>
                  <w:r>
                    <w:rPr>
                      <w:rFonts w:hint="eastAsia" w:ascii="Times New Roman" w:hAnsi="Times New Roman" w:eastAsia="Times New Roman"/>
                      <w:color w:val="auto"/>
                      <w:sz w:val="18"/>
                      <w:szCs w:val="18"/>
                      <w:lang w:val="en-US" w:eastAsia="en-US"/>
                    </w:rPr>
                    <w:t>达标</w:t>
                  </w:r>
                </w:p>
              </w:tc>
            </w:tr>
            <w:tr w14:paraId="4CF3D1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61" w:hRule="atLeast"/>
                <w:jc w:val="center"/>
              </w:trPr>
              <w:tc>
                <w:tcPr>
                  <w:tcW w:w="1439" w:type="pct"/>
                  <w:tcBorders>
                    <w:tl2br w:val="nil"/>
                    <w:tr2bl w:val="nil"/>
                  </w:tcBorders>
                  <w:noWrap w:val="0"/>
                  <w:tcMar>
                    <w:top w:w="0" w:type="dxa"/>
                    <w:left w:w="0" w:type="dxa"/>
                    <w:bottom w:w="0" w:type="dxa"/>
                    <w:right w:w="0" w:type="dxa"/>
                  </w:tcMar>
                  <w:vAlign w:val="center"/>
                </w:tcPr>
                <w:p w14:paraId="2B47B8D1">
                  <w:pPr>
                    <w:spacing w:line="240" w:lineRule="exact"/>
                    <w:jc w:val="center"/>
                    <w:rPr>
                      <w:rFonts w:ascii="Times New Roman" w:hAnsi="Times New Roman" w:eastAsia="Times New Roman"/>
                      <w:color w:val="auto"/>
                      <w:sz w:val="18"/>
                      <w:szCs w:val="18"/>
                      <w:lang w:val="en-US" w:eastAsia="en-US"/>
                    </w:rPr>
                  </w:pPr>
                  <w:r>
                    <w:rPr>
                      <w:rFonts w:hint="eastAsia" w:ascii="Times New Roman" w:hAnsi="Times New Roman" w:eastAsia="Times New Roman"/>
                      <w:color w:val="auto"/>
                      <w:sz w:val="18"/>
                      <w:szCs w:val="18"/>
                      <w:lang w:val="en-US" w:eastAsia="zh-CN"/>
                    </w:rPr>
                    <w:t>2024.5.15~2024.5.16</w:t>
                  </w:r>
                </w:p>
              </w:tc>
              <w:tc>
                <w:tcPr>
                  <w:tcW w:w="968" w:type="pct"/>
                  <w:vMerge w:val="continue"/>
                  <w:tcBorders>
                    <w:tl2br w:val="nil"/>
                    <w:tr2bl w:val="nil"/>
                  </w:tcBorders>
                  <w:noWrap w:val="0"/>
                  <w:tcMar>
                    <w:top w:w="0" w:type="dxa"/>
                    <w:left w:w="0" w:type="dxa"/>
                    <w:bottom w:w="0" w:type="dxa"/>
                    <w:right w:w="0" w:type="dxa"/>
                  </w:tcMar>
                  <w:vAlign w:val="center"/>
                </w:tcPr>
                <w:p w14:paraId="2C9B4BA8">
                  <w:pPr>
                    <w:spacing w:line="240" w:lineRule="exact"/>
                    <w:jc w:val="center"/>
                    <w:rPr>
                      <w:rFonts w:ascii="Times New Roman" w:hAnsi="Times New Roman" w:eastAsia="Times New Roman"/>
                      <w:color w:val="auto"/>
                      <w:sz w:val="18"/>
                      <w:szCs w:val="18"/>
                      <w:lang w:val="en-US" w:eastAsia="en-US"/>
                    </w:rPr>
                  </w:pPr>
                </w:p>
              </w:tc>
              <w:tc>
                <w:tcPr>
                  <w:tcW w:w="671" w:type="pct"/>
                  <w:vMerge w:val="continue"/>
                  <w:tcBorders>
                    <w:tl2br w:val="nil"/>
                    <w:tr2bl w:val="nil"/>
                  </w:tcBorders>
                  <w:noWrap w:val="0"/>
                  <w:tcMar>
                    <w:top w:w="0" w:type="dxa"/>
                    <w:left w:w="0" w:type="dxa"/>
                    <w:bottom w:w="0" w:type="dxa"/>
                    <w:right w:w="0" w:type="dxa"/>
                  </w:tcMar>
                  <w:vAlign w:val="center"/>
                </w:tcPr>
                <w:p w14:paraId="5CC07BC8">
                  <w:pPr>
                    <w:spacing w:line="240" w:lineRule="exact"/>
                    <w:jc w:val="center"/>
                    <w:rPr>
                      <w:rFonts w:hint="eastAsia" w:ascii="Times New Roman" w:hAnsi="Times New Roman" w:eastAsia="Times New Roman"/>
                      <w:color w:val="auto"/>
                      <w:sz w:val="18"/>
                      <w:szCs w:val="18"/>
                      <w:lang w:val="en-US" w:eastAsia="zh-CN"/>
                    </w:rPr>
                  </w:pPr>
                </w:p>
              </w:tc>
              <w:tc>
                <w:tcPr>
                  <w:tcW w:w="709" w:type="pct"/>
                  <w:tcBorders>
                    <w:tl2br w:val="nil"/>
                    <w:tr2bl w:val="nil"/>
                  </w:tcBorders>
                  <w:noWrap w:val="0"/>
                  <w:tcMar>
                    <w:top w:w="0" w:type="dxa"/>
                    <w:left w:w="0" w:type="dxa"/>
                    <w:bottom w:w="0" w:type="dxa"/>
                    <w:right w:w="0" w:type="dxa"/>
                  </w:tcMar>
                  <w:vAlign w:val="center"/>
                </w:tcPr>
                <w:p w14:paraId="2C8A388E">
                  <w:pPr>
                    <w:jc w:val="center"/>
                    <w:rPr>
                      <w:rFonts w:hint="default" w:ascii="Times New Roman" w:hAnsi="Times New Roman" w:eastAsia="Times New Roman"/>
                      <w:color w:val="auto"/>
                      <w:sz w:val="18"/>
                      <w:szCs w:val="18"/>
                      <w:lang w:val="en-US" w:eastAsia="zh-CN"/>
                    </w:rPr>
                  </w:pPr>
                  <w:r>
                    <w:rPr>
                      <w:rFonts w:hint="eastAsia" w:ascii="Times New Roman" w:hAnsi="Times New Roman" w:eastAsia="Times New Roman"/>
                      <w:color w:val="auto"/>
                      <w:sz w:val="18"/>
                      <w:szCs w:val="18"/>
                      <w:lang w:val="en-US" w:eastAsia="zh-CN"/>
                    </w:rPr>
                    <w:t>0.109</w:t>
                  </w:r>
                </w:p>
              </w:tc>
              <w:tc>
                <w:tcPr>
                  <w:tcW w:w="644" w:type="pct"/>
                  <w:vMerge w:val="continue"/>
                  <w:tcBorders>
                    <w:tl2br w:val="nil"/>
                    <w:tr2bl w:val="nil"/>
                  </w:tcBorders>
                  <w:noWrap w:val="0"/>
                  <w:tcMar>
                    <w:top w:w="0" w:type="dxa"/>
                    <w:left w:w="0" w:type="dxa"/>
                    <w:bottom w:w="0" w:type="dxa"/>
                    <w:right w:w="0" w:type="dxa"/>
                  </w:tcMar>
                  <w:vAlign w:val="center"/>
                </w:tcPr>
                <w:p w14:paraId="445F717B">
                  <w:pPr>
                    <w:spacing w:line="240" w:lineRule="exact"/>
                    <w:jc w:val="center"/>
                    <w:rPr>
                      <w:rFonts w:hint="eastAsia" w:ascii="Times New Roman" w:hAnsi="Times New Roman" w:eastAsia="Times New Roman"/>
                      <w:color w:val="auto"/>
                      <w:sz w:val="18"/>
                      <w:szCs w:val="18"/>
                      <w:lang w:val="en-US" w:eastAsia="en-US"/>
                    </w:rPr>
                  </w:pPr>
                </w:p>
              </w:tc>
              <w:tc>
                <w:tcPr>
                  <w:tcW w:w="563" w:type="pct"/>
                  <w:gridSpan w:val="2"/>
                  <w:tcBorders>
                    <w:tl2br w:val="nil"/>
                    <w:tr2bl w:val="nil"/>
                  </w:tcBorders>
                  <w:noWrap w:val="0"/>
                  <w:tcMar>
                    <w:top w:w="0" w:type="dxa"/>
                    <w:left w:w="0" w:type="dxa"/>
                    <w:bottom w:w="0" w:type="dxa"/>
                    <w:right w:w="0" w:type="dxa"/>
                  </w:tcMar>
                  <w:vAlign w:val="center"/>
                </w:tcPr>
                <w:p w14:paraId="29285FA8">
                  <w:pPr>
                    <w:spacing w:line="240" w:lineRule="exact"/>
                    <w:jc w:val="center"/>
                    <w:rPr>
                      <w:rFonts w:hint="eastAsia" w:ascii="Times New Roman" w:hAnsi="Times New Roman" w:eastAsia="Times New Roman"/>
                      <w:color w:val="auto"/>
                      <w:sz w:val="18"/>
                      <w:szCs w:val="18"/>
                      <w:lang w:val="en-US" w:eastAsia="en-US"/>
                    </w:rPr>
                  </w:pPr>
                  <w:r>
                    <w:rPr>
                      <w:rFonts w:hint="eastAsia" w:ascii="Times New Roman" w:hAnsi="Times New Roman" w:eastAsia="Times New Roman"/>
                      <w:color w:val="auto"/>
                      <w:sz w:val="18"/>
                      <w:szCs w:val="18"/>
                      <w:lang w:val="en-US" w:eastAsia="en-US"/>
                    </w:rPr>
                    <w:t>达标</w:t>
                  </w:r>
                </w:p>
              </w:tc>
            </w:tr>
            <w:tr w14:paraId="0B6A44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64" w:hRule="atLeast"/>
                <w:jc w:val="center"/>
              </w:trPr>
              <w:tc>
                <w:tcPr>
                  <w:tcW w:w="1439" w:type="pct"/>
                  <w:tcBorders>
                    <w:tl2br w:val="nil"/>
                    <w:tr2bl w:val="nil"/>
                  </w:tcBorders>
                  <w:noWrap w:val="0"/>
                  <w:tcMar>
                    <w:top w:w="0" w:type="dxa"/>
                    <w:left w:w="0" w:type="dxa"/>
                    <w:bottom w:w="0" w:type="dxa"/>
                    <w:right w:w="0" w:type="dxa"/>
                  </w:tcMar>
                  <w:vAlign w:val="center"/>
                </w:tcPr>
                <w:p w14:paraId="179ACB31">
                  <w:pPr>
                    <w:spacing w:line="240" w:lineRule="exact"/>
                    <w:jc w:val="center"/>
                    <w:rPr>
                      <w:rFonts w:ascii="Times New Roman" w:hAnsi="Times New Roman" w:eastAsia="Times New Roman"/>
                      <w:color w:val="auto"/>
                      <w:sz w:val="18"/>
                      <w:szCs w:val="18"/>
                      <w:lang w:val="en-US" w:eastAsia="en-US"/>
                    </w:rPr>
                  </w:pPr>
                  <w:r>
                    <w:rPr>
                      <w:rFonts w:hint="eastAsia" w:ascii="Times New Roman" w:hAnsi="Times New Roman" w:eastAsia="Times New Roman"/>
                      <w:color w:val="auto"/>
                      <w:sz w:val="18"/>
                      <w:szCs w:val="18"/>
                      <w:lang w:val="en-US" w:eastAsia="zh-CN"/>
                    </w:rPr>
                    <w:t>2024.5.16~2024.5.17</w:t>
                  </w:r>
                </w:p>
              </w:tc>
              <w:tc>
                <w:tcPr>
                  <w:tcW w:w="968" w:type="pct"/>
                  <w:vMerge w:val="continue"/>
                  <w:tcBorders>
                    <w:tl2br w:val="nil"/>
                    <w:tr2bl w:val="nil"/>
                  </w:tcBorders>
                  <w:noWrap w:val="0"/>
                  <w:tcMar>
                    <w:top w:w="0" w:type="dxa"/>
                    <w:left w:w="0" w:type="dxa"/>
                    <w:bottom w:w="0" w:type="dxa"/>
                    <w:right w:w="0" w:type="dxa"/>
                  </w:tcMar>
                  <w:vAlign w:val="center"/>
                </w:tcPr>
                <w:p w14:paraId="44E2B8D5">
                  <w:pPr>
                    <w:spacing w:line="240" w:lineRule="exact"/>
                    <w:jc w:val="center"/>
                    <w:rPr>
                      <w:rFonts w:ascii="Times New Roman" w:hAnsi="Times New Roman" w:eastAsia="Times New Roman"/>
                      <w:color w:val="auto"/>
                      <w:sz w:val="18"/>
                      <w:szCs w:val="18"/>
                      <w:lang w:val="en-US" w:eastAsia="en-US"/>
                    </w:rPr>
                  </w:pPr>
                </w:p>
              </w:tc>
              <w:tc>
                <w:tcPr>
                  <w:tcW w:w="671" w:type="pct"/>
                  <w:vMerge w:val="continue"/>
                  <w:tcBorders>
                    <w:tl2br w:val="nil"/>
                    <w:tr2bl w:val="nil"/>
                  </w:tcBorders>
                  <w:noWrap w:val="0"/>
                  <w:tcMar>
                    <w:top w:w="0" w:type="dxa"/>
                    <w:left w:w="0" w:type="dxa"/>
                    <w:bottom w:w="0" w:type="dxa"/>
                    <w:right w:w="0" w:type="dxa"/>
                  </w:tcMar>
                  <w:vAlign w:val="center"/>
                </w:tcPr>
                <w:p w14:paraId="3C1058C6">
                  <w:pPr>
                    <w:spacing w:line="240" w:lineRule="exact"/>
                    <w:jc w:val="center"/>
                    <w:rPr>
                      <w:rFonts w:hint="eastAsia" w:ascii="Times New Roman" w:hAnsi="Times New Roman" w:eastAsia="Times New Roman"/>
                      <w:color w:val="auto"/>
                      <w:sz w:val="18"/>
                      <w:szCs w:val="18"/>
                      <w:lang w:val="en-US" w:eastAsia="zh-CN"/>
                    </w:rPr>
                  </w:pPr>
                </w:p>
              </w:tc>
              <w:tc>
                <w:tcPr>
                  <w:tcW w:w="709" w:type="pct"/>
                  <w:tcBorders>
                    <w:tl2br w:val="nil"/>
                    <w:tr2bl w:val="nil"/>
                  </w:tcBorders>
                  <w:noWrap w:val="0"/>
                  <w:tcMar>
                    <w:top w:w="0" w:type="dxa"/>
                    <w:left w:w="0" w:type="dxa"/>
                    <w:bottom w:w="0" w:type="dxa"/>
                    <w:right w:w="0" w:type="dxa"/>
                  </w:tcMar>
                  <w:vAlign w:val="center"/>
                </w:tcPr>
                <w:p w14:paraId="6ABF08D3">
                  <w:pPr>
                    <w:jc w:val="center"/>
                    <w:rPr>
                      <w:rFonts w:hint="default" w:ascii="Times New Roman" w:hAnsi="Times New Roman" w:eastAsia="Times New Roman"/>
                      <w:color w:val="auto"/>
                      <w:sz w:val="18"/>
                      <w:szCs w:val="18"/>
                      <w:lang w:val="en-US" w:eastAsia="zh-CN"/>
                    </w:rPr>
                  </w:pPr>
                  <w:r>
                    <w:rPr>
                      <w:rFonts w:hint="eastAsia" w:ascii="Times New Roman" w:hAnsi="Times New Roman" w:eastAsia="Times New Roman"/>
                      <w:color w:val="auto"/>
                      <w:sz w:val="18"/>
                      <w:szCs w:val="18"/>
                      <w:lang w:val="en-US" w:eastAsia="zh-CN"/>
                    </w:rPr>
                    <w:t>0.089</w:t>
                  </w:r>
                </w:p>
              </w:tc>
              <w:tc>
                <w:tcPr>
                  <w:tcW w:w="644" w:type="pct"/>
                  <w:vMerge w:val="continue"/>
                  <w:tcBorders>
                    <w:tl2br w:val="nil"/>
                    <w:tr2bl w:val="nil"/>
                  </w:tcBorders>
                  <w:noWrap w:val="0"/>
                  <w:tcMar>
                    <w:top w:w="0" w:type="dxa"/>
                    <w:left w:w="0" w:type="dxa"/>
                    <w:bottom w:w="0" w:type="dxa"/>
                    <w:right w:w="0" w:type="dxa"/>
                  </w:tcMar>
                  <w:vAlign w:val="center"/>
                </w:tcPr>
                <w:p w14:paraId="7DEB43EE">
                  <w:pPr>
                    <w:spacing w:line="240" w:lineRule="exact"/>
                    <w:jc w:val="center"/>
                    <w:rPr>
                      <w:rFonts w:hint="eastAsia" w:ascii="Times New Roman" w:hAnsi="Times New Roman" w:eastAsia="Times New Roman"/>
                      <w:color w:val="auto"/>
                      <w:sz w:val="18"/>
                      <w:szCs w:val="18"/>
                      <w:lang w:val="en-US" w:eastAsia="en-US"/>
                    </w:rPr>
                  </w:pPr>
                </w:p>
              </w:tc>
              <w:tc>
                <w:tcPr>
                  <w:tcW w:w="563" w:type="pct"/>
                  <w:gridSpan w:val="2"/>
                  <w:tcBorders>
                    <w:tl2br w:val="nil"/>
                    <w:tr2bl w:val="nil"/>
                  </w:tcBorders>
                  <w:noWrap w:val="0"/>
                  <w:tcMar>
                    <w:top w:w="0" w:type="dxa"/>
                    <w:left w:w="0" w:type="dxa"/>
                    <w:bottom w:w="0" w:type="dxa"/>
                    <w:right w:w="0" w:type="dxa"/>
                  </w:tcMar>
                  <w:vAlign w:val="center"/>
                </w:tcPr>
                <w:p w14:paraId="5E2CAD81">
                  <w:pPr>
                    <w:spacing w:line="240" w:lineRule="exact"/>
                    <w:jc w:val="center"/>
                    <w:rPr>
                      <w:rFonts w:hint="eastAsia" w:ascii="Times New Roman" w:hAnsi="Times New Roman" w:eastAsia="Times New Roman"/>
                      <w:color w:val="auto"/>
                      <w:sz w:val="18"/>
                      <w:szCs w:val="18"/>
                      <w:lang w:val="en-US" w:eastAsia="en-US"/>
                    </w:rPr>
                  </w:pPr>
                  <w:r>
                    <w:rPr>
                      <w:rFonts w:hint="eastAsia" w:ascii="Times New Roman" w:hAnsi="Times New Roman" w:eastAsia="Times New Roman"/>
                      <w:color w:val="auto"/>
                      <w:sz w:val="18"/>
                      <w:szCs w:val="18"/>
                      <w:lang w:val="en-US" w:eastAsia="en-US"/>
                    </w:rPr>
                    <w:t>达标</w:t>
                  </w:r>
                </w:p>
              </w:tc>
            </w:tr>
            <w:tr w14:paraId="7D5A23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61" w:hRule="atLeast"/>
                <w:jc w:val="center"/>
              </w:trPr>
              <w:tc>
                <w:tcPr>
                  <w:tcW w:w="1439" w:type="pct"/>
                  <w:tcBorders>
                    <w:tl2br w:val="nil"/>
                    <w:tr2bl w:val="nil"/>
                  </w:tcBorders>
                  <w:noWrap w:val="0"/>
                  <w:tcMar>
                    <w:top w:w="0" w:type="dxa"/>
                    <w:left w:w="0" w:type="dxa"/>
                    <w:bottom w:w="0" w:type="dxa"/>
                    <w:right w:w="0" w:type="dxa"/>
                  </w:tcMar>
                  <w:vAlign w:val="center"/>
                </w:tcPr>
                <w:p w14:paraId="356F6AD4">
                  <w:pPr>
                    <w:jc w:val="center"/>
                    <w:rPr>
                      <w:rFonts w:hint="default" w:ascii="Times New Roman" w:hAnsi="Times New Roman" w:eastAsia="Times New Roman"/>
                      <w:color w:val="auto"/>
                      <w:sz w:val="18"/>
                      <w:szCs w:val="18"/>
                      <w:lang w:val="en-US" w:eastAsia="en-US"/>
                    </w:rPr>
                  </w:pPr>
                  <w:r>
                    <w:rPr>
                      <w:rFonts w:hint="eastAsia" w:ascii="Times New Roman" w:hAnsi="Times New Roman" w:eastAsia="Times New Roman"/>
                      <w:color w:val="auto"/>
                      <w:sz w:val="18"/>
                      <w:szCs w:val="18"/>
                      <w:lang w:val="en-US" w:eastAsia="zh-CN"/>
                    </w:rPr>
                    <w:t>2024.5.17~2024.5.18</w:t>
                  </w:r>
                </w:p>
              </w:tc>
              <w:tc>
                <w:tcPr>
                  <w:tcW w:w="968" w:type="pct"/>
                  <w:vMerge w:val="continue"/>
                  <w:tcBorders>
                    <w:tl2br w:val="nil"/>
                    <w:tr2bl w:val="nil"/>
                  </w:tcBorders>
                  <w:noWrap w:val="0"/>
                  <w:tcMar>
                    <w:top w:w="0" w:type="dxa"/>
                    <w:left w:w="0" w:type="dxa"/>
                    <w:bottom w:w="0" w:type="dxa"/>
                    <w:right w:w="0" w:type="dxa"/>
                  </w:tcMar>
                  <w:vAlign w:val="center"/>
                </w:tcPr>
                <w:p w14:paraId="61E4F9F0">
                  <w:pPr>
                    <w:spacing w:line="240" w:lineRule="exact"/>
                    <w:jc w:val="center"/>
                    <w:rPr>
                      <w:rFonts w:ascii="Times New Roman" w:hAnsi="Times New Roman" w:eastAsia="Times New Roman"/>
                      <w:color w:val="auto"/>
                      <w:sz w:val="18"/>
                      <w:szCs w:val="18"/>
                      <w:lang w:val="en-US" w:eastAsia="en-US"/>
                    </w:rPr>
                  </w:pPr>
                </w:p>
              </w:tc>
              <w:tc>
                <w:tcPr>
                  <w:tcW w:w="671" w:type="pct"/>
                  <w:vMerge w:val="continue"/>
                  <w:tcBorders>
                    <w:tl2br w:val="nil"/>
                    <w:tr2bl w:val="nil"/>
                  </w:tcBorders>
                  <w:noWrap w:val="0"/>
                  <w:tcMar>
                    <w:top w:w="0" w:type="dxa"/>
                    <w:left w:w="0" w:type="dxa"/>
                    <w:bottom w:w="0" w:type="dxa"/>
                    <w:right w:w="0" w:type="dxa"/>
                  </w:tcMar>
                  <w:vAlign w:val="center"/>
                </w:tcPr>
                <w:p w14:paraId="427249B1">
                  <w:pPr>
                    <w:spacing w:line="240" w:lineRule="exact"/>
                    <w:jc w:val="center"/>
                    <w:rPr>
                      <w:rFonts w:hint="eastAsia" w:ascii="Times New Roman" w:hAnsi="Times New Roman" w:eastAsia="Times New Roman"/>
                      <w:color w:val="auto"/>
                      <w:sz w:val="18"/>
                      <w:szCs w:val="18"/>
                      <w:lang w:val="en-US" w:eastAsia="zh-CN"/>
                    </w:rPr>
                  </w:pPr>
                </w:p>
              </w:tc>
              <w:tc>
                <w:tcPr>
                  <w:tcW w:w="709" w:type="pct"/>
                  <w:tcBorders>
                    <w:tl2br w:val="nil"/>
                    <w:tr2bl w:val="nil"/>
                  </w:tcBorders>
                  <w:noWrap w:val="0"/>
                  <w:tcMar>
                    <w:top w:w="0" w:type="dxa"/>
                    <w:left w:w="0" w:type="dxa"/>
                    <w:bottom w:w="0" w:type="dxa"/>
                    <w:right w:w="0" w:type="dxa"/>
                  </w:tcMar>
                  <w:vAlign w:val="center"/>
                </w:tcPr>
                <w:p w14:paraId="0A41317E">
                  <w:pPr>
                    <w:jc w:val="center"/>
                    <w:rPr>
                      <w:rFonts w:hint="default" w:ascii="Times New Roman" w:hAnsi="Times New Roman" w:eastAsia="Times New Roman"/>
                      <w:color w:val="auto"/>
                      <w:sz w:val="18"/>
                      <w:szCs w:val="18"/>
                      <w:lang w:val="en-US" w:eastAsia="zh-CN"/>
                    </w:rPr>
                  </w:pPr>
                  <w:r>
                    <w:rPr>
                      <w:rFonts w:hint="eastAsia" w:ascii="Times New Roman" w:hAnsi="Times New Roman" w:eastAsia="Times New Roman"/>
                      <w:color w:val="auto"/>
                      <w:sz w:val="18"/>
                      <w:szCs w:val="18"/>
                      <w:lang w:val="en-US" w:eastAsia="zh-CN"/>
                    </w:rPr>
                    <w:t>0.098</w:t>
                  </w:r>
                </w:p>
              </w:tc>
              <w:tc>
                <w:tcPr>
                  <w:tcW w:w="644" w:type="pct"/>
                  <w:vMerge w:val="continue"/>
                  <w:tcBorders>
                    <w:tl2br w:val="nil"/>
                    <w:tr2bl w:val="nil"/>
                  </w:tcBorders>
                  <w:noWrap w:val="0"/>
                  <w:tcMar>
                    <w:top w:w="0" w:type="dxa"/>
                    <w:left w:w="0" w:type="dxa"/>
                    <w:bottom w:w="0" w:type="dxa"/>
                    <w:right w:w="0" w:type="dxa"/>
                  </w:tcMar>
                  <w:vAlign w:val="center"/>
                </w:tcPr>
                <w:p w14:paraId="25D332DF">
                  <w:pPr>
                    <w:spacing w:line="240" w:lineRule="exact"/>
                    <w:jc w:val="center"/>
                    <w:rPr>
                      <w:rFonts w:hint="default" w:ascii="Times New Roman" w:hAnsi="Times New Roman" w:eastAsia="Times New Roman"/>
                      <w:color w:val="auto"/>
                      <w:sz w:val="18"/>
                      <w:szCs w:val="18"/>
                      <w:lang w:val="en-US" w:eastAsia="zh-CN"/>
                    </w:rPr>
                  </w:pPr>
                </w:p>
              </w:tc>
              <w:tc>
                <w:tcPr>
                  <w:tcW w:w="563" w:type="pct"/>
                  <w:gridSpan w:val="2"/>
                  <w:tcBorders>
                    <w:tl2br w:val="nil"/>
                    <w:tr2bl w:val="nil"/>
                  </w:tcBorders>
                  <w:noWrap w:val="0"/>
                  <w:tcMar>
                    <w:top w:w="0" w:type="dxa"/>
                    <w:left w:w="0" w:type="dxa"/>
                    <w:bottom w:w="0" w:type="dxa"/>
                    <w:right w:w="0" w:type="dxa"/>
                  </w:tcMar>
                  <w:vAlign w:val="center"/>
                </w:tcPr>
                <w:p w14:paraId="0032D43C">
                  <w:pPr>
                    <w:spacing w:line="240" w:lineRule="exact"/>
                    <w:jc w:val="center"/>
                    <w:rPr>
                      <w:rFonts w:hint="eastAsia" w:ascii="Times New Roman" w:hAnsi="Times New Roman" w:eastAsia="Times New Roman"/>
                      <w:color w:val="auto"/>
                      <w:sz w:val="18"/>
                      <w:szCs w:val="18"/>
                      <w:lang w:val="en-US" w:eastAsia="zh-CN"/>
                    </w:rPr>
                  </w:pPr>
                  <w:r>
                    <w:rPr>
                      <w:rFonts w:hint="eastAsia" w:ascii="Times New Roman" w:hAnsi="Times New Roman" w:eastAsia="Times New Roman"/>
                      <w:color w:val="auto"/>
                      <w:sz w:val="18"/>
                      <w:szCs w:val="18"/>
                      <w:lang w:val="en-US" w:eastAsia="en-US"/>
                    </w:rPr>
                    <w:t>达标</w:t>
                  </w:r>
                </w:p>
              </w:tc>
            </w:tr>
            <w:tr w14:paraId="3A8FF5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61" w:hRule="atLeast"/>
                <w:jc w:val="center"/>
              </w:trPr>
              <w:tc>
                <w:tcPr>
                  <w:tcW w:w="1439" w:type="pct"/>
                  <w:tcBorders>
                    <w:tl2br w:val="nil"/>
                    <w:tr2bl w:val="nil"/>
                  </w:tcBorders>
                  <w:noWrap w:val="0"/>
                  <w:tcMar>
                    <w:top w:w="0" w:type="dxa"/>
                    <w:left w:w="0" w:type="dxa"/>
                    <w:bottom w:w="0" w:type="dxa"/>
                    <w:right w:w="0" w:type="dxa"/>
                  </w:tcMar>
                  <w:vAlign w:val="center"/>
                </w:tcPr>
                <w:p w14:paraId="6192FA82">
                  <w:pPr>
                    <w:spacing w:line="240" w:lineRule="exact"/>
                    <w:jc w:val="center"/>
                    <w:rPr>
                      <w:rFonts w:ascii="Times New Roman" w:hAnsi="Times New Roman" w:eastAsia="Times New Roman"/>
                      <w:color w:val="auto"/>
                      <w:sz w:val="18"/>
                      <w:szCs w:val="18"/>
                      <w:lang w:val="en-US" w:eastAsia="en-US"/>
                    </w:rPr>
                  </w:pPr>
                  <w:r>
                    <w:rPr>
                      <w:rFonts w:hint="eastAsia" w:ascii="Times New Roman" w:hAnsi="Times New Roman" w:eastAsia="Times New Roman"/>
                      <w:color w:val="auto"/>
                      <w:sz w:val="18"/>
                      <w:szCs w:val="18"/>
                      <w:lang w:val="en-US" w:eastAsia="zh-CN"/>
                    </w:rPr>
                    <w:t>2024.5.18~2024.5.19</w:t>
                  </w:r>
                </w:p>
              </w:tc>
              <w:tc>
                <w:tcPr>
                  <w:tcW w:w="968" w:type="pct"/>
                  <w:vMerge w:val="continue"/>
                  <w:tcBorders>
                    <w:tl2br w:val="nil"/>
                    <w:tr2bl w:val="nil"/>
                  </w:tcBorders>
                  <w:noWrap w:val="0"/>
                  <w:tcMar>
                    <w:top w:w="0" w:type="dxa"/>
                    <w:left w:w="0" w:type="dxa"/>
                    <w:bottom w:w="0" w:type="dxa"/>
                    <w:right w:w="0" w:type="dxa"/>
                  </w:tcMar>
                  <w:vAlign w:val="center"/>
                </w:tcPr>
                <w:p w14:paraId="35B73197">
                  <w:pPr>
                    <w:spacing w:line="240" w:lineRule="exact"/>
                    <w:jc w:val="center"/>
                    <w:rPr>
                      <w:rFonts w:ascii="Times New Roman" w:hAnsi="Times New Roman" w:eastAsia="Times New Roman"/>
                      <w:color w:val="auto"/>
                      <w:sz w:val="18"/>
                      <w:szCs w:val="18"/>
                      <w:lang w:val="en-US" w:eastAsia="en-US"/>
                    </w:rPr>
                  </w:pPr>
                </w:p>
              </w:tc>
              <w:tc>
                <w:tcPr>
                  <w:tcW w:w="671" w:type="pct"/>
                  <w:vMerge w:val="continue"/>
                  <w:tcBorders>
                    <w:tl2br w:val="nil"/>
                    <w:tr2bl w:val="nil"/>
                  </w:tcBorders>
                  <w:noWrap w:val="0"/>
                  <w:tcMar>
                    <w:top w:w="0" w:type="dxa"/>
                    <w:left w:w="0" w:type="dxa"/>
                    <w:bottom w:w="0" w:type="dxa"/>
                    <w:right w:w="0" w:type="dxa"/>
                  </w:tcMar>
                  <w:vAlign w:val="center"/>
                </w:tcPr>
                <w:p w14:paraId="2DB5E4A6">
                  <w:pPr>
                    <w:spacing w:line="240" w:lineRule="exact"/>
                    <w:jc w:val="center"/>
                    <w:rPr>
                      <w:rFonts w:hint="eastAsia" w:ascii="Times New Roman" w:hAnsi="Times New Roman" w:eastAsia="Times New Roman"/>
                      <w:color w:val="auto"/>
                      <w:sz w:val="18"/>
                      <w:szCs w:val="18"/>
                      <w:lang w:val="en-US" w:eastAsia="zh-CN"/>
                    </w:rPr>
                  </w:pPr>
                </w:p>
              </w:tc>
              <w:tc>
                <w:tcPr>
                  <w:tcW w:w="709" w:type="pct"/>
                  <w:tcBorders>
                    <w:tl2br w:val="nil"/>
                    <w:tr2bl w:val="nil"/>
                  </w:tcBorders>
                  <w:noWrap w:val="0"/>
                  <w:tcMar>
                    <w:top w:w="0" w:type="dxa"/>
                    <w:left w:w="0" w:type="dxa"/>
                    <w:bottom w:w="0" w:type="dxa"/>
                    <w:right w:w="0" w:type="dxa"/>
                  </w:tcMar>
                  <w:vAlign w:val="center"/>
                </w:tcPr>
                <w:p w14:paraId="3479FA4F">
                  <w:pPr>
                    <w:jc w:val="center"/>
                    <w:rPr>
                      <w:rFonts w:hint="default" w:ascii="Times New Roman" w:hAnsi="Times New Roman" w:eastAsia="Times New Roman"/>
                      <w:color w:val="auto"/>
                      <w:sz w:val="18"/>
                      <w:szCs w:val="18"/>
                      <w:lang w:val="en-US" w:eastAsia="zh-CN"/>
                    </w:rPr>
                  </w:pPr>
                  <w:r>
                    <w:rPr>
                      <w:rFonts w:hint="eastAsia" w:ascii="Times New Roman" w:hAnsi="Times New Roman" w:eastAsia="Times New Roman"/>
                      <w:color w:val="auto"/>
                      <w:sz w:val="18"/>
                      <w:szCs w:val="18"/>
                      <w:lang w:val="en-US" w:eastAsia="zh-CN"/>
                    </w:rPr>
                    <w:t>0.110</w:t>
                  </w:r>
                </w:p>
              </w:tc>
              <w:tc>
                <w:tcPr>
                  <w:tcW w:w="644" w:type="pct"/>
                  <w:vMerge w:val="continue"/>
                  <w:tcBorders>
                    <w:tl2br w:val="nil"/>
                    <w:tr2bl w:val="nil"/>
                  </w:tcBorders>
                  <w:noWrap w:val="0"/>
                  <w:tcMar>
                    <w:top w:w="0" w:type="dxa"/>
                    <w:left w:w="0" w:type="dxa"/>
                    <w:bottom w:w="0" w:type="dxa"/>
                    <w:right w:w="0" w:type="dxa"/>
                  </w:tcMar>
                  <w:vAlign w:val="center"/>
                </w:tcPr>
                <w:p w14:paraId="0DFB25DE">
                  <w:pPr>
                    <w:spacing w:line="240" w:lineRule="exact"/>
                    <w:jc w:val="center"/>
                    <w:rPr>
                      <w:rFonts w:hint="eastAsia" w:ascii="Times New Roman" w:hAnsi="Times New Roman" w:eastAsia="Times New Roman"/>
                      <w:color w:val="auto"/>
                      <w:sz w:val="18"/>
                      <w:szCs w:val="18"/>
                      <w:lang w:val="en-US" w:eastAsia="en-US"/>
                    </w:rPr>
                  </w:pPr>
                </w:p>
              </w:tc>
              <w:tc>
                <w:tcPr>
                  <w:tcW w:w="563" w:type="pct"/>
                  <w:gridSpan w:val="2"/>
                  <w:tcBorders>
                    <w:tl2br w:val="nil"/>
                    <w:tr2bl w:val="nil"/>
                  </w:tcBorders>
                  <w:noWrap w:val="0"/>
                  <w:tcMar>
                    <w:top w:w="0" w:type="dxa"/>
                    <w:left w:w="0" w:type="dxa"/>
                    <w:bottom w:w="0" w:type="dxa"/>
                    <w:right w:w="0" w:type="dxa"/>
                  </w:tcMar>
                  <w:vAlign w:val="center"/>
                </w:tcPr>
                <w:p w14:paraId="541B78DC">
                  <w:pPr>
                    <w:spacing w:line="240" w:lineRule="exact"/>
                    <w:jc w:val="center"/>
                    <w:rPr>
                      <w:rFonts w:hint="eastAsia" w:ascii="Times New Roman" w:hAnsi="Times New Roman" w:eastAsia="Times New Roman"/>
                      <w:color w:val="auto"/>
                      <w:sz w:val="18"/>
                      <w:szCs w:val="18"/>
                      <w:lang w:val="en-US" w:eastAsia="en-US"/>
                    </w:rPr>
                  </w:pPr>
                  <w:r>
                    <w:rPr>
                      <w:rFonts w:hint="eastAsia" w:ascii="Times New Roman" w:hAnsi="Times New Roman" w:eastAsia="Times New Roman"/>
                      <w:color w:val="auto"/>
                      <w:sz w:val="18"/>
                      <w:szCs w:val="18"/>
                      <w:lang w:val="en-US" w:eastAsia="en-US"/>
                    </w:rPr>
                    <w:t>达标</w:t>
                  </w:r>
                </w:p>
              </w:tc>
            </w:tr>
            <w:tr w14:paraId="6B12CE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61" w:hRule="atLeast"/>
                <w:jc w:val="center"/>
              </w:trPr>
              <w:tc>
                <w:tcPr>
                  <w:tcW w:w="1439" w:type="pct"/>
                  <w:tcBorders>
                    <w:tl2br w:val="nil"/>
                    <w:tr2bl w:val="nil"/>
                  </w:tcBorders>
                  <w:noWrap w:val="0"/>
                  <w:tcMar>
                    <w:top w:w="0" w:type="dxa"/>
                    <w:left w:w="0" w:type="dxa"/>
                    <w:bottom w:w="0" w:type="dxa"/>
                    <w:right w:w="0" w:type="dxa"/>
                  </w:tcMar>
                  <w:vAlign w:val="center"/>
                </w:tcPr>
                <w:p w14:paraId="26902393">
                  <w:pPr>
                    <w:spacing w:line="240" w:lineRule="exact"/>
                    <w:jc w:val="center"/>
                    <w:rPr>
                      <w:rFonts w:ascii="Times New Roman" w:hAnsi="Times New Roman" w:eastAsia="Times New Roman"/>
                      <w:color w:val="auto"/>
                      <w:sz w:val="18"/>
                      <w:szCs w:val="18"/>
                      <w:lang w:val="en-US" w:eastAsia="en-US"/>
                    </w:rPr>
                  </w:pPr>
                  <w:r>
                    <w:rPr>
                      <w:rFonts w:hint="eastAsia" w:ascii="Times New Roman" w:hAnsi="Times New Roman" w:eastAsia="Times New Roman"/>
                      <w:color w:val="auto"/>
                      <w:sz w:val="18"/>
                      <w:szCs w:val="18"/>
                      <w:lang w:val="en-US" w:eastAsia="zh-CN"/>
                    </w:rPr>
                    <w:t>2024.5.19~2024.5.20</w:t>
                  </w:r>
                </w:p>
              </w:tc>
              <w:tc>
                <w:tcPr>
                  <w:tcW w:w="968" w:type="pct"/>
                  <w:vMerge w:val="continue"/>
                  <w:tcBorders>
                    <w:tl2br w:val="nil"/>
                    <w:tr2bl w:val="nil"/>
                  </w:tcBorders>
                  <w:noWrap w:val="0"/>
                  <w:tcMar>
                    <w:top w:w="0" w:type="dxa"/>
                    <w:left w:w="0" w:type="dxa"/>
                    <w:bottom w:w="0" w:type="dxa"/>
                    <w:right w:w="0" w:type="dxa"/>
                  </w:tcMar>
                  <w:vAlign w:val="center"/>
                </w:tcPr>
                <w:p w14:paraId="4D14B780">
                  <w:pPr>
                    <w:spacing w:line="240" w:lineRule="exact"/>
                    <w:jc w:val="center"/>
                    <w:rPr>
                      <w:rFonts w:ascii="Times New Roman" w:hAnsi="Times New Roman" w:eastAsia="Times New Roman"/>
                      <w:color w:val="auto"/>
                      <w:sz w:val="18"/>
                      <w:szCs w:val="18"/>
                      <w:lang w:val="en-US" w:eastAsia="en-US"/>
                    </w:rPr>
                  </w:pPr>
                </w:p>
              </w:tc>
              <w:tc>
                <w:tcPr>
                  <w:tcW w:w="671" w:type="pct"/>
                  <w:vMerge w:val="continue"/>
                  <w:tcBorders>
                    <w:tl2br w:val="nil"/>
                    <w:tr2bl w:val="nil"/>
                  </w:tcBorders>
                  <w:noWrap w:val="0"/>
                  <w:tcMar>
                    <w:top w:w="0" w:type="dxa"/>
                    <w:left w:w="0" w:type="dxa"/>
                    <w:bottom w:w="0" w:type="dxa"/>
                    <w:right w:w="0" w:type="dxa"/>
                  </w:tcMar>
                  <w:vAlign w:val="center"/>
                </w:tcPr>
                <w:p w14:paraId="146E2857">
                  <w:pPr>
                    <w:spacing w:line="240" w:lineRule="exact"/>
                    <w:jc w:val="center"/>
                    <w:rPr>
                      <w:rFonts w:hint="eastAsia" w:ascii="Times New Roman" w:hAnsi="Times New Roman" w:eastAsia="Times New Roman"/>
                      <w:color w:val="auto"/>
                      <w:sz w:val="18"/>
                      <w:szCs w:val="18"/>
                      <w:lang w:val="en-US" w:eastAsia="zh-CN"/>
                    </w:rPr>
                  </w:pPr>
                </w:p>
              </w:tc>
              <w:tc>
                <w:tcPr>
                  <w:tcW w:w="709" w:type="pct"/>
                  <w:tcBorders>
                    <w:tl2br w:val="nil"/>
                    <w:tr2bl w:val="nil"/>
                  </w:tcBorders>
                  <w:noWrap w:val="0"/>
                  <w:tcMar>
                    <w:top w:w="0" w:type="dxa"/>
                    <w:left w:w="0" w:type="dxa"/>
                    <w:bottom w:w="0" w:type="dxa"/>
                    <w:right w:w="0" w:type="dxa"/>
                  </w:tcMar>
                  <w:vAlign w:val="center"/>
                </w:tcPr>
                <w:p w14:paraId="7F4AA6D1">
                  <w:pPr>
                    <w:jc w:val="center"/>
                    <w:rPr>
                      <w:rFonts w:hint="default" w:ascii="Times New Roman" w:hAnsi="Times New Roman" w:eastAsia="Times New Roman"/>
                      <w:color w:val="auto"/>
                      <w:sz w:val="18"/>
                      <w:szCs w:val="18"/>
                      <w:lang w:val="en-US" w:eastAsia="zh-CN"/>
                    </w:rPr>
                  </w:pPr>
                  <w:r>
                    <w:rPr>
                      <w:rFonts w:hint="eastAsia" w:ascii="Times New Roman" w:hAnsi="Times New Roman" w:eastAsia="Times New Roman"/>
                      <w:color w:val="auto"/>
                      <w:sz w:val="18"/>
                      <w:szCs w:val="18"/>
                      <w:lang w:val="en-US" w:eastAsia="zh-CN"/>
                    </w:rPr>
                    <w:t>0.108</w:t>
                  </w:r>
                </w:p>
              </w:tc>
              <w:tc>
                <w:tcPr>
                  <w:tcW w:w="644" w:type="pct"/>
                  <w:vMerge w:val="continue"/>
                  <w:tcBorders>
                    <w:tl2br w:val="nil"/>
                    <w:tr2bl w:val="nil"/>
                  </w:tcBorders>
                  <w:noWrap w:val="0"/>
                  <w:tcMar>
                    <w:top w:w="0" w:type="dxa"/>
                    <w:left w:w="0" w:type="dxa"/>
                    <w:bottom w:w="0" w:type="dxa"/>
                    <w:right w:w="0" w:type="dxa"/>
                  </w:tcMar>
                  <w:vAlign w:val="center"/>
                </w:tcPr>
                <w:p w14:paraId="510E8B0B">
                  <w:pPr>
                    <w:spacing w:line="240" w:lineRule="exact"/>
                    <w:jc w:val="center"/>
                    <w:rPr>
                      <w:rFonts w:hint="eastAsia" w:ascii="Times New Roman" w:hAnsi="Times New Roman" w:eastAsia="Times New Roman"/>
                      <w:color w:val="auto"/>
                      <w:sz w:val="18"/>
                      <w:szCs w:val="18"/>
                      <w:lang w:val="en-US" w:eastAsia="en-US"/>
                    </w:rPr>
                  </w:pPr>
                </w:p>
              </w:tc>
              <w:tc>
                <w:tcPr>
                  <w:tcW w:w="563" w:type="pct"/>
                  <w:gridSpan w:val="2"/>
                  <w:tcBorders>
                    <w:tl2br w:val="nil"/>
                    <w:tr2bl w:val="nil"/>
                  </w:tcBorders>
                  <w:noWrap w:val="0"/>
                  <w:tcMar>
                    <w:top w:w="0" w:type="dxa"/>
                    <w:left w:w="0" w:type="dxa"/>
                    <w:bottom w:w="0" w:type="dxa"/>
                    <w:right w:w="0" w:type="dxa"/>
                  </w:tcMar>
                  <w:vAlign w:val="center"/>
                </w:tcPr>
                <w:p w14:paraId="208BEC30">
                  <w:pPr>
                    <w:spacing w:line="240" w:lineRule="exact"/>
                    <w:jc w:val="center"/>
                    <w:rPr>
                      <w:rFonts w:hint="eastAsia" w:ascii="Times New Roman" w:hAnsi="Times New Roman" w:eastAsia="Times New Roman"/>
                      <w:color w:val="auto"/>
                      <w:sz w:val="18"/>
                      <w:szCs w:val="18"/>
                      <w:lang w:val="en-US" w:eastAsia="en-US"/>
                    </w:rPr>
                  </w:pPr>
                  <w:r>
                    <w:rPr>
                      <w:rFonts w:hint="eastAsia" w:ascii="Times New Roman" w:hAnsi="Times New Roman" w:eastAsia="Times New Roman"/>
                      <w:color w:val="auto"/>
                      <w:sz w:val="18"/>
                      <w:szCs w:val="18"/>
                      <w:lang w:val="en-US" w:eastAsia="en-US"/>
                    </w:rPr>
                    <w:t>达标</w:t>
                  </w:r>
                </w:p>
              </w:tc>
            </w:tr>
            <w:tr w14:paraId="363FB8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61" w:hRule="atLeast"/>
                <w:jc w:val="center"/>
              </w:trPr>
              <w:tc>
                <w:tcPr>
                  <w:tcW w:w="4998" w:type="pct"/>
                  <w:gridSpan w:val="7"/>
                  <w:tcBorders>
                    <w:tl2br w:val="nil"/>
                    <w:tr2bl w:val="nil"/>
                  </w:tcBorders>
                  <w:noWrap w:val="0"/>
                  <w:tcMar>
                    <w:top w:w="0" w:type="dxa"/>
                    <w:left w:w="0" w:type="dxa"/>
                    <w:bottom w:w="0" w:type="dxa"/>
                    <w:right w:w="0" w:type="dxa"/>
                  </w:tcMar>
                  <w:vAlign w:val="center"/>
                </w:tcPr>
                <w:p w14:paraId="55117727">
                  <w:pPr>
                    <w:spacing w:line="240" w:lineRule="auto"/>
                    <w:jc w:val="center"/>
                    <w:rPr>
                      <w:rFonts w:hint="eastAsia" w:ascii="Times New Roman" w:hAnsi="Times New Roman" w:eastAsia="Times New Roman"/>
                      <w:color w:val="auto"/>
                      <w:sz w:val="18"/>
                      <w:szCs w:val="18"/>
                      <w:lang w:val="en-US" w:eastAsia="en-US"/>
                    </w:rPr>
                  </w:pPr>
                  <w:r>
                    <w:rPr>
                      <w:color w:val="auto"/>
                      <w:sz w:val="18"/>
                      <w:szCs w:val="18"/>
                    </w:rPr>
                    <mc:AlternateContent>
                      <mc:Choice Requires="wps">
                        <w:drawing>
                          <wp:anchor distT="0" distB="0" distL="114300" distR="114300" simplePos="0" relativeHeight="251660288" behindDoc="0" locked="0" layoutInCell="1" allowOverlap="1">
                            <wp:simplePos x="0" y="0"/>
                            <wp:positionH relativeFrom="column">
                              <wp:posOffset>628015</wp:posOffset>
                            </wp:positionH>
                            <wp:positionV relativeFrom="paragraph">
                              <wp:posOffset>459105</wp:posOffset>
                            </wp:positionV>
                            <wp:extent cx="428625" cy="28575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42862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099F7B">
                                        <w:pPr>
                                          <w:rPr>
                                            <w:rFonts w:hint="default" w:eastAsia="宋体"/>
                                            <w:lang w:val="en-US" w:eastAsia="zh-CN"/>
                                          </w:rPr>
                                        </w:pPr>
                                        <w:r>
                                          <w:rPr>
                                            <w:rFonts w:hint="eastAsia"/>
                                            <w:lang w:val="en-US" w:eastAsia="zh-CN"/>
                                          </w:rPr>
                                          <w:t>G2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45pt;margin-top:36.15pt;height:22.5pt;width:33.75pt;z-index:251660288;mso-width-relative:page;mso-height-relative:page;" filled="f" stroked="f" coordsize="21600,21600" o:gfxdata="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&#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IgIY02wAAAAkBAAAPAAAAAAAAAAEAIAAAACIAAABk&#10;cnMvZG93bnJldi54bWxQSwECFAAUAAAACACHTuJAYzss6TwCAABnBAAADgAAAAAAAAABACAAAAAq&#10;AQAAZHJzL2Uyb0RvYy54bWxQSwUGAAAAAAYABgBZAQAA2AUAAAAA&#10;">
                            <v:fill on="f" focussize="0,0"/>
                            <v:stroke on="f" weight="0.5pt"/>
                            <v:imagedata o:title=""/>
                            <o:lock v:ext="edit" aspectratio="f"/>
                            <v:textbox>
                              <w:txbxContent>
                                <w:p w14:paraId="1E099F7B">
                                  <w:pPr>
                                    <w:rPr>
                                      <w:rFonts w:hint="default" w:eastAsia="宋体"/>
                                      <w:lang w:val="en-US" w:eastAsia="zh-CN"/>
                                    </w:rPr>
                                  </w:pPr>
                                  <w:r>
                                    <w:rPr>
                                      <w:rFonts w:hint="eastAsia"/>
                                      <w:lang w:val="en-US" w:eastAsia="zh-CN"/>
                                    </w:rPr>
                                    <w:t>G2</w:t>
                                  </w:r>
                                </w:p>
                              </w:txbxContent>
                            </v:textbox>
                          </v:shape>
                        </w:pict>
                      </mc:Fallback>
                    </mc:AlternateContent>
                  </w:r>
                  <w:r>
                    <w:rPr>
                      <w:color w:val="auto"/>
                      <w:sz w:val="18"/>
                      <w:szCs w:val="18"/>
                    </w:rPr>
                    <mc:AlternateContent>
                      <mc:Choice Requires="wps">
                        <w:drawing>
                          <wp:anchor distT="0" distB="0" distL="114300" distR="114300" simplePos="0" relativeHeight="251659264" behindDoc="0" locked="0" layoutInCell="1" allowOverlap="1">
                            <wp:simplePos x="0" y="0"/>
                            <wp:positionH relativeFrom="column">
                              <wp:posOffset>2952115</wp:posOffset>
                            </wp:positionH>
                            <wp:positionV relativeFrom="paragraph">
                              <wp:posOffset>2087880</wp:posOffset>
                            </wp:positionV>
                            <wp:extent cx="428625" cy="285750"/>
                            <wp:effectExtent l="0" t="0" r="0" b="0"/>
                            <wp:wrapNone/>
                            <wp:docPr id="12" name="文本框 12"/>
                            <wp:cNvGraphicFramePr/>
                            <a:graphic xmlns:a="http://schemas.openxmlformats.org/drawingml/2006/main">
                              <a:graphicData uri="http://schemas.microsoft.com/office/word/2010/wordprocessingShape">
                                <wps:wsp>
                                  <wps:cNvSpPr txBox="1"/>
                                  <wps:spPr>
                                    <a:xfrm>
                                      <a:off x="4619625" y="3285490"/>
                                      <a:ext cx="42862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FE8DA1">
                                        <w:pPr>
                                          <w:rPr>
                                            <w:rFonts w:hint="default" w:eastAsia="宋体"/>
                                            <w:lang w:val="en-US" w:eastAsia="zh-CN"/>
                                          </w:rPr>
                                        </w:pPr>
                                        <w:r>
                                          <w:rPr>
                                            <w:rFonts w:hint="eastAsia"/>
                                            <w:lang w:val="en-US" w:eastAsia="zh-CN"/>
                                          </w:rPr>
                                          <w:t>G1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45pt;margin-top:164.4pt;height:22.5pt;width:33.75pt;z-index:251659264;mso-width-relative:page;mso-height-relative:page;" filled="f" stroked="f" coordsize="21600,21600" o:gfxdata="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baxym3AAAAAsBAAAPAAAAAAAAAAEA&#10;IAAAACIAAABkcnMvZG93bnJldi54bWxQSwECFAAUAAAACACHTuJAaqqv3kQCAABzBAAADgAAAAAA&#10;AAABACAAAAArAQAAZHJzL2Uyb0RvYy54bWxQSwUGAAAAAAYABgBZAQAA4QUAAAAA&#10;">
                            <v:fill on="f" focussize="0,0"/>
                            <v:stroke on="f" weight="0.5pt"/>
                            <v:imagedata o:title=""/>
                            <o:lock v:ext="edit" aspectratio="f"/>
                            <v:textbox>
                              <w:txbxContent>
                                <w:p w14:paraId="7EFE8DA1">
                                  <w:pPr>
                                    <w:rPr>
                                      <w:rFonts w:hint="default" w:eastAsia="宋体"/>
                                      <w:lang w:val="en-US" w:eastAsia="zh-CN"/>
                                    </w:rPr>
                                  </w:pPr>
                                  <w:r>
                                    <w:rPr>
                                      <w:rFonts w:hint="eastAsia"/>
                                      <w:lang w:val="en-US" w:eastAsia="zh-CN"/>
                                    </w:rPr>
                                    <w:t>G1</w:t>
                                  </w:r>
                                </w:p>
                              </w:txbxContent>
                            </v:textbox>
                          </v:shape>
                        </w:pict>
                      </mc:Fallback>
                    </mc:AlternateContent>
                  </w:r>
                  <w:r>
                    <w:rPr>
                      <w:color w:val="auto"/>
                      <w:sz w:val="18"/>
                      <w:szCs w:val="18"/>
                    </w:rPr>
                    <w:drawing>
                      <wp:inline distT="0" distB="0" distL="114300" distR="114300">
                        <wp:extent cx="4959350" cy="3489325"/>
                        <wp:effectExtent l="0" t="0" r="12700" b="1587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4959350" cy="3489325"/>
                                </a:xfrm>
                                <a:prstGeom prst="rect">
                                  <a:avLst/>
                                </a:prstGeom>
                                <a:noFill/>
                                <a:ln>
                                  <a:noFill/>
                                </a:ln>
                              </pic:spPr>
                            </pic:pic>
                          </a:graphicData>
                        </a:graphic>
                      </wp:inline>
                    </w:drawing>
                  </w:r>
                </w:p>
              </w:tc>
            </w:tr>
            <w:tr w14:paraId="39F7E6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cantSplit/>
                <w:trHeight w:val="261" w:hRule="atLeast"/>
                <w:jc w:val="center"/>
              </w:trPr>
              <w:tc>
                <w:tcPr>
                  <w:tcW w:w="4998" w:type="pct"/>
                  <w:gridSpan w:val="7"/>
                  <w:tcBorders>
                    <w:tl2br w:val="nil"/>
                    <w:tr2bl w:val="nil"/>
                  </w:tcBorders>
                  <w:noWrap w:val="0"/>
                  <w:tcMar>
                    <w:top w:w="0" w:type="dxa"/>
                    <w:left w:w="0" w:type="dxa"/>
                    <w:bottom w:w="0" w:type="dxa"/>
                    <w:right w:w="0" w:type="dxa"/>
                  </w:tcMar>
                  <w:vAlign w:val="center"/>
                </w:tcPr>
                <w:p w14:paraId="49198DAD">
                  <w:pPr>
                    <w:spacing w:line="240" w:lineRule="auto"/>
                    <w:jc w:val="center"/>
                    <w:rPr>
                      <w:rFonts w:hint="default" w:ascii="Times New Roman" w:hAnsi="Times New Roman" w:eastAsia="宋体"/>
                      <w:color w:val="auto"/>
                      <w:sz w:val="18"/>
                      <w:szCs w:val="18"/>
                      <w:lang w:val="en-US" w:eastAsia="zh-CN"/>
                    </w:rPr>
                  </w:pPr>
                  <w:r>
                    <w:rPr>
                      <w:rFonts w:hint="eastAsia" w:eastAsia="宋体"/>
                      <w:b/>
                      <w:bCs/>
                      <w:color w:val="auto"/>
                      <w:sz w:val="18"/>
                      <w:szCs w:val="18"/>
                      <w:lang w:val="en-US" w:eastAsia="zh-CN"/>
                    </w:rPr>
                    <w:t>监测点位图</w:t>
                  </w:r>
                </w:p>
              </w:tc>
            </w:tr>
          </w:tbl>
          <w:p w14:paraId="035216BC">
            <w:pPr>
              <w:pStyle w:val="3"/>
              <w:keepNext w:val="0"/>
              <w:keepLines w:val="0"/>
              <w:pageBreakBefore w:val="0"/>
              <w:widowControl w:val="0"/>
              <w:kinsoku/>
              <w:wordWrap/>
              <w:overflowPunct/>
              <w:topLinePunct w:val="0"/>
              <w:autoSpaceDE/>
              <w:autoSpaceDN/>
              <w:bidi w:val="0"/>
              <w:adjustRightInd/>
              <w:snapToGrid/>
              <w:spacing w:line="360" w:lineRule="auto"/>
              <w:ind w:leftChars="0" w:firstLine="420" w:firstLineChars="200"/>
              <w:jc w:val="left"/>
              <w:textAlignment w:val="auto"/>
              <w:rPr>
                <w:rFonts w:hint="default" w:ascii="Times New Roman" w:hAnsi="Times New Roman" w:eastAsia="宋体" w:cs="Times New Roman"/>
                <w:b w:val="0"/>
                <w:bCs w:val="0"/>
                <w:color w:val="auto"/>
                <w:kern w:val="2"/>
                <w:sz w:val="21"/>
                <w:szCs w:val="24"/>
                <w:lang w:val="en-US" w:eastAsia="zh-CN" w:bidi="ar-SA"/>
              </w:rPr>
            </w:pPr>
            <w:r>
              <w:rPr>
                <w:rFonts w:hint="eastAsia" w:ascii="Times New Roman" w:hAnsi="Times New Roman" w:eastAsia="宋体" w:cs="Times New Roman"/>
                <w:b w:val="0"/>
                <w:bCs w:val="0"/>
                <w:color w:val="auto"/>
                <w:kern w:val="2"/>
                <w:sz w:val="21"/>
                <w:szCs w:val="24"/>
                <w:lang w:val="en-US" w:eastAsia="zh-CN" w:bidi="ar-SA"/>
              </w:rPr>
              <w:t>引用数据表明，该区域</w:t>
            </w:r>
            <w:r>
              <w:rPr>
                <w:rFonts w:hint="eastAsia" w:ascii="Times New Roman" w:hAnsi="Times New Roman" w:cs="Times New Roman"/>
                <w:b w:val="0"/>
                <w:bCs w:val="0"/>
                <w:color w:val="auto"/>
                <w:kern w:val="2"/>
                <w:sz w:val="21"/>
                <w:szCs w:val="24"/>
                <w:lang w:val="en-US" w:eastAsia="zh-CN" w:bidi="ar-SA"/>
              </w:rPr>
              <w:t>TSP</w:t>
            </w:r>
            <w:r>
              <w:rPr>
                <w:rFonts w:hint="eastAsia" w:ascii="Times New Roman" w:hAnsi="Times New Roman" w:eastAsia="宋体" w:cs="Times New Roman"/>
                <w:b w:val="0"/>
                <w:bCs w:val="0"/>
                <w:color w:val="auto"/>
                <w:kern w:val="2"/>
                <w:sz w:val="21"/>
                <w:szCs w:val="24"/>
                <w:lang w:val="en-US" w:eastAsia="zh-CN" w:bidi="ar-SA"/>
              </w:rPr>
              <w:t>监测值满足</w:t>
            </w:r>
            <w:r>
              <w:rPr>
                <w:rFonts w:hint="eastAsia" w:ascii="Times New Roman" w:hAnsi="Times New Roman" w:cs="Times New Roman"/>
                <w:b w:val="0"/>
                <w:bCs w:val="0"/>
                <w:color w:val="auto"/>
                <w:kern w:val="2"/>
                <w:sz w:val="21"/>
                <w:szCs w:val="24"/>
                <w:lang w:val="en-US" w:eastAsia="zh-CN" w:bidi="ar-SA"/>
              </w:rPr>
              <w:t>《环境空气质量标准》（GB3095-2026）</w:t>
            </w:r>
            <w:r>
              <w:rPr>
                <w:rFonts w:hint="default" w:ascii="Times New Roman" w:hAnsi="Times New Roman" w:eastAsia="宋体" w:cs="Times New Roman"/>
                <w:b w:val="0"/>
                <w:bCs w:val="0"/>
                <w:color w:val="auto"/>
                <w:kern w:val="2"/>
                <w:sz w:val="21"/>
                <w:szCs w:val="24"/>
                <w:lang w:val="en-US" w:eastAsia="zh-CN" w:bidi="ar-SA"/>
              </w:rPr>
              <w:t>二级标准</w:t>
            </w:r>
            <w:r>
              <w:rPr>
                <w:rFonts w:hint="eastAsia" w:ascii="Times New Roman" w:hAnsi="Times New Roman" w:eastAsia="宋体" w:cs="Times New Roman"/>
                <w:b w:val="0"/>
                <w:bCs w:val="0"/>
                <w:color w:val="auto"/>
                <w:kern w:val="2"/>
                <w:sz w:val="21"/>
                <w:szCs w:val="24"/>
                <w:lang w:val="en-US" w:eastAsia="zh-CN" w:bidi="ar-SA"/>
              </w:rPr>
              <w:t>。</w:t>
            </w:r>
          </w:p>
          <w:p w14:paraId="0C615073">
            <w:pPr>
              <w:pStyle w:val="3"/>
              <w:bidi w:val="0"/>
              <w:rPr>
                <w:rFonts w:hint="default" w:ascii="Times New Roman" w:hAnsi="Times New Roman" w:cs="Times New Roman"/>
                <w:color w:val="auto"/>
                <w:lang w:val="zh-CN" w:eastAsia="zh-CN"/>
              </w:rPr>
            </w:pPr>
            <w:r>
              <w:rPr>
                <w:rFonts w:hint="default" w:ascii="Times New Roman" w:hAnsi="Times New Roman" w:cs="Times New Roman"/>
                <w:color w:val="auto"/>
                <w:lang w:val="zh-CN" w:eastAsia="zh-CN"/>
              </w:rPr>
              <w:t>（二）地表水环境</w:t>
            </w:r>
          </w:p>
          <w:p w14:paraId="5FD166D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 w:val="0"/>
                <w:bCs w:val="0"/>
                <w:color w:val="auto"/>
                <w:kern w:val="2"/>
                <w:sz w:val="21"/>
                <w:szCs w:val="24"/>
                <w:lang w:val="en-US" w:eastAsia="zh-CN" w:bidi="ar-SA"/>
              </w:rPr>
            </w:pPr>
            <w:r>
              <w:rPr>
                <w:rFonts w:hint="default" w:ascii="Times New Roman" w:hAnsi="Times New Roman" w:cs="Times New Roman"/>
                <w:color w:val="auto"/>
              </w:rPr>
              <w:t>根据《</w:t>
            </w:r>
            <w:r>
              <w:rPr>
                <w:rFonts w:hint="default" w:ascii="Times New Roman" w:hAnsi="Times New Roman" w:cs="Times New Roman"/>
                <w:color w:val="auto"/>
                <w:lang w:eastAsia="zh-CN"/>
              </w:rPr>
              <w:t>南通市生态环境状况公报</w:t>
            </w:r>
            <w:r>
              <w:rPr>
                <w:rFonts w:hint="default" w:ascii="Times New Roman" w:hAnsi="Times New Roman" w:cs="Times New Roman"/>
                <w:color w:val="auto"/>
              </w:rPr>
              <w:t>》（20</w:t>
            </w:r>
            <w:r>
              <w:rPr>
                <w:rFonts w:hint="default" w:ascii="Times New Roman" w:hAnsi="Times New Roman" w:cs="Times New Roman"/>
                <w:color w:val="auto"/>
                <w:lang w:val="en-US" w:eastAsia="zh-CN"/>
              </w:rPr>
              <w:t>24年</w:t>
            </w:r>
            <w:r>
              <w:rPr>
                <w:rFonts w:hint="default" w:ascii="Times New Roman" w:hAnsi="Times New Roman" w:cs="Times New Roman"/>
                <w:color w:val="auto"/>
              </w:rPr>
              <w:t>），</w:t>
            </w:r>
            <w:r>
              <w:rPr>
                <w:rFonts w:hint="default" w:ascii="Times New Roman" w:hAnsi="Times New Roman" w:eastAsia="宋体" w:cs="Times New Roman"/>
                <w:b w:val="0"/>
                <w:bCs w:val="0"/>
                <w:color w:val="auto"/>
                <w:kern w:val="2"/>
                <w:sz w:val="21"/>
                <w:szCs w:val="24"/>
                <w:lang w:val="en-US" w:eastAsia="zh-CN" w:bidi="ar-SA"/>
              </w:rPr>
              <w:t>全市均以长江水作为饮用水源，长江狼山水源地（对应狼山水厂、崇海水厂）、长江洪港水源地（洪港水厂）、长江长青沙水源地（对应如皋鹏鹞水厂）、长江海门水源地（海门长江水厂）符合地表水Ⅲ类及以上标准，水质优良。全市共计年取水量8.5亿吨，饮用水源地水质达标率均为100%。</w:t>
            </w:r>
          </w:p>
          <w:p w14:paraId="5FCD29B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长江（南通段）水质为Ⅱ类，水质优良。其中，姚港（左岸）、团结闸（左岸）、小李港（左岸）断面水质保持Ⅱ类。</w:t>
            </w:r>
          </w:p>
          <w:p w14:paraId="618AF9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default"/>
                <w:b/>
                <w:color w:val="auto"/>
                <w:sz w:val="21"/>
                <w:szCs w:val="21"/>
                <w:highlight w:val="none"/>
              </w:rPr>
            </w:pPr>
            <w:r>
              <w:rPr>
                <w:rFonts w:hint="default" w:ascii="Times New Roman" w:hAnsi="Times New Roman" w:eastAsia="宋体" w:cs="Times New Roman"/>
                <w:b w:val="0"/>
                <w:bCs w:val="0"/>
                <w:color w:val="auto"/>
                <w:kern w:val="2"/>
                <w:sz w:val="21"/>
                <w:szCs w:val="24"/>
                <w:lang w:val="en-US" w:eastAsia="zh-CN" w:bidi="ar-SA"/>
              </w:rPr>
              <w:t>南通市境内主要内河中，焦港河、通吕运河、如海运河、九圩港河、通启运河、新江海河、通扬运河、新通扬运河、栟茶运河、如泰运河、遥望港水质基本达到Ⅲ类标准。</w:t>
            </w:r>
          </w:p>
          <w:p w14:paraId="49380AC4">
            <w:pPr>
              <w:pStyle w:val="3"/>
              <w:keepNext w:val="0"/>
              <w:keepLines w:val="0"/>
              <w:pageBreakBefore w:val="0"/>
              <w:widowControl w:val="0"/>
              <w:kinsoku/>
              <w:wordWrap/>
              <w:overflowPunct/>
              <w:topLinePunct w:val="0"/>
              <w:autoSpaceDE/>
              <w:autoSpaceDN/>
              <w:bidi w:val="0"/>
              <w:ind w:right="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（三）声</w:t>
            </w:r>
            <w:r>
              <w:rPr>
                <w:rFonts w:hint="default" w:ascii="Times New Roman" w:hAnsi="Times New Roman" w:cs="Times New Roman"/>
                <w:color w:val="auto"/>
              </w:rPr>
              <w:t>环境</w:t>
            </w:r>
          </w:p>
          <w:p w14:paraId="32E43C27">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1"/>
                <w:szCs w:val="21"/>
                <w:highlight w:val="none"/>
                <w:u w:val="none"/>
              </w:rPr>
              <w:t>本项目周边50米</w:t>
            </w:r>
            <w:r>
              <w:rPr>
                <w:rFonts w:hint="default" w:ascii="Times New Roman" w:hAnsi="Times New Roman" w:cs="Times New Roman"/>
                <w:color w:val="auto"/>
                <w:sz w:val="21"/>
                <w:szCs w:val="21"/>
                <w:highlight w:val="none"/>
                <w:u w:val="none"/>
              </w:rPr>
              <w:t>范围</w:t>
            </w:r>
            <w:r>
              <w:rPr>
                <w:rFonts w:hint="default" w:ascii="Times New Roman" w:hAnsi="Times New Roman" w:cs="Times New Roman"/>
                <w:color w:val="auto"/>
                <w:kern w:val="0"/>
                <w:sz w:val="21"/>
                <w:szCs w:val="21"/>
                <w:highlight w:val="none"/>
                <w:u w:val="none"/>
              </w:rPr>
              <w:t>内无声环境保护目标</w:t>
            </w:r>
            <w:r>
              <w:rPr>
                <w:rFonts w:hint="default" w:ascii="Times New Roman" w:hAnsi="Times New Roman" w:cs="Times New Roman"/>
                <w:color w:val="auto"/>
                <w:kern w:val="0"/>
                <w:sz w:val="21"/>
                <w:szCs w:val="21"/>
                <w:highlight w:val="none"/>
              </w:rPr>
              <w:t>，根据《建设项目环境影响报告表编制技术指南（污染影响类）（试行）》，不开展声环境质量现状调查。</w:t>
            </w:r>
          </w:p>
          <w:p w14:paraId="30085DC1">
            <w:pPr>
              <w:pStyle w:val="3"/>
              <w:keepNext w:val="0"/>
              <w:keepLines w:val="0"/>
              <w:pageBreakBefore w:val="0"/>
              <w:widowControl w:val="0"/>
              <w:kinsoku/>
              <w:wordWrap/>
              <w:overflowPunct/>
              <w:topLinePunct w:val="0"/>
              <w:autoSpaceDE/>
              <w:autoSpaceDN/>
              <w:bidi w:val="0"/>
              <w:ind w:right="0"/>
              <w:textAlignment w:val="auto"/>
              <w:rPr>
                <w:rFonts w:hint="default"/>
                <w:color w:val="auto"/>
                <w:lang w:val="zh-CN" w:eastAsia="zh-CN"/>
              </w:rPr>
            </w:pPr>
            <w:r>
              <w:rPr>
                <w:rFonts w:hint="default"/>
                <w:color w:val="auto"/>
                <w:lang w:val="en-US" w:eastAsia="zh-CN"/>
              </w:rPr>
              <w:t>（四）生态环境</w:t>
            </w:r>
          </w:p>
          <w:p w14:paraId="15A24DB8">
            <w:pPr>
              <w:pStyle w:val="46"/>
              <w:keepNext w:val="0"/>
              <w:keepLines w:val="0"/>
              <w:pageBreakBefore w:val="0"/>
              <w:widowControl w:val="0"/>
              <w:kinsoku/>
              <w:wordWrap/>
              <w:overflowPunct/>
              <w:topLinePunct w:val="0"/>
              <w:autoSpaceDE/>
              <w:autoSpaceDN/>
              <w:bidi w:val="0"/>
              <w:spacing w:line="360" w:lineRule="auto"/>
              <w:ind w:right="0" w:firstLine="420" w:firstLineChars="200"/>
              <w:textAlignment w:val="auto"/>
              <w:rPr>
                <w:rFonts w:hint="default" w:ascii="Times New Roman" w:hAnsi="Times New Roman" w:cs="Times New Roman"/>
                <w:color w:val="auto"/>
                <w:sz w:val="21"/>
                <w:lang w:val="en-US" w:eastAsia="zh-CN"/>
              </w:rPr>
            </w:pPr>
            <w:r>
              <w:rPr>
                <w:rFonts w:hint="default" w:ascii="Times New Roman" w:hAnsi="Times New Roman" w:cs="Times New Roman"/>
                <w:color w:val="auto"/>
                <w:sz w:val="21"/>
                <w:u w:val="none"/>
                <w:lang w:val="en-US" w:eastAsia="zh-CN"/>
              </w:rPr>
              <w:t>本项目</w:t>
            </w:r>
            <w:r>
              <w:rPr>
                <w:rFonts w:hint="eastAsia" w:ascii="Times New Roman" w:hAnsi="Times New Roman" w:cs="Times New Roman"/>
                <w:color w:val="auto"/>
                <w:sz w:val="21"/>
                <w:u w:val="none"/>
                <w:lang w:val="en-US" w:eastAsia="zh-CN"/>
              </w:rPr>
              <w:t>位于园区，</w:t>
            </w:r>
            <w:r>
              <w:rPr>
                <w:rFonts w:hint="default" w:ascii="Times New Roman" w:hAnsi="Times New Roman" w:cs="Times New Roman"/>
                <w:color w:val="auto"/>
                <w:sz w:val="21"/>
                <w:lang w:val="en-US" w:eastAsia="zh-CN"/>
              </w:rPr>
              <w:t>且用地性</w:t>
            </w:r>
            <w:r>
              <w:rPr>
                <w:rFonts w:hint="default" w:ascii="Times New Roman" w:hAnsi="Times New Roman" w:cs="Times New Roman"/>
                <w:color w:val="auto"/>
                <w:sz w:val="21"/>
                <w:highlight w:val="none"/>
                <w:lang w:val="en-US" w:eastAsia="zh-CN"/>
              </w:rPr>
              <w:t>质为工业用地</w:t>
            </w:r>
            <w:r>
              <w:rPr>
                <w:rFonts w:hint="eastAsia" w:ascii="Times New Roman" w:hAnsi="Times New Roman" w:cs="Times New Roman"/>
                <w:color w:val="auto"/>
                <w:sz w:val="21"/>
                <w:highlight w:val="none"/>
                <w:lang w:val="en-US" w:eastAsia="zh-CN"/>
              </w:rPr>
              <w:t>，故</w:t>
            </w:r>
            <w:r>
              <w:rPr>
                <w:rFonts w:hint="default" w:ascii="Times New Roman" w:hAnsi="Times New Roman" w:cs="Times New Roman"/>
                <w:color w:val="auto"/>
                <w:sz w:val="21"/>
                <w:lang w:val="en-US" w:eastAsia="zh-CN"/>
              </w:rPr>
              <w:t>不涉及生态环境影响。</w:t>
            </w:r>
          </w:p>
          <w:p w14:paraId="1FB84668">
            <w:pPr>
              <w:pStyle w:val="3"/>
              <w:keepNext w:val="0"/>
              <w:keepLines w:val="0"/>
              <w:pageBreakBefore w:val="0"/>
              <w:widowControl w:val="0"/>
              <w:kinsoku/>
              <w:wordWrap/>
              <w:overflowPunct/>
              <w:topLinePunct w:val="0"/>
              <w:autoSpaceDE/>
              <w:autoSpaceDN/>
              <w:bidi w:val="0"/>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（五）电磁辐射</w:t>
            </w:r>
          </w:p>
          <w:p w14:paraId="7AA7F9D3">
            <w:pPr>
              <w:pStyle w:val="46"/>
              <w:keepNext w:val="0"/>
              <w:keepLines w:val="0"/>
              <w:pageBreakBefore w:val="0"/>
              <w:widowControl w:val="0"/>
              <w:kinsoku/>
              <w:wordWrap/>
              <w:overflowPunct/>
              <w:topLinePunct w:val="0"/>
              <w:autoSpaceDE/>
              <w:autoSpaceDN/>
              <w:bidi w:val="0"/>
              <w:spacing w:line="360" w:lineRule="auto"/>
              <w:ind w:left="424" w:right="0"/>
              <w:textAlignment w:val="auto"/>
              <w:rPr>
                <w:rFonts w:hint="default" w:ascii="Times New Roman" w:hAnsi="Times New Roman" w:cs="Times New Roman"/>
                <w:color w:val="auto"/>
                <w:sz w:val="21"/>
                <w:lang w:val="en-US" w:eastAsia="zh-CN"/>
              </w:rPr>
            </w:pPr>
            <w:r>
              <w:rPr>
                <w:rFonts w:hint="default" w:ascii="Times New Roman" w:hAnsi="Times New Roman" w:cs="Times New Roman"/>
                <w:color w:val="auto"/>
                <w:sz w:val="21"/>
                <w:lang w:val="en-US" w:eastAsia="zh-CN"/>
              </w:rPr>
              <w:t>本项目使用的设备和工艺皆不涉及电磁辐射。</w:t>
            </w:r>
          </w:p>
          <w:p w14:paraId="6EBD28DE">
            <w:pPr>
              <w:pStyle w:val="3"/>
              <w:keepNext w:val="0"/>
              <w:keepLines w:val="0"/>
              <w:pageBreakBefore w:val="0"/>
              <w:widowControl w:val="0"/>
              <w:kinsoku/>
              <w:wordWrap/>
              <w:overflowPunct/>
              <w:topLinePunct w:val="0"/>
              <w:autoSpaceDE/>
              <w:autoSpaceDN/>
              <w:bidi w:val="0"/>
              <w:ind w:right="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（六）地下水、土壤环境</w:t>
            </w:r>
          </w:p>
          <w:p w14:paraId="15D3DE54">
            <w:pPr>
              <w:keepNext w:val="0"/>
              <w:keepLines w:val="0"/>
              <w:pageBreakBefore w:val="0"/>
              <w:widowControl w:val="0"/>
              <w:kinsoku/>
              <w:wordWrap/>
              <w:overflowPunct/>
              <w:topLinePunct w:val="0"/>
              <w:autoSpaceDE/>
              <w:autoSpaceDN/>
              <w:bidi w:val="0"/>
              <w:adjustRightInd w:val="0"/>
              <w:snapToGrid w:val="0"/>
              <w:spacing w:line="360" w:lineRule="auto"/>
              <w:ind w:right="0" w:firstLine="420" w:firstLineChars="200"/>
              <w:jc w:val="left"/>
              <w:textAlignment w:val="auto"/>
              <w:rPr>
                <w:rFonts w:ascii="宋体" w:hAnsi="宋体" w:cs="宋体"/>
                <w:color w:val="auto"/>
                <w:kern w:val="0"/>
                <w:szCs w:val="21"/>
              </w:rPr>
            </w:pPr>
            <w:r>
              <w:rPr>
                <w:rFonts w:hint="default" w:ascii="Times New Roman" w:hAnsi="Times New Roman" w:cs="Times New Roman"/>
                <w:color w:val="auto"/>
                <w:sz w:val="21"/>
                <w:lang w:val="en-US" w:eastAsia="zh-CN"/>
              </w:rPr>
              <w:t>本项目为</w:t>
            </w:r>
            <w:r>
              <w:rPr>
                <w:rFonts w:hint="eastAsia" w:cs="Times New Roman"/>
                <w:color w:val="auto"/>
                <w:sz w:val="21"/>
                <w:u w:val="none"/>
                <w:lang w:val="en-US" w:eastAsia="zh-CN"/>
              </w:rPr>
              <w:t>汽车制造业</w:t>
            </w:r>
            <w:r>
              <w:rPr>
                <w:rFonts w:hint="default" w:ascii="Times New Roman" w:hAnsi="Times New Roman" w:cs="Times New Roman"/>
                <w:color w:val="auto"/>
                <w:sz w:val="21"/>
                <w:lang w:val="en-US" w:eastAsia="zh-CN"/>
              </w:rPr>
              <w:t>，</w:t>
            </w:r>
            <w:r>
              <w:rPr>
                <w:rFonts w:hint="eastAsia" w:ascii="Times New Roman" w:hAnsi="Times New Roman" w:cs="Times New Roman"/>
                <w:color w:val="auto"/>
                <w:sz w:val="21"/>
                <w:lang w:val="en-US" w:eastAsia="zh-CN"/>
              </w:rPr>
              <w:t>采取分区防渗后，正常工况下，不存在土壤、地下水环境污染途径，</w:t>
            </w:r>
            <w:r>
              <w:rPr>
                <w:rFonts w:hint="default" w:ascii="Times New Roman" w:hAnsi="Times New Roman" w:cs="Times New Roman"/>
                <w:color w:val="auto"/>
                <w:sz w:val="21"/>
                <w:lang w:val="en-US" w:eastAsia="zh-CN"/>
              </w:rPr>
              <w:t>根据《建设项目环境影响报告表编制技术指南（污染影响类）（试行）》，暂不开展地下水、土壤环境现状调查。</w:t>
            </w:r>
          </w:p>
        </w:tc>
      </w:tr>
      <w:tr w14:paraId="5C3CC6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623" w:type="dxa"/>
            <w:noWrap w:val="0"/>
            <w:vAlign w:val="center"/>
          </w:tcPr>
          <w:p w14:paraId="2144FD02">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环境</w:t>
            </w:r>
          </w:p>
          <w:p w14:paraId="100A3023">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保护</w:t>
            </w:r>
          </w:p>
          <w:p w14:paraId="28886600">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目标</w:t>
            </w:r>
          </w:p>
        </w:tc>
        <w:tc>
          <w:tcPr>
            <w:tcW w:w="8367" w:type="dxa"/>
            <w:noWrap w:val="0"/>
            <w:vAlign w:val="center"/>
          </w:tcPr>
          <w:p w14:paraId="18F47CCE">
            <w:pPr>
              <w:pStyle w:val="3"/>
              <w:bidi w:val="0"/>
              <w:rPr>
                <w:rFonts w:hint="default"/>
                <w:color w:val="auto"/>
              </w:rPr>
            </w:pPr>
            <w:r>
              <w:rPr>
                <w:rFonts w:hint="eastAsia"/>
                <w:color w:val="auto"/>
                <w:lang w:val="en-US" w:eastAsia="zh-CN"/>
              </w:rPr>
              <w:t>（一）</w:t>
            </w:r>
            <w:r>
              <w:rPr>
                <w:rFonts w:hint="default"/>
                <w:color w:val="auto"/>
              </w:rPr>
              <w:t>大气环境</w:t>
            </w:r>
          </w:p>
          <w:p w14:paraId="25DD2F8D">
            <w:pPr>
              <w:adjustRightInd w:val="0"/>
              <w:snapToGrid w:val="0"/>
              <w:spacing w:line="360" w:lineRule="auto"/>
              <w:ind w:firstLine="420" w:firstLineChars="200"/>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本</w:t>
            </w:r>
            <w:r>
              <w:rPr>
                <w:rFonts w:hint="default" w:ascii="Times New Roman" w:hAnsi="Times New Roman" w:cs="Times New Roman"/>
                <w:color w:val="auto"/>
                <w:kern w:val="0"/>
                <w:sz w:val="21"/>
                <w:szCs w:val="21"/>
                <w:highlight w:val="none"/>
              </w:rPr>
              <w:t>项目位于</w:t>
            </w:r>
            <w:r>
              <w:rPr>
                <w:rFonts w:hint="default" w:ascii="Times New Roman" w:hAnsi="Times New Roman" w:cs="Times New Roman"/>
                <w:color w:val="auto"/>
                <w:szCs w:val="21"/>
              </w:rPr>
              <w:t>南通市海门经济技术开发区滨江街道福州路179号</w:t>
            </w:r>
            <w:r>
              <w:rPr>
                <w:rFonts w:hint="default" w:ascii="Times New Roman" w:hAnsi="Times New Roman" w:cs="Times New Roman"/>
                <w:color w:val="auto"/>
                <w:kern w:val="0"/>
                <w:sz w:val="21"/>
                <w:szCs w:val="21"/>
                <w:highlight w:val="none"/>
              </w:rPr>
              <w:t>，根据现场勘查，</w:t>
            </w:r>
            <w:r>
              <w:rPr>
                <w:rFonts w:hint="eastAsia" w:cs="Times New Roman"/>
                <w:color w:val="auto"/>
                <w:kern w:val="0"/>
                <w:sz w:val="21"/>
                <w:szCs w:val="21"/>
                <w:highlight w:val="none"/>
                <w:u w:val="none"/>
                <w:lang w:val="en-US" w:eastAsia="zh-CN"/>
              </w:rPr>
              <w:t>环境保护目标如下</w:t>
            </w:r>
            <w:r>
              <w:rPr>
                <w:rFonts w:hint="eastAsia" w:ascii="Times New Roman" w:hAnsi="Times New Roman" w:cs="Times New Roman"/>
                <w:color w:val="auto"/>
                <w:kern w:val="0"/>
                <w:sz w:val="21"/>
                <w:szCs w:val="21"/>
                <w:highlight w:val="none"/>
                <w:lang w:eastAsia="zh-CN"/>
              </w:rPr>
              <w:t>。</w:t>
            </w:r>
          </w:p>
          <w:p w14:paraId="31ECEA17">
            <w:pPr>
              <w:keepNext w:val="0"/>
              <w:keepLines w:val="0"/>
              <w:suppressLineNumbers w:val="0"/>
              <w:spacing w:before="0" w:beforeAutospacing="0" w:after="0" w:afterAutospacing="0"/>
              <w:ind w:left="0" w:right="0" w:firstLine="422" w:firstLineChars="200"/>
              <w:jc w:val="center"/>
              <w:rPr>
                <w:rFonts w:hint="default"/>
                <w:b/>
                <w:color w:val="auto"/>
                <w:szCs w:val="21"/>
                <w:highlight w:val="none"/>
              </w:rPr>
            </w:pPr>
            <w:r>
              <w:rPr>
                <w:rFonts w:hint="default"/>
                <w:b/>
                <w:color w:val="auto"/>
                <w:szCs w:val="21"/>
                <w:highlight w:val="none"/>
              </w:rPr>
              <w:t>表</w:t>
            </w:r>
            <w:r>
              <w:rPr>
                <w:rFonts w:hint="eastAsia"/>
                <w:b/>
                <w:color w:val="auto"/>
                <w:szCs w:val="21"/>
                <w:highlight w:val="none"/>
              </w:rPr>
              <w:t>3-</w:t>
            </w:r>
            <w:r>
              <w:rPr>
                <w:rFonts w:hint="eastAsia"/>
                <w:b/>
                <w:color w:val="auto"/>
                <w:szCs w:val="21"/>
                <w:highlight w:val="none"/>
                <w:lang w:val="en-US" w:eastAsia="zh-CN"/>
              </w:rPr>
              <w:t>2</w:t>
            </w:r>
            <w:r>
              <w:rPr>
                <w:rFonts w:hint="default"/>
                <w:b/>
                <w:color w:val="auto"/>
                <w:szCs w:val="21"/>
                <w:highlight w:val="none"/>
              </w:rPr>
              <w:t xml:space="preserve">  </w:t>
            </w:r>
            <w:r>
              <w:rPr>
                <w:rFonts w:hint="eastAsia"/>
                <w:b/>
                <w:color w:val="auto"/>
                <w:szCs w:val="21"/>
                <w:highlight w:val="none"/>
              </w:rPr>
              <w:t>大气环境</w:t>
            </w:r>
            <w:r>
              <w:rPr>
                <w:rFonts w:hint="default"/>
                <w:b/>
                <w:bCs/>
                <w:color w:val="auto"/>
                <w:szCs w:val="21"/>
                <w:highlight w:val="none"/>
              </w:rPr>
              <w:t>保护目标</w:t>
            </w:r>
          </w:p>
          <w:tbl>
            <w:tblPr>
              <w:tblStyle w:val="20"/>
              <w:tblW w:w="4936" w:type="pct"/>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1786"/>
              <w:gridCol w:w="1708"/>
              <w:gridCol w:w="1237"/>
              <w:gridCol w:w="1003"/>
              <w:gridCol w:w="1237"/>
            </w:tblGrid>
            <w:tr w14:paraId="165AA98E">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5" w:type="pct"/>
                  <w:vMerge w:val="restart"/>
                  <w:noWrap w:val="0"/>
                  <w:vAlign w:val="center"/>
                </w:tcPr>
                <w:p w14:paraId="2ACF0A9B">
                  <w:pPr>
                    <w:keepNext w:val="0"/>
                    <w:keepLines w:val="0"/>
                    <w:suppressLineNumbers w:val="0"/>
                    <w:spacing w:before="0" w:beforeAutospacing="0" w:after="0" w:afterAutospacing="0"/>
                    <w:ind w:left="0" w:right="0"/>
                    <w:jc w:val="center"/>
                    <w:rPr>
                      <w:rFonts w:hint="default"/>
                      <w:b/>
                      <w:color w:val="auto"/>
                      <w:sz w:val="18"/>
                      <w:szCs w:val="18"/>
                      <w:highlight w:val="none"/>
                    </w:rPr>
                  </w:pPr>
                  <w:r>
                    <w:rPr>
                      <w:rFonts w:hint="default"/>
                      <w:b/>
                      <w:color w:val="auto"/>
                      <w:sz w:val="18"/>
                      <w:szCs w:val="18"/>
                      <w:highlight w:val="none"/>
                    </w:rPr>
                    <w:t>环境要素</w:t>
                  </w:r>
                </w:p>
              </w:tc>
              <w:tc>
                <w:tcPr>
                  <w:tcW w:w="1097" w:type="pct"/>
                  <w:vMerge w:val="restart"/>
                  <w:noWrap w:val="0"/>
                  <w:vAlign w:val="center"/>
                </w:tcPr>
                <w:p w14:paraId="2414BF27">
                  <w:pPr>
                    <w:keepNext w:val="0"/>
                    <w:keepLines w:val="0"/>
                    <w:suppressLineNumbers w:val="0"/>
                    <w:spacing w:before="0" w:beforeAutospacing="0" w:after="0" w:afterAutospacing="0"/>
                    <w:ind w:left="0" w:right="0"/>
                    <w:jc w:val="center"/>
                    <w:rPr>
                      <w:rFonts w:hint="default"/>
                      <w:b/>
                      <w:color w:val="auto"/>
                      <w:sz w:val="18"/>
                      <w:szCs w:val="18"/>
                      <w:highlight w:val="none"/>
                    </w:rPr>
                  </w:pPr>
                  <w:r>
                    <w:rPr>
                      <w:rFonts w:hint="default"/>
                      <w:b/>
                      <w:color w:val="auto"/>
                      <w:sz w:val="18"/>
                      <w:szCs w:val="18"/>
                      <w:highlight w:val="none"/>
                    </w:rPr>
                    <w:t>保护对象</w:t>
                  </w:r>
                </w:p>
              </w:tc>
              <w:tc>
                <w:tcPr>
                  <w:tcW w:w="1049" w:type="pct"/>
                  <w:vMerge w:val="restart"/>
                  <w:noWrap w:val="0"/>
                  <w:vAlign w:val="center"/>
                </w:tcPr>
                <w:p w14:paraId="1E7E520B">
                  <w:pPr>
                    <w:keepNext w:val="0"/>
                    <w:keepLines w:val="0"/>
                    <w:suppressLineNumbers w:val="0"/>
                    <w:spacing w:before="0" w:beforeAutospacing="0" w:after="0" w:afterAutospacing="0"/>
                    <w:ind w:left="0" w:right="0"/>
                    <w:jc w:val="center"/>
                    <w:rPr>
                      <w:rFonts w:hint="default"/>
                      <w:b/>
                      <w:color w:val="auto"/>
                      <w:sz w:val="18"/>
                      <w:szCs w:val="18"/>
                      <w:highlight w:val="none"/>
                    </w:rPr>
                  </w:pPr>
                  <w:r>
                    <w:rPr>
                      <w:rFonts w:hint="default"/>
                      <w:b/>
                      <w:color w:val="auto"/>
                      <w:sz w:val="18"/>
                      <w:szCs w:val="18"/>
                      <w:highlight w:val="none"/>
                    </w:rPr>
                    <w:t>保护内容</w:t>
                  </w:r>
                </w:p>
              </w:tc>
              <w:tc>
                <w:tcPr>
                  <w:tcW w:w="760" w:type="pct"/>
                  <w:vMerge w:val="restart"/>
                  <w:noWrap w:val="0"/>
                  <w:vAlign w:val="center"/>
                </w:tcPr>
                <w:p w14:paraId="446B4A25">
                  <w:pPr>
                    <w:keepNext w:val="0"/>
                    <w:keepLines w:val="0"/>
                    <w:suppressLineNumbers w:val="0"/>
                    <w:spacing w:before="0" w:beforeAutospacing="0" w:after="0" w:afterAutospacing="0"/>
                    <w:ind w:left="0" w:right="0"/>
                    <w:jc w:val="center"/>
                    <w:rPr>
                      <w:rFonts w:hint="default"/>
                      <w:b/>
                      <w:color w:val="auto"/>
                      <w:sz w:val="18"/>
                      <w:szCs w:val="18"/>
                      <w:highlight w:val="none"/>
                    </w:rPr>
                  </w:pPr>
                  <w:r>
                    <w:rPr>
                      <w:rFonts w:hint="default"/>
                      <w:b/>
                      <w:color w:val="auto"/>
                      <w:sz w:val="18"/>
                      <w:szCs w:val="18"/>
                      <w:highlight w:val="none"/>
                    </w:rPr>
                    <w:t>环境功能区</w:t>
                  </w:r>
                </w:p>
              </w:tc>
              <w:tc>
                <w:tcPr>
                  <w:tcW w:w="616" w:type="pct"/>
                  <w:vMerge w:val="restart"/>
                  <w:noWrap w:val="0"/>
                  <w:vAlign w:val="center"/>
                </w:tcPr>
                <w:p w14:paraId="18F544DD">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b/>
                      <w:bCs/>
                      <w:color w:val="auto"/>
                      <w:sz w:val="18"/>
                      <w:szCs w:val="18"/>
                      <w:highlight w:val="none"/>
                    </w:rPr>
                    <w:t>相对厂址方位</w:t>
                  </w:r>
                </w:p>
              </w:tc>
              <w:tc>
                <w:tcPr>
                  <w:tcW w:w="760" w:type="pct"/>
                  <w:vMerge w:val="restart"/>
                  <w:noWrap w:val="0"/>
                  <w:vAlign w:val="center"/>
                </w:tcPr>
                <w:p w14:paraId="357FAD9B">
                  <w:pPr>
                    <w:keepNext w:val="0"/>
                    <w:keepLines w:val="0"/>
                    <w:suppressLineNumbers w:val="0"/>
                    <w:spacing w:before="0" w:beforeAutospacing="0" w:after="0" w:afterAutospacing="0"/>
                    <w:ind w:left="0" w:right="0"/>
                    <w:jc w:val="center"/>
                    <w:rPr>
                      <w:rFonts w:hint="default"/>
                      <w:color w:val="auto"/>
                      <w:sz w:val="18"/>
                      <w:szCs w:val="18"/>
                      <w:highlight w:val="none"/>
                    </w:rPr>
                  </w:pPr>
                  <w:r>
                    <w:rPr>
                      <w:rFonts w:hint="default"/>
                      <w:b/>
                      <w:color w:val="auto"/>
                      <w:sz w:val="18"/>
                      <w:szCs w:val="18"/>
                      <w:highlight w:val="none"/>
                    </w:rPr>
                    <w:t>相对厂界距离/m</w:t>
                  </w:r>
                </w:p>
              </w:tc>
            </w:tr>
            <w:tr w14:paraId="1CC45390">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5" w:type="pct"/>
                  <w:vMerge w:val="continue"/>
                  <w:noWrap w:val="0"/>
                  <w:vAlign w:val="center"/>
                </w:tcPr>
                <w:p w14:paraId="6A910317">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1097" w:type="pct"/>
                  <w:vMerge w:val="continue"/>
                  <w:noWrap w:val="0"/>
                  <w:vAlign w:val="center"/>
                </w:tcPr>
                <w:p w14:paraId="78B62E06">
                  <w:pPr>
                    <w:keepNext w:val="0"/>
                    <w:keepLines w:val="0"/>
                    <w:suppressLineNumbers w:val="0"/>
                    <w:spacing w:before="0" w:beforeAutospacing="0" w:after="0" w:afterAutospacing="0"/>
                    <w:ind w:left="0" w:right="0"/>
                    <w:jc w:val="center"/>
                    <w:rPr>
                      <w:rFonts w:hint="default"/>
                      <w:b/>
                      <w:color w:val="auto"/>
                      <w:sz w:val="18"/>
                      <w:szCs w:val="18"/>
                      <w:highlight w:val="none"/>
                    </w:rPr>
                  </w:pPr>
                </w:p>
              </w:tc>
              <w:tc>
                <w:tcPr>
                  <w:tcW w:w="1049" w:type="pct"/>
                  <w:vMerge w:val="continue"/>
                  <w:noWrap w:val="0"/>
                  <w:vAlign w:val="center"/>
                </w:tcPr>
                <w:p w14:paraId="4D4EA894">
                  <w:pPr>
                    <w:keepNext w:val="0"/>
                    <w:keepLines w:val="0"/>
                    <w:suppressLineNumbers w:val="0"/>
                    <w:spacing w:before="0" w:beforeAutospacing="0" w:after="0" w:afterAutospacing="0"/>
                    <w:ind w:left="0" w:right="0"/>
                    <w:jc w:val="center"/>
                    <w:rPr>
                      <w:rFonts w:hint="default"/>
                      <w:b/>
                      <w:color w:val="auto"/>
                      <w:sz w:val="18"/>
                      <w:szCs w:val="18"/>
                      <w:highlight w:val="none"/>
                    </w:rPr>
                  </w:pPr>
                </w:p>
              </w:tc>
              <w:tc>
                <w:tcPr>
                  <w:tcW w:w="760" w:type="pct"/>
                  <w:vMerge w:val="continue"/>
                  <w:noWrap w:val="0"/>
                  <w:vAlign w:val="center"/>
                </w:tcPr>
                <w:p w14:paraId="2A23146B">
                  <w:pPr>
                    <w:keepNext w:val="0"/>
                    <w:keepLines w:val="0"/>
                    <w:suppressLineNumbers w:val="0"/>
                    <w:spacing w:before="0" w:beforeAutospacing="0" w:after="0" w:afterAutospacing="0"/>
                    <w:ind w:left="0" w:right="0"/>
                    <w:jc w:val="center"/>
                    <w:rPr>
                      <w:rFonts w:hint="default"/>
                      <w:b/>
                      <w:color w:val="auto"/>
                      <w:sz w:val="18"/>
                      <w:szCs w:val="18"/>
                      <w:highlight w:val="none"/>
                    </w:rPr>
                  </w:pPr>
                </w:p>
              </w:tc>
              <w:tc>
                <w:tcPr>
                  <w:tcW w:w="616" w:type="pct"/>
                  <w:vMerge w:val="continue"/>
                  <w:noWrap w:val="0"/>
                  <w:vAlign w:val="center"/>
                </w:tcPr>
                <w:p w14:paraId="45E4D1FF">
                  <w:pPr>
                    <w:keepNext w:val="0"/>
                    <w:keepLines w:val="0"/>
                    <w:suppressLineNumbers w:val="0"/>
                    <w:spacing w:before="0" w:beforeAutospacing="0" w:after="0" w:afterAutospacing="0"/>
                    <w:ind w:left="0" w:right="0"/>
                    <w:jc w:val="center"/>
                    <w:rPr>
                      <w:rFonts w:hint="default"/>
                      <w:color w:val="auto"/>
                      <w:sz w:val="18"/>
                      <w:szCs w:val="18"/>
                      <w:highlight w:val="none"/>
                    </w:rPr>
                  </w:pPr>
                </w:p>
              </w:tc>
              <w:tc>
                <w:tcPr>
                  <w:tcW w:w="760" w:type="pct"/>
                  <w:vMerge w:val="continue"/>
                  <w:noWrap w:val="0"/>
                  <w:vAlign w:val="center"/>
                </w:tcPr>
                <w:p w14:paraId="16AE9723">
                  <w:pPr>
                    <w:keepNext w:val="0"/>
                    <w:keepLines w:val="0"/>
                    <w:suppressLineNumbers w:val="0"/>
                    <w:spacing w:before="0" w:beforeAutospacing="0" w:after="0" w:afterAutospacing="0"/>
                    <w:ind w:left="0" w:right="0"/>
                    <w:jc w:val="center"/>
                    <w:rPr>
                      <w:rFonts w:hint="default"/>
                      <w:color w:val="auto"/>
                      <w:sz w:val="18"/>
                      <w:szCs w:val="18"/>
                      <w:highlight w:val="none"/>
                    </w:rPr>
                  </w:pPr>
                </w:p>
              </w:tc>
            </w:tr>
            <w:tr w14:paraId="04CBD292">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715" w:type="pct"/>
                  <w:vMerge w:val="restart"/>
                  <w:noWrap w:val="0"/>
                  <w:vAlign w:val="center"/>
                </w:tcPr>
                <w:p w14:paraId="7F6721D9">
                  <w:pPr>
                    <w:keepNext w:val="0"/>
                    <w:keepLines w:val="0"/>
                    <w:suppressLineNumbers w:val="0"/>
                    <w:spacing w:before="0" w:beforeAutospacing="0" w:after="0" w:afterAutospacing="0"/>
                    <w:ind w:left="0" w:right="0"/>
                    <w:jc w:val="center"/>
                    <w:rPr>
                      <w:rFonts w:hint="eastAsia"/>
                      <w:bCs/>
                      <w:color w:val="auto"/>
                      <w:sz w:val="18"/>
                      <w:szCs w:val="18"/>
                      <w:highlight w:val="none"/>
                    </w:rPr>
                  </w:pPr>
                  <w:r>
                    <w:rPr>
                      <w:rFonts w:hint="default" w:ascii="Times New Roman" w:hAnsi="Times New Roman" w:eastAsia="宋体" w:cs="Times New Roman"/>
                      <w:bCs/>
                      <w:color w:val="auto"/>
                      <w:sz w:val="18"/>
                      <w:szCs w:val="18"/>
                    </w:rPr>
                    <w:t>空气环境</w:t>
                  </w:r>
                </w:p>
              </w:tc>
              <w:tc>
                <w:tcPr>
                  <w:tcW w:w="1097" w:type="pct"/>
                  <w:noWrap w:val="0"/>
                  <w:vAlign w:val="center"/>
                </w:tcPr>
                <w:p w14:paraId="5A8C59C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滨江华都</w:t>
                  </w:r>
                </w:p>
              </w:tc>
              <w:tc>
                <w:tcPr>
                  <w:tcW w:w="1049" w:type="pct"/>
                  <w:noWrap w:val="0"/>
                  <w:vAlign w:val="center"/>
                </w:tcPr>
                <w:p w14:paraId="36C9DA8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2500人</w:t>
                  </w:r>
                </w:p>
              </w:tc>
              <w:tc>
                <w:tcPr>
                  <w:tcW w:w="760" w:type="pct"/>
                  <w:vMerge w:val="restart"/>
                  <w:noWrap w:val="0"/>
                  <w:vAlign w:val="center"/>
                </w:tcPr>
                <w:p w14:paraId="2BE7792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环境空气二类区</w:t>
                  </w:r>
                </w:p>
              </w:tc>
              <w:tc>
                <w:tcPr>
                  <w:tcW w:w="616" w:type="pct"/>
                  <w:noWrap w:val="0"/>
                  <w:vAlign w:val="center"/>
                </w:tcPr>
                <w:p w14:paraId="5202543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西北</w:t>
                  </w:r>
                </w:p>
              </w:tc>
              <w:tc>
                <w:tcPr>
                  <w:tcW w:w="760" w:type="pct"/>
                  <w:noWrap w:val="0"/>
                  <w:vAlign w:val="center"/>
                </w:tcPr>
                <w:p w14:paraId="3FFE388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330</w:t>
                  </w:r>
                </w:p>
              </w:tc>
            </w:tr>
            <w:tr w14:paraId="5BDFEFE3">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715" w:type="pct"/>
                  <w:vMerge w:val="continue"/>
                </w:tcPr>
                <w:p w14:paraId="1A5D99CB">
                  <w:pPr>
                    <w:keepNext w:val="0"/>
                    <w:keepLines w:val="0"/>
                    <w:suppressLineNumbers w:val="0"/>
                    <w:spacing w:before="0" w:beforeAutospacing="0" w:after="0" w:afterAutospacing="0"/>
                    <w:ind w:left="0" w:right="0"/>
                    <w:jc w:val="center"/>
                    <w:rPr>
                      <w:rFonts w:hint="eastAsia"/>
                      <w:bCs/>
                      <w:color w:val="auto"/>
                      <w:sz w:val="18"/>
                      <w:szCs w:val="18"/>
                      <w:highlight w:val="none"/>
                    </w:rPr>
                  </w:pPr>
                </w:p>
              </w:tc>
              <w:tc>
                <w:tcPr>
                  <w:tcW w:w="1097" w:type="pct"/>
                  <w:vAlign w:val="center"/>
                </w:tcPr>
                <w:p w14:paraId="7295B7D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全通商（海门）城</w:t>
                  </w:r>
                </w:p>
              </w:tc>
              <w:tc>
                <w:tcPr>
                  <w:tcW w:w="1049" w:type="pct"/>
                  <w:vAlign w:val="center"/>
                </w:tcPr>
                <w:p w14:paraId="0859A05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2000人</w:t>
                  </w:r>
                </w:p>
              </w:tc>
              <w:tc>
                <w:tcPr>
                  <w:tcW w:w="760" w:type="pct"/>
                  <w:vMerge w:val="continue"/>
                </w:tcPr>
                <w:p w14:paraId="6C7BDAB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18"/>
                      <w:szCs w:val="18"/>
                      <w:lang w:val="en-US" w:eastAsia="zh-CN"/>
                    </w:rPr>
                  </w:pPr>
                </w:p>
              </w:tc>
              <w:tc>
                <w:tcPr>
                  <w:tcW w:w="616" w:type="pct"/>
                  <w:vAlign w:val="center"/>
                </w:tcPr>
                <w:p w14:paraId="71403EB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西北</w:t>
                  </w:r>
                </w:p>
              </w:tc>
              <w:tc>
                <w:tcPr>
                  <w:tcW w:w="760" w:type="pct"/>
                  <w:vAlign w:val="center"/>
                </w:tcPr>
                <w:p w14:paraId="6248364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right="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420</w:t>
                  </w:r>
                </w:p>
              </w:tc>
            </w:tr>
          </w:tbl>
          <w:p w14:paraId="447F86DE">
            <w:pPr>
              <w:pStyle w:val="3"/>
              <w:bidi w:val="0"/>
              <w:rPr>
                <w:rFonts w:hint="default"/>
                <w:color w:val="auto"/>
                <w:lang w:val="en-US" w:eastAsia="zh-CN"/>
              </w:rPr>
            </w:pPr>
            <w:r>
              <w:rPr>
                <w:rFonts w:hint="eastAsia"/>
                <w:color w:val="auto"/>
                <w:lang w:val="en-US" w:eastAsia="zh-CN"/>
              </w:rPr>
              <w:t>（二）</w:t>
            </w:r>
            <w:r>
              <w:rPr>
                <w:rFonts w:hint="default"/>
                <w:color w:val="auto"/>
                <w:lang w:val="en-US" w:eastAsia="zh-CN"/>
              </w:rPr>
              <w:t>声环境</w:t>
            </w:r>
          </w:p>
          <w:p w14:paraId="76929651">
            <w:pPr>
              <w:adjustRightInd w:val="0"/>
              <w:snapToGrid w:val="0"/>
              <w:spacing w:line="360" w:lineRule="auto"/>
              <w:ind w:left="357"/>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本项目厂界外50m范围内</w:t>
            </w:r>
            <w:r>
              <w:rPr>
                <w:rFonts w:hint="eastAsia" w:ascii="Times New Roman" w:hAnsi="Times New Roman" w:cs="Times New Roman"/>
                <w:color w:val="auto"/>
                <w:kern w:val="0"/>
                <w:sz w:val="21"/>
                <w:szCs w:val="21"/>
                <w:highlight w:val="none"/>
                <w:u w:val="none"/>
                <w:lang w:val="en-US" w:eastAsia="zh-CN"/>
              </w:rPr>
              <w:t>无</w:t>
            </w:r>
            <w:r>
              <w:rPr>
                <w:rFonts w:hint="default" w:ascii="Times New Roman" w:hAnsi="Times New Roman" w:cs="Times New Roman"/>
                <w:color w:val="auto"/>
                <w:kern w:val="0"/>
                <w:sz w:val="21"/>
                <w:szCs w:val="21"/>
                <w:highlight w:val="none"/>
                <w:u w:val="none"/>
              </w:rPr>
              <w:t>声环境保护目标</w:t>
            </w:r>
            <w:r>
              <w:rPr>
                <w:rFonts w:hint="default" w:ascii="Times New Roman" w:hAnsi="Times New Roman" w:cs="Times New Roman"/>
                <w:color w:val="auto"/>
                <w:kern w:val="0"/>
                <w:sz w:val="21"/>
                <w:szCs w:val="21"/>
                <w:highlight w:val="none"/>
              </w:rPr>
              <w:t>。</w:t>
            </w:r>
          </w:p>
          <w:p w14:paraId="56D2330F">
            <w:pPr>
              <w:pStyle w:val="3"/>
              <w:bidi w:val="0"/>
              <w:rPr>
                <w:rFonts w:hint="default"/>
                <w:color w:val="auto"/>
                <w:lang w:val="en-US" w:eastAsia="zh-CN"/>
              </w:rPr>
            </w:pPr>
            <w:r>
              <w:rPr>
                <w:rFonts w:hint="eastAsia"/>
                <w:color w:val="auto"/>
                <w:lang w:val="en-US" w:eastAsia="zh-CN"/>
              </w:rPr>
              <w:t>（三）</w:t>
            </w:r>
            <w:r>
              <w:rPr>
                <w:rFonts w:hint="default"/>
                <w:color w:val="auto"/>
                <w:lang w:val="en-US" w:eastAsia="zh-CN"/>
              </w:rPr>
              <w:t>地下水环境</w:t>
            </w:r>
          </w:p>
          <w:p w14:paraId="07260EC8">
            <w:pPr>
              <w:adjustRightInd w:val="0"/>
              <w:snapToGrid w:val="0"/>
              <w:spacing w:line="360" w:lineRule="auto"/>
              <w:ind w:left="357"/>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cs="Times New Roman"/>
                <w:color w:val="auto"/>
                <w:kern w:val="0"/>
                <w:sz w:val="21"/>
                <w:szCs w:val="21"/>
                <w:highlight w:val="none"/>
              </w:rPr>
              <w:t>本项目厂界外500m范围内无地下水保护目标</w:t>
            </w:r>
            <w:r>
              <w:rPr>
                <w:rFonts w:hint="default" w:ascii="Times New Roman" w:hAnsi="Times New Roman" w:cs="Times New Roman"/>
                <w:color w:val="auto"/>
                <w:kern w:val="0"/>
                <w:sz w:val="21"/>
                <w:szCs w:val="21"/>
                <w:highlight w:val="none"/>
                <w:lang w:eastAsia="zh-CN"/>
              </w:rPr>
              <w:t>。</w:t>
            </w:r>
          </w:p>
          <w:p w14:paraId="2D4CBBBF">
            <w:pPr>
              <w:pStyle w:val="3"/>
              <w:bidi w:val="0"/>
              <w:rPr>
                <w:rFonts w:hint="default"/>
                <w:color w:val="auto"/>
                <w:lang w:val="en-US" w:eastAsia="zh-CN"/>
              </w:rPr>
            </w:pPr>
            <w:r>
              <w:rPr>
                <w:rFonts w:hint="eastAsia"/>
                <w:color w:val="auto"/>
                <w:lang w:val="en-US" w:eastAsia="zh-CN"/>
              </w:rPr>
              <w:t>（四）</w:t>
            </w:r>
            <w:r>
              <w:rPr>
                <w:rFonts w:hint="default"/>
                <w:color w:val="auto"/>
                <w:lang w:val="en-US" w:eastAsia="zh-CN"/>
              </w:rPr>
              <w:t>生态环境</w:t>
            </w:r>
          </w:p>
          <w:p w14:paraId="0D99723C">
            <w:pPr>
              <w:adjustRightInd w:val="0"/>
              <w:snapToGrid w:val="0"/>
              <w:ind w:firstLine="420" w:firstLineChars="200"/>
              <w:jc w:val="both"/>
              <w:rPr>
                <w:rFonts w:ascii="宋体" w:hAnsi="宋体" w:cs="宋体"/>
                <w:color w:val="auto"/>
                <w:kern w:val="0"/>
                <w:szCs w:val="21"/>
              </w:rPr>
            </w:pPr>
            <w:r>
              <w:rPr>
                <w:rFonts w:hint="default" w:ascii="Times New Roman" w:hAnsi="Times New Roman" w:cs="Times New Roman"/>
                <w:color w:val="auto"/>
                <w:kern w:val="0"/>
                <w:sz w:val="21"/>
                <w:szCs w:val="21"/>
                <w:highlight w:val="none"/>
              </w:rPr>
              <w:t>本项目不涉及生态环境保护目标</w:t>
            </w:r>
            <w:r>
              <w:rPr>
                <w:rFonts w:hint="default" w:ascii="Times New Roman" w:hAnsi="Times New Roman" w:cs="Times New Roman"/>
                <w:color w:val="auto"/>
                <w:kern w:val="0"/>
                <w:sz w:val="21"/>
                <w:szCs w:val="21"/>
                <w:highlight w:val="none"/>
                <w:lang w:eastAsia="zh-CN"/>
              </w:rPr>
              <w:t>。</w:t>
            </w:r>
          </w:p>
        </w:tc>
      </w:tr>
      <w:tr w14:paraId="3E533A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623" w:type="dxa"/>
            <w:noWrap w:val="0"/>
            <w:tcMar>
              <w:left w:w="28" w:type="dxa"/>
              <w:right w:w="28" w:type="dxa"/>
            </w:tcMar>
            <w:vAlign w:val="center"/>
          </w:tcPr>
          <w:p w14:paraId="6F34AD36">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污染</w:t>
            </w:r>
          </w:p>
          <w:p w14:paraId="0962CE56">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物排</w:t>
            </w:r>
          </w:p>
          <w:p w14:paraId="0B74FFDB">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放控</w:t>
            </w:r>
          </w:p>
          <w:p w14:paraId="1AEC7EB1">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制标</w:t>
            </w:r>
          </w:p>
          <w:p w14:paraId="658827DF">
            <w:pPr>
              <w:adjustRightInd w:val="0"/>
              <w:snapToGrid w:val="0"/>
              <w:jc w:val="center"/>
              <w:rPr>
                <w:rFonts w:ascii="宋体" w:hAnsi="宋体" w:cs="宋体"/>
                <w:color w:val="auto"/>
                <w:kern w:val="0"/>
                <w:szCs w:val="21"/>
              </w:rPr>
            </w:pPr>
            <w:r>
              <w:rPr>
                <w:rFonts w:hint="eastAsia" w:ascii="宋体" w:hAnsi="宋体" w:cs="宋体"/>
                <w:color w:val="auto"/>
                <w:kern w:val="0"/>
                <w:szCs w:val="21"/>
              </w:rPr>
              <w:t>准</w:t>
            </w:r>
          </w:p>
        </w:tc>
        <w:tc>
          <w:tcPr>
            <w:tcW w:w="8367" w:type="dxa"/>
            <w:noWrap w:val="0"/>
            <w:vAlign w:val="center"/>
          </w:tcPr>
          <w:p w14:paraId="4EC1EA0E">
            <w:pPr>
              <w:pStyle w:val="3"/>
              <w:bidi w:val="0"/>
              <w:spacing w:line="360" w:lineRule="auto"/>
              <w:rPr>
                <w:rFonts w:hint="default"/>
                <w:color w:val="auto"/>
              </w:rPr>
            </w:pPr>
            <w:r>
              <w:rPr>
                <w:rFonts w:hint="eastAsia"/>
                <w:color w:val="auto"/>
                <w:lang w:val="en-US" w:eastAsia="zh-CN"/>
              </w:rPr>
              <w:t>（一）</w:t>
            </w:r>
            <w:r>
              <w:rPr>
                <w:rFonts w:hint="default"/>
                <w:color w:val="auto"/>
              </w:rPr>
              <w:t>大气污染物排放标准</w:t>
            </w:r>
          </w:p>
          <w:p w14:paraId="6885D3AC">
            <w:pPr>
              <w:spacing w:line="360" w:lineRule="auto"/>
              <w:ind w:firstLine="420" w:firstLineChars="200"/>
              <w:rPr>
                <w:color w:val="auto"/>
              </w:rPr>
            </w:pPr>
            <w:r>
              <w:rPr>
                <w:rFonts w:hint="eastAsia"/>
                <w:color w:val="auto"/>
              </w:rPr>
              <w:t>本项目产生的有组织非甲烷总烃</w:t>
            </w:r>
            <w:r>
              <w:rPr>
                <w:rFonts w:hint="eastAsia"/>
                <w:color w:val="auto"/>
                <w:lang w:eastAsia="zh-CN"/>
              </w:rPr>
              <w:t>、</w:t>
            </w:r>
            <w:r>
              <w:rPr>
                <w:rFonts w:hint="eastAsia"/>
                <w:color w:val="auto"/>
                <w:lang w:val="en-US" w:eastAsia="zh-CN"/>
              </w:rPr>
              <w:t>TVOC、颗粒物</w:t>
            </w:r>
            <w:r>
              <w:rPr>
                <w:rFonts w:hint="eastAsia"/>
                <w:color w:val="auto"/>
              </w:rPr>
              <w:t>执行《</w:t>
            </w:r>
            <w:r>
              <w:rPr>
                <w:rFonts w:hint="eastAsia"/>
                <w:color w:val="auto"/>
                <w:lang w:val="en-US" w:eastAsia="zh-CN"/>
              </w:rPr>
              <w:t>表面涂装（汽车零部件）大气污染物排放标准</w:t>
            </w:r>
            <w:r>
              <w:rPr>
                <w:rFonts w:hint="eastAsia"/>
                <w:color w:val="auto"/>
              </w:rPr>
              <w:t>》（DB32/</w:t>
            </w:r>
            <w:r>
              <w:rPr>
                <w:rFonts w:hint="eastAsia"/>
                <w:color w:val="auto"/>
                <w:lang w:val="en-US" w:eastAsia="zh-CN"/>
              </w:rPr>
              <w:t>3966-2021</w:t>
            </w:r>
            <w:r>
              <w:rPr>
                <w:rFonts w:hint="eastAsia"/>
                <w:color w:val="auto"/>
              </w:rPr>
              <w:t>）表1中标准</w:t>
            </w:r>
            <w:r>
              <w:rPr>
                <w:rFonts w:hint="eastAsia"/>
                <w:color w:val="auto"/>
                <w:lang w:eastAsia="zh-CN"/>
              </w:rPr>
              <w:t>，</w:t>
            </w:r>
            <w:r>
              <w:rPr>
                <w:rFonts w:hint="eastAsia"/>
                <w:color w:val="auto"/>
                <w:highlight w:val="none"/>
                <w:lang w:val="en-US" w:eastAsia="zh-CN"/>
              </w:rPr>
              <w:t>无组织</w:t>
            </w:r>
            <w:r>
              <w:rPr>
                <w:rFonts w:hint="default" w:ascii="Times New Roman" w:hAnsi="Times New Roman" w:eastAsia="宋体" w:cs="Times New Roman"/>
                <w:b w:val="0"/>
                <w:bCs/>
                <w:color w:val="auto"/>
                <w:sz w:val="21"/>
                <w:szCs w:val="21"/>
                <w:highlight w:val="none"/>
              </w:rPr>
              <w:t>颗粒物</w:t>
            </w:r>
            <w:r>
              <w:rPr>
                <w:rFonts w:hint="eastAsia" w:ascii="Times New Roman" w:hAnsi="Times New Roman" w:eastAsia="宋体" w:cs="Times New Roman"/>
                <w:b w:val="0"/>
                <w:bCs/>
                <w:color w:val="auto"/>
                <w:sz w:val="21"/>
                <w:szCs w:val="21"/>
                <w:highlight w:val="none"/>
                <w:lang w:eastAsia="zh-CN"/>
              </w:rPr>
              <w:t>、</w:t>
            </w:r>
            <w:r>
              <w:rPr>
                <w:rFonts w:hint="eastAsia" w:cs="Times New Roman"/>
                <w:b w:val="0"/>
                <w:bCs/>
                <w:color w:val="auto"/>
                <w:sz w:val="21"/>
                <w:szCs w:val="21"/>
                <w:highlight w:val="none"/>
                <w:lang w:val="en-US" w:eastAsia="zh-CN"/>
              </w:rPr>
              <w:t>非甲烷总烃</w:t>
            </w:r>
            <w:r>
              <w:rPr>
                <w:rFonts w:hint="eastAsia" w:ascii="Times New Roman" w:hAnsi="Times New Roman" w:eastAsia="宋体" w:cs="Times New Roman"/>
                <w:bCs/>
                <w:color w:val="auto"/>
                <w:sz w:val="21"/>
                <w:szCs w:val="21"/>
                <w:highlight w:val="none"/>
                <w:lang w:val="en-US" w:eastAsia="zh-CN"/>
              </w:rPr>
              <w:t>执行</w:t>
            </w:r>
            <w:r>
              <w:rPr>
                <w:rFonts w:hint="eastAsia" w:ascii="Times New Roman" w:hAnsi="Times New Roman" w:eastAsia="宋体" w:cs="Times New Roman"/>
                <w:bCs/>
                <w:color w:val="auto"/>
                <w:sz w:val="21"/>
                <w:szCs w:val="21"/>
                <w:highlight w:val="none"/>
                <w:lang w:eastAsia="zh-CN"/>
              </w:rPr>
              <w:t>《大气污染物综合排放标准》（DB32/4041-2021）</w:t>
            </w:r>
            <w:r>
              <w:rPr>
                <w:rFonts w:hint="default" w:ascii="Times New Roman" w:hAnsi="Times New Roman" w:eastAsia="宋体" w:cs="Times New Roman"/>
                <w:b w:val="0"/>
                <w:bCs/>
                <w:color w:val="auto"/>
                <w:sz w:val="21"/>
                <w:szCs w:val="21"/>
                <w:highlight w:val="none"/>
              </w:rPr>
              <w:t>表3排放限值</w:t>
            </w:r>
            <w:r>
              <w:rPr>
                <w:rFonts w:hint="eastAsia" w:ascii="Times New Roman" w:hAnsi="Times New Roman" w:eastAsia="宋体" w:cs="Times New Roman"/>
                <w:b w:val="0"/>
                <w:bCs/>
                <w:color w:val="auto"/>
                <w:sz w:val="21"/>
                <w:szCs w:val="21"/>
                <w:highlight w:val="none"/>
                <w:lang w:eastAsia="zh-CN"/>
              </w:rPr>
              <w:t>，</w:t>
            </w:r>
            <w:r>
              <w:rPr>
                <w:rFonts w:hint="eastAsia" w:cs="Times New Roman"/>
                <w:b w:val="0"/>
                <w:bCs/>
                <w:color w:val="auto"/>
                <w:sz w:val="21"/>
                <w:szCs w:val="21"/>
                <w:highlight w:val="none"/>
                <w:lang w:val="en-US" w:eastAsia="zh-CN"/>
              </w:rPr>
              <w:t>无组织</w:t>
            </w:r>
            <w:r>
              <w:rPr>
                <w:rFonts w:hint="eastAsia" w:ascii="Times New Roman" w:hAnsi="Times New Roman" w:eastAsia="宋体" w:cs="Times New Roman"/>
                <w:color w:val="auto"/>
                <w:szCs w:val="21"/>
                <w:highlight w:val="none"/>
                <w:lang w:val="en-US" w:eastAsia="zh-CN"/>
              </w:rPr>
              <w:t>臭气浓度排放执行《恶臭污染物排放标准》（GB14554-93）表1中新改扩建二级标准</w:t>
            </w:r>
            <w:r>
              <w:rPr>
                <w:rFonts w:hint="eastAsia" w:ascii="Times New Roman" w:hAnsi="Times New Roman" w:cs="Times New Roman"/>
                <w:color w:val="auto"/>
                <w:szCs w:val="21"/>
                <w:highlight w:val="none"/>
                <w:lang w:val="en-US" w:eastAsia="zh-CN"/>
              </w:rPr>
              <w:t>，</w:t>
            </w:r>
            <w:r>
              <w:rPr>
                <w:rFonts w:hint="eastAsia"/>
                <w:color w:val="auto"/>
                <w:lang w:val="en-US" w:eastAsia="zh-CN"/>
              </w:rPr>
              <w:t>厂区内非甲烷总烃执行</w:t>
            </w:r>
            <w:r>
              <w:rPr>
                <w:rFonts w:hint="eastAsia"/>
                <w:color w:val="auto"/>
              </w:rPr>
              <w:t>《</w:t>
            </w:r>
            <w:r>
              <w:rPr>
                <w:rFonts w:hint="eastAsia"/>
                <w:color w:val="auto"/>
                <w:lang w:val="en-US" w:eastAsia="zh-CN"/>
              </w:rPr>
              <w:t>表面涂装（汽车零部件）大气污染物排放标准</w:t>
            </w:r>
            <w:r>
              <w:rPr>
                <w:rFonts w:hint="eastAsia"/>
                <w:color w:val="auto"/>
              </w:rPr>
              <w:t>》（DB32/</w:t>
            </w:r>
            <w:r>
              <w:rPr>
                <w:rFonts w:hint="eastAsia"/>
                <w:color w:val="auto"/>
                <w:lang w:val="en-US" w:eastAsia="zh-CN"/>
              </w:rPr>
              <w:t>3966-2021</w:t>
            </w:r>
            <w:r>
              <w:rPr>
                <w:rFonts w:hint="eastAsia"/>
                <w:color w:val="auto"/>
              </w:rPr>
              <w:t>）表</w:t>
            </w:r>
            <w:r>
              <w:rPr>
                <w:rFonts w:hint="eastAsia"/>
                <w:color w:val="auto"/>
                <w:lang w:val="en-US" w:eastAsia="zh-CN"/>
              </w:rPr>
              <w:t>2</w:t>
            </w:r>
            <w:r>
              <w:rPr>
                <w:rFonts w:hint="eastAsia"/>
                <w:color w:val="auto"/>
              </w:rPr>
              <w:t>中标准。</w:t>
            </w:r>
            <w:r>
              <w:rPr>
                <w:color w:val="auto"/>
              </w:rPr>
              <w:t>具体见</w:t>
            </w:r>
            <w:r>
              <w:rPr>
                <w:rFonts w:hint="eastAsia"/>
                <w:color w:val="auto"/>
                <w:lang w:val="en-US" w:eastAsia="zh-CN"/>
              </w:rPr>
              <w:t>下</w:t>
            </w:r>
            <w:r>
              <w:rPr>
                <w:color w:val="auto"/>
              </w:rPr>
              <w:t>表。</w:t>
            </w:r>
          </w:p>
          <w:p w14:paraId="16DA5719">
            <w:pPr>
              <w:spacing w:line="240" w:lineRule="auto"/>
              <w:ind w:firstLine="0" w:firstLineChars="0"/>
              <w:jc w:val="center"/>
              <w:rPr>
                <w:b/>
                <w:bCs/>
                <w:color w:val="auto"/>
              </w:rPr>
            </w:pPr>
            <w:r>
              <w:rPr>
                <w:b/>
                <w:bCs/>
                <w:color w:val="auto"/>
              </w:rPr>
              <w:t>表</w:t>
            </w:r>
            <w:r>
              <w:rPr>
                <w:rFonts w:hint="eastAsia"/>
                <w:b/>
                <w:bCs/>
                <w:color w:val="auto"/>
                <w:lang w:val="en-US" w:eastAsia="zh-CN"/>
              </w:rPr>
              <w:t>3-3</w:t>
            </w:r>
            <w:r>
              <w:rPr>
                <w:b/>
                <w:bCs/>
                <w:color w:val="auto"/>
              </w:rPr>
              <w:t xml:space="preserve">  大气污染物排放标准</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5"/>
              <w:gridCol w:w="1101"/>
              <w:gridCol w:w="1156"/>
              <w:gridCol w:w="1030"/>
              <w:gridCol w:w="1353"/>
              <w:gridCol w:w="2204"/>
            </w:tblGrid>
            <w:tr w14:paraId="566AE0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pct"/>
                  <w:vMerge w:val="restart"/>
                  <w:noWrap w:val="0"/>
                  <w:vAlign w:val="center"/>
                </w:tcPr>
                <w:p w14:paraId="0D3133B9">
                  <w:pPr>
                    <w:adjustRightInd w:val="0"/>
                    <w:snapToGrid w:val="0"/>
                    <w:spacing w:line="320" w:lineRule="exact"/>
                    <w:ind w:firstLine="0" w:firstLineChars="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污染物</w:t>
                  </w:r>
                </w:p>
              </w:tc>
              <w:tc>
                <w:tcPr>
                  <w:tcW w:w="668" w:type="pct"/>
                  <w:vMerge w:val="restart"/>
                  <w:noWrap w:val="0"/>
                  <w:vAlign w:val="center"/>
                </w:tcPr>
                <w:p w14:paraId="0040690D">
                  <w:pPr>
                    <w:adjustRightInd w:val="0"/>
                    <w:snapToGrid w:val="0"/>
                    <w:spacing w:line="320" w:lineRule="exact"/>
                    <w:ind w:firstLine="0" w:firstLineChars="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排气筒高度（m）</w:t>
                  </w:r>
                </w:p>
              </w:tc>
              <w:tc>
                <w:tcPr>
                  <w:tcW w:w="1326" w:type="pct"/>
                  <w:gridSpan w:val="2"/>
                  <w:noWrap w:val="0"/>
                  <w:vAlign w:val="center"/>
                </w:tcPr>
                <w:p w14:paraId="29FB2AE5">
                  <w:pPr>
                    <w:adjustRightInd w:val="0"/>
                    <w:snapToGrid w:val="0"/>
                    <w:spacing w:line="320" w:lineRule="exact"/>
                    <w:ind w:firstLine="0" w:firstLineChars="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排放限值</w:t>
                  </w:r>
                </w:p>
              </w:tc>
              <w:tc>
                <w:tcPr>
                  <w:tcW w:w="821" w:type="pct"/>
                  <w:vMerge w:val="restart"/>
                  <w:noWrap w:val="0"/>
                  <w:vAlign w:val="center"/>
                </w:tcPr>
                <w:p w14:paraId="3CD3101A">
                  <w:pPr>
                    <w:adjustRightInd w:val="0"/>
                    <w:snapToGrid w:val="0"/>
                    <w:spacing w:line="320" w:lineRule="exact"/>
                    <w:ind w:firstLine="0" w:firstLineChars="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无组织排放监控浓度限值(mg/m</w:t>
                  </w:r>
                  <w:r>
                    <w:rPr>
                      <w:rFonts w:hint="default" w:ascii="Times New Roman" w:hAnsi="Times New Roman" w:cs="Times New Roman"/>
                      <w:b/>
                      <w:bCs/>
                      <w:color w:val="auto"/>
                      <w:sz w:val="18"/>
                      <w:szCs w:val="18"/>
                      <w:vertAlign w:val="superscript"/>
                    </w:rPr>
                    <w:t>3</w:t>
                  </w:r>
                  <w:r>
                    <w:rPr>
                      <w:rFonts w:hint="default" w:ascii="Times New Roman" w:hAnsi="Times New Roman" w:cs="Times New Roman"/>
                      <w:b/>
                      <w:bCs/>
                      <w:color w:val="auto"/>
                      <w:sz w:val="18"/>
                      <w:szCs w:val="18"/>
                    </w:rPr>
                    <w:t>)</w:t>
                  </w:r>
                </w:p>
              </w:tc>
              <w:tc>
                <w:tcPr>
                  <w:tcW w:w="1337" w:type="pct"/>
                  <w:vMerge w:val="restart"/>
                  <w:noWrap w:val="0"/>
                  <w:vAlign w:val="center"/>
                </w:tcPr>
                <w:p w14:paraId="71893BBF">
                  <w:pPr>
                    <w:adjustRightInd w:val="0"/>
                    <w:snapToGrid w:val="0"/>
                    <w:spacing w:line="320" w:lineRule="exact"/>
                    <w:ind w:firstLine="0" w:firstLineChars="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执行标准</w:t>
                  </w:r>
                </w:p>
              </w:tc>
            </w:tr>
            <w:tr w14:paraId="2DDEEE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pct"/>
                  <w:vMerge w:val="continue"/>
                  <w:noWrap w:val="0"/>
                  <w:vAlign w:val="center"/>
                </w:tcPr>
                <w:p w14:paraId="52F1C9FF">
                  <w:pPr>
                    <w:adjustRightInd w:val="0"/>
                    <w:snapToGrid w:val="0"/>
                    <w:spacing w:line="320" w:lineRule="exact"/>
                    <w:ind w:firstLine="0" w:firstLineChars="0"/>
                    <w:jc w:val="center"/>
                    <w:rPr>
                      <w:rFonts w:hint="default" w:ascii="Times New Roman" w:hAnsi="Times New Roman" w:cs="Times New Roman"/>
                      <w:color w:val="auto"/>
                      <w:sz w:val="18"/>
                      <w:szCs w:val="18"/>
                    </w:rPr>
                  </w:pPr>
                </w:p>
              </w:tc>
              <w:tc>
                <w:tcPr>
                  <w:tcW w:w="668" w:type="pct"/>
                  <w:vMerge w:val="continue"/>
                  <w:noWrap w:val="0"/>
                  <w:vAlign w:val="center"/>
                </w:tcPr>
                <w:p w14:paraId="1FBD70EC">
                  <w:pPr>
                    <w:adjustRightInd w:val="0"/>
                    <w:snapToGrid w:val="0"/>
                    <w:spacing w:line="320" w:lineRule="exact"/>
                    <w:ind w:firstLine="0" w:firstLineChars="0"/>
                    <w:jc w:val="center"/>
                    <w:rPr>
                      <w:rFonts w:hint="default" w:ascii="Times New Roman" w:hAnsi="Times New Roman" w:cs="Times New Roman"/>
                      <w:color w:val="auto"/>
                      <w:sz w:val="18"/>
                      <w:szCs w:val="18"/>
                    </w:rPr>
                  </w:pPr>
                </w:p>
              </w:tc>
              <w:tc>
                <w:tcPr>
                  <w:tcW w:w="701" w:type="pct"/>
                  <w:noWrap w:val="0"/>
                  <w:vAlign w:val="center"/>
                </w:tcPr>
                <w:p w14:paraId="49031E48">
                  <w:pPr>
                    <w:adjustRightInd w:val="0"/>
                    <w:snapToGrid w:val="0"/>
                    <w:spacing w:line="320" w:lineRule="exact"/>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最高允许排放浓度（mg/m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w:t>
                  </w:r>
                </w:p>
              </w:tc>
              <w:tc>
                <w:tcPr>
                  <w:tcW w:w="625" w:type="pct"/>
                  <w:noWrap w:val="0"/>
                  <w:vAlign w:val="center"/>
                </w:tcPr>
                <w:p w14:paraId="78B5CA3D">
                  <w:pPr>
                    <w:adjustRightInd w:val="0"/>
                    <w:snapToGrid w:val="0"/>
                    <w:spacing w:line="320" w:lineRule="exact"/>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最高允许排放速率</w:t>
                  </w:r>
                </w:p>
                <w:p w14:paraId="4137257E">
                  <w:pPr>
                    <w:adjustRightInd w:val="0"/>
                    <w:snapToGrid w:val="0"/>
                    <w:spacing w:line="320" w:lineRule="exact"/>
                    <w:ind w:firstLine="0" w:firstLineChars="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（Kg/h）</w:t>
                  </w:r>
                </w:p>
              </w:tc>
              <w:tc>
                <w:tcPr>
                  <w:tcW w:w="821" w:type="pct"/>
                  <w:vMerge w:val="continue"/>
                  <w:noWrap w:val="0"/>
                  <w:vAlign w:val="center"/>
                </w:tcPr>
                <w:p w14:paraId="1FC7B25F">
                  <w:pPr>
                    <w:adjustRightInd w:val="0"/>
                    <w:snapToGrid w:val="0"/>
                    <w:spacing w:line="320" w:lineRule="exact"/>
                    <w:ind w:firstLine="0" w:firstLineChars="0"/>
                    <w:jc w:val="center"/>
                    <w:rPr>
                      <w:rFonts w:hint="default" w:ascii="Times New Roman" w:hAnsi="Times New Roman" w:cs="Times New Roman"/>
                      <w:color w:val="auto"/>
                      <w:sz w:val="18"/>
                      <w:szCs w:val="18"/>
                    </w:rPr>
                  </w:pPr>
                </w:p>
              </w:tc>
              <w:tc>
                <w:tcPr>
                  <w:tcW w:w="1337" w:type="pct"/>
                  <w:vMerge w:val="continue"/>
                  <w:noWrap w:val="0"/>
                  <w:vAlign w:val="center"/>
                </w:tcPr>
                <w:p w14:paraId="5FB7E31F">
                  <w:pPr>
                    <w:adjustRightInd w:val="0"/>
                    <w:snapToGrid w:val="0"/>
                    <w:spacing w:line="320" w:lineRule="exact"/>
                    <w:ind w:firstLine="0" w:firstLineChars="0"/>
                    <w:jc w:val="center"/>
                    <w:rPr>
                      <w:rFonts w:hint="default" w:ascii="Times New Roman" w:hAnsi="Times New Roman" w:cs="Times New Roman"/>
                      <w:color w:val="auto"/>
                      <w:sz w:val="18"/>
                      <w:szCs w:val="18"/>
                    </w:rPr>
                  </w:pPr>
                </w:p>
              </w:tc>
            </w:tr>
            <w:tr w14:paraId="4A7731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pct"/>
                  <w:noWrap w:val="0"/>
                  <w:vAlign w:val="center"/>
                </w:tcPr>
                <w:p w14:paraId="7F534D03">
                  <w:pPr>
                    <w:pStyle w:val="51"/>
                    <w:spacing w:line="320" w:lineRule="exact"/>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非甲烷总烃</w:t>
                  </w:r>
                </w:p>
              </w:tc>
              <w:tc>
                <w:tcPr>
                  <w:tcW w:w="668" w:type="pct"/>
                  <w:noWrap w:val="0"/>
                  <w:vAlign w:val="center"/>
                </w:tcPr>
                <w:p w14:paraId="4D032779">
                  <w:pPr>
                    <w:pStyle w:val="51"/>
                    <w:spacing w:line="320" w:lineRule="exact"/>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15</w:t>
                  </w:r>
                </w:p>
              </w:tc>
              <w:tc>
                <w:tcPr>
                  <w:tcW w:w="701" w:type="pct"/>
                  <w:noWrap w:val="0"/>
                  <w:vAlign w:val="center"/>
                </w:tcPr>
                <w:p w14:paraId="54C7C98C">
                  <w:pPr>
                    <w:pStyle w:val="51"/>
                    <w:spacing w:line="320" w:lineRule="exact"/>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40</w:t>
                  </w:r>
                </w:p>
              </w:tc>
              <w:tc>
                <w:tcPr>
                  <w:tcW w:w="625" w:type="pct"/>
                  <w:noWrap w:val="0"/>
                  <w:vAlign w:val="center"/>
                </w:tcPr>
                <w:p w14:paraId="0008361B">
                  <w:pPr>
                    <w:pStyle w:val="51"/>
                    <w:spacing w:line="320" w:lineRule="exact"/>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1.8</w:t>
                  </w:r>
                </w:p>
              </w:tc>
              <w:tc>
                <w:tcPr>
                  <w:tcW w:w="821" w:type="pct"/>
                  <w:noWrap w:val="0"/>
                  <w:vAlign w:val="center"/>
                </w:tcPr>
                <w:p w14:paraId="3B684F70">
                  <w:pPr>
                    <w:pStyle w:val="51"/>
                    <w:spacing w:line="320" w:lineRule="exact"/>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4</w:t>
                  </w:r>
                </w:p>
              </w:tc>
              <w:tc>
                <w:tcPr>
                  <w:tcW w:w="1337" w:type="pct"/>
                  <w:vMerge w:val="restart"/>
                  <w:noWrap w:val="0"/>
                  <w:vAlign w:val="center"/>
                </w:tcPr>
                <w:p w14:paraId="71D1A6EA">
                  <w:pPr>
                    <w:pStyle w:val="51"/>
                    <w:rPr>
                      <w:rFonts w:hint="default" w:ascii="Times New Roman" w:hAnsi="Times New Roman" w:cs="Times New Roman"/>
                      <w:color w:val="auto"/>
                      <w:sz w:val="18"/>
                      <w:szCs w:val="18"/>
                    </w:rPr>
                  </w:pPr>
                  <w:r>
                    <w:rPr>
                      <w:rFonts w:hint="eastAsia" w:ascii="Times New Roman" w:hAnsi="Times New Roman" w:eastAsia="宋体" w:cs="Times New Roman"/>
                      <w:color w:val="auto"/>
                      <w:sz w:val="18"/>
                      <w:szCs w:val="18"/>
                      <w:lang w:val="en-US" w:eastAsia="zh-CN"/>
                    </w:rPr>
                    <w:t>有组织非甲烷总烃、TVOC、颗粒物执行《表面涂装（汽车零部件）大气污染物排放标准》（DB32/3966-2021）表1中标准，无组织</w:t>
                  </w:r>
                  <w:r>
                    <w:rPr>
                      <w:rFonts w:hint="default" w:ascii="Times New Roman" w:hAnsi="Times New Roman" w:eastAsia="宋体" w:cs="Times New Roman"/>
                      <w:color w:val="auto"/>
                      <w:sz w:val="18"/>
                      <w:szCs w:val="18"/>
                      <w:lang w:val="en-US" w:eastAsia="zh-CN"/>
                    </w:rPr>
                    <w:t>颗粒物</w:t>
                  </w:r>
                  <w:r>
                    <w:rPr>
                      <w:rFonts w:hint="eastAsia" w:ascii="Times New Roman" w:hAnsi="Times New Roman" w:eastAsia="宋体" w:cs="Times New Roman"/>
                      <w:color w:val="auto"/>
                      <w:sz w:val="18"/>
                      <w:szCs w:val="18"/>
                      <w:lang w:val="en-US" w:eastAsia="zh-CN"/>
                    </w:rPr>
                    <w:t>、非甲烷总烃执行《大气污染物综合排放标准》（DB32/4041-2021）</w:t>
                  </w:r>
                  <w:r>
                    <w:rPr>
                      <w:rFonts w:hint="default" w:ascii="Times New Roman" w:hAnsi="Times New Roman" w:eastAsia="宋体" w:cs="Times New Roman"/>
                      <w:color w:val="auto"/>
                      <w:sz w:val="18"/>
                      <w:szCs w:val="18"/>
                      <w:lang w:val="en-US" w:eastAsia="zh-CN"/>
                    </w:rPr>
                    <w:t>表3排放限值</w:t>
                  </w:r>
                </w:p>
              </w:tc>
            </w:tr>
            <w:tr w14:paraId="7BDA14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pct"/>
                  <w:noWrap w:val="0"/>
                  <w:vAlign w:val="center"/>
                </w:tcPr>
                <w:p w14:paraId="76BE7CCA">
                  <w:pPr>
                    <w:pStyle w:val="51"/>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TVOC</w:t>
                  </w:r>
                </w:p>
              </w:tc>
              <w:tc>
                <w:tcPr>
                  <w:tcW w:w="668" w:type="pct"/>
                  <w:noWrap w:val="0"/>
                  <w:vAlign w:val="center"/>
                </w:tcPr>
                <w:p w14:paraId="75E9B3DE">
                  <w:pPr>
                    <w:pStyle w:val="51"/>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15</w:t>
                  </w:r>
                </w:p>
              </w:tc>
              <w:tc>
                <w:tcPr>
                  <w:tcW w:w="701" w:type="pct"/>
                  <w:noWrap w:val="0"/>
                  <w:vAlign w:val="center"/>
                </w:tcPr>
                <w:p w14:paraId="087ED6D6">
                  <w:pPr>
                    <w:pStyle w:val="51"/>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60</w:t>
                  </w:r>
                </w:p>
              </w:tc>
              <w:tc>
                <w:tcPr>
                  <w:tcW w:w="625" w:type="pct"/>
                  <w:noWrap w:val="0"/>
                  <w:vAlign w:val="center"/>
                </w:tcPr>
                <w:p w14:paraId="70A87394">
                  <w:pPr>
                    <w:pStyle w:val="51"/>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2.0</w:t>
                  </w:r>
                </w:p>
              </w:tc>
              <w:tc>
                <w:tcPr>
                  <w:tcW w:w="821" w:type="pct"/>
                  <w:noWrap w:val="0"/>
                  <w:vAlign w:val="center"/>
                </w:tcPr>
                <w:p w14:paraId="6A2A21B7">
                  <w:pPr>
                    <w:pStyle w:val="51"/>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1337" w:type="pct"/>
                  <w:vMerge w:val="continue"/>
                  <w:noWrap w:val="0"/>
                  <w:vAlign w:val="center"/>
                </w:tcPr>
                <w:p w14:paraId="29BE75A3">
                  <w:pPr>
                    <w:adjustRightInd w:val="0"/>
                    <w:snapToGrid w:val="0"/>
                    <w:spacing w:line="320" w:lineRule="exact"/>
                    <w:ind w:firstLine="0" w:firstLineChars="0"/>
                    <w:jc w:val="center"/>
                    <w:rPr>
                      <w:rFonts w:hint="default" w:ascii="Times New Roman" w:hAnsi="Times New Roman" w:cs="Times New Roman"/>
                      <w:color w:val="auto"/>
                      <w:sz w:val="18"/>
                      <w:szCs w:val="18"/>
                    </w:rPr>
                  </w:pPr>
                </w:p>
              </w:tc>
            </w:tr>
            <w:tr w14:paraId="4EA1B7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pct"/>
                  <w:noWrap w:val="0"/>
                  <w:vAlign w:val="center"/>
                </w:tcPr>
                <w:p w14:paraId="7C4B0F21">
                  <w:pPr>
                    <w:pStyle w:val="51"/>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颗粒物</w:t>
                  </w:r>
                </w:p>
              </w:tc>
              <w:tc>
                <w:tcPr>
                  <w:tcW w:w="668" w:type="pct"/>
                  <w:noWrap w:val="0"/>
                  <w:vAlign w:val="center"/>
                </w:tcPr>
                <w:p w14:paraId="1C577AEB">
                  <w:pPr>
                    <w:pStyle w:val="51"/>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15</w:t>
                  </w:r>
                </w:p>
              </w:tc>
              <w:tc>
                <w:tcPr>
                  <w:tcW w:w="701" w:type="pct"/>
                  <w:noWrap w:val="0"/>
                  <w:vAlign w:val="center"/>
                </w:tcPr>
                <w:p w14:paraId="5B6307F4">
                  <w:pPr>
                    <w:pStyle w:val="51"/>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10</w:t>
                  </w:r>
                </w:p>
              </w:tc>
              <w:tc>
                <w:tcPr>
                  <w:tcW w:w="625" w:type="pct"/>
                  <w:noWrap w:val="0"/>
                  <w:vAlign w:val="center"/>
                </w:tcPr>
                <w:p w14:paraId="4166F61C">
                  <w:pPr>
                    <w:pStyle w:val="51"/>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0.6</w:t>
                  </w:r>
                </w:p>
              </w:tc>
              <w:tc>
                <w:tcPr>
                  <w:tcW w:w="821" w:type="pct"/>
                  <w:noWrap w:val="0"/>
                  <w:vAlign w:val="center"/>
                </w:tcPr>
                <w:p w14:paraId="30DA4CD7">
                  <w:pPr>
                    <w:pStyle w:val="51"/>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0.5</w:t>
                  </w:r>
                </w:p>
              </w:tc>
              <w:tc>
                <w:tcPr>
                  <w:tcW w:w="1337" w:type="pct"/>
                  <w:vMerge w:val="continue"/>
                  <w:noWrap w:val="0"/>
                  <w:vAlign w:val="center"/>
                </w:tcPr>
                <w:p w14:paraId="4BC6E383">
                  <w:pPr>
                    <w:adjustRightInd w:val="0"/>
                    <w:snapToGrid w:val="0"/>
                    <w:spacing w:line="320" w:lineRule="exact"/>
                    <w:ind w:firstLine="0" w:firstLineChars="0"/>
                    <w:jc w:val="center"/>
                    <w:rPr>
                      <w:rFonts w:hint="default" w:ascii="Times New Roman" w:hAnsi="Times New Roman" w:cs="Times New Roman"/>
                      <w:color w:val="auto"/>
                      <w:sz w:val="18"/>
                      <w:szCs w:val="18"/>
                    </w:rPr>
                  </w:pPr>
                </w:p>
              </w:tc>
            </w:tr>
            <w:tr w14:paraId="084150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6" w:type="pct"/>
                  <w:noWrap w:val="0"/>
                  <w:vAlign w:val="center"/>
                </w:tcPr>
                <w:p w14:paraId="2CEDCC09">
                  <w:pPr>
                    <w:pStyle w:val="51"/>
                    <w:rPr>
                      <w:rFonts w:hint="default" w:cs="Times New Roman"/>
                      <w:color w:val="auto"/>
                      <w:sz w:val="18"/>
                      <w:szCs w:val="18"/>
                      <w:lang w:val="en-US" w:eastAsia="zh-CN"/>
                    </w:rPr>
                  </w:pPr>
                  <w:r>
                    <w:rPr>
                      <w:rFonts w:hint="eastAsia" w:cs="Times New Roman"/>
                      <w:color w:val="auto"/>
                      <w:sz w:val="18"/>
                      <w:szCs w:val="18"/>
                      <w:lang w:val="en-US" w:eastAsia="zh-CN"/>
                    </w:rPr>
                    <w:t>臭气浓度</w:t>
                  </w:r>
                </w:p>
              </w:tc>
              <w:tc>
                <w:tcPr>
                  <w:tcW w:w="668" w:type="pct"/>
                  <w:noWrap w:val="0"/>
                  <w:vAlign w:val="center"/>
                </w:tcPr>
                <w:p w14:paraId="038764E7">
                  <w:pPr>
                    <w:pStyle w:val="51"/>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701" w:type="pct"/>
                  <w:noWrap w:val="0"/>
                  <w:vAlign w:val="center"/>
                </w:tcPr>
                <w:p w14:paraId="5BEE8444">
                  <w:pPr>
                    <w:pStyle w:val="51"/>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625" w:type="pct"/>
                  <w:noWrap w:val="0"/>
                  <w:vAlign w:val="center"/>
                </w:tcPr>
                <w:p w14:paraId="5F3342AA">
                  <w:pPr>
                    <w:pStyle w:val="51"/>
                    <w:rPr>
                      <w:rFonts w:hint="default" w:cs="Times New Roman"/>
                      <w:color w:val="auto"/>
                      <w:sz w:val="18"/>
                      <w:szCs w:val="18"/>
                      <w:lang w:val="en-US" w:eastAsia="zh-CN"/>
                    </w:rPr>
                  </w:pPr>
                  <w:r>
                    <w:rPr>
                      <w:rFonts w:hint="eastAsia" w:cs="Times New Roman"/>
                      <w:color w:val="auto"/>
                      <w:sz w:val="18"/>
                      <w:szCs w:val="18"/>
                      <w:lang w:val="en-US" w:eastAsia="zh-CN"/>
                    </w:rPr>
                    <w:t>/</w:t>
                  </w:r>
                </w:p>
              </w:tc>
              <w:tc>
                <w:tcPr>
                  <w:tcW w:w="821" w:type="pct"/>
                  <w:noWrap w:val="0"/>
                  <w:vAlign w:val="center"/>
                </w:tcPr>
                <w:p w14:paraId="5F33F969">
                  <w:pPr>
                    <w:pStyle w:val="51"/>
                    <w:rPr>
                      <w:rFonts w:hint="eastAsia"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20（无量纲）</w:t>
                  </w:r>
                </w:p>
              </w:tc>
              <w:tc>
                <w:tcPr>
                  <w:tcW w:w="1337" w:type="pct"/>
                  <w:noWrap w:val="0"/>
                  <w:vAlign w:val="center"/>
                </w:tcPr>
                <w:p w14:paraId="13C916FF">
                  <w:pPr>
                    <w:pStyle w:val="51"/>
                    <w:rPr>
                      <w:rFonts w:hint="default" w:ascii="Times New Roman" w:hAnsi="Times New Roman" w:cs="Times New Roman"/>
                      <w:color w:val="auto"/>
                      <w:sz w:val="18"/>
                      <w:szCs w:val="18"/>
                    </w:rPr>
                  </w:pPr>
                  <w:r>
                    <w:rPr>
                      <w:rFonts w:hint="eastAsia" w:ascii="Times New Roman" w:hAnsi="Times New Roman" w:eastAsia="宋体" w:cs="Times New Roman"/>
                      <w:color w:val="auto"/>
                      <w:sz w:val="18"/>
                      <w:szCs w:val="18"/>
                      <w:lang w:val="en-US" w:eastAsia="zh-CN"/>
                    </w:rPr>
                    <w:t>《恶臭污染物排放标准》（GB14554-93）表1中新改扩建二级标准</w:t>
                  </w:r>
                </w:p>
              </w:tc>
            </w:tr>
          </w:tbl>
          <w:p w14:paraId="59656B75">
            <w:pPr>
              <w:pStyle w:val="4"/>
              <w:spacing w:line="240" w:lineRule="auto"/>
              <w:jc w:val="center"/>
              <w:rPr>
                <w:b/>
                <w:color w:val="auto"/>
                <w:sz w:val="21"/>
                <w:szCs w:val="21"/>
                <w:highlight w:val="none"/>
              </w:rPr>
            </w:pPr>
            <w:r>
              <w:rPr>
                <w:b/>
                <w:color w:val="auto"/>
                <w:sz w:val="21"/>
                <w:szCs w:val="21"/>
                <w:highlight w:val="none"/>
              </w:rPr>
              <w:t>表</w:t>
            </w:r>
            <w:r>
              <w:rPr>
                <w:rFonts w:hint="eastAsia"/>
                <w:b/>
                <w:color w:val="auto"/>
                <w:sz w:val="21"/>
                <w:szCs w:val="21"/>
                <w:highlight w:val="none"/>
                <w:lang w:val="en-US" w:eastAsia="zh-CN"/>
              </w:rPr>
              <w:t>3-4</w:t>
            </w:r>
            <w:r>
              <w:rPr>
                <w:b/>
                <w:color w:val="auto"/>
                <w:sz w:val="21"/>
                <w:szCs w:val="21"/>
                <w:highlight w:val="none"/>
              </w:rPr>
              <w:t xml:space="preserve">  厂区内VOCs无组织排放限值</w:t>
            </w:r>
          </w:p>
          <w:tbl>
            <w:tblPr>
              <w:tblStyle w:val="20"/>
              <w:tblW w:w="823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33"/>
              <w:gridCol w:w="1134"/>
              <w:gridCol w:w="2318"/>
              <w:gridCol w:w="1902"/>
              <w:gridCol w:w="1952"/>
            </w:tblGrid>
            <w:tr w14:paraId="64A6F7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66" w:type="pct"/>
                  <w:noWrap w:val="0"/>
                  <w:vAlign w:val="center"/>
                </w:tcPr>
                <w:p w14:paraId="1BEB9E4C">
                  <w:pPr>
                    <w:pStyle w:val="54"/>
                    <w:rPr>
                      <w:rFonts w:ascii="Times New Roman" w:hAnsi="Times New Roman"/>
                      <w:b/>
                      <w:bCs/>
                      <w:color w:val="auto"/>
                      <w:sz w:val="18"/>
                      <w:szCs w:val="18"/>
                      <w:highlight w:val="none"/>
                    </w:rPr>
                  </w:pPr>
                  <w:r>
                    <w:rPr>
                      <w:rFonts w:ascii="Times New Roman" w:hAnsi="Times New Roman" w:eastAsia="宋体"/>
                      <w:b/>
                      <w:color w:val="auto"/>
                      <w:sz w:val="18"/>
                      <w:szCs w:val="18"/>
                      <w:highlight w:val="none"/>
                    </w:rPr>
                    <w:t>污染物</w:t>
                  </w:r>
                </w:p>
              </w:tc>
              <w:tc>
                <w:tcPr>
                  <w:tcW w:w="688" w:type="pct"/>
                  <w:noWrap w:val="0"/>
                  <w:vAlign w:val="center"/>
                </w:tcPr>
                <w:p w14:paraId="1E05B76D">
                  <w:pPr>
                    <w:pStyle w:val="54"/>
                    <w:rPr>
                      <w:rFonts w:ascii="Times New Roman" w:hAnsi="Times New Roman"/>
                      <w:b/>
                      <w:bCs/>
                      <w:color w:val="auto"/>
                      <w:sz w:val="18"/>
                      <w:szCs w:val="18"/>
                      <w:highlight w:val="none"/>
                    </w:rPr>
                  </w:pPr>
                  <w:r>
                    <w:rPr>
                      <w:rFonts w:ascii="Times New Roman" w:hAnsi="Times New Roman" w:eastAsia="宋体"/>
                      <w:b/>
                      <w:color w:val="auto"/>
                      <w:sz w:val="18"/>
                      <w:szCs w:val="18"/>
                      <w:highlight w:val="none"/>
                    </w:rPr>
                    <w:t>特别排放限值mg/m</w:t>
                  </w:r>
                  <w:r>
                    <w:rPr>
                      <w:rFonts w:ascii="Times New Roman" w:hAnsi="Times New Roman" w:eastAsia="宋体"/>
                      <w:b/>
                      <w:color w:val="auto"/>
                      <w:sz w:val="18"/>
                      <w:szCs w:val="18"/>
                      <w:highlight w:val="none"/>
                      <w:vertAlign w:val="superscript"/>
                    </w:rPr>
                    <w:t>3</w:t>
                  </w:r>
                </w:p>
              </w:tc>
              <w:tc>
                <w:tcPr>
                  <w:tcW w:w="1406" w:type="pct"/>
                  <w:noWrap w:val="0"/>
                  <w:vAlign w:val="center"/>
                </w:tcPr>
                <w:p w14:paraId="3C3F239C">
                  <w:pPr>
                    <w:pStyle w:val="54"/>
                    <w:rPr>
                      <w:rFonts w:ascii="Times New Roman" w:hAnsi="Times New Roman"/>
                      <w:b/>
                      <w:color w:val="auto"/>
                      <w:sz w:val="18"/>
                      <w:szCs w:val="18"/>
                      <w:highlight w:val="none"/>
                    </w:rPr>
                  </w:pPr>
                  <w:r>
                    <w:rPr>
                      <w:rFonts w:ascii="Times New Roman" w:hAnsi="Times New Roman" w:eastAsia="宋体"/>
                      <w:b/>
                      <w:color w:val="auto"/>
                      <w:sz w:val="18"/>
                      <w:szCs w:val="18"/>
                      <w:highlight w:val="none"/>
                    </w:rPr>
                    <w:t>限值含义</w:t>
                  </w:r>
                </w:p>
              </w:tc>
              <w:tc>
                <w:tcPr>
                  <w:tcW w:w="1154" w:type="pct"/>
                  <w:noWrap w:val="0"/>
                  <w:vAlign w:val="center"/>
                </w:tcPr>
                <w:p w14:paraId="46503108">
                  <w:pPr>
                    <w:pStyle w:val="54"/>
                    <w:rPr>
                      <w:rFonts w:ascii="Times New Roman" w:hAnsi="Times New Roman"/>
                      <w:b/>
                      <w:color w:val="auto"/>
                      <w:sz w:val="18"/>
                      <w:szCs w:val="18"/>
                      <w:highlight w:val="none"/>
                    </w:rPr>
                  </w:pPr>
                  <w:r>
                    <w:rPr>
                      <w:rFonts w:ascii="Times New Roman" w:hAnsi="Times New Roman" w:eastAsia="宋体"/>
                      <w:b/>
                      <w:color w:val="auto"/>
                      <w:sz w:val="18"/>
                      <w:szCs w:val="18"/>
                      <w:highlight w:val="none"/>
                    </w:rPr>
                    <w:t>无组织排放监控位置</w:t>
                  </w:r>
                </w:p>
              </w:tc>
              <w:tc>
                <w:tcPr>
                  <w:tcW w:w="1184" w:type="pct"/>
                  <w:noWrap w:val="0"/>
                  <w:vAlign w:val="center"/>
                </w:tcPr>
                <w:p w14:paraId="6EB69874">
                  <w:pPr>
                    <w:pStyle w:val="54"/>
                    <w:rPr>
                      <w:rFonts w:ascii="Times New Roman" w:hAnsi="Times New Roman" w:eastAsia="宋体"/>
                      <w:b/>
                      <w:color w:val="auto"/>
                      <w:sz w:val="18"/>
                      <w:szCs w:val="18"/>
                      <w:highlight w:val="none"/>
                    </w:rPr>
                  </w:pPr>
                  <w:r>
                    <w:rPr>
                      <w:rFonts w:hint="eastAsia" w:ascii="宋体" w:hAnsi="宋体" w:eastAsia="宋体" w:cs="宋体"/>
                      <w:b/>
                      <w:snapToGrid w:val="0"/>
                      <w:color w:val="auto"/>
                      <w:sz w:val="18"/>
                      <w:szCs w:val="18"/>
                      <w:highlight w:val="none"/>
                    </w:rPr>
                    <w:t>执行标准</w:t>
                  </w:r>
                </w:p>
              </w:tc>
            </w:tr>
            <w:tr w14:paraId="7B20C0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2" w:hRule="atLeast"/>
                <w:jc w:val="center"/>
              </w:trPr>
              <w:tc>
                <w:tcPr>
                  <w:tcW w:w="566" w:type="pct"/>
                  <w:vMerge w:val="restart"/>
                  <w:noWrap w:val="0"/>
                  <w:vAlign w:val="center"/>
                </w:tcPr>
                <w:p w14:paraId="7851F4D7">
                  <w:pPr>
                    <w:jc w:val="center"/>
                    <w:rPr>
                      <w:bCs/>
                      <w:snapToGrid w:val="0"/>
                      <w:color w:val="auto"/>
                      <w:sz w:val="18"/>
                      <w:szCs w:val="18"/>
                      <w:highlight w:val="none"/>
                    </w:rPr>
                  </w:pPr>
                  <w:r>
                    <w:rPr>
                      <w:color w:val="auto"/>
                      <w:sz w:val="18"/>
                      <w:szCs w:val="18"/>
                      <w:highlight w:val="none"/>
                    </w:rPr>
                    <w:t>NMHC</w:t>
                  </w:r>
                </w:p>
              </w:tc>
              <w:tc>
                <w:tcPr>
                  <w:tcW w:w="688" w:type="pct"/>
                  <w:noWrap w:val="0"/>
                  <w:vAlign w:val="center"/>
                </w:tcPr>
                <w:p w14:paraId="7588E998">
                  <w:pPr>
                    <w:jc w:val="center"/>
                    <w:rPr>
                      <w:snapToGrid w:val="0"/>
                      <w:color w:val="auto"/>
                      <w:sz w:val="18"/>
                      <w:szCs w:val="18"/>
                      <w:highlight w:val="none"/>
                    </w:rPr>
                  </w:pPr>
                  <w:r>
                    <w:rPr>
                      <w:snapToGrid w:val="0"/>
                      <w:color w:val="auto"/>
                      <w:sz w:val="18"/>
                      <w:szCs w:val="18"/>
                      <w:highlight w:val="none"/>
                    </w:rPr>
                    <w:t>6</w:t>
                  </w:r>
                </w:p>
              </w:tc>
              <w:tc>
                <w:tcPr>
                  <w:tcW w:w="1406" w:type="pct"/>
                  <w:noWrap w:val="0"/>
                  <w:vAlign w:val="center"/>
                </w:tcPr>
                <w:p w14:paraId="5D23364E">
                  <w:pPr>
                    <w:jc w:val="center"/>
                    <w:rPr>
                      <w:color w:val="auto"/>
                      <w:sz w:val="18"/>
                      <w:szCs w:val="18"/>
                      <w:highlight w:val="none"/>
                    </w:rPr>
                  </w:pPr>
                  <w:r>
                    <w:rPr>
                      <w:color w:val="auto"/>
                      <w:sz w:val="18"/>
                      <w:szCs w:val="18"/>
                      <w:highlight w:val="none"/>
                    </w:rPr>
                    <w:t>监控点处1h平均浓度值</w:t>
                  </w:r>
                </w:p>
              </w:tc>
              <w:tc>
                <w:tcPr>
                  <w:tcW w:w="1154" w:type="pct"/>
                  <w:vMerge w:val="restart"/>
                  <w:noWrap w:val="0"/>
                  <w:vAlign w:val="center"/>
                </w:tcPr>
                <w:p w14:paraId="78D5E656">
                  <w:pPr>
                    <w:jc w:val="center"/>
                    <w:rPr>
                      <w:color w:val="auto"/>
                      <w:sz w:val="18"/>
                      <w:szCs w:val="18"/>
                      <w:highlight w:val="none"/>
                    </w:rPr>
                  </w:pPr>
                  <w:r>
                    <w:rPr>
                      <w:color w:val="auto"/>
                      <w:sz w:val="18"/>
                      <w:szCs w:val="18"/>
                      <w:highlight w:val="none"/>
                    </w:rPr>
                    <w:t>在厂房外设置监控点</w:t>
                  </w:r>
                </w:p>
              </w:tc>
              <w:tc>
                <w:tcPr>
                  <w:tcW w:w="1184" w:type="pct"/>
                  <w:vMerge w:val="restart"/>
                  <w:noWrap w:val="0"/>
                  <w:vAlign w:val="center"/>
                </w:tcPr>
                <w:p w14:paraId="69057E43">
                  <w:pPr>
                    <w:jc w:val="center"/>
                    <w:rPr>
                      <w:rFonts w:hint="default"/>
                      <w:color w:val="auto"/>
                      <w:sz w:val="18"/>
                      <w:szCs w:val="18"/>
                      <w:highlight w:val="none"/>
                      <w:lang w:val="en-US"/>
                    </w:rPr>
                  </w:pPr>
                  <w:r>
                    <w:rPr>
                      <w:rFonts w:hint="eastAsia" w:cs="Times New Roman"/>
                      <w:color w:val="auto"/>
                      <w:sz w:val="18"/>
                      <w:szCs w:val="18"/>
                      <w:highlight w:val="none"/>
                      <w:lang w:eastAsia="zh-CN"/>
                    </w:rPr>
                    <w:t>《表面涂装（汽车零部件）大气污染物排放标准》（DB32/3966-2021）表2</w:t>
                  </w:r>
                  <w:r>
                    <w:rPr>
                      <w:rFonts w:hint="eastAsia" w:cs="Times New Roman"/>
                      <w:color w:val="auto"/>
                      <w:sz w:val="18"/>
                      <w:szCs w:val="18"/>
                      <w:highlight w:val="none"/>
                      <w:lang w:val="en-US" w:eastAsia="zh-CN"/>
                    </w:rPr>
                    <w:t>标准</w:t>
                  </w:r>
                </w:p>
              </w:tc>
            </w:tr>
            <w:tr w14:paraId="4D447E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1" w:hRule="atLeast"/>
                <w:jc w:val="center"/>
              </w:trPr>
              <w:tc>
                <w:tcPr>
                  <w:tcW w:w="566" w:type="pct"/>
                  <w:vMerge w:val="continue"/>
                  <w:noWrap w:val="0"/>
                  <w:vAlign w:val="center"/>
                </w:tcPr>
                <w:p w14:paraId="56E89DBD">
                  <w:pPr>
                    <w:jc w:val="center"/>
                    <w:rPr>
                      <w:bCs/>
                      <w:snapToGrid w:val="0"/>
                      <w:color w:val="auto"/>
                      <w:sz w:val="18"/>
                      <w:szCs w:val="18"/>
                      <w:highlight w:val="none"/>
                    </w:rPr>
                  </w:pPr>
                </w:p>
              </w:tc>
              <w:tc>
                <w:tcPr>
                  <w:tcW w:w="688" w:type="pct"/>
                  <w:noWrap w:val="0"/>
                  <w:vAlign w:val="center"/>
                </w:tcPr>
                <w:p w14:paraId="4252828A">
                  <w:pPr>
                    <w:adjustRightInd w:val="0"/>
                    <w:snapToGrid w:val="0"/>
                    <w:jc w:val="center"/>
                    <w:rPr>
                      <w:snapToGrid w:val="0"/>
                      <w:color w:val="auto"/>
                      <w:sz w:val="18"/>
                      <w:szCs w:val="18"/>
                      <w:highlight w:val="none"/>
                    </w:rPr>
                  </w:pPr>
                  <w:r>
                    <w:rPr>
                      <w:snapToGrid w:val="0"/>
                      <w:color w:val="auto"/>
                      <w:sz w:val="18"/>
                      <w:szCs w:val="18"/>
                      <w:highlight w:val="none"/>
                    </w:rPr>
                    <w:t>20</w:t>
                  </w:r>
                </w:p>
              </w:tc>
              <w:tc>
                <w:tcPr>
                  <w:tcW w:w="1406" w:type="pct"/>
                  <w:noWrap w:val="0"/>
                  <w:vAlign w:val="center"/>
                </w:tcPr>
                <w:p w14:paraId="73D4097D">
                  <w:pPr>
                    <w:adjustRightInd w:val="0"/>
                    <w:snapToGrid w:val="0"/>
                    <w:jc w:val="center"/>
                    <w:rPr>
                      <w:snapToGrid w:val="0"/>
                      <w:color w:val="auto"/>
                      <w:sz w:val="18"/>
                      <w:szCs w:val="18"/>
                      <w:highlight w:val="none"/>
                    </w:rPr>
                  </w:pPr>
                  <w:r>
                    <w:rPr>
                      <w:snapToGrid w:val="0"/>
                      <w:color w:val="auto"/>
                      <w:sz w:val="18"/>
                      <w:szCs w:val="18"/>
                      <w:highlight w:val="none"/>
                    </w:rPr>
                    <w:t>监控点处任意一次浓度值</w:t>
                  </w:r>
                </w:p>
              </w:tc>
              <w:tc>
                <w:tcPr>
                  <w:tcW w:w="1154" w:type="pct"/>
                  <w:vMerge w:val="continue"/>
                  <w:noWrap w:val="0"/>
                  <w:vAlign w:val="center"/>
                </w:tcPr>
                <w:p w14:paraId="7C5C978C">
                  <w:pPr>
                    <w:adjustRightInd w:val="0"/>
                    <w:snapToGrid w:val="0"/>
                    <w:jc w:val="center"/>
                    <w:rPr>
                      <w:snapToGrid w:val="0"/>
                      <w:color w:val="auto"/>
                      <w:sz w:val="18"/>
                      <w:szCs w:val="18"/>
                      <w:highlight w:val="none"/>
                    </w:rPr>
                  </w:pPr>
                </w:p>
              </w:tc>
              <w:tc>
                <w:tcPr>
                  <w:tcW w:w="1184" w:type="pct"/>
                  <w:vMerge w:val="continue"/>
                  <w:noWrap w:val="0"/>
                  <w:vAlign w:val="center"/>
                </w:tcPr>
                <w:p w14:paraId="10756163">
                  <w:pPr>
                    <w:adjustRightInd w:val="0"/>
                    <w:snapToGrid w:val="0"/>
                    <w:jc w:val="center"/>
                    <w:rPr>
                      <w:snapToGrid w:val="0"/>
                      <w:color w:val="auto"/>
                      <w:sz w:val="18"/>
                      <w:szCs w:val="18"/>
                      <w:highlight w:val="none"/>
                    </w:rPr>
                  </w:pPr>
                </w:p>
              </w:tc>
            </w:tr>
          </w:tbl>
          <w:p w14:paraId="5C603B18">
            <w:pPr>
              <w:pStyle w:val="3"/>
              <w:numPr>
                <w:ilvl w:val="0"/>
                <w:numId w:val="5"/>
              </w:numPr>
              <w:bidi w:val="0"/>
              <w:spacing w:line="360" w:lineRule="auto"/>
              <w:rPr>
                <w:rFonts w:hint="default"/>
                <w:color w:val="auto"/>
              </w:rPr>
            </w:pPr>
            <w:r>
              <w:rPr>
                <w:rFonts w:hint="default"/>
                <w:color w:val="auto"/>
              </w:rPr>
              <w:t>水污染物排放标准</w:t>
            </w:r>
          </w:p>
          <w:p w14:paraId="65DB8CB8">
            <w:pPr>
              <w:keepNext w:val="0"/>
              <w:keepLines w:val="0"/>
              <w:pageBreakBefore w:val="0"/>
              <w:widowControl w:val="0"/>
              <w:tabs>
                <w:tab w:val="left" w:pos="5142"/>
              </w:tabs>
              <w:kinsoku/>
              <w:wordWrap/>
              <w:overflowPunct/>
              <w:topLinePunct w:val="0"/>
              <w:autoSpaceDE/>
              <w:autoSpaceDN/>
              <w:bidi w:val="0"/>
              <w:adjustRightInd/>
              <w:snapToGrid/>
              <w:spacing w:before="0" w:line="360" w:lineRule="auto"/>
              <w:ind w:firstLine="420" w:firstLineChars="200"/>
              <w:textAlignment w:val="auto"/>
              <w:rPr>
                <w:rFonts w:hint="default" w:ascii="Times New Roman" w:hAnsi="Times New Roman" w:eastAsia="宋体" w:cs="Times New Roman"/>
                <w:color w:val="auto"/>
                <w:u w:val="none"/>
              </w:rPr>
            </w:pPr>
            <w:r>
              <w:rPr>
                <w:rFonts w:hint="eastAsia" w:ascii="Times New Roman" w:hAnsi="Times New Roman" w:eastAsia="宋体" w:cs="Times New Roman"/>
                <w:color w:val="auto"/>
                <w:u w:val="none"/>
                <w:lang w:val="en-US" w:eastAsia="zh-CN"/>
              </w:rPr>
              <w:t>本项目</w:t>
            </w:r>
            <w:r>
              <w:rPr>
                <w:rFonts w:hint="eastAsia" w:cs="Times New Roman"/>
                <w:color w:val="auto"/>
                <w:u w:val="none"/>
                <w:lang w:val="en-US" w:eastAsia="zh-CN"/>
              </w:rPr>
              <w:t>无生产废水排放，不新增生活污水</w:t>
            </w:r>
            <w:r>
              <w:rPr>
                <w:rFonts w:hint="default" w:ascii="Times New Roman" w:hAnsi="Times New Roman" w:eastAsia="宋体" w:cs="Times New Roman"/>
                <w:color w:val="auto"/>
                <w:u w:val="none"/>
              </w:rPr>
              <w:t>。</w:t>
            </w:r>
          </w:p>
          <w:p w14:paraId="45995A0E">
            <w:pPr>
              <w:keepNext w:val="0"/>
              <w:keepLines w:val="0"/>
              <w:pageBreakBefore w:val="0"/>
              <w:widowControl w:val="0"/>
              <w:tabs>
                <w:tab w:val="left" w:pos="5142"/>
              </w:tabs>
              <w:kinsoku/>
              <w:wordWrap/>
              <w:overflowPunct/>
              <w:topLinePunct w:val="0"/>
              <w:autoSpaceDE/>
              <w:autoSpaceDN/>
              <w:bidi w:val="0"/>
              <w:adjustRightInd/>
              <w:snapToGrid/>
              <w:spacing w:before="0" w:line="360" w:lineRule="auto"/>
              <w:ind w:firstLine="420" w:firstLineChars="200"/>
              <w:textAlignment w:val="auto"/>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rPr>
              <w:t>项目雨水排入市政雨水管网</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最终排入项目</w:t>
            </w:r>
            <w:r>
              <w:rPr>
                <w:rFonts w:hint="eastAsia" w:cs="Times New Roman"/>
                <w:color w:val="auto"/>
                <w:u w:val="none"/>
                <w:lang w:val="en-US" w:eastAsia="zh-CN"/>
              </w:rPr>
              <w:t>东侧</w:t>
            </w:r>
            <w:r>
              <w:rPr>
                <w:rFonts w:hint="eastAsia" w:cs="Times New Roman"/>
                <w:color w:val="auto"/>
                <w:sz w:val="21"/>
                <w:szCs w:val="21"/>
                <w:highlight w:val="none"/>
                <w:u w:val="none"/>
                <w:lang w:val="en-US" w:eastAsia="zh-CN"/>
              </w:rPr>
              <w:t>755</w:t>
            </w:r>
            <w:r>
              <w:rPr>
                <w:rFonts w:hint="default" w:ascii="Times New Roman" w:hAnsi="Times New Roman" w:eastAsia="宋体" w:cs="Times New Roman"/>
                <w:color w:val="auto"/>
                <w:sz w:val="21"/>
                <w:szCs w:val="21"/>
                <w:highlight w:val="none"/>
                <w:u w:val="none"/>
                <w:lang w:val="en-US" w:eastAsia="zh-CN"/>
              </w:rPr>
              <w:t>m处的</w:t>
            </w:r>
            <w:r>
              <w:rPr>
                <w:rFonts w:hint="eastAsia" w:cs="Times New Roman"/>
                <w:color w:val="auto"/>
                <w:u w:val="none"/>
                <w:lang w:val="en-US" w:eastAsia="zh-CN"/>
              </w:rPr>
              <w:t>浒通河</w:t>
            </w:r>
            <w:r>
              <w:rPr>
                <w:rFonts w:hint="default" w:ascii="Times New Roman" w:hAnsi="Times New Roman" w:eastAsia="宋体" w:cs="Times New Roman"/>
                <w:color w:val="auto"/>
                <w:sz w:val="21"/>
                <w:szCs w:val="21"/>
              </w:rPr>
              <w:t>，</w:t>
            </w:r>
            <w:r>
              <w:rPr>
                <w:rFonts w:hint="default" w:ascii="Times New Roman" w:hAnsi="Times New Roman" w:eastAsia="宋体" w:cs="Times New Roman"/>
                <w:bCs/>
                <w:snapToGrid w:val="0"/>
                <w:color w:val="auto"/>
                <w:kern w:val="0"/>
                <w:sz w:val="21"/>
                <w:szCs w:val="21"/>
                <w:highlight w:val="none"/>
                <w:lang w:val="en-US" w:eastAsia="zh-CN" w:bidi="ar-SA"/>
              </w:rPr>
              <w:t>雨水排放管理要求：</w:t>
            </w:r>
            <w:r>
              <w:rPr>
                <w:rFonts w:hint="default" w:ascii="Times New Roman" w:hAnsi="Times New Roman" w:cs="Times New Roman"/>
                <w:bCs/>
                <w:snapToGrid w:val="0"/>
                <w:color w:val="auto"/>
                <w:kern w:val="0"/>
                <w:sz w:val="21"/>
                <w:szCs w:val="21"/>
                <w:highlight w:val="none"/>
                <w:lang w:val="en-US" w:eastAsia="zh-CN" w:bidi="ar-SA"/>
              </w:rPr>
              <w:t>参考</w:t>
            </w:r>
            <w:r>
              <w:rPr>
                <w:rFonts w:hint="default" w:ascii="Times New Roman" w:hAnsi="Times New Roman" w:eastAsia="宋体" w:cs="Times New Roman"/>
                <w:bCs/>
                <w:snapToGrid w:val="0"/>
                <w:color w:val="auto"/>
                <w:kern w:val="0"/>
                <w:sz w:val="21"/>
                <w:szCs w:val="21"/>
                <w:highlight w:val="none"/>
                <w:lang w:val="en-US" w:eastAsia="zh-CN" w:bidi="ar-SA"/>
              </w:rPr>
              <w:t>关于印发《江苏省重点行业工业企业雨水排放环境管理办法（试行）》的通知（苏污防攻坚指办[2023]71号），雨水应满足以下要求：</w:t>
            </w:r>
          </w:p>
          <w:p w14:paraId="26A6CA04">
            <w:pPr>
              <w:keepNext w:val="0"/>
              <w:keepLines w:val="0"/>
              <w:pageBreakBefore w:val="0"/>
              <w:widowControl w:val="0"/>
              <w:tabs>
                <w:tab w:val="left" w:pos="5142"/>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①雨水可直接排放或纳管市政雨水管网。雨水排放口水质应保持稳定、清洁。严禁将雨水排入污水收集处理设施，借道污水排口排放的，不得在污水排放监控点之前汇入，避免影响污水处理设施效能或产生稀释排污的嫌疑。</w:t>
            </w:r>
          </w:p>
          <w:p w14:paraId="291C6706">
            <w:pPr>
              <w:keepNext w:val="0"/>
              <w:keepLines w:val="0"/>
              <w:pageBreakBefore w:val="0"/>
              <w:widowControl w:val="0"/>
              <w:tabs>
                <w:tab w:val="left" w:pos="5142"/>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②工业企业原则上一个厂区只允许设置一个雨水排放口。确需设置两个及以上雨水排放口的，应书面告知生态环境部门。</w:t>
            </w:r>
          </w:p>
          <w:p w14:paraId="6CB2D7BA">
            <w:pPr>
              <w:keepNext w:val="0"/>
              <w:keepLines w:val="0"/>
              <w:pageBreakBefore w:val="0"/>
              <w:widowControl w:val="0"/>
              <w:tabs>
                <w:tab w:val="left" w:pos="5142"/>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③工业企业雨水排放口前须设置明渠或取样监测观察井。明渠长度一般不小于1.5米，检查井长宽不小于0.5米，检查井底部要低于管渠底部0.3米以上，内侧贴白色瓷砖。</w:t>
            </w:r>
          </w:p>
          <w:p w14:paraId="048D4063">
            <w:pPr>
              <w:keepNext w:val="0"/>
              <w:keepLines w:val="0"/>
              <w:pageBreakBefore w:val="0"/>
              <w:widowControl w:val="0"/>
              <w:tabs>
                <w:tab w:val="left" w:pos="5142"/>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④工业企业雨水排放口应设立标志牌，标志牌安放位置醒目，保持清洁，不得污损、破坏。</w:t>
            </w:r>
          </w:p>
          <w:p w14:paraId="28E4B8B1">
            <w:pPr>
              <w:keepNext w:val="0"/>
              <w:keepLines w:val="0"/>
              <w:pageBreakBefore w:val="0"/>
              <w:widowControl w:val="0"/>
              <w:tabs>
                <w:tab w:val="left" w:pos="5142"/>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⑤工业企业雨水排放口应按相关规定和管理要求安装视频监控设备或水质在线监控设备，并与生态环境部门联网。水质在线监控因子由生态环境部门根据环境影响评价、排污许可管理、接管集中式污水处理厂去除能力，以及下游水功能区、国省考断面、饮用水源地等敏感目标管理要求等确定。</w:t>
            </w:r>
          </w:p>
          <w:p w14:paraId="7879B0A2">
            <w:pPr>
              <w:keepNext w:val="0"/>
              <w:keepLines w:val="0"/>
              <w:pageBreakBefore w:val="0"/>
              <w:widowControl w:val="0"/>
              <w:tabs>
                <w:tab w:val="left" w:pos="5142"/>
              </w:tabs>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⑥为有效防范后期雨水异常排放，必要时在雨水排放口前应安装自动紧急切断装置，并与水质在线监控设备连锁。发现雨水排放口水质异常，如监控因子浓度出现明显升高，或超过受纳水体水功能区目标等管控要求时，应立即启动工业企业突发环境事件应急预案，立即停止排水并排查超标原因，达到相关要求后方可恢复排水。</w:t>
            </w:r>
          </w:p>
          <w:p w14:paraId="3AE2907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bCs/>
                <w:snapToGrid w:val="0"/>
                <w:color w:val="auto"/>
                <w:kern w:val="0"/>
                <w:sz w:val="21"/>
                <w:szCs w:val="21"/>
                <w:highlight w:val="none"/>
                <w:lang w:val="en-US" w:eastAsia="zh-CN" w:bidi="ar-SA"/>
              </w:rPr>
              <w:t>⑦无降雨时，工业企业雨水排放口原则上应保持干燥；降雨后应及时排出积水，降雨停止1至3日后一般不应再出现对外排水。</w:t>
            </w:r>
          </w:p>
          <w:p w14:paraId="4172585A">
            <w:pPr>
              <w:autoSpaceDE w:val="0"/>
              <w:autoSpaceDN w:val="0"/>
              <w:adjustRightInd w:val="0"/>
              <w:snapToGrid w:val="0"/>
              <w:spacing w:line="400" w:lineRule="exact"/>
              <w:jc w:val="center"/>
              <w:rPr>
                <w:rFonts w:hint="eastAsia" w:ascii="Times New Roman" w:hAnsi="Times New Roman" w:eastAsia="宋体" w:cs="Times New Roman"/>
                <w:b/>
                <w:color w:val="auto"/>
                <w:kern w:val="0"/>
                <w:szCs w:val="21"/>
                <w:highlight w:val="none"/>
                <w:lang w:val="en-US" w:eastAsia="zh-CN"/>
              </w:rPr>
            </w:pPr>
            <w:r>
              <w:rPr>
                <w:rFonts w:hint="eastAsia" w:ascii="Times New Roman" w:hAnsi="Times New Roman" w:eastAsia="宋体" w:cs="Times New Roman"/>
                <w:b/>
                <w:color w:val="auto"/>
                <w:kern w:val="0"/>
                <w:szCs w:val="21"/>
                <w:highlight w:val="none"/>
                <w:lang w:eastAsia="zh-CN"/>
              </w:rPr>
              <w:t>表</w:t>
            </w:r>
            <w:r>
              <w:rPr>
                <w:rFonts w:hint="eastAsia" w:ascii="Times New Roman" w:hAnsi="Times New Roman" w:eastAsia="宋体" w:cs="Times New Roman"/>
                <w:b/>
                <w:color w:val="auto"/>
                <w:kern w:val="0"/>
                <w:szCs w:val="21"/>
                <w:highlight w:val="none"/>
                <w:lang w:val="en-US" w:eastAsia="zh-CN"/>
              </w:rPr>
              <w:t>3-10 雨水排放标准</w:t>
            </w:r>
          </w:p>
          <w:tbl>
            <w:tblPr>
              <w:tblStyle w:val="20"/>
              <w:tblW w:w="81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1808"/>
              <w:gridCol w:w="2745"/>
              <w:gridCol w:w="2400"/>
            </w:tblGrid>
            <w:tr w14:paraId="142708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1" w:hRule="atLeast"/>
                <w:jc w:val="center"/>
              </w:trPr>
              <w:tc>
                <w:tcPr>
                  <w:tcW w:w="1245" w:type="dxa"/>
                  <w:tcBorders>
                    <w:tl2br w:val="nil"/>
                    <w:tr2bl w:val="nil"/>
                  </w:tcBorders>
                  <w:noWrap w:val="0"/>
                  <w:vAlign w:val="center"/>
                </w:tcPr>
                <w:p w14:paraId="635C030B">
                  <w:pPr>
                    <w:pStyle w:val="68"/>
                    <w:spacing w:beforeLines="0" w:afterLines="0"/>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排放口编号</w:t>
                  </w:r>
                </w:p>
              </w:tc>
              <w:tc>
                <w:tcPr>
                  <w:tcW w:w="1808" w:type="dxa"/>
                  <w:tcBorders>
                    <w:tl2br w:val="nil"/>
                    <w:tr2bl w:val="nil"/>
                  </w:tcBorders>
                  <w:noWrap w:val="0"/>
                  <w:vAlign w:val="center"/>
                </w:tcPr>
                <w:p w14:paraId="5AA1C877">
                  <w:pPr>
                    <w:pStyle w:val="68"/>
                    <w:spacing w:beforeLines="0" w:afterLines="0"/>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污染物指标</w:t>
                  </w:r>
                </w:p>
              </w:tc>
              <w:tc>
                <w:tcPr>
                  <w:tcW w:w="2745" w:type="dxa"/>
                  <w:tcBorders>
                    <w:tl2br w:val="nil"/>
                    <w:tr2bl w:val="nil"/>
                  </w:tcBorders>
                  <w:noWrap w:val="0"/>
                  <w:vAlign w:val="center"/>
                </w:tcPr>
                <w:p w14:paraId="5C0DD453">
                  <w:pPr>
                    <w:pStyle w:val="68"/>
                    <w:spacing w:beforeLines="0" w:afterLines="0"/>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标准限值</w:t>
                  </w:r>
                  <w:r>
                    <w:rPr>
                      <w:rFonts w:hint="default" w:ascii="Times New Roman" w:hAnsi="Times New Roman" w:cs="Times New Roman"/>
                      <w:b/>
                      <w:bCs w:val="0"/>
                      <w:color w:val="auto"/>
                      <w:sz w:val="18"/>
                      <w:szCs w:val="18"/>
                      <w:highlight w:val="none"/>
                    </w:rPr>
                    <w:t>mg/L</w:t>
                  </w:r>
                  <w:r>
                    <w:rPr>
                      <w:rFonts w:hint="default" w:ascii="Times New Roman" w:hAnsi="Times New Roman" w:eastAsia="宋体" w:cs="Times New Roman"/>
                      <w:b/>
                      <w:bCs w:val="0"/>
                      <w:color w:val="auto"/>
                      <w:sz w:val="18"/>
                      <w:szCs w:val="18"/>
                      <w:highlight w:val="none"/>
                    </w:rPr>
                    <w:t>（pH无量纲）</w:t>
                  </w:r>
                </w:p>
              </w:tc>
              <w:tc>
                <w:tcPr>
                  <w:tcW w:w="2400" w:type="dxa"/>
                  <w:tcBorders>
                    <w:tl2br w:val="nil"/>
                    <w:tr2bl w:val="nil"/>
                  </w:tcBorders>
                  <w:noWrap w:val="0"/>
                  <w:vAlign w:val="center"/>
                </w:tcPr>
                <w:p w14:paraId="791BFB78">
                  <w:pPr>
                    <w:pStyle w:val="68"/>
                    <w:spacing w:beforeLines="0" w:afterLines="0"/>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执行标准</w:t>
                  </w:r>
                </w:p>
              </w:tc>
            </w:tr>
            <w:tr w14:paraId="29B92A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245" w:type="dxa"/>
                  <w:vMerge w:val="restart"/>
                  <w:tcBorders>
                    <w:tl2br w:val="nil"/>
                    <w:tr2bl w:val="nil"/>
                  </w:tcBorders>
                  <w:noWrap w:val="0"/>
                  <w:vAlign w:val="center"/>
                </w:tcPr>
                <w:p w14:paraId="312C92D5">
                  <w:pPr>
                    <w:pStyle w:val="68"/>
                    <w:spacing w:beforeLines="0" w:afterLines="0"/>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eastAsia="宋体" w:cs="Times New Roman"/>
                      <w:b w:val="0"/>
                      <w:bCs/>
                      <w:color w:val="auto"/>
                      <w:sz w:val="18"/>
                      <w:szCs w:val="18"/>
                      <w:highlight w:val="none"/>
                      <w:lang w:eastAsia="zh-CN"/>
                    </w:rPr>
                    <w:t>雨水排口</w:t>
                  </w:r>
                </w:p>
              </w:tc>
              <w:tc>
                <w:tcPr>
                  <w:tcW w:w="1808" w:type="dxa"/>
                  <w:tcBorders>
                    <w:tl2br w:val="nil"/>
                    <w:tr2bl w:val="nil"/>
                  </w:tcBorders>
                  <w:noWrap w:val="0"/>
                  <w:vAlign w:val="center"/>
                </w:tcPr>
                <w:p w14:paraId="54E34CB5">
                  <w:pPr>
                    <w:pStyle w:val="68"/>
                    <w:spacing w:beforeLines="0" w:afterLines="0"/>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pH</w:t>
                  </w:r>
                </w:p>
              </w:tc>
              <w:tc>
                <w:tcPr>
                  <w:tcW w:w="2745" w:type="dxa"/>
                  <w:tcBorders>
                    <w:tl2br w:val="nil"/>
                    <w:tr2bl w:val="nil"/>
                  </w:tcBorders>
                  <w:noWrap w:val="0"/>
                  <w:vAlign w:val="center"/>
                </w:tcPr>
                <w:p w14:paraId="38495DF7">
                  <w:pPr>
                    <w:pStyle w:val="68"/>
                    <w:spacing w:beforeLines="0" w:afterLines="0"/>
                    <w:rPr>
                      <w:rFonts w:hint="default" w:ascii="Times New Roman" w:hAnsi="Times New Roman"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6-9</w:t>
                  </w:r>
                </w:p>
              </w:tc>
              <w:tc>
                <w:tcPr>
                  <w:tcW w:w="2400" w:type="dxa"/>
                  <w:vMerge w:val="restart"/>
                  <w:tcBorders>
                    <w:tl2br w:val="nil"/>
                    <w:tr2bl w:val="nil"/>
                  </w:tcBorders>
                  <w:noWrap w:val="0"/>
                  <w:vAlign w:val="center"/>
                </w:tcPr>
                <w:p w14:paraId="2BC59DE1">
                  <w:pPr>
                    <w:pStyle w:val="68"/>
                    <w:spacing w:beforeLines="0" w:afterLines="0"/>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eastAsia="zh-CN"/>
                    </w:rPr>
                    <w:t>《</w:t>
                  </w:r>
                  <w:r>
                    <w:rPr>
                      <w:rFonts w:hint="default" w:ascii="Times New Roman" w:hAnsi="Times New Roman" w:eastAsia="宋体" w:cs="Times New Roman"/>
                      <w:b w:val="0"/>
                      <w:bCs/>
                      <w:color w:val="auto"/>
                      <w:sz w:val="18"/>
                      <w:szCs w:val="18"/>
                      <w:highlight w:val="none"/>
                      <w:lang w:val="en-US" w:eastAsia="zh-CN"/>
                    </w:rPr>
                    <w:t>地表水环境质量标准</w:t>
                  </w:r>
                  <w:r>
                    <w:rPr>
                      <w:rFonts w:hint="default" w:ascii="Times New Roman" w:hAnsi="Times New Roman" w:eastAsia="宋体" w:cs="Times New Roman"/>
                      <w:b w:val="0"/>
                      <w:bCs/>
                      <w:color w:val="auto"/>
                      <w:sz w:val="18"/>
                      <w:szCs w:val="18"/>
                      <w:highlight w:val="none"/>
                      <w:lang w:eastAsia="zh-CN"/>
                    </w:rPr>
                    <w:t>》（</w:t>
                  </w:r>
                  <w:r>
                    <w:rPr>
                      <w:rFonts w:hint="default" w:ascii="Times New Roman" w:hAnsi="Times New Roman" w:eastAsia="宋体" w:cs="Times New Roman"/>
                      <w:b w:val="0"/>
                      <w:bCs/>
                      <w:color w:val="auto"/>
                      <w:sz w:val="18"/>
                      <w:szCs w:val="18"/>
                      <w:highlight w:val="none"/>
                      <w:lang w:val="en-US" w:eastAsia="zh-CN"/>
                    </w:rPr>
                    <w:t>GB3838-2002</w:t>
                  </w:r>
                  <w:r>
                    <w:rPr>
                      <w:rFonts w:hint="default" w:ascii="Times New Roman" w:hAnsi="Times New Roman" w:eastAsia="宋体" w:cs="Times New Roman"/>
                      <w:b w:val="0"/>
                      <w:bCs/>
                      <w:color w:val="auto"/>
                      <w:sz w:val="18"/>
                      <w:szCs w:val="18"/>
                      <w:highlight w:val="none"/>
                      <w:lang w:eastAsia="zh-CN"/>
                    </w:rPr>
                    <w:t>）</w:t>
                  </w:r>
                  <w:r>
                    <w:rPr>
                      <w:rFonts w:hint="eastAsia" w:ascii="微软雅黑" w:hAnsi="微软雅黑" w:eastAsia="微软雅黑" w:cs="微软雅黑"/>
                      <w:b w:val="0"/>
                      <w:bCs/>
                      <w:color w:val="auto"/>
                      <w:sz w:val="18"/>
                      <w:szCs w:val="18"/>
                      <w:highlight w:val="none"/>
                      <w:lang w:eastAsia="zh-CN"/>
                    </w:rPr>
                    <w:t>Ⅳ</w:t>
                  </w:r>
                  <w:r>
                    <w:rPr>
                      <w:rFonts w:hint="default" w:ascii="Times New Roman" w:hAnsi="Times New Roman" w:eastAsia="宋体" w:cs="Times New Roman"/>
                      <w:b w:val="0"/>
                      <w:bCs/>
                      <w:color w:val="auto"/>
                      <w:sz w:val="18"/>
                      <w:szCs w:val="18"/>
                      <w:highlight w:val="none"/>
                      <w:lang w:val="en-US" w:eastAsia="zh-CN"/>
                    </w:rPr>
                    <w:t>类标准限值</w:t>
                  </w:r>
                </w:p>
              </w:tc>
            </w:tr>
            <w:tr w14:paraId="013ECA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1245" w:type="dxa"/>
                  <w:vMerge w:val="continue"/>
                  <w:tcBorders>
                    <w:tl2br w:val="nil"/>
                    <w:tr2bl w:val="nil"/>
                  </w:tcBorders>
                  <w:noWrap w:val="0"/>
                  <w:vAlign w:val="center"/>
                </w:tcPr>
                <w:p w14:paraId="2BC20DF1">
                  <w:pPr>
                    <w:pStyle w:val="68"/>
                    <w:spacing w:beforeLines="0" w:afterLines="0"/>
                    <w:rPr>
                      <w:rFonts w:hint="default" w:ascii="Times New Roman" w:hAnsi="Times New Roman" w:eastAsia="宋体" w:cs="Times New Roman"/>
                      <w:b w:val="0"/>
                      <w:bCs/>
                      <w:color w:val="auto"/>
                      <w:sz w:val="18"/>
                      <w:szCs w:val="18"/>
                      <w:highlight w:val="none"/>
                      <w:lang w:eastAsia="zh-CN"/>
                    </w:rPr>
                  </w:pPr>
                </w:p>
              </w:tc>
              <w:tc>
                <w:tcPr>
                  <w:tcW w:w="1808" w:type="dxa"/>
                  <w:tcBorders>
                    <w:tl2br w:val="nil"/>
                    <w:tr2bl w:val="nil"/>
                  </w:tcBorders>
                  <w:noWrap w:val="0"/>
                  <w:vAlign w:val="center"/>
                </w:tcPr>
                <w:p w14:paraId="1A6F9278">
                  <w:pPr>
                    <w:pStyle w:val="68"/>
                    <w:spacing w:beforeLines="0" w:afterLines="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COD</w:t>
                  </w:r>
                </w:p>
              </w:tc>
              <w:tc>
                <w:tcPr>
                  <w:tcW w:w="2745" w:type="dxa"/>
                  <w:tcBorders>
                    <w:tl2br w:val="nil"/>
                    <w:tr2bl w:val="nil"/>
                  </w:tcBorders>
                  <w:noWrap w:val="0"/>
                  <w:vAlign w:val="center"/>
                </w:tcPr>
                <w:p w14:paraId="1A443646">
                  <w:pPr>
                    <w:pStyle w:val="68"/>
                    <w:spacing w:beforeLines="0" w:afterLines="0"/>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cs="Times New Roman"/>
                      <w:b w:val="0"/>
                      <w:bCs/>
                      <w:color w:val="auto"/>
                      <w:sz w:val="18"/>
                      <w:szCs w:val="18"/>
                      <w:highlight w:val="none"/>
                      <w:lang w:val="en-US" w:eastAsia="zh-CN"/>
                    </w:rPr>
                    <w:t>30</w:t>
                  </w:r>
                </w:p>
              </w:tc>
              <w:tc>
                <w:tcPr>
                  <w:tcW w:w="2400" w:type="dxa"/>
                  <w:vMerge w:val="continue"/>
                  <w:tcBorders>
                    <w:tl2br w:val="nil"/>
                    <w:tr2bl w:val="nil"/>
                  </w:tcBorders>
                  <w:noWrap w:val="0"/>
                  <w:vAlign w:val="center"/>
                </w:tcPr>
                <w:p w14:paraId="66A3B538">
                  <w:pPr>
                    <w:pStyle w:val="68"/>
                    <w:spacing w:beforeLines="0" w:afterLines="0"/>
                    <w:rPr>
                      <w:rFonts w:hint="default" w:ascii="Times New Roman" w:hAnsi="Times New Roman" w:eastAsia="宋体" w:cs="Times New Roman"/>
                      <w:b w:val="0"/>
                      <w:bCs/>
                      <w:color w:val="auto"/>
                      <w:sz w:val="18"/>
                      <w:szCs w:val="18"/>
                      <w:highlight w:val="none"/>
                      <w:lang w:val="en-US" w:eastAsia="zh-CN"/>
                    </w:rPr>
                  </w:pPr>
                </w:p>
              </w:tc>
            </w:tr>
            <w:tr w14:paraId="009325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3" w:hRule="atLeast"/>
                <w:jc w:val="center"/>
              </w:trPr>
              <w:tc>
                <w:tcPr>
                  <w:tcW w:w="1245" w:type="dxa"/>
                  <w:vMerge w:val="continue"/>
                  <w:tcBorders>
                    <w:tl2br w:val="nil"/>
                    <w:tr2bl w:val="nil"/>
                  </w:tcBorders>
                  <w:noWrap w:val="0"/>
                  <w:vAlign w:val="center"/>
                </w:tcPr>
                <w:p w14:paraId="2C3E6A27">
                  <w:pPr>
                    <w:pStyle w:val="68"/>
                    <w:spacing w:beforeLines="0" w:afterLines="0"/>
                    <w:rPr>
                      <w:rFonts w:hint="default" w:ascii="Times New Roman" w:hAnsi="Times New Roman" w:eastAsia="宋体" w:cs="Times New Roman"/>
                      <w:b w:val="0"/>
                      <w:bCs/>
                      <w:color w:val="auto"/>
                      <w:sz w:val="18"/>
                      <w:szCs w:val="18"/>
                      <w:highlight w:val="none"/>
                    </w:rPr>
                  </w:pPr>
                </w:p>
              </w:tc>
              <w:tc>
                <w:tcPr>
                  <w:tcW w:w="1808" w:type="dxa"/>
                  <w:tcBorders>
                    <w:tl2br w:val="nil"/>
                    <w:tr2bl w:val="nil"/>
                  </w:tcBorders>
                  <w:noWrap w:val="0"/>
                  <w:vAlign w:val="center"/>
                </w:tcPr>
                <w:p w14:paraId="5C64066E">
                  <w:pPr>
                    <w:pStyle w:val="68"/>
                    <w:spacing w:beforeLines="0" w:afterLines="0"/>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SS</w:t>
                  </w:r>
                </w:p>
              </w:tc>
              <w:tc>
                <w:tcPr>
                  <w:tcW w:w="2745" w:type="dxa"/>
                  <w:tcBorders>
                    <w:tl2br w:val="nil"/>
                    <w:tr2bl w:val="nil"/>
                  </w:tcBorders>
                  <w:noWrap w:val="0"/>
                  <w:vAlign w:val="center"/>
                </w:tcPr>
                <w:p w14:paraId="66CF64CC">
                  <w:pPr>
                    <w:pStyle w:val="68"/>
                    <w:spacing w:beforeLines="0" w:afterLines="0"/>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w:t>
                  </w:r>
                </w:p>
              </w:tc>
              <w:tc>
                <w:tcPr>
                  <w:tcW w:w="2400" w:type="dxa"/>
                  <w:vMerge w:val="continue"/>
                  <w:tcBorders>
                    <w:tl2br w:val="nil"/>
                    <w:tr2bl w:val="nil"/>
                  </w:tcBorders>
                  <w:noWrap w:val="0"/>
                  <w:vAlign w:val="center"/>
                </w:tcPr>
                <w:p w14:paraId="6D017740">
                  <w:pPr>
                    <w:pStyle w:val="68"/>
                    <w:spacing w:beforeLines="0" w:afterLines="0"/>
                    <w:rPr>
                      <w:rFonts w:hint="default" w:ascii="Times New Roman" w:hAnsi="Times New Roman" w:eastAsia="宋体" w:cs="Times New Roman"/>
                      <w:b w:val="0"/>
                      <w:bCs/>
                      <w:color w:val="auto"/>
                      <w:sz w:val="18"/>
                      <w:szCs w:val="18"/>
                      <w:highlight w:val="none"/>
                    </w:rPr>
                  </w:pPr>
                </w:p>
              </w:tc>
            </w:tr>
            <w:tr w14:paraId="7774B7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3" w:hRule="atLeast"/>
                <w:jc w:val="center"/>
              </w:trPr>
              <w:tc>
                <w:tcPr>
                  <w:tcW w:w="1245" w:type="dxa"/>
                  <w:vMerge w:val="continue"/>
                  <w:tcBorders>
                    <w:tl2br w:val="nil"/>
                    <w:tr2bl w:val="nil"/>
                  </w:tcBorders>
                  <w:noWrap w:val="0"/>
                  <w:vAlign w:val="center"/>
                </w:tcPr>
                <w:p w14:paraId="6A97E2CF">
                  <w:pPr>
                    <w:pStyle w:val="68"/>
                    <w:spacing w:beforeLines="0" w:afterLines="0"/>
                    <w:rPr>
                      <w:rFonts w:hint="default" w:ascii="Times New Roman" w:hAnsi="Times New Roman" w:eastAsia="宋体" w:cs="Times New Roman"/>
                      <w:b w:val="0"/>
                      <w:bCs/>
                      <w:color w:val="auto"/>
                      <w:sz w:val="18"/>
                      <w:szCs w:val="18"/>
                      <w:highlight w:val="none"/>
                    </w:rPr>
                  </w:pPr>
                </w:p>
              </w:tc>
              <w:tc>
                <w:tcPr>
                  <w:tcW w:w="1808" w:type="dxa"/>
                  <w:tcBorders>
                    <w:tl2br w:val="nil"/>
                    <w:tr2bl w:val="nil"/>
                  </w:tcBorders>
                  <w:noWrap w:val="0"/>
                  <w:vAlign w:val="center"/>
                </w:tcPr>
                <w:p w14:paraId="7E1A8764">
                  <w:pPr>
                    <w:pStyle w:val="68"/>
                    <w:spacing w:beforeLines="0" w:afterLines="0"/>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石油类</w:t>
                  </w:r>
                </w:p>
              </w:tc>
              <w:tc>
                <w:tcPr>
                  <w:tcW w:w="2745" w:type="dxa"/>
                  <w:tcBorders>
                    <w:tl2br w:val="nil"/>
                    <w:tr2bl w:val="nil"/>
                  </w:tcBorders>
                  <w:noWrap w:val="0"/>
                  <w:vAlign w:val="center"/>
                </w:tcPr>
                <w:p w14:paraId="3226DA4A">
                  <w:pPr>
                    <w:pStyle w:val="68"/>
                    <w:spacing w:beforeLines="0" w:afterLines="0"/>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不得检出</w:t>
                  </w:r>
                </w:p>
              </w:tc>
              <w:tc>
                <w:tcPr>
                  <w:tcW w:w="2400" w:type="dxa"/>
                  <w:vMerge w:val="continue"/>
                  <w:tcBorders>
                    <w:tl2br w:val="nil"/>
                    <w:tr2bl w:val="nil"/>
                  </w:tcBorders>
                  <w:noWrap w:val="0"/>
                  <w:vAlign w:val="center"/>
                </w:tcPr>
                <w:p w14:paraId="69EB0846">
                  <w:pPr>
                    <w:pStyle w:val="68"/>
                    <w:spacing w:beforeLines="0" w:afterLines="0"/>
                    <w:rPr>
                      <w:rFonts w:hint="default" w:ascii="Times New Roman" w:hAnsi="Times New Roman" w:eastAsia="宋体" w:cs="Times New Roman"/>
                      <w:b w:val="0"/>
                      <w:bCs/>
                      <w:color w:val="auto"/>
                      <w:sz w:val="18"/>
                      <w:szCs w:val="18"/>
                      <w:highlight w:val="none"/>
                    </w:rPr>
                  </w:pPr>
                </w:p>
              </w:tc>
            </w:tr>
          </w:tbl>
          <w:p w14:paraId="3AC75433">
            <w:pPr>
              <w:bidi w:val="0"/>
              <w:rPr>
                <w:rFonts w:hint="default" w:eastAsia="宋体"/>
                <w:color w:val="auto"/>
                <w:sz w:val="18"/>
                <w:szCs w:val="18"/>
                <w:highlight w:val="none"/>
                <w:lang w:val="en-US" w:eastAsia="zh-CN"/>
              </w:rPr>
            </w:pPr>
            <w:r>
              <w:rPr>
                <w:rFonts w:hint="eastAsia"/>
                <w:color w:val="auto"/>
                <w:sz w:val="18"/>
                <w:szCs w:val="18"/>
                <w:highlight w:val="none"/>
                <w:lang w:val="en-US" w:eastAsia="zh-CN"/>
              </w:rPr>
              <w:t>注：因本项目雨水纳污河为浒通河，其水域环境功能为</w:t>
            </w:r>
            <w:r>
              <w:rPr>
                <w:rFonts w:hint="eastAsia" w:ascii="微软雅黑" w:hAnsi="微软雅黑" w:eastAsia="微软雅黑" w:cs="微软雅黑"/>
                <w:b w:val="0"/>
                <w:bCs/>
                <w:color w:val="auto"/>
                <w:sz w:val="18"/>
                <w:szCs w:val="18"/>
                <w:highlight w:val="none"/>
                <w:lang w:eastAsia="zh-CN"/>
              </w:rPr>
              <w:t>Ⅳ</w:t>
            </w:r>
            <w:r>
              <w:rPr>
                <w:rFonts w:hint="default" w:ascii="Times New Roman" w:hAnsi="Times New Roman" w:eastAsia="宋体" w:cs="Times New Roman"/>
                <w:b w:val="0"/>
                <w:bCs/>
                <w:color w:val="auto"/>
                <w:sz w:val="18"/>
                <w:szCs w:val="18"/>
                <w:highlight w:val="none"/>
                <w:lang w:val="en-US" w:eastAsia="zh-CN"/>
              </w:rPr>
              <w:t>类</w:t>
            </w:r>
            <w:r>
              <w:rPr>
                <w:rFonts w:hint="eastAsia" w:ascii="Times New Roman" w:hAnsi="Times New Roman" w:eastAsia="宋体" w:cs="Times New Roman"/>
                <w:b w:val="0"/>
                <w:bCs/>
                <w:color w:val="auto"/>
                <w:sz w:val="18"/>
                <w:szCs w:val="18"/>
                <w:highlight w:val="none"/>
                <w:lang w:val="en-US" w:eastAsia="zh-CN"/>
              </w:rPr>
              <w:t>，根据关于印发《江苏省重点行业工业企业雨水排放环境管理办法（试行）》的通知要求，本项目雨水排放标准执行</w:t>
            </w:r>
            <w:r>
              <w:rPr>
                <w:rFonts w:hint="default" w:ascii="Times New Roman" w:hAnsi="Times New Roman" w:eastAsia="宋体" w:cs="Times New Roman"/>
                <w:b w:val="0"/>
                <w:bCs/>
                <w:color w:val="auto"/>
                <w:sz w:val="18"/>
                <w:szCs w:val="18"/>
                <w:highlight w:val="none"/>
                <w:lang w:eastAsia="zh-CN"/>
              </w:rPr>
              <w:t>《</w:t>
            </w:r>
            <w:r>
              <w:rPr>
                <w:rFonts w:hint="default" w:ascii="Times New Roman" w:hAnsi="Times New Roman" w:eastAsia="宋体" w:cs="Times New Roman"/>
                <w:b w:val="0"/>
                <w:bCs/>
                <w:color w:val="auto"/>
                <w:sz w:val="18"/>
                <w:szCs w:val="18"/>
                <w:highlight w:val="none"/>
                <w:lang w:val="en-US" w:eastAsia="zh-CN"/>
              </w:rPr>
              <w:t>地表水环境质量标准</w:t>
            </w:r>
            <w:r>
              <w:rPr>
                <w:rFonts w:hint="default" w:ascii="Times New Roman" w:hAnsi="Times New Roman" w:eastAsia="宋体" w:cs="Times New Roman"/>
                <w:b w:val="0"/>
                <w:bCs/>
                <w:color w:val="auto"/>
                <w:sz w:val="18"/>
                <w:szCs w:val="18"/>
                <w:highlight w:val="none"/>
                <w:lang w:eastAsia="zh-CN"/>
              </w:rPr>
              <w:t>》（</w:t>
            </w:r>
            <w:r>
              <w:rPr>
                <w:rFonts w:hint="default" w:ascii="Times New Roman" w:hAnsi="Times New Roman" w:eastAsia="宋体" w:cs="Times New Roman"/>
                <w:b w:val="0"/>
                <w:bCs/>
                <w:color w:val="auto"/>
                <w:sz w:val="18"/>
                <w:szCs w:val="18"/>
                <w:highlight w:val="none"/>
                <w:lang w:val="en-US" w:eastAsia="zh-CN"/>
              </w:rPr>
              <w:t>GB3838-2002</w:t>
            </w:r>
            <w:r>
              <w:rPr>
                <w:rFonts w:hint="default" w:ascii="Times New Roman" w:hAnsi="Times New Roman" w:eastAsia="宋体" w:cs="Times New Roman"/>
                <w:b w:val="0"/>
                <w:bCs/>
                <w:color w:val="auto"/>
                <w:sz w:val="18"/>
                <w:szCs w:val="18"/>
                <w:highlight w:val="none"/>
                <w:lang w:eastAsia="zh-CN"/>
              </w:rPr>
              <w:t>）</w:t>
            </w:r>
            <w:r>
              <w:rPr>
                <w:rFonts w:hint="eastAsia" w:ascii="微软雅黑" w:hAnsi="微软雅黑" w:eastAsia="微软雅黑" w:cs="微软雅黑"/>
                <w:b w:val="0"/>
                <w:bCs/>
                <w:color w:val="auto"/>
                <w:sz w:val="18"/>
                <w:szCs w:val="18"/>
                <w:highlight w:val="none"/>
                <w:lang w:eastAsia="zh-CN"/>
              </w:rPr>
              <w:t>Ⅳ</w:t>
            </w:r>
            <w:r>
              <w:rPr>
                <w:rFonts w:hint="default" w:ascii="Times New Roman" w:hAnsi="Times New Roman" w:eastAsia="宋体" w:cs="Times New Roman"/>
                <w:b w:val="0"/>
                <w:bCs/>
                <w:color w:val="auto"/>
                <w:sz w:val="18"/>
                <w:szCs w:val="18"/>
                <w:highlight w:val="none"/>
                <w:lang w:val="en-US" w:eastAsia="zh-CN"/>
              </w:rPr>
              <w:t>类标准限值</w:t>
            </w:r>
            <w:r>
              <w:rPr>
                <w:rFonts w:hint="eastAsia" w:ascii="Times New Roman" w:hAnsi="Times New Roman" w:eastAsia="宋体" w:cs="Times New Roman"/>
                <w:b w:val="0"/>
                <w:bCs/>
                <w:color w:val="auto"/>
                <w:sz w:val="18"/>
                <w:szCs w:val="18"/>
                <w:highlight w:val="none"/>
                <w:lang w:val="en-US" w:eastAsia="zh-CN"/>
              </w:rPr>
              <w:t>。</w:t>
            </w:r>
          </w:p>
          <w:p w14:paraId="0678A9DE">
            <w:pPr>
              <w:pStyle w:val="3"/>
              <w:bidi w:val="0"/>
              <w:rPr>
                <w:rFonts w:hint="default"/>
                <w:color w:val="auto"/>
              </w:rPr>
            </w:pPr>
            <w:r>
              <w:rPr>
                <w:rFonts w:hint="eastAsia"/>
                <w:color w:val="auto"/>
                <w:lang w:val="en-US" w:eastAsia="zh-CN"/>
              </w:rPr>
              <w:t>（三）</w:t>
            </w:r>
            <w:r>
              <w:rPr>
                <w:rFonts w:hint="default"/>
                <w:color w:val="auto"/>
              </w:rPr>
              <w:t>厂界噪声排放标准</w:t>
            </w:r>
          </w:p>
          <w:p w14:paraId="241A94BE">
            <w:pPr>
              <w:spacing w:line="360" w:lineRule="auto"/>
              <w:ind w:firstLine="420" w:firstLineChars="200"/>
              <w:jc w:val="left"/>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spacing w:val="0"/>
                <w:w w:val="100"/>
                <w:position w:val="0"/>
                <w:sz w:val="21"/>
                <w:szCs w:val="21"/>
                <w:highlight w:val="none"/>
              </w:rPr>
              <w:t>项目所在地块位</w:t>
            </w:r>
            <w:r>
              <w:rPr>
                <w:rFonts w:hint="default" w:ascii="Times New Roman" w:hAnsi="Times New Roman" w:eastAsia="宋体" w:cs="Times New Roman"/>
                <w:color w:val="auto"/>
                <w:spacing w:val="0"/>
                <w:w w:val="100"/>
                <w:position w:val="0"/>
                <w:sz w:val="21"/>
                <w:szCs w:val="21"/>
                <w:highlight w:val="none"/>
                <w:u w:val="none"/>
              </w:rPr>
              <w:t>于</w:t>
            </w:r>
            <w:r>
              <w:rPr>
                <w:rFonts w:hint="default" w:ascii="Times New Roman" w:hAnsi="Times New Roman" w:eastAsia="宋体" w:cs="Times New Roman"/>
                <w:color w:val="auto"/>
                <w:spacing w:val="0"/>
                <w:w w:val="100"/>
                <w:position w:val="0"/>
                <w:sz w:val="21"/>
                <w:szCs w:val="21"/>
                <w:highlight w:val="none"/>
                <w:u w:val="none"/>
                <w:lang w:eastAsia="zh-CN"/>
              </w:rPr>
              <w:t>海门经济技术开发区</w:t>
            </w:r>
            <w:r>
              <w:rPr>
                <w:rFonts w:hint="default" w:ascii="Times New Roman" w:hAnsi="Times New Roman" w:eastAsia="宋体" w:cs="Times New Roman"/>
                <w:color w:val="auto"/>
                <w:spacing w:val="0"/>
                <w:w w:val="100"/>
                <w:position w:val="0"/>
                <w:sz w:val="21"/>
                <w:szCs w:val="21"/>
                <w:highlight w:val="none"/>
              </w:rPr>
              <w:t>，</w:t>
            </w:r>
            <w:r>
              <w:rPr>
                <w:rFonts w:hint="default" w:ascii="Times New Roman" w:hAnsi="Times New Roman" w:cs="Times New Roman"/>
                <w:color w:val="auto"/>
                <w:spacing w:val="0"/>
                <w:w w:val="100"/>
                <w:position w:val="0"/>
                <w:sz w:val="21"/>
                <w:szCs w:val="21"/>
                <w:highlight w:val="none"/>
                <w:lang w:val="en-US" w:eastAsia="zh-CN"/>
              </w:rPr>
              <w:t>对照《市政府关于印发南通市中心城区声环境功能区划分规定（2024年修订版）的通知》（通政规〔2024〕6号）附件3</w:t>
            </w:r>
            <w:r>
              <w:rPr>
                <w:rFonts w:hint="default" w:ascii="Times New Roman" w:hAnsi="Times New Roman" w:cs="Times New Roman"/>
                <w:color w:val="auto"/>
                <w:spacing w:val="0"/>
                <w:w w:val="100"/>
                <w:position w:val="0"/>
                <w:sz w:val="21"/>
                <w:szCs w:val="21"/>
                <w:highlight w:val="none"/>
                <w:u w:val="none"/>
                <w:lang w:val="en-US" w:eastAsia="zh-CN"/>
              </w:rPr>
              <w:t>南通市中心城区3类声环境功能区范围，本项目属于海门城区303单元</w:t>
            </w:r>
            <w:r>
              <w:rPr>
                <w:rFonts w:hint="default" w:ascii="Times New Roman" w:hAnsi="Times New Roman" w:cs="Times New Roman"/>
                <w:color w:val="auto"/>
                <w:kern w:val="0"/>
                <w:sz w:val="21"/>
                <w:szCs w:val="21"/>
                <w:u w:val="none"/>
              </w:rPr>
              <w:t>单元</w:t>
            </w:r>
            <w:r>
              <w:rPr>
                <w:rFonts w:hint="default" w:ascii="Times New Roman" w:hAnsi="Times New Roman" w:cs="Times New Roman"/>
                <w:color w:val="auto"/>
                <w:kern w:val="0"/>
                <w:sz w:val="21"/>
                <w:szCs w:val="21"/>
                <w:u w:val="none"/>
                <w:lang w:eastAsia="zh-CN"/>
              </w:rPr>
              <w:t>，</w:t>
            </w:r>
            <w:r>
              <w:rPr>
                <w:rFonts w:hint="default" w:ascii="Times New Roman" w:hAnsi="Times New Roman" w:cs="Times New Roman"/>
                <w:color w:val="auto"/>
                <w:kern w:val="0"/>
                <w:sz w:val="21"/>
                <w:szCs w:val="21"/>
                <w:u w:val="none"/>
                <w:lang w:val="en-US" w:eastAsia="zh-CN"/>
              </w:rPr>
              <w:t>范围为“西：保税十九路，北：江堤路—香港路，东：滨港大道右侧河道，南：长江”</w:t>
            </w:r>
            <w:r>
              <w:rPr>
                <w:rFonts w:hint="default" w:ascii="Times New Roman" w:hAnsi="Times New Roman" w:cs="Times New Roman"/>
                <w:color w:val="auto"/>
                <w:kern w:val="0"/>
                <w:sz w:val="21"/>
                <w:szCs w:val="21"/>
                <w:lang w:val="en-US" w:eastAsia="zh-CN"/>
              </w:rPr>
              <w:t>，</w:t>
            </w:r>
            <w:r>
              <w:rPr>
                <w:rFonts w:hint="default" w:ascii="Times New Roman" w:hAnsi="Times New Roman" w:eastAsia="宋体" w:cs="Times New Roman"/>
                <w:color w:val="auto"/>
                <w:spacing w:val="0"/>
                <w:w w:val="100"/>
                <w:position w:val="0"/>
                <w:sz w:val="21"/>
                <w:szCs w:val="21"/>
                <w:highlight w:val="none"/>
              </w:rPr>
              <w:t>因此项目所在地声环境功能区划</w:t>
            </w:r>
            <w:r>
              <w:rPr>
                <w:rFonts w:hint="default" w:ascii="Times New Roman" w:hAnsi="Times New Roman" w:eastAsia="宋体" w:cs="Times New Roman"/>
                <w:color w:val="auto"/>
                <w:spacing w:val="0"/>
                <w:w w:val="100"/>
                <w:position w:val="0"/>
                <w:sz w:val="21"/>
                <w:szCs w:val="21"/>
                <w:highlight w:val="none"/>
                <w:lang w:val="en-US" w:eastAsia="zh-CN"/>
              </w:rPr>
              <w:t>为</w:t>
            </w:r>
            <w:r>
              <w:rPr>
                <w:rFonts w:hint="default" w:ascii="Times New Roman" w:hAnsi="Times New Roman" w:eastAsia="宋体" w:cs="Times New Roman"/>
                <w:color w:val="auto"/>
                <w:spacing w:val="0"/>
                <w:w w:val="100"/>
                <w:position w:val="0"/>
                <w:sz w:val="21"/>
                <w:szCs w:val="21"/>
                <w:highlight w:val="none"/>
              </w:rPr>
              <w:t>3类区</w:t>
            </w:r>
            <w:r>
              <w:rPr>
                <w:rFonts w:hint="default" w:ascii="Times New Roman" w:hAnsi="Times New Roman" w:eastAsia="宋体" w:cs="Times New Roman"/>
                <w:color w:val="auto"/>
                <w:spacing w:val="0"/>
                <w:w w:val="100"/>
                <w:position w:val="0"/>
                <w:sz w:val="21"/>
                <w:szCs w:val="21"/>
                <w:highlight w:val="none"/>
                <w:lang w:eastAsia="zh-CN"/>
              </w:rPr>
              <w:t>，</w:t>
            </w:r>
            <w:r>
              <w:rPr>
                <w:rFonts w:hint="default" w:ascii="Times New Roman" w:hAnsi="Times New Roman" w:cs="Times New Roman"/>
                <w:color w:val="auto"/>
                <w:kern w:val="0"/>
                <w:sz w:val="21"/>
                <w:szCs w:val="21"/>
                <w:highlight w:val="none"/>
              </w:rPr>
              <w:t>运营期项目噪声执行《工业企业厂界环境噪声排放标准》（GB12348-2008）中</w:t>
            </w:r>
            <w:r>
              <w:rPr>
                <w:rFonts w:hint="default" w:ascii="Times New Roman" w:hAnsi="Times New Roman" w:cs="Times New Roman"/>
                <w:color w:val="auto"/>
                <w:kern w:val="0"/>
                <w:sz w:val="21"/>
                <w:szCs w:val="21"/>
                <w:highlight w:val="none"/>
                <w:u w:val="none"/>
                <w:lang w:val="en-US" w:eastAsia="zh-CN"/>
              </w:rPr>
              <w:t>3</w:t>
            </w:r>
            <w:r>
              <w:rPr>
                <w:rFonts w:hint="default" w:ascii="Times New Roman" w:hAnsi="Times New Roman" w:cs="Times New Roman"/>
                <w:color w:val="auto"/>
                <w:kern w:val="0"/>
                <w:sz w:val="21"/>
                <w:szCs w:val="21"/>
                <w:highlight w:val="none"/>
                <w:u w:val="none"/>
              </w:rPr>
              <w:t>类区</w:t>
            </w:r>
            <w:r>
              <w:rPr>
                <w:rFonts w:hint="default" w:ascii="Times New Roman" w:hAnsi="Times New Roman" w:cs="Times New Roman"/>
                <w:color w:val="auto"/>
                <w:kern w:val="0"/>
                <w:sz w:val="21"/>
                <w:szCs w:val="21"/>
                <w:highlight w:val="none"/>
              </w:rPr>
              <w:t>标准，具体见</w:t>
            </w:r>
            <w:r>
              <w:rPr>
                <w:rFonts w:hint="default" w:ascii="Times New Roman" w:hAnsi="Times New Roman" w:cs="Times New Roman"/>
                <w:color w:val="auto"/>
                <w:kern w:val="0"/>
                <w:sz w:val="21"/>
                <w:szCs w:val="21"/>
                <w:highlight w:val="none"/>
                <w:lang w:val="en-US" w:eastAsia="zh-CN"/>
              </w:rPr>
              <w:t>下表</w:t>
            </w:r>
            <w:r>
              <w:rPr>
                <w:rFonts w:hint="default" w:ascii="Times New Roman" w:hAnsi="Times New Roman" w:cs="Times New Roman"/>
                <w:color w:val="auto"/>
                <w:kern w:val="0"/>
                <w:sz w:val="21"/>
                <w:szCs w:val="21"/>
                <w:highlight w:val="none"/>
              </w:rPr>
              <w:t>。</w:t>
            </w:r>
          </w:p>
          <w:p w14:paraId="645D0520">
            <w:pPr>
              <w:ind w:firstLine="482"/>
              <w:jc w:val="center"/>
              <w:rPr>
                <w:rFonts w:hint="default" w:ascii="Times New Roman" w:hAnsi="Times New Roman" w:cs="Times New Roman"/>
                <w:color w:val="auto"/>
                <w:sz w:val="21"/>
                <w:szCs w:val="21"/>
                <w:highlight w:val="none"/>
              </w:rPr>
            </w:pPr>
            <w:bookmarkStart w:id="17" w:name="_Ref361753043"/>
            <w:bookmarkStart w:id="18" w:name="_Ref362641757"/>
            <w:r>
              <w:rPr>
                <w:rFonts w:hint="default" w:ascii="Times New Roman" w:hAnsi="Times New Roman" w:cs="Times New Roman"/>
                <w:b/>
                <w:bCs/>
                <w:color w:val="auto"/>
                <w:sz w:val="21"/>
                <w:szCs w:val="21"/>
                <w:highlight w:val="none"/>
              </w:rPr>
              <w:t>表</w:t>
            </w:r>
            <w:bookmarkEnd w:id="17"/>
            <w:bookmarkEnd w:id="18"/>
            <w:r>
              <w:rPr>
                <w:rFonts w:hint="default" w:ascii="Times New Roman" w:hAnsi="Times New Roman" w:cs="Times New Roman"/>
                <w:b/>
                <w:bCs/>
                <w:color w:val="auto"/>
                <w:sz w:val="21"/>
                <w:szCs w:val="21"/>
                <w:highlight w:val="none"/>
              </w:rPr>
              <w:t>3-</w:t>
            </w:r>
            <w:r>
              <w:rPr>
                <w:rFonts w:hint="eastAsia" w:cs="Times New Roman"/>
                <w:b/>
                <w:bCs/>
                <w:color w:val="auto"/>
                <w:sz w:val="21"/>
                <w:szCs w:val="21"/>
                <w:highlight w:val="none"/>
                <w:lang w:val="en-US" w:eastAsia="zh-CN"/>
              </w:rPr>
              <w:t>5</w:t>
            </w:r>
            <w:r>
              <w:rPr>
                <w:rFonts w:hint="default" w:ascii="Times New Roman" w:hAnsi="Times New Roman" w:cs="Times New Roman"/>
                <w:b/>
                <w:color w:val="auto"/>
                <w:kern w:val="21"/>
                <w:sz w:val="21"/>
                <w:szCs w:val="21"/>
                <w:highlight w:val="none"/>
                <w:lang w:val="zh-CN"/>
              </w:rPr>
              <w:t xml:space="preserve">  工业企业厂界噪声排放标准</w:t>
            </w:r>
            <w:r>
              <w:rPr>
                <w:rFonts w:hint="default" w:ascii="Times New Roman" w:hAnsi="Times New Roman" w:cs="Times New Roman"/>
                <w:color w:val="auto"/>
                <w:sz w:val="21"/>
                <w:szCs w:val="21"/>
                <w:highlight w:val="none"/>
              </w:rPr>
              <w:t xml:space="preserve">     单位：dB(A)</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643"/>
              <w:gridCol w:w="1534"/>
              <w:gridCol w:w="1644"/>
              <w:gridCol w:w="3418"/>
            </w:tblGrid>
            <w:tr w14:paraId="5A980B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628" w:type="dxa"/>
                  <w:noWrap w:val="0"/>
                  <w:vAlign w:val="center"/>
                </w:tcPr>
                <w:p w14:paraId="27CDA059">
                  <w:pPr>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评价标准</w:t>
                  </w:r>
                </w:p>
              </w:tc>
              <w:tc>
                <w:tcPr>
                  <w:tcW w:w="1520" w:type="dxa"/>
                  <w:noWrap w:val="0"/>
                  <w:vAlign w:val="center"/>
                </w:tcPr>
                <w:p w14:paraId="36F42237">
                  <w:pPr>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昼间</w:t>
                  </w:r>
                </w:p>
              </w:tc>
              <w:tc>
                <w:tcPr>
                  <w:tcW w:w="1629" w:type="dxa"/>
                  <w:noWrap w:val="0"/>
                  <w:vAlign w:val="center"/>
                </w:tcPr>
                <w:p w14:paraId="4D7AB080">
                  <w:pPr>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夜间</w:t>
                  </w:r>
                </w:p>
              </w:tc>
              <w:tc>
                <w:tcPr>
                  <w:tcW w:w="3387" w:type="dxa"/>
                  <w:noWrap w:val="0"/>
                  <w:vAlign w:val="center"/>
                </w:tcPr>
                <w:p w14:paraId="2C7830EE">
                  <w:pPr>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标准来源</w:t>
                  </w:r>
                </w:p>
              </w:tc>
            </w:tr>
            <w:tr w14:paraId="46CFC4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628" w:type="dxa"/>
                  <w:noWrap w:val="0"/>
                  <w:vAlign w:val="center"/>
                </w:tcPr>
                <w:p w14:paraId="1FC1B143">
                  <w:pPr>
                    <w:jc w:val="center"/>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3</w:t>
                  </w:r>
                  <w:r>
                    <w:rPr>
                      <w:rFonts w:hint="default" w:ascii="Times New Roman" w:hAnsi="Times New Roman" w:cs="Times New Roman"/>
                      <w:color w:val="auto"/>
                      <w:sz w:val="18"/>
                      <w:szCs w:val="18"/>
                      <w:highlight w:val="none"/>
                    </w:rPr>
                    <w:t>类区标准</w:t>
                  </w:r>
                </w:p>
              </w:tc>
              <w:tc>
                <w:tcPr>
                  <w:tcW w:w="1520" w:type="dxa"/>
                  <w:noWrap w:val="0"/>
                  <w:vAlign w:val="center"/>
                </w:tcPr>
                <w:p w14:paraId="72866217">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65</w:t>
                  </w:r>
                </w:p>
              </w:tc>
              <w:tc>
                <w:tcPr>
                  <w:tcW w:w="1629" w:type="dxa"/>
                  <w:noWrap w:val="0"/>
                  <w:vAlign w:val="center"/>
                </w:tcPr>
                <w:p w14:paraId="0C0092E8">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cs="Times New Roman"/>
                      <w:color w:val="auto"/>
                      <w:sz w:val="18"/>
                      <w:szCs w:val="18"/>
                      <w:highlight w:val="none"/>
                      <w:lang w:val="en-US" w:eastAsia="zh-CN"/>
                    </w:rPr>
                    <w:t>55</w:t>
                  </w:r>
                </w:p>
              </w:tc>
              <w:tc>
                <w:tcPr>
                  <w:tcW w:w="3387" w:type="dxa"/>
                  <w:noWrap w:val="0"/>
                  <w:vAlign w:val="center"/>
                </w:tcPr>
                <w:p w14:paraId="5373D3B1">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《工业企业厂界环境噪声排放标准》（GB12348-2008）</w:t>
                  </w:r>
                </w:p>
              </w:tc>
            </w:tr>
          </w:tbl>
          <w:p w14:paraId="125723DE">
            <w:pPr>
              <w:pStyle w:val="3"/>
              <w:bidi w:val="0"/>
              <w:rPr>
                <w:rFonts w:hint="eastAsia"/>
                <w:color w:val="auto"/>
                <w:lang w:val="en-US" w:eastAsia="zh-CN"/>
              </w:rPr>
            </w:pPr>
            <w:r>
              <w:rPr>
                <w:rFonts w:hint="eastAsia"/>
                <w:color w:val="auto"/>
                <w:lang w:val="en-US" w:eastAsia="zh-CN"/>
              </w:rPr>
              <w:t>（四）固废标准</w:t>
            </w:r>
          </w:p>
          <w:p w14:paraId="39364CB3">
            <w:pPr>
              <w:numPr>
                <w:ilvl w:val="0"/>
                <w:numId w:val="0"/>
              </w:numPr>
              <w:adjustRightInd w:val="0"/>
              <w:snapToGrid w:val="0"/>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一般工业固体废物</w:t>
            </w:r>
            <w:r>
              <w:rPr>
                <w:rFonts w:hint="eastAsia" w:ascii="Times New Roman" w:hAnsi="Times New Roman" w:cs="Times New Roman"/>
                <w:color w:val="auto"/>
                <w:szCs w:val="21"/>
                <w:lang w:val="en-US" w:eastAsia="zh-CN"/>
              </w:rPr>
              <w:t>暂</w:t>
            </w:r>
            <w:r>
              <w:rPr>
                <w:rFonts w:hint="default" w:ascii="Times New Roman" w:hAnsi="Times New Roman" w:cs="Times New Roman"/>
                <w:color w:val="auto"/>
                <w:szCs w:val="21"/>
              </w:rPr>
              <w:t>存执行《一般工业固体废物贮存和填埋污染控制标准》（GB18599-2020）要求。</w:t>
            </w:r>
          </w:p>
          <w:p w14:paraId="2CA99176">
            <w:pPr>
              <w:bidi w:val="0"/>
              <w:spacing w:line="360" w:lineRule="auto"/>
              <w:ind w:firstLine="420" w:firstLineChars="200"/>
              <w:rPr>
                <w:rFonts w:hint="default"/>
                <w:color w:val="auto"/>
                <w:lang w:val="en-US" w:eastAsia="zh-CN"/>
              </w:rPr>
            </w:pPr>
            <w:r>
              <w:rPr>
                <w:rFonts w:hint="default" w:ascii="Times New Roman" w:hAnsi="Times New Roman" w:cs="Times New Roman"/>
                <w:color w:val="auto"/>
                <w:szCs w:val="21"/>
              </w:rPr>
              <w:t>危险废物</w:t>
            </w:r>
            <w:r>
              <w:rPr>
                <w:rFonts w:hint="eastAsia" w:ascii="Times New Roman" w:hAnsi="Times New Roman" w:cs="Times New Roman"/>
                <w:color w:val="auto"/>
                <w:szCs w:val="21"/>
                <w:lang w:val="en-US" w:eastAsia="zh-CN"/>
              </w:rPr>
              <w:t>暂存执行</w:t>
            </w:r>
            <w:r>
              <w:rPr>
                <w:rFonts w:hint="default" w:ascii="Times New Roman" w:hAnsi="Times New Roman" w:cs="Times New Roman"/>
                <w:color w:val="auto"/>
                <w:szCs w:val="21"/>
              </w:rPr>
              <w:t>《危险废物贮存污染控制标准》（GB 18597-2023）的要求暂存、处置。</w:t>
            </w:r>
          </w:p>
        </w:tc>
      </w:tr>
      <w:tr w14:paraId="50B485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623" w:type="dxa"/>
            <w:noWrap w:val="0"/>
            <w:vAlign w:val="center"/>
          </w:tcPr>
          <w:p w14:paraId="73AB96B3">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总量</w:t>
            </w:r>
          </w:p>
          <w:p w14:paraId="3D02E531">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控制</w:t>
            </w:r>
          </w:p>
          <w:p w14:paraId="22114434">
            <w:pPr>
              <w:adjustRightInd w:val="0"/>
              <w:snapToGrid w:val="0"/>
              <w:jc w:val="center"/>
              <w:rPr>
                <w:rFonts w:ascii="宋体" w:hAnsi="宋体" w:cs="宋体"/>
                <w:color w:val="auto"/>
                <w:kern w:val="0"/>
                <w:szCs w:val="21"/>
              </w:rPr>
            </w:pPr>
            <w:r>
              <w:rPr>
                <w:rFonts w:hint="eastAsia" w:ascii="宋体" w:hAnsi="宋体" w:cs="宋体"/>
                <w:color w:val="auto"/>
                <w:kern w:val="0"/>
                <w:szCs w:val="21"/>
              </w:rPr>
              <w:t>指标</w:t>
            </w:r>
          </w:p>
        </w:tc>
        <w:tc>
          <w:tcPr>
            <w:tcW w:w="8367" w:type="dxa"/>
            <w:noWrap w:val="0"/>
            <w:vAlign w:val="center"/>
          </w:tcPr>
          <w:p w14:paraId="7F82A8DA">
            <w:pPr>
              <w:pStyle w:val="4"/>
              <w:bidi w:val="0"/>
              <w:rPr>
                <w:rFonts w:hint="default" w:ascii="Times New Roman" w:hAnsi="Times New Roman" w:cs="Times New Roman"/>
                <w:b/>
                <w:bCs/>
                <w:color w:val="auto"/>
              </w:rPr>
            </w:pPr>
            <w:r>
              <w:rPr>
                <w:rFonts w:hint="eastAsia" w:ascii="Times New Roman" w:hAnsi="Times New Roman" w:cs="Times New Roman"/>
                <w:b/>
                <w:bCs/>
                <w:color w:val="auto"/>
                <w:lang w:val="en-US" w:eastAsia="zh-CN"/>
              </w:rPr>
              <w:t>1、</w:t>
            </w:r>
            <w:r>
              <w:rPr>
                <w:rFonts w:hint="default" w:ascii="Times New Roman" w:hAnsi="Times New Roman" w:cs="Times New Roman"/>
                <w:b/>
                <w:bCs/>
                <w:color w:val="auto"/>
              </w:rPr>
              <w:t>总量控制指标</w:t>
            </w:r>
          </w:p>
          <w:p w14:paraId="2E6721B4">
            <w:pPr>
              <w:numPr>
                <w:ilvl w:val="0"/>
                <w:numId w:val="0"/>
              </w:numPr>
              <w:spacing w:line="360" w:lineRule="auto"/>
              <w:ind w:right="0" w:rightChars="0"/>
              <w:rPr>
                <w:rFonts w:hint="default" w:ascii="Times New Roman" w:hAnsi="Times New Roman" w:cs="Times New Roman"/>
                <w:color w:val="auto"/>
                <w:sz w:val="21"/>
                <w:szCs w:val="21"/>
              </w:rPr>
            </w:pPr>
            <w:r>
              <w:rPr>
                <w:rFonts w:hint="default" w:ascii="Times New Roman" w:hAnsi="Times New Roman" w:cs="Times New Roman"/>
                <w:color w:val="auto"/>
                <w:lang w:val="en-US" w:eastAsia="zh-CN"/>
              </w:rPr>
              <w:t xml:space="preserve">   </w:t>
            </w:r>
            <w:r>
              <w:rPr>
                <w:rFonts w:hint="default" w:ascii="Times New Roman" w:hAnsi="Times New Roman" w:cs="Times New Roman"/>
                <w:color w:val="auto"/>
                <w:sz w:val="21"/>
                <w:szCs w:val="21"/>
              </w:rPr>
              <w:t>根据分析，本项目污染物总量控制指标如下表：</w:t>
            </w:r>
          </w:p>
          <w:p w14:paraId="665C7F8B">
            <w:pPr>
              <w:adjustRightInd w:val="0"/>
              <w:snapToGrid w:val="0"/>
              <w:jc w:val="center"/>
              <w:rPr>
                <w:rFonts w:ascii="宋体" w:hAnsi="宋体" w:cs="宋体"/>
                <w:color w:val="auto"/>
                <w:kern w:val="0"/>
                <w:szCs w:val="21"/>
              </w:rPr>
            </w:pPr>
          </w:p>
        </w:tc>
      </w:tr>
    </w:tbl>
    <w:p w14:paraId="47675552">
      <w:pPr>
        <w:pStyle w:val="18"/>
        <w:jc w:val="center"/>
        <w:outlineLvl w:val="0"/>
        <w:rPr>
          <w:rFonts w:ascii="黑体" w:hAnsi="黑体" w:eastAsia="黑体"/>
          <w:snapToGrid w:val="0"/>
          <w:color w:val="auto"/>
          <w:sz w:val="36"/>
          <w:szCs w:val="36"/>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122D3015">
      <w:pPr>
        <w:pStyle w:val="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color w:val="auto"/>
          <w:sz w:val="21"/>
          <w:szCs w:val="22"/>
        </w:rPr>
      </w:pPr>
      <w:r>
        <w:rPr>
          <w:rFonts w:hint="default" w:ascii="Times New Roman" w:hAnsi="Times New Roman" w:cs="Times New Roman"/>
          <w:b/>
          <w:color w:val="auto"/>
          <w:sz w:val="21"/>
          <w:szCs w:val="22"/>
          <w:highlight w:val="none"/>
        </w:rPr>
        <w:t>表3-</w:t>
      </w:r>
      <w:r>
        <w:rPr>
          <w:rFonts w:hint="eastAsia" w:cs="Times New Roman"/>
          <w:b/>
          <w:color w:val="auto"/>
          <w:sz w:val="21"/>
          <w:szCs w:val="22"/>
          <w:highlight w:val="none"/>
          <w:lang w:val="en-US" w:eastAsia="zh-CN"/>
        </w:rPr>
        <w:t>6</w:t>
      </w:r>
      <w:r>
        <w:rPr>
          <w:rFonts w:hint="default" w:ascii="Times New Roman" w:hAnsi="Times New Roman" w:cs="Times New Roman"/>
          <w:b/>
          <w:color w:val="auto"/>
          <w:sz w:val="21"/>
          <w:szCs w:val="22"/>
          <w:highlight w:val="none"/>
        </w:rPr>
        <w:t xml:space="preserve">  </w:t>
      </w:r>
      <w:r>
        <w:rPr>
          <w:rFonts w:hint="eastAsia" w:cs="Times New Roman"/>
          <w:b/>
          <w:color w:val="auto"/>
          <w:sz w:val="21"/>
          <w:szCs w:val="22"/>
          <w:highlight w:val="none"/>
          <w:lang w:val="en-US" w:eastAsia="zh-CN"/>
        </w:rPr>
        <w:t>本项目</w:t>
      </w:r>
      <w:r>
        <w:rPr>
          <w:rFonts w:hint="default" w:ascii="Times New Roman" w:hAnsi="Times New Roman" w:cs="Times New Roman"/>
          <w:b/>
          <w:color w:val="auto"/>
          <w:sz w:val="21"/>
          <w:szCs w:val="22"/>
          <w:highlight w:val="none"/>
        </w:rPr>
        <w:t>污染物排放汇总表</w:t>
      </w:r>
    </w:p>
    <w:tbl>
      <w:tblPr>
        <w:tblStyle w:val="20"/>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5"/>
        <w:gridCol w:w="1342"/>
        <w:gridCol w:w="1658"/>
        <w:gridCol w:w="1527"/>
        <w:gridCol w:w="1291"/>
        <w:gridCol w:w="1295"/>
        <w:gridCol w:w="1252"/>
        <w:gridCol w:w="882"/>
        <w:gridCol w:w="883"/>
        <w:gridCol w:w="1075"/>
        <w:gridCol w:w="1086"/>
      </w:tblGrid>
      <w:tr w14:paraId="477A66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307" w:type="pct"/>
            <w:vMerge w:val="restart"/>
            <w:noWrap w:val="0"/>
            <w:vAlign w:val="center"/>
          </w:tcPr>
          <w:p w14:paraId="13CA694C">
            <w:pPr>
              <w:keepNext w:val="0"/>
              <w:keepLines w:val="0"/>
              <w:pageBreakBefore w:val="0"/>
              <w:tabs>
                <w:tab w:val="left" w:pos="5388"/>
              </w:tabs>
              <w:kinsoku/>
              <w:wordWrap/>
              <w:overflowPunct/>
              <w:topLinePunct w:val="0"/>
              <w:autoSpaceDE w:val="0"/>
              <w:autoSpaceDN w:val="0"/>
              <w:bidi w:val="0"/>
              <w:spacing w:line="240" w:lineRule="auto"/>
              <w:jc w:val="center"/>
              <w:textAlignment w:val="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种类</w:t>
            </w:r>
          </w:p>
        </w:tc>
        <w:tc>
          <w:tcPr>
            <w:tcW w:w="512" w:type="pct"/>
            <w:vMerge w:val="restart"/>
            <w:noWrap w:val="0"/>
            <w:vAlign w:val="center"/>
          </w:tcPr>
          <w:p w14:paraId="03CCD767">
            <w:pPr>
              <w:keepNext w:val="0"/>
              <w:keepLines w:val="0"/>
              <w:pageBreakBefore w:val="0"/>
              <w:tabs>
                <w:tab w:val="left" w:pos="5388"/>
              </w:tabs>
              <w:kinsoku/>
              <w:wordWrap/>
              <w:overflowPunct/>
              <w:topLinePunct w:val="0"/>
              <w:autoSpaceDE w:val="0"/>
              <w:autoSpaceDN w:val="0"/>
              <w:bidi w:val="0"/>
              <w:spacing w:line="240" w:lineRule="auto"/>
              <w:jc w:val="center"/>
              <w:textAlignment w:val="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污染物名称</w:t>
            </w:r>
          </w:p>
        </w:tc>
        <w:tc>
          <w:tcPr>
            <w:tcW w:w="633" w:type="pct"/>
            <w:vMerge w:val="restart"/>
            <w:noWrap w:val="0"/>
            <w:vAlign w:val="center"/>
          </w:tcPr>
          <w:p w14:paraId="156BFAFB">
            <w:pPr>
              <w:keepNext w:val="0"/>
              <w:keepLines w:val="0"/>
              <w:pageBreakBefore w:val="0"/>
              <w:tabs>
                <w:tab w:val="left" w:pos="5388"/>
              </w:tabs>
              <w:kinsoku/>
              <w:wordWrap/>
              <w:overflowPunct/>
              <w:topLinePunct w:val="0"/>
              <w:autoSpaceDE w:val="0"/>
              <w:autoSpaceDN w:val="0"/>
              <w:bidi w:val="0"/>
              <w:spacing w:line="240" w:lineRule="auto"/>
              <w:jc w:val="center"/>
              <w:textAlignment w:val="auto"/>
              <w:rPr>
                <w:rFonts w:hint="default" w:ascii="Times New Roman" w:hAnsi="Times New Roman" w:cs="Times New Roman"/>
                <w:b/>
                <w:color w:val="auto"/>
                <w:sz w:val="18"/>
                <w:szCs w:val="18"/>
                <w:highlight w:val="none"/>
              </w:rPr>
            </w:pPr>
            <w:r>
              <w:rPr>
                <w:rFonts w:hint="eastAsia"/>
                <w:b/>
                <w:bCs w:val="0"/>
                <w:color w:val="auto"/>
                <w:sz w:val="18"/>
                <w:szCs w:val="18"/>
              </w:rPr>
              <w:t>现有项目排放量</w:t>
            </w:r>
            <w:r>
              <w:rPr>
                <w:rFonts w:hint="default" w:ascii="Times New Roman" w:hAnsi="Times New Roman" w:cs="Times New Roman"/>
                <w:b/>
                <w:color w:val="auto"/>
                <w:sz w:val="18"/>
                <w:szCs w:val="18"/>
                <w:highlight w:val="none"/>
              </w:rPr>
              <w:t>（t/a）</w:t>
            </w:r>
          </w:p>
        </w:tc>
        <w:tc>
          <w:tcPr>
            <w:tcW w:w="1570" w:type="pct"/>
            <w:gridSpan w:val="3"/>
            <w:noWrap w:val="0"/>
            <w:vAlign w:val="center"/>
          </w:tcPr>
          <w:p w14:paraId="6CE5B6AF">
            <w:pPr>
              <w:keepNext w:val="0"/>
              <w:keepLines w:val="0"/>
              <w:pageBreakBefore w:val="0"/>
              <w:tabs>
                <w:tab w:val="left" w:pos="5388"/>
              </w:tabs>
              <w:kinsoku/>
              <w:wordWrap/>
              <w:overflowPunct/>
              <w:topLinePunct w:val="0"/>
              <w:autoSpaceDE w:val="0"/>
              <w:autoSpaceDN w:val="0"/>
              <w:bidi w:val="0"/>
              <w:spacing w:line="240" w:lineRule="auto"/>
              <w:jc w:val="center"/>
              <w:textAlignment w:val="auto"/>
              <w:rPr>
                <w:rFonts w:hint="default" w:ascii="Times New Roman" w:hAnsi="Times New Roman" w:cs="Times New Roman"/>
                <w:b/>
                <w:color w:val="auto"/>
                <w:sz w:val="18"/>
                <w:szCs w:val="18"/>
                <w:highlight w:val="none"/>
                <w:lang w:val="en-US" w:eastAsia="zh-CN"/>
              </w:rPr>
            </w:pPr>
            <w:r>
              <w:rPr>
                <w:rFonts w:hint="eastAsia" w:cs="Times New Roman"/>
                <w:b/>
                <w:color w:val="auto"/>
                <w:sz w:val="18"/>
                <w:szCs w:val="18"/>
                <w:highlight w:val="none"/>
                <w:lang w:val="en-US" w:eastAsia="zh-CN"/>
              </w:rPr>
              <w:t>本项目</w:t>
            </w:r>
          </w:p>
        </w:tc>
        <w:tc>
          <w:tcPr>
            <w:tcW w:w="478" w:type="pct"/>
            <w:vMerge w:val="restart"/>
            <w:noWrap w:val="0"/>
            <w:vAlign w:val="center"/>
          </w:tcPr>
          <w:p w14:paraId="4311CDB7">
            <w:pPr>
              <w:keepNext w:val="0"/>
              <w:keepLines w:val="0"/>
              <w:pageBreakBefore w:val="0"/>
              <w:kinsoku/>
              <w:wordWrap/>
              <w:overflowPunct/>
              <w:topLinePunct w:val="0"/>
              <w:bidi w:val="0"/>
              <w:spacing w:line="240" w:lineRule="auto"/>
              <w:contextualSpacing/>
              <w:jc w:val="center"/>
              <w:textAlignment w:val="auto"/>
              <w:rPr>
                <w:rFonts w:hint="eastAsia" w:ascii="Times New Roman" w:hAnsi="Times New Roman" w:eastAsia="宋体" w:cs="Times New Roman"/>
                <w:b/>
                <w:bCs w:val="0"/>
                <w:color w:val="auto"/>
                <w:kern w:val="2"/>
                <w:sz w:val="18"/>
                <w:szCs w:val="18"/>
                <w:lang w:val="en-US" w:eastAsia="zh-CN" w:bidi="ar-SA"/>
              </w:rPr>
            </w:pPr>
            <w:r>
              <w:rPr>
                <w:rFonts w:hint="eastAsia"/>
                <w:b/>
                <w:bCs w:val="0"/>
                <w:color w:val="auto"/>
                <w:sz w:val="18"/>
                <w:szCs w:val="18"/>
              </w:rPr>
              <w:t>“以新带老”削减量</w:t>
            </w:r>
          </w:p>
        </w:tc>
        <w:tc>
          <w:tcPr>
            <w:tcW w:w="673" w:type="pct"/>
            <w:gridSpan w:val="2"/>
            <w:noWrap w:val="0"/>
            <w:vAlign w:val="center"/>
          </w:tcPr>
          <w:p w14:paraId="41A73F28">
            <w:pPr>
              <w:keepNext w:val="0"/>
              <w:keepLines w:val="0"/>
              <w:pageBreakBefore w:val="0"/>
              <w:kinsoku/>
              <w:wordWrap/>
              <w:overflowPunct/>
              <w:topLinePunct w:val="0"/>
              <w:bidi w:val="0"/>
              <w:spacing w:line="240" w:lineRule="auto"/>
              <w:contextualSpacing/>
              <w:jc w:val="center"/>
              <w:textAlignment w:val="auto"/>
              <w:rPr>
                <w:rFonts w:hint="eastAsia"/>
                <w:b/>
                <w:bCs w:val="0"/>
                <w:color w:val="auto"/>
                <w:sz w:val="18"/>
                <w:szCs w:val="18"/>
              </w:rPr>
            </w:pPr>
            <w:r>
              <w:rPr>
                <w:rFonts w:hint="eastAsia"/>
                <w:b/>
                <w:bCs w:val="0"/>
                <w:color w:val="auto"/>
                <w:sz w:val="18"/>
                <w:szCs w:val="18"/>
              </w:rPr>
              <w:t>排放增减量</w:t>
            </w:r>
            <w:r>
              <w:rPr>
                <w:rFonts w:hint="default" w:ascii="Times New Roman" w:hAnsi="Times New Roman" w:cs="Times New Roman"/>
                <w:b/>
                <w:color w:val="auto"/>
                <w:sz w:val="18"/>
                <w:szCs w:val="18"/>
                <w:highlight w:val="none"/>
              </w:rPr>
              <w:t>（t/a）</w:t>
            </w:r>
          </w:p>
        </w:tc>
        <w:tc>
          <w:tcPr>
            <w:tcW w:w="825" w:type="pct"/>
            <w:gridSpan w:val="2"/>
            <w:noWrap w:val="0"/>
            <w:vAlign w:val="center"/>
          </w:tcPr>
          <w:p w14:paraId="2B4D4790">
            <w:pPr>
              <w:keepNext w:val="0"/>
              <w:keepLines w:val="0"/>
              <w:pageBreakBefore w:val="0"/>
              <w:tabs>
                <w:tab w:val="left" w:pos="5388"/>
              </w:tabs>
              <w:kinsoku/>
              <w:wordWrap/>
              <w:overflowPunct/>
              <w:topLinePunct w:val="0"/>
              <w:autoSpaceDE w:val="0"/>
              <w:autoSpaceDN w:val="0"/>
              <w:bidi w:val="0"/>
              <w:spacing w:line="240" w:lineRule="auto"/>
              <w:jc w:val="center"/>
              <w:textAlignment w:val="auto"/>
              <w:rPr>
                <w:rFonts w:hint="default" w:ascii="Times New Roman" w:hAnsi="Times New Roman" w:cs="Times New Roman"/>
                <w:b/>
                <w:color w:val="auto"/>
                <w:sz w:val="18"/>
                <w:szCs w:val="18"/>
                <w:highlight w:val="none"/>
              </w:rPr>
            </w:pPr>
            <w:r>
              <w:rPr>
                <w:rFonts w:hint="eastAsia" w:cs="Times New Roman"/>
                <w:b/>
                <w:color w:val="auto"/>
                <w:sz w:val="18"/>
                <w:szCs w:val="18"/>
                <w:highlight w:val="none"/>
                <w:lang w:val="en-US" w:eastAsia="zh-CN"/>
              </w:rPr>
              <w:t>全厂</w:t>
            </w:r>
            <w:r>
              <w:rPr>
                <w:rFonts w:hint="default" w:ascii="Times New Roman" w:hAnsi="Times New Roman" w:cs="Times New Roman"/>
                <w:b/>
                <w:color w:val="auto"/>
                <w:sz w:val="18"/>
                <w:szCs w:val="18"/>
                <w:highlight w:val="none"/>
              </w:rPr>
              <w:t>排放量（t/a）</w:t>
            </w:r>
          </w:p>
        </w:tc>
      </w:tr>
      <w:tr w14:paraId="3E9F2F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307" w:type="pct"/>
            <w:vMerge w:val="continue"/>
            <w:noWrap w:val="0"/>
            <w:vAlign w:val="center"/>
          </w:tcPr>
          <w:p w14:paraId="7D8710B9">
            <w:pPr>
              <w:keepNext w:val="0"/>
              <w:keepLines w:val="0"/>
              <w:pageBreakBefore w:val="0"/>
              <w:tabs>
                <w:tab w:val="left" w:pos="5388"/>
              </w:tabs>
              <w:kinsoku/>
              <w:wordWrap/>
              <w:overflowPunct/>
              <w:topLinePunct w:val="0"/>
              <w:autoSpaceDE w:val="0"/>
              <w:autoSpaceDN w:val="0"/>
              <w:bidi w:val="0"/>
              <w:spacing w:line="240" w:lineRule="auto"/>
              <w:jc w:val="center"/>
              <w:textAlignment w:val="auto"/>
              <w:rPr>
                <w:rFonts w:hint="default" w:ascii="Times New Roman" w:hAnsi="Times New Roman" w:cs="Times New Roman"/>
                <w:b/>
                <w:color w:val="auto"/>
                <w:sz w:val="18"/>
                <w:szCs w:val="18"/>
                <w:highlight w:val="none"/>
              </w:rPr>
            </w:pPr>
          </w:p>
        </w:tc>
        <w:tc>
          <w:tcPr>
            <w:tcW w:w="512" w:type="pct"/>
            <w:vMerge w:val="continue"/>
            <w:noWrap w:val="0"/>
            <w:vAlign w:val="center"/>
          </w:tcPr>
          <w:p w14:paraId="451935AD">
            <w:pPr>
              <w:keepNext w:val="0"/>
              <w:keepLines w:val="0"/>
              <w:pageBreakBefore w:val="0"/>
              <w:tabs>
                <w:tab w:val="left" w:pos="5388"/>
              </w:tabs>
              <w:kinsoku/>
              <w:wordWrap/>
              <w:overflowPunct/>
              <w:topLinePunct w:val="0"/>
              <w:autoSpaceDE w:val="0"/>
              <w:autoSpaceDN w:val="0"/>
              <w:bidi w:val="0"/>
              <w:spacing w:line="240" w:lineRule="auto"/>
              <w:jc w:val="center"/>
              <w:textAlignment w:val="auto"/>
              <w:rPr>
                <w:rFonts w:hint="default" w:ascii="Times New Roman" w:hAnsi="Times New Roman" w:cs="Times New Roman"/>
                <w:b/>
                <w:color w:val="auto"/>
                <w:sz w:val="18"/>
                <w:szCs w:val="18"/>
                <w:highlight w:val="none"/>
              </w:rPr>
            </w:pPr>
          </w:p>
        </w:tc>
        <w:tc>
          <w:tcPr>
            <w:tcW w:w="633" w:type="pct"/>
            <w:vMerge w:val="continue"/>
            <w:noWrap w:val="0"/>
            <w:vAlign w:val="center"/>
          </w:tcPr>
          <w:p w14:paraId="2BD11A2F">
            <w:pPr>
              <w:keepNext w:val="0"/>
              <w:keepLines w:val="0"/>
              <w:pageBreakBefore w:val="0"/>
              <w:tabs>
                <w:tab w:val="left" w:pos="5388"/>
              </w:tabs>
              <w:kinsoku/>
              <w:wordWrap/>
              <w:overflowPunct/>
              <w:topLinePunct w:val="0"/>
              <w:autoSpaceDE w:val="0"/>
              <w:autoSpaceDN w:val="0"/>
              <w:bidi w:val="0"/>
              <w:spacing w:line="240" w:lineRule="auto"/>
              <w:jc w:val="center"/>
              <w:textAlignment w:val="auto"/>
              <w:rPr>
                <w:rFonts w:hint="default" w:ascii="Times New Roman" w:hAnsi="Times New Roman" w:cs="Times New Roman"/>
                <w:b/>
                <w:color w:val="auto"/>
                <w:sz w:val="18"/>
                <w:szCs w:val="18"/>
                <w:highlight w:val="none"/>
              </w:rPr>
            </w:pPr>
          </w:p>
        </w:tc>
        <w:tc>
          <w:tcPr>
            <w:tcW w:w="583" w:type="pct"/>
            <w:noWrap w:val="0"/>
            <w:vAlign w:val="center"/>
          </w:tcPr>
          <w:p w14:paraId="69EDAA8B">
            <w:pPr>
              <w:keepNext w:val="0"/>
              <w:keepLines w:val="0"/>
              <w:pageBreakBefore w:val="0"/>
              <w:tabs>
                <w:tab w:val="left" w:pos="5388"/>
              </w:tabs>
              <w:kinsoku/>
              <w:wordWrap/>
              <w:overflowPunct/>
              <w:topLinePunct w:val="0"/>
              <w:autoSpaceDE w:val="0"/>
              <w:autoSpaceDN w:val="0"/>
              <w:bidi w:val="0"/>
              <w:spacing w:line="240" w:lineRule="auto"/>
              <w:jc w:val="center"/>
              <w:textAlignment w:val="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产生量（t/a）</w:t>
            </w:r>
          </w:p>
        </w:tc>
        <w:tc>
          <w:tcPr>
            <w:tcW w:w="492" w:type="pct"/>
            <w:noWrap w:val="0"/>
            <w:vAlign w:val="center"/>
          </w:tcPr>
          <w:p w14:paraId="270DB127">
            <w:pPr>
              <w:keepNext w:val="0"/>
              <w:keepLines w:val="0"/>
              <w:pageBreakBefore w:val="0"/>
              <w:tabs>
                <w:tab w:val="left" w:pos="5388"/>
              </w:tabs>
              <w:kinsoku/>
              <w:wordWrap/>
              <w:overflowPunct/>
              <w:topLinePunct w:val="0"/>
              <w:autoSpaceDE w:val="0"/>
              <w:autoSpaceDN w:val="0"/>
              <w:bidi w:val="0"/>
              <w:spacing w:line="240" w:lineRule="auto"/>
              <w:jc w:val="center"/>
              <w:textAlignment w:val="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lang w:val="en-US" w:eastAsia="zh-CN"/>
              </w:rPr>
              <w:t>削减</w:t>
            </w:r>
            <w:r>
              <w:rPr>
                <w:rFonts w:hint="default" w:ascii="Times New Roman" w:hAnsi="Times New Roman" w:cs="Times New Roman"/>
                <w:b/>
                <w:color w:val="auto"/>
                <w:sz w:val="18"/>
                <w:szCs w:val="18"/>
                <w:highlight w:val="none"/>
              </w:rPr>
              <w:t>量（t/a）</w:t>
            </w:r>
          </w:p>
        </w:tc>
        <w:tc>
          <w:tcPr>
            <w:tcW w:w="494" w:type="pct"/>
            <w:noWrap w:val="0"/>
            <w:vAlign w:val="center"/>
          </w:tcPr>
          <w:p w14:paraId="1887BD27">
            <w:pPr>
              <w:keepNext w:val="0"/>
              <w:keepLines w:val="0"/>
              <w:pageBreakBefore w:val="0"/>
              <w:tabs>
                <w:tab w:val="left" w:pos="5388"/>
              </w:tabs>
              <w:kinsoku/>
              <w:wordWrap/>
              <w:overflowPunct/>
              <w:topLinePunct w:val="0"/>
              <w:autoSpaceDE w:val="0"/>
              <w:autoSpaceDN w:val="0"/>
              <w:bidi w:val="0"/>
              <w:spacing w:line="240" w:lineRule="auto"/>
              <w:jc w:val="center"/>
              <w:textAlignment w:val="auto"/>
              <w:rPr>
                <w:rFonts w:hint="eastAsia" w:ascii="Times New Roman" w:hAnsi="Times New Roman" w:eastAsia="宋体" w:cs="Times New Roman"/>
                <w:b/>
                <w:color w:val="auto"/>
                <w:sz w:val="18"/>
                <w:szCs w:val="18"/>
                <w:highlight w:val="none"/>
                <w:lang w:val="en-US" w:eastAsia="zh-CN"/>
              </w:rPr>
            </w:pPr>
            <w:r>
              <w:rPr>
                <w:rFonts w:hint="eastAsia" w:cs="Times New Roman"/>
                <w:b/>
                <w:color w:val="auto"/>
                <w:sz w:val="18"/>
                <w:szCs w:val="18"/>
                <w:highlight w:val="none"/>
                <w:lang w:val="en-US" w:eastAsia="zh-CN"/>
              </w:rPr>
              <w:t>排放量</w:t>
            </w:r>
            <w:r>
              <w:rPr>
                <w:rFonts w:hint="default" w:ascii="Times New Roman" w:hAnsi="Times New Roman" w:cs="Times New Roman"/>
                <w:b/>
                <w:color w:val="auto"/>
                <w:sz w:val="18"/>
                <w:szCs w:val="18"/>
                <w:highlight w:val="none"/>
              </w:rPr>
              <w:t>（t/a）</w:t>
            </w:r>
          </w:p>
        </w:tc>
        <w:tc>
          <w:tcPr>
            <w:tcW w:w="478" w:type="pct"/>
            <w:vMerge w:val="continue"/>
            <w:noWrap w:val="0"/>
            <w:vAlign w:val="center"/>
          </w:tcPr>
          <w:p w14:paraId="01FFB615">
            <w:pPr>
              <w:keepNext w:val="0"/>
              <w:keepLines w:val="0"/>
              <w:pageBreakBefore w:val="0"/>
              <w:tabs>
                <w:tab w:val="left" w:pos="5388"/>
              </w:tabs>
              <w:kinsoku/>
              <w:wordWrap/>
              <w:overflowPunct/>
              <w:topLinePunct w:val="0"/>
              <w:autoSpaceDE w:val="0"/>
              <w:autoSpaceDN w:val="0"/>
              <w:bidi w:val="0"/>
              <w:spacing w:line="240" w:lineRule="auto"/>
              <w:jc w:val="center"/>
              <w:textAlignment w:val="auto"/>
              <w:rPr>
                <w:rFonts w:hint="default" w:ascii="Times New Roman" w:hAnsi="Times New Roman" w:cs="Times New Roman"/>
                <w:b/>
                <w:color w:val="auto"/>
                <w:sz w:val="18"/>
                <w:szCs w:val="18"/>
                <w:highlight w:val="none"/>
              </w:rPr>
            </w:pPr>
          </w:p>
        </w:tc>
        <w:tc>
          <w:tcPr>
            <w:tcW w:w="336" w:type="pct"/>
            <w:noWrap w:val="0"/>
            <w:vAlign w:val="center"/>
          </w:tcPr>
          <w:p w14:paraId="17F1192A">
            <w:pPr>
              <w:keepNext w:val="0"/>
              <w:keepLines w:val="0"/>
              <w:pageBreakBefore w:val="0"/>
              <w:tabs>
                <w:tab w:val="left" w:pos="5388"/>
              </w:tabs>
              <w:kinsoku/>
              <w:wordWrap/>
              <w:overflowPunct/>
              <w:topLinePunct w:val="0"/>
              <w:autoSpaceDE w:val="0"/>
              <w:autoSpaceDN w:val="0"/>
              <w:bidi w:val="0"/>
              <w:spacing w:line="240" w:lineRule="auto"/>
              <w:jc w:val="center"/>
              <w:textAlignment w:val="auto"/>
              <w:rPr>
                <w:rFonts w:hint="default" w:ascii="Times New Roman" w:hAnsi="Times New Roman" w:eastAsia="宋体" w:cs="Times New Roman"/>
                <w:b/>
                <w:color w:val="auto"/>
                <w:kern w:val="2"/>
                <w:sz w:val="18"/>
                <w:szCs w:val="18"/>
                <w:highlight w:val="none"/>
                <w:lang w:val="en-US" w:eastAsia="zh-CN" w:bidi="ar-SA"/>
              </w:rPr>
            </w:pPr>
            <w:r>
              <w:rPr>
                <w:rFonts w:hint="default" w:ascii="Times New Roman" w:hAnsi="Times New Roman" w:cs="Times New Roman"/>
                <w:b/>
                <w:color w:val="auto"/>
                <w:sz w:val="18"/>
                <w:szCs w:val="18"/>
                <w:highlight w:val="none"/>
              </w:rPr>
              <w:t>接管量</w:t>
            </w:r>
          </w:p>
        </w:tc>
        <w:tc>
          <w:tcPr>
            <w:tcW w:w="337" w:type="pct"/>
            <w:noWrap w:val="0"/>
            <w:vAlign w:val="center"/>
          </w:tcPr>
          <w:p w14:paraId="5DFF8690">
            <w:pPr>
              <w:keepNext w:val="0"/>
              <w:keepLines w:val="0"/>
              <w:pageBreakBefore w:val="0"/>
              <w:tabs>
                <w:tab w:val="left" w:pos="5388"/>
              </w:tabs>
              <w:kinsoku/>
              <w:wordWrap/>
              <w:overflowPunct/>
              <w:topLinePunct w:val="0"/>
              <w:autoSpaceDE w:val="0"/>
              <w:autoSpaceDN w:val="0"/>
              <w:bidi w:val="0"/>
              <w:spacing w:line="240" w:lineRule="auto"/>
              <w:jc w:val="center"/>
              <w:textAlignment w:val="auto"/>
              <w:rPr>
                <w:rFonts w:hint="default" w:ascii="Times New Roman" w:hAnsi="Times New Roman" w:eastAsia="宋体" w:cs="Times New Roman"/>
                <w:b/>
                <w:color w:val="auto"/>
                <w:kern w:val="2"/>
                <w:sz w:val="18"/>
                <w:szCs w:val="18"/>
                <w:highlight w:val="none"/>
                <w:lang w:val="en-US" w:eastAsia="zh-CN" w:bidi="ar-SA"/>
              </w:rPr>
            </w:pPr>
            <w:r>
              <w:rPr>
                <w:rFonts w:hint="default" w:ascii="Times New Roman" w:hAnsi="Times New Roman" w:cs="Times New Roman"/>
                <w:b/>
                <w:color w:val="auto"/>
                <w:sz w:val="18"/>
                <w:szCs w:val="18"/>
                <w:highlight w:val="none"/>
              </w:rPr>
              <w:t>外排量</w:t>
            </w:r>
          </w:p>
        </w:tc>
        <w:tc>
          <w:tcPr>
            <w:tcW w:w="410" w:type="pct"/>
            <w:noWrap w:val="0"/>
            <w:vAlign w:val="center"/>
          </w:tcPr>
          <w:p w14:paraId="02C63E60">
            <w:pPr>
              <w:keepNext w:val="0"/>
              <w:keepLines w:val="0"/>
              <w:pageBreakBefore w:val="0"/>
              <w:tabs>
                <w:tab w:val="left" w:pos="5388"/>
              </w:tabs>
              <w:kinsoku/>
              <w:wordWrap/>
              <w:overflowPunct/>
              <w:topLinePunct w:val="0"/>
              <w:autoSpaceDE w:val="0"/>
              <w:autoSpaceDN w:val="0"/>
              <w:bidi w:val="0"/>
              <w:spacing w:line="240" w:lineRule="auto"/>
              <w:jc w:val="center"/>
              <w:textAlignment w:val="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接管量</w:t>
            </w:r>
          </w:p>
        </w:tc>
        <w:tc>
          <w:tcPr>
            <w:tcW w:w="414" w:type="pct"/>
            <w:noWrap w:val="0"/>
            <w:vAlign w:val="center"/>
          </w:tcPr>
          <w:p w14:paraId="179D3461">
            <w:pPr>
              <w:keepNext w:val="0"/>
              <w:keepLines w:val="0"/>
              <w:pageBreakBefore w:val="0"/>
              <w:tabs>
                <w:tab w:val="left" w:pos="5388"/>
              </w:tabs>
              <w:kinsoku/>
              <w:wordWrap/>
              <w:overflowPunct/>
              <w:topLinePunct w:val="0"/>
              <w:autoSpaceDE w:val="0"/>
              <w:autoSpaceDN w:val="0"/>
              <w:bidi w:val="0"/>
              <w:spacing w:line="240" w:lineRule="auto"/>
              <w:jc w:val="center"/>
              <w:textAlignment w:val="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外排量</w:t>
            </w:r>
          </w:p>
        </w:tc>
      </w:tr>
      <w:tr w14:paraId="2D390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07" w:type="pct"/>
            <w:vMerge w:val="restart"/>
            <w:noWrap w:val="0"/>
            <w:vAlign w:val="center"/>
          </w:tcPr>
          <w:p w14:paraId="3583E64E">
            <w:pPr>
              <w:keepNext w:val="0"/>
              <w:keepLines w:val="0"/>
              <w:pageBreakBefore w:val="0"/>
              <w:tabs>
                <w:tab w:val="left" w:pos="5388"/>
              </w:tabs>
              <w:kinsoku/>
              <w:wordWrap/>
              <w:overflowPunct/>
              <w:topLinePunct w:val="0"/>
              <w:autoSpaceDE w:val="0"/>
              <w:autoSpaceDN w:val="0"/>
              <w:bidi w:val="0"/>
              <w:spacing w:line="240" w:lineRule="auto"/>
              <w:jc w:val="center"/>
              <w:textAlignment w:val="auto"/>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有组织</w:t>
            </w:r>
            <w:r>
              <w:rPr>
                <w:rFonts w:hint="default" w:ascii="Times New Roman" w:hAnsi="Times New Roman" w:cs="Times New Roman"/>
                <w:color w:val="auto"/>
                <w:sz w:val="18"/>
                <w:szCs w:val="18"/>
                <w:highlight w:val="none"/>
              </w:rPr>
              <w:t>废气</w:t>
            </w:r>
          </w:p>
        </w:tc>
        <w:tc>
          <w:tcPr>
            <w:tcW w:w="512" w:type="pct"/>
            <w:noWrap w:val="0"/>
            <w:vAlign w:val="center"/>
          </w:tcPr>
          <w:p w14:paraId="040CBE4D">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颗粒物</w:t>
            </w:r>
          </w:p>
        </w:tc>
        <w:tc>
          <w:tcPr>
            <w:tcW w:w="633" w:type="pct"/>
            <w:noWrap w:val="0"/>
            <w:vAlign w:val="center"/>
          </w:tcPr>
          <w:p w14:paraId="2955BA63">
            <w:pPr>
              <w:pStyle w:val="10"/>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w:t>
            </w:r>
          </w:p>
        </w:tc>
        <w:tc>
          <w:tcPr>
            <w:tcW w:w="583" w:type="pct"/>
            <w:noWrap w:val="0"/>
            <w:vAlign w:val="center"/>
          </w:tcPr>
          <w:p w14:paraId="6B111AA4">
            <w:pPr>
              <w:pStyle w:val="6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0.8998</w:t>
            </w:r>
          </w:p>
        </w:tc>
        <w:tc>
          <w:tcPr>
            <w:tcW w:w="1291" w:type="dxa"/>
            <w:noWrap w:val="0"/>
            <w:vAlign w:val="center"/>
          </w:tcPr>
          <w:p w14:paraId="418DB002">
            <w:pPr>
              <w:pStyle w:val="6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0.8908</w:t>
            </w:r>
          </w:p>
        </w:tc>
        <w:tc>
          <w:tcPr>
            <w:tcW w:w="494" w:type="pct"/>
            <w:noWrap w:val="0"/>
            <w:vAlign w:val="center"/>
          </w:tcPr>
          <w:p w14:paraId="0B5F46F5">
            <w:pPr>
              <w:pStyle w:val="6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0.0090</w:t>
            </w:r>
          </w:p>
        </w:tc>
        <w:tc>
          <w:tcPr>
            <w:tcW w:w="478" w:type="pct"/>
            <w:noWrap w:val="0"/>
            <w:vAlign w:val="center"/>
          </w:tcPr>
          <w:p w14:paraId="3EDF214A">
            <w:pPr>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eastAsia="宋体" w:cs="Times New Roman"/>
                <w:color w:val="auto"/>
                <w:sz w:val="18"/>
                <w:szCs w:val="18"/>
                <w:highlight w:val="none"/>
                <w:lang w:val="en-US" w:eastAsia="zh-CN"/>
              </w:rPr>
              <w:t>0</w:t>
            </w:r>
          </w:p>
        </w:tc>
        <w:tc>
          <w:tcPr>
            <w:tcW w:w="673" w:type="pct"/>
            <w:gridSpan w:val="2"/>
            <w:shd w:val="clear" w:color="auto" w:fill="auto"/>
            <w:noWrap w:val="0"/>
            <w:vAlign w:val="center"/>
          </w:tcPr>
          <w:p w14:paraId="3B86018C">
            <w:pPr>
              <w:pStyle w:val="6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+0.0090</w:t>
            </w:r>
          </w:p>
        </w:tc>
        <w:tc>
          <w:tcPr>
            <w:tcW w:w="2161" w:type="dxa"/>
            <w:gridSpan w:val="2"/>
            <w:noWrap w:val="0"/>
            <w:vAlign w:val="center"/>
          </w:tcPr>
          <w:p w14:paraId="7A80CBCB">
            <w:pPr>
              <w:pStyle w:val="6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0.0090</w:t>
            </w:r>
          </w:p>
        </w:tc>
      </w:tr>
      <w:tr w14:paraId="57DF10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07" w:type="pct"/>
            <w:vMerge w:val="continue"/>
            <w:noWrap w:val="0"/>
            <w:vAlign w:val="center"/>
          </w:tcPr>
          <w:p w14:paraId="3B4C6E04">
            <w:pPr>
              <w:keepNext w:val="0"/>
              <w:keepLines w:val="0"/>
              <w:pageBreakBefore w:val="0"/>
              <w:tabs>
                <w:tab w:val="left" w:pos="5388"/>
              </w:tabs>
              <w:kinsoku/>
              <w:wordWrap/>
              <w:overflowPunct/>
              <w:topLinePunct w:val="0"/>
              <w:autoSpaceDE w:val="0"/>
              <w:autoSpaceDN w:val="0"/>
              <w:bidi w:val="0"/>
              <w:spacing w:line="240" w:lineRule="auto"/>
              <w:jc w:val="center"/>
              <w:textAlignment w:val="auto"/>
              <w:rPr>
                <w:rFonts w:hint="default" w:ascii="Times New Roman" w:hAnsi="Times New Roman" w:cs="Times New Roman"/>
                <w:color w:val="auto"/>
                <w:sz w:val="18"/>
                <w:szCs w:val="18"/>
                <w:highlight w:val="none"/>
              </w:rPr>
            </w:pPr>
          </w:p>
        </w:tc>
        <w:tc>
          <w:tcPr>
            <w:tcW w:w="512" w:type="pct"/>
            <w:shd w:val="clear" w:color="auto" w:fill="auto"/>
            <w:noWrap w:val="0"/>
            <w:vAlign w:val="center"/>
          </w:tcPr>
          <w:p w14:paraId="7B648ADB">
            <w:pPr>
              <w:keepNext w:val="0"/>
              <w:keepLines w:val="0"/>
              <w:pageBreakBefore w:val="0"/>
              <w:widowControl w:val="0"/>
              <w:kinsoku/>
              <w:wordWrap/>
              <w:overflowPunct/>
              <w:topLinePunct w:val="0"/>
              <w:bidi w:val="0"/>
              <w:ind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633" w:type="pct"/>
            <w:shd w:val="clear" w:color="auto" w:fill="auto"/>
            <w:noWrap w:val="0"/>
            <w:vAlign w:val="center"/>
          </w:tcPr>
          <w:p w14:paraId="4E64B23F">
            <w:pPr>
              <w:spacing w:beforeLines="0" w:afterLines="0"/>
              <w:jc w:val="center"/>
              <w:rPr>
                <w:rFonts w:hint="default" w:ascii="Times New Roman" w:hAnsi="Times New Roman" w:eastAsia="宋体" w:cs="Times New Roman"/>
                <w:snapToGrid w:val="0"/>
                <w:color w:val="auto"/>
                <w:kern w:val="21"/>
                <w:sz w:val="18"/>
                <w:szCs w:val="18"/>
                <w:lang w:val="en-US" w:eastAsia="zh-CN" w:bidi="ar-SA"/>
              </w:rPr>
            </w:pPr>
            <w:r>
              <w:rPr>
                <w:rFonts w:hint="eastAsia" w:cs="Times New Roman"/>
                <w:snapToGrid w:val="0"/>
                <w:color w:val="auto"/>
                <w:kern w:val="21"/>
                <w:sz w:val="18"/>
                <w:szCs w:val="18"/>
                <w:lang w:val="en-US" w:eastAsia="zh-CN" w:bidi="ar-SA"/>
              </w:rPr>
              <w:t>1.5097</w:t>
            </w:r>
          </w:p>
        </w:tc>
        <w:tc>
          <w:tcPr>
            <w:tcW w:w="583" w:type="pct"/>
            <w:noWrap w:val="0"/>
            <w:vAlign w:val="center"/>
          </w:tcPr>
          <w:p w14:paraId="49269227">
            <w:pPr>
              <w:pStyle w:val="6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2.9315</w:t>
            </w:r>
          </w:p>
        </w:tc>
        <w:tc>
          <w:tcPr>
            <w:tcW w:w="1291" w:type="dxa"/>
            <w:noWrap w:val="0"/>
            <w:vAlign w:val="center"/>
          </w:tcPr>
          <w:p w14:paraId="6CD63813">
            <w:pPr>
              <w:pStyle w:val="6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2.6355‬‬</w:t>
            </w:r>
          </w:p>
        </w:tc>
        <w:tc>
          <w:tcPr>
            <w:tcW w:w="494" w:type="pct"/>
            <w:noWrap w:val="0"/>
            <w:vAlign w:val="center"/>
          </w:tcPr>
          <w:p w14:paraId="3E0FD30E">
            <w:pPr>
              <w:pStyle w:val="6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0.296</w:t>
            </w:r>
          </w:p>
        </w:tc>
        <w:tc>
          <w:tcPr>
            <w:tcW w:w="478" w:type="pct"/>
            <w:noWrap w:val="0"/>
            <w:vAlign w:val="center"/>
          </w:tcPr>
          <w:p w14:paraId="470DFD10">
            <w:pPr>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eastAsia="宋体" w:cs="Times New Roman"/>
                <w:color w:val="auto"/>
                <w:sz w:val="18"/>
                <w:szCs w:val="18"/>
                <w:highlight w:val="none"/>
                <w:lang w:val="en-US" w:eastAsia="zh-CN"/>
              </w:rPr>
              <w:t>0</w:t>
            </w:r>
          </w:p>
        </w:tc>
        <w:tc>
          <w:tcPr>
            <w:tcW w:w="673" w:type="pct"/>
            <w:gridSpan w:val="2"/>
            <w:shd w:val="clear" w:color="auto" w:fill="auto"/>
            <w:noWrap w:val="0"/>
            <w:vAlign w:val="center"/>
          </w:tcPr>
          <w:p w14:paraId="1B317BE7">
            <w:pPr>
              <w:pStyle w:val="6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+0.296</w:t>
            </w:r>
          </w:p>
        </w:tc>
        <w:tc>
          <w:tcPr>
            <w:tcW w:w="2161" w:type="dxa"/>
            <w:gridSpan w:val="2"/>
            <w:noWrap w:val="0"/>
            <w:vAlign w:val="center"/>
          </w:tcPr>
          <w:p w14:paraId="10669D4C">
            <w:pPr>
              <w:pStyle w:val="6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1.8057</w:t>
            </w:r>
          </w:p>
        </w:tc>
      </w:tr>
      <w:tr w14:paraId="3B9164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307" w:type="pct"/>
            <w:vMerge w:val="continue"/>
            <w:noWrap w:val="0"/>
            <w:vAlign w:val="center"/>
          </w:tcPr>
          <w:p w14:paraId="6AA79F96">
            <w:pPr>
              <w:keepNext w:val="0"/>
              <w:keepLines w:val="0"/>
              <w:pageBreakBefore w:val="0"/>
              <w:tabs>
                <w:tab w:val="left" w:pos="5388"/>
              </w:tabs>
              <w:kinsoku/>
              <w:wordWrap/>
              <w:overflowPunct/>
              <w:topLinePunct w:val="0"/>
              <w:autoSpaceDE w:val="0"/>
              <w:autoSpaceDN w:val="0"/>
              <w:bidi w:val="0"/>
              <w:spacing w:line="240" w:lineRule="auto"/>
              <w:jc w:val="center"/>
              <w:textAlignment w:val="auto"/>
              <w:rPr>
                <w:rFonts w:hint="default" w:ascii="Times New Roman" w:hAnsi="Times New Roman" w:cs="Times New Roman"/>
                <w:color w:val="auto"/>
                <w:sz w:val="18"/>
                <w:szCs w:val="18"/>
                <w:highlight w:val="none"/>
              </w:rPr>
            </w:pPr>
          </w:p>
        </w:tc>
        <w:tc>
          <w:tcPr>
            <w:tcW w:w="512" w:type="pct"/>
            <w:shd w:val="clear" w:color="auto" w:fill="auto"/>
            <w:noWrap w:val="0"/>
            <w:vAlign w:val="center"/>
          </w:tcPr>
          <w:p w14:paraId="21226C97">
            <w:pPr>
              <w:keepNext w:val="0"/>
              <w:keepLines w:val="0"/>
              <w:pageBreakBefore w:val="0"/>
              <w:widowControl w:val="0"/>
              <w:kinsoku/>
              <w:wordWrap/>
              <w:overflowPunct/>
              <w:topLinePunct w:val="0"/>
              <w:bidi w:val="0"/>
              <w:ind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食堂油烟</w:t>
            </w:r>
          </w:p>
        </w:tc>
        <w:tc>
          <w:tcPr>
            <w:tcW w:w="633" w:type="pct"/>
            <w:shd w:val="clear" w:color="auto" w:fill="auto"/>
            <w:noWrap w:val="0"/>
            <w:vAlign w:val="center"/>
          </w:tcPr>
          <w:p w14:paraId="101C63F2">
            <w:pPr>
              <w:spacing w:beforeLines="0" w:afterLines="0"/>
              <w:jc w:val="center"/>
              <w:rPr>
                <w:rFonts w:hint="default" w:ascii="Times New Roman" w:hAnsi="Times New Roman" w:eastAsia="宋体" w:cs="Times New Roman"/>
                <w:snapToGrid w:val="0"/>
                <w:color w:val="auto"/>
                <w:kern w:val="21"/>
                <w:sz w:val="18"/>
                <w:szCs w:val="18"/>
                <w:lang w:val="en-US" w:eastAsia="zh-CN" w:bidi="ar-SA"/>
              </w:rPr>
            </w:pPr>
            <w:r>
              <w:rPr>
                <w:rFonts w:hint="eastAsia" w:cs="Times New Roman"/>
                <w:snapToGrid w:val="0"/>
                <w:color w:val="auto"/>
                <w:kern w:val="21"/>
                <w:sz w:val="18"/>
                <w:szCs w:val="18"/>
                <w:lang w:val="en-US" w:eastAsia="zh-CN" w:bidi="ar-SA"/>
              </w:rPr>
              <w:t>0.01823</w:t>
            </w:r>
          </w:p>
        </w:tc>
        <w:tc>
          <w:tcPr>
            <w:tcW w:w="583" w:type="pct"/>
            <w:noWrap w:val="0"/>
            <w:vAlign w:val="center"/>
          </w:tcPr>
          <w:p w14:paraId="4F1969AD">
            <w:pPr>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eastAsia="宋体" w:cs="Times New Roman"/>
                <w:color w:val="auto"/>
                <w:sz w:val="18"/>
                <w:szCs w:val="18"/>
                <w:highlight w:val="none"/>
                <w:lang w:val="en-US" w:eastAsia="zh-CN"/>
              </w:rPr>
              <w:t>0</w:t>
            </w:r>
          </w:p>
        </w:tc>
        <w:tc>
          <w:tcPr>
            <w:tcW w:w="492" w:type="pct"/>
            <w:noWrap w:val="0"/>
            <w:vAlign w:val="center"/>
          </w:tcPr>
          <w:p w14:paraId="4AAAA03E">
            <w:pPr>
              <w:keepNext w:val="0"/>
              <w:keepLines w:val="0"/>
              <w:pageBreakBefore w:val="0"/>
              <w:kinsoku/>
              <w:wordWrap/>
              <w:overflowPunct/>
              <w:topLinePunct w:val="0"/>
              <w:bidi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0</w:t>
            </w:r>
          </w:p>
        </w:tc>
        <w:tc>
          <w:tcPr>
            <w:tcW w:w="494" w:type="pct"/>
            <w:noWrap w:val="0"/>
            <w:vAlign w:val="center"/>
          </w:tcPr>
          <w:p w14:paraId="2A322538">
            <w:pPr>
              <w:keepNext w:val="0"/>
              <w:keepLines w:val="0"/>
              <w:pageBreakBefore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eastAsia="宋体" w:cs="Times New Roman"/>
                <w:color w:val="auto"/>
                <w:sz w:val="18"/>
                <w:szCs w:val="18"/>
                <w:highlight w:val="none"/>
                <w:lang w:val="en-US" w:eastAsia="zh-CN"/>
              </w:rPr>
              <w:t>0</w:t>
            </w:r>
          </w:p>
        </w:tc>
        <w:tc>
          <w:tcPr>
            <w:tcW w:w="478" w:type="pct"/>
            <w:noWrap w:val="0"/>
            <w:vAlign w:val="center"/>
          </w:tcPr>
          <w:p w14:paraId="05E4D84F">
            <w:pPr>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eastAsia="宋体" w:cs="Times New Roman"/>
                <w:color w:val="auto"/>
                <w:sz w:val="18"/>
                <w:szCs w:val="18"/>
                <w:highlight w:val="none"/>
                <w:lang w:val="en-US" w:eastAsia="zh-CN"/>
              </w:rPr>
              <w:t>0</w:t>
            </w:r>
          </w:p>
        </w:tc>
        <w:tc>
          <w:tcPr>
            <w:tcW w:w="673" w:type="pct"/>
            <w:gridSpan w:val="2"/>
            <w:noWrap w:val="0"/>
            <w:vAlign w:val="center"/>
          </w:tcPr>
          <w:p w14:paraId="2AE62175">
            <w:pPr>
              <w:pStyle w:val="6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2161" w:type="dxa"/>
            <w:gridSpan w:val="2"/>
            <w:noWrap w:val="0"/>
            <w:vAlign w:val="center"/>
          </w:tcPr>
          <w:p w14:paraId="6445FAA6">
            <w:pPr>
              <w:pStyle w:val="6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0.01823</w:t>
            </w:r>
          </w:p>
        </w:tc>
      </w:tr>
      <w:tr w14:paraId="6951BE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307" w:type="pct"/>
            <w:vMerge w:val="restart"/>
            <w:noWrap w:val="0"/>
            <w:vAlign w:val="center"/>
          </w:tcPr>
          <w:p w14:paraId="03A1B3C8">
            <w:pPr>
              <w:keepNext w:val="0"/>
              <w:keepLines w:val="0"/>
              <w:pageBreakBefore w:val="0"/>
              <w:tabs>
                <w:tab w:val="left" w:pos="5388"/>
              </w:tabs>
              <w:kinsoku/>
              <w:wordWrap/>
              <w:overflowPunct/>
              <w:topLinePunct w:val="0"/>
              <w:autoSpaceDE w:val="0"/>
              <w:autoSpaceDN w:val="0"/>
              <w:bidi w:val="0"/>
              <w:spacing w:line="240" w:lineRule="auto"/>
              <w:jc w:val="center"/>
              <w:textAlignment w:val="auto"/>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无组织</w:t>
            </w:r>
            <w:r>
              <w:rPr>
                <w:rFonts w:hint="default" w:ascii="Times New Roman" w:hAnsi="Times New Roman" w:cs="Times New Roman"/>
                <w:color w:val="auto"/>
                <w:sz w:val="18"/>
                <w:szCs w:val="18"/>
                <w:highlight w:val="none"/>
              </w:rPr>
              <w:t>废气</w:t>
            </w:r>
          </w:p>
        </w:tc>
        <w:tc>
          <w:tcPr>
            <w:tcW w:w="512" w:type="pct"/>
            <w:shd w:val="clear" w:color="auto" w:fill="auto"/>
            <w:noWrap w:val="0"/>
            <w:vAlign w:val="center"/>
          </w:tcPr>
          <w:p w14:paraId="6BBD9E02">
            <w:pPr>
              <w:keepNext w:val="0"/>
              <w:keepLines w:val="0"/>
              <w:pageBreakBefore w:val="0"/>
              <w:kinsoku/>
              <w:wordWrap/>
              <w:overflowPunct/>
              <w:topLinePunct w:val="0"/>
              <w:bidi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kern w:val="2"/>
                <w:sz w:val="18"/>
                <w:szCs w:val="18"/>
                <w:highlight w:val="none"/>
                <w:lang w:val="en-US" w:eastAsia="zh-CN" w:bidi="ar-SA"/>
              </w:rPr>
              <w:t>颗粒物</w:t>
            </w:r>
          </w:p>
        </w:tc>
        <w:tc>
          <w:tcPr>
            <w:tcW w:w="633" w:type="pct"/>
            <w:noWrap w:val="0"/>
            <w:vAlign w:val="center"/>
          </w:tcPr>
          <w:p w14:paraId="73B46377">
            <w:pPr>
              <w:pStyle w:val="63"/>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eastAsia="宋体" w:cs="Times New Roman"/>
                <w:color w:val="auto"/>
                <w:kern w:val="2"/>
                <w:sz w:val="18"/>
                <w:szCs w:val="18"/>
                <w:lang w:val="en-US" w:eastAsia="zh-CN" w:bidi="ar-SA"/>
              </w:rPr>
              <w:t>0</w:t>
            </w:r>
          </w:p>
        </w:tc>
        <w:tc>
          <w:tcPr>
            <w:tcW w:w="583" w:type="pct"/>
            <w:noWrap w:val="0"/>
            <w:vAlign w:val="center"/>
          </w:tcPr>
          <w:p w14:paraId="10419ADB">
            <w:pPr>
              <w:pStyle w:val="6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0.0970</w:t>
            </w:r>
          </w:p>
        </w:tc>
        <w:tc>
          <w:tcPr>
            <w:tcW w:w="492" w:type="pct"/>
            <w:noWrap w:val="0"/>
            <w:vAlign w:val="center"/>
          </w:tcPr>
          <w:p w14:paraId="6C89B0E5">
            <w:pPr>
              <w:keepNext w:val="0"/>
              <w:keepLines w:val="0"/>
              <w:pageBreakBefore w:val="0"/>
              <w:kinsoku/>
              <w:wordWrap/>
              <w:overflowPunct/>
              <w:topLinePunct w:val="0"/>
              <w:bidi w:val="0"/>
              <w:spacing w:line="240" w:lineRule="auto"/>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w:t>
            </w:r>
          </w:p>
        </w:tc>
        <w:tc>
          <w:tcPr>
            <w:tcW w:w="494" w:type="pct"/>
            <w:shd w:val="clear" w:color="auto" w:fill="auto"/>
            <w:noWrap w:val="0"/>
            <w:vAlign w:val="center"/>
          </w:tcPr>
          <w:p w14:paraId="4F58F2D5">
            <w:pPr>
              <w:pStyle w:val="6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0.0970</w:t>
            </w:r>
          </w:p>
        </w:tc>
        <w:tc>
          <w:tcPr>
            <w:tcW w:w="478" w:type="pct"/>
            <w:noWrap w:val="0"/>
            <w:vAlign w:val="center"/>
          </w:tcPr>
          <w:p w14:paraId="24121286">
            <w:pPr>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eastAsia="宋体" w:cs="Times New Roman"/>
                <w:color w:val="auto"/>
                <w:sz w:val="18"/>
                <w:szCs w:val="18"/>
                <w:highlight w:val="none"/>
                <w:lang w:val="en-US" w:eastAsia="zh-CN"/>
              </w:rPr>
              <w:t>0</w:t>
            </w:r>
          </w:p>
        </w:tc>
        <w:tc>
          <w:tcPr>
            <w:tcW w:w="673" w:type="pct"/>
            <w:gridSpan w:val="2"/>
            <w:shd w:val="clear" w:color="auto" w:fill="auto"/>
            <w:noWrap w:val="0"/>
            <w:vAlign w:val="center"/>
          </w:tcPr>
          <w:p w14:paraId="26274D94">
            <w:pPr>
              <w:pStyle w:val="6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+0.0970</w:t>
            </w:r>
          </w:p>
        </w:tc>
        <w:tc>
          <w:tcPr>
            <w:tcW w:w="2161" w:type="dxa"/>
            <w:gridSpan w:val="2"/>
            <w:noWrap w:val="0"/>
            <w:vAlign w:val="center"/>
          </w:tcPr>
          <w:p w14:paraId="31BB009C">
            <w:pPr>
              <w:pStyle w:val="6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0.0970</w:t>
            </w:r>
          </w:p>
        </w:tc>
      </w:tr>
      <w:tr w14:paraId="025A91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07" w:type="pct"/>
            <w:vMerge w:val="continue"/>
            <w:noWrap w:val="0"/>
            <w:vAlign w:val="center"/>
          </w:tcPr>
          <w:p w14:paraId="4C1C09BE">
            <w:pPr>
              <w:keepNext w:val="0"/>
              <w:keepLines w:val="0"/>
              <w:pageBreakBefore w:val="0"/>
              <w:tabs>
                <w:tab w:val="left" w:pos="5388"/>
              </w:tabs>
              <w:kinsoku/>
              <w:wordWrap/>
              <w:overflowPunct/>
              <w:topLinePunct w:val="0"/>
              <w:autoSpaceDE w:val="0"/>
              <w:autoSpaceDN w:val="0"/>
              <w:bidi w:val="0"/>
              <w:spacing w:line="240" w:lineRule="auto"/>
              <w:jc w:val="center"/>
              <w:textAlignment w:val="auto"/>
              <w:rPr>
                <w:rFonts w:hint="default" w:ascii="Times New Roman" w:hAnsi="Times New Roman" w:cs="Times New Roman"/>
                <w:color w:val="auto"/>
                <w:sz w:val="18"/>
                <w:szCs w:val="18"/>
                <w:highlight w:val="none"/>
              </w:rPr>
            </w:pPr>
          </w:p>
        </w:tc>
        <w:tc>
          <w:tcPr>
            <w:tcW w:w="512" w:type="pct"/>
            <w:shd w:val="clear" w:color="auto" w:fill="auto"/>
            <w:noWrap w:val="0"/>
            <w:vAlign w:val="center"/>
          </w:tcPr>
          <w:p w14:paraId="1C83EEF2">
            <w:pPr>
              <w:keepNext w:val="0"/>
              <w:keepLines w:val="0"/>
              <w:pageBreakBefore w:val="0"/>
              <w:widowControl w:val="0"/>
              <w:kinsoku/>
              <w:wordWrap/>
              <w:overflowPunct/>
              <w:topLinePunct w:val="0"/>
              <w:bidi w:val="0"/>
              <w:ind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非甲烷总烃</w:t>
            </w:r>
          </w:p>
        </w:tc>
        <w:tc>
          <w:tcPr>
            <w:tcW w:w="633" w:type="pct"/>
            <w:noWrap w:val="0"/>
            <w:vAlign w:val="center"/>
          </w:tcPr>
          <w:p w14:paraId="558BD94B">
            <w:pPr>
              <w:pStyle w:val="63"/>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snapToGrid w:val="0"/>
                <w:color w:val="auto"/>
                <w:kern w:val="21"/>
                <w:sz w:val="18"/>
                <w:szCs w:val="18"/>
                <w:lang w:val="en-US" w:eastAsia="zh-CN" w:bidi="ar-SA"/>
              </w:rPr>
              <w:t>0.3814</w:t>
            </w:r>
          </w:p>
        </w:tc>
        <w:tc>
          <w:tcPr>
            <w:tcW w:w="583" w:type="pct"/>
            <w:noWrap w:val="0"/>
            <w:vAlign w:val="center"/>
          </w:tcPr>
          <w:p w14:paraId="3DBEA2B2">
            <w:pPr>
              <w:pStyle w:val="6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0.3277</w:t>
            </w:r>
          </w:p>
        </w:tc>
        <w:tc>
          <w:tcPr>
            <w:tcW w:w="492" w:type="pct"/>
            <w:noWrap w:val="0"/>
            <w:vAlign w:val="center"/>
          </w:tcPr>
          <w:p w14:paraId="5406D753">
            <w:pPr>
              <w:keepNext w:val="0"/>
              <w:keepLines w:val="0"/>
              <w:pageBreakBefore w:val="0"/>
              <w:kinsoku/>
              <w:wordWrap/>
              <w:overflowPunct/>
              <w:topLinePunct w:val="0"/>
              <w:bidi w:val="0"/>
              <w:spacing w:line="240" w:lineRule="auto"/>
              <w:jc w:val="center"/>
              <w:textAlignment w:val="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w:t>
            </w:r>
          </w:p>
        </w:tc>
        <w:tc>
          <w:tcPr>
            <w:tcW w:w="494" w:type="pct"/>
            <w:shd w:val="clear" w:color="auto" w:fill="auto"/>
            <w:noWrap w:val="0"/>
            <w:vAlign w:val="center"/>
          </w:tcPr>
          <w:p w14:paraId="2068421B">
            <w:pPr>
              <w:pStyle w:val="6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0.3277</w:t>
            </w:r>
          </w:p>
        </w:tc>
        <w:tc>
          <w:tcPr>
            <w:tcW w:w="478" w:type="pct"/>
            <w:noWrap w:val="0"/>
            <w:vAlign w:val="center"/>
          </w:tcPr>
          <w:p w14:paraId="578DEDF3">
            <w:pPr>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eastAsia="宋体" w:cs="Times New Roman"/>
                <w:color w:val="auto"/>
                <w:sz w:val="18"/>
                <w:szCs w:val="18"/>
                <w:highlight w:val="none"/>
                <w:lang w:val="en-US" w:eastAsia="zh-CN"/>
              </w:rPr>
              <w:t>0</w:t>
            </w:r>
          </w:p>
        </w:tc>
        <w:tc>
          <w:tcPr>
            <w:tcW w:w="673" w:type="pct"/>
            <w:gridSpan w:val="2"/>
            <w:shd w:val="clear" w:color="auto" w:fill="auto"/>
            <w:noWrap w:val="0"/>
            <w:vAlign w:val="center"/>
          </w:tcPr>
          <w:p w14:paraId="13DCDD94">
            <w:pPr>
              <w:pStyle w:val="6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+0.3277</w:t>
            </w:r>
          </w:p>
        </w:tc>
        <w:tc>
          <w:tcPr>
            <w:tcW w:w="2161" w:type="dxa"/>
            <w:gridSpan w:val="2"/>
            <w:noWrap w:val="0"/>
            <w:vAlign w:val="center"/>
          </w:tcPr>
          <w:p w14:paraId="113BBF6B">
            <w:pPr>
              <w:pStyle w:val="6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0.7091</w:t>
            </w:r>
          </w:p>
        </w:tc>
      </w:tr>
      <w:tr w14:paraId="4FA8A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 w:type="pct"/>
            <w:vMerge w:val="restart"/>
            <w:noWrap w:val="0"/>
            <w:vAlign w:val="center"/>
          </w:tcPr>
          <w:p w14:paraId="4E4DEE72">
            <w:pPr>
              <w:keepNext w:val="0"/>
              <w:keepLines w:val="0"/>
              <w:pageBreakBefore w:val="0"/>
              <w:tabs>
                <w:tab w:val="left" w:pos="5388"/>
              </w:tabs>
              <w:kinsoku/>
              <w:wordWrap/>
              <w:overflowPunct/>
              <w:topLinePunct w:val="0"/>
              <w:autoSpaceDE w:val="0"/>
              <w:autoSpaceDN w:val="0"/>
              <w:bidi w:val="0"/>
              <w:spacing w:line="240" w:lineRule="auto"/>
              <w:jc w:val="center"/>
              <w:textAlignment w:val="auto"/>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生活污水</w:t>
            </w:r>
          </w:p>
        </w:tc>
        <w:tc>
          <w:tcPr>
            <w:tcW w:w="512" w:type="pct"/>
            <w:noWrap w:val="0"/>
            <w:vAlign w:val="center"/>
          </w:tcPr>
          <w:p w14:paraId="58B45005">
            <w:pPr>
              <w:keepNext w:val="0"/>
              <w:keepLines w:val="0"/>
              <w:pageBreakBefore w:val="0"/>
              <w:kinsoku/>
              <w:wordWrap/>
              <w:overflowPunct/>
              <w:topLinePunct w:val="0"/>
              <w:bidi w:val="0"/>
              <w:spacing w:line="240" w:lineRule="auto"/>
              <w:jc w:val="center"/>
              <w:textAlignment w:val="auto"/>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水量</w:t>
            </w:r>
          </w:p>
        </w:tc>
        <w:tc>
          <w:tcPr>
            <w:tcW w:w="633" w:type="pct"/>
            <w:shd w:val="clear" w:color="auto" w:fill="auto"/>
            <w:noWrap w:val="0"/>
            <w:vAlign w:val="center"/>
          </w:tcPr>
          <w:p w14:paraId="0791177F">
            <w:pPr>
              <w:pStyle w:val="40"/>
              <w:keepNext w:val="0"/>
              <w:keepLines w:val="0"/>
              <w:pageBreakBefore w:val="0"/>
              <w:widowControl w:val="0"/>
              <w:kinsoku/>
              <w:wordWrap/>
              <w:overflowPunct/>
              <w:topLinePunct w:val="0"/>
              <w:bidi w:val="0"/>
              <w:spacing w:beforeLines="0" w:afterLines="0" w:line="240" w:lineRule="auto"/>
              <w:ind w:right="0" w:rightChars="0"/>
              <w:jc w:val="center"/>
              <w:textAlignment w:val="auto"/>
              <w:rPr>
                <w:rFonts w:hint="default" w:ascii="Times New Roman" w:hAnsi="Times New Roman" w:eastAsia="宋体" w:cs="Times New Roman"/>
                <w:snapToGrid w:val="0"/>
                <w:color w:val="auto"/>
                <w:kern w:val="21"/>
                <w:sz w:val="18"/>
                <w:szCs w:val="18"/>
                <w:lang w:val="en-US" w:eastAsia="zh-CN" w:bidi="ar-SA"/>
              </w:rPr>
            </w:pPr>
            <w:r>
              <w:rPr>
                <w:rFonts w:hint="eastAsia" w:ascii="Times New Roman" w:cs="Times New Roman"/>
                <w:snapToGrid w:val="0"/>
                <w:color w:val="auto"/>
                <w:kern w:val="21"/>
                <w:sz w:val="18"/>
                <w:szCs w:val="18"/>
                <w:lang w:val="en-US" w:eastAsia="zh-CN" w:bidi="ar-SA"/>
              </w:rPr>
              <w:t>22356</w:t>
            </w:r>
          </w:p>
        </w:tc>
        <w:tc>
          <w:tcPr>
            <w:tcW w:w="583" w:type="pct"/>
            <w:noWrap w:val="0"/>
            <w:vAlign w:val="center"/>
          </w:tcPr>
          <w:p w14:paraId="0E7F13FB">
            <w:pPr>
              <w:keepNext w:val="0"/>
              <w:keepLines w:val="0"/>
              <w:pageBreakBefore w:val="0"/>
              <w:kinsoku/>
              <w:wordWrap/>
              <w:overflowPunct/>
              <w:topLinePunct w:val="0"/>
              <w:bidi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0</w:t>
            </w:r>
          </w:p>
        </w:tc>
        <w:tc>
          <w:tcPr>
            <w:tcW w:w="492" w:type="pct"/>
            <w:noWrap w:val="0"/>
            <w:vAlign w:val="center"/>
          </w:tcPr>
          <w:p w14:paraId="74608BEB">
            <w:pPr>
              <w:keepNext w:val="0"/>
              <w:keepLines w:val="0"/>
              <w:pageBreakBefore w:val="0"/>
              <w:kinsoku/>
              <w:wordWrap/>
              <w:overflowPunct/>
              <w:topLinePunct w:val="0"/>
              <w:bidi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0</w:t>
            </w:r>
          </w:p>
        </w:tc>
        <w:tc>
          <w:tcPr>
            <w:tcW w:w="494" w:type="pct"/>
            <w:noWrap w:val="0"/>
            <w:vAlign w:val="center"/>
          </w:tcPr>
          <w:p w14:paraId="7A5FBD65">
            <w:pPr>
              <w:keepNext w:val="0"/>
              <w:keepLines w:val="0"/>
              <w:pageBreakBefore w:val="0"/>
              <w:kinsoku/>
              <w:wordWrap/>
              <w:overflowPunct/>
              <w:topLinePunct w:val="0"/>
              <w:bidi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0</w:t>
            </w:r>
          </w:p>
        </w:tc>
        <w:tc>
          <w:tcPr>
            <w:tcW w:w="478" w:type="pct"/>
            <w:noWrap w:val="0"/>
            <w:vAlign w:val="center"/>
          </w:tcPr>
          <w:p w14:paraId="2A2843F7">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0</w:t>
            </w:r>
          </w:p>
        </w:tc>
        <w:tc>
          <w:tcPr>
            <w:tcW w:w="336" w:type="pct"/>
            <w:shd w:val="clear" w:color="auto" w:fill="auto"/>
            <w:noWrap w:val="0"/>
            <w:vAlign w:val="center"/>
          </w:tcPr>
          <w:p w14:paraId="049AB8A4">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snapToGrid w:val="0"/>
                <w:color w:val="auto"/>
                <w:kern w:val="21"/>
                <w:sz w:val="18"/>
                <w:szCs w:val="18"/>
                <w:lang w:val="en-US" w:eastAsia="zh-CN" w:bidi="ar-SA"/>
              </w:rPr>
            </w:pPr>
            <w:r>
              <w:rPr>
                <w:rFonts w:hint="eastAsia" w:eastAsia="宋体" w:cs="Times New Roman"/>
                <w:color w:val="auto"/>
                <w:sz w:val="18"/>
                <w:szCs w:val="18"/>
                <w:highlight w:val="none"/>
                <w:lang w:val="en-US" w:eastAsia="zh-CN"/>
              </w:rPr>
              <w:t>0</w:t>
            </w:r>
          </w:p>
        </w:tc>
        <w:tc>
          <w:tcPr>
            <w:tcW w:w="337" w:type="pct"/>
            <w:noWrap w:val="0"/>
            <w:vAlign w:val="center"/>
          </w:tcPr>
          <w:p w14:paraId="431D151A">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0</w:t>
            </w:r>
          </w:p>
        </w:tc>
        <w:tc>
          <w:tcPr>
            <w:tcW w:w="410" w:type="pct"/>
            <w:shd w:val="clear" w:color="auto" w:fill="auto"/>
            <w:noWrap w:val="0"/>
            <w:vAlign w:val="center"/>
          </w:tcPr>
          <w:p w14:paraId="40319EE6">
            <w:pPr>
              <w:pStyle w:val="40"/>
              <w:keepNext w:val="0"/>
              <w:keepLines w:val="0"/>
              <w:pageBreakBefore w:val="0"/>
              <w:widowControl w:val="0"/>
              <w:kinsoku/>
              <w:wordWrap/>
              <w:overflowPunct/>
              <w:topLinePunct w:val="0"/>
              <w:bidi w:val="0"/>
              <w:spacing w:beforeLines="0" w:afterLines="0" w:line="240" w:lineRule="auto"/>
              <w:ind w:right="0" w:rightChars="0"/>
              <w:jc w:val="center"/>
              <w:textAlignment w:val="auto"/>
              <w:rPr>
                <w:rFonts w:hint="default" w:ascii="Times New Roman" w:hAnsi="Times New Roman" w:eastAsia="宋体" w:cs="Times New Roman"/>
                <w:snapToGrid w:val="0"/>
                <w:color w:val="auto"/>
                <w:kern w:val="21"/>
                <w:sz w:val="18"/>
                <w:szCs w:val="18"/>
                <w:lang w:val="en-US" w:eastAsia="zh-CN" w:bidi="ar-SA"/>
              </w:rPr>
            </w:pPr>
            <w:r>
              <w:rPr>
                <w:rFonts w:hint="eastAsia" w:ascii="Times New Roman" w:cs="Times New Roman"/>
                <w:snapToGrid w:val="0"/>
                <w:color w:val="auto"/>
                <w:kern w:val="21"/>
                <w:sz w:val="18"/>
                <w:szCs w:val="18"/>
                <w:lang w:val="en-US" w:eastAsia="zh-CN" w:bidi="ar-SA"/>
              </w:rPr>
              <w:t>22356</w:t>
            </w:r>
          </w:p>
        </w:tc>
        <w:tc>
          <w:tcPr>
            <w:tcW w:w="414" w:type="pct"/>
            <w:noWrap w:val="0"/>
            <w:vAlign w:val="center"/>
          </w:tcPr>
          <w:p w14:paraId="6B569C1B">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ascii="Times New Roman" w:cs="Times New Roman"/>
                <w:snapToGrid w:val="0"/>
                <w:color w:val="auto"/>
                <w:kern w:val="21"/>
                <w:sz w:val="18"/>
                <w:szCs w:val="18"/>
                <w:lang w:val="en-US" w:eastAsia="zh-CN" w:bidi="ar-SA"/>
              </w:rPr>
              <w:t>22356</w:t>
            </w:r>
          </w:p>
        </w:tc>
      </w:tr>
      <w:tr w14:paraId="3A89F3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 w:type="pct"/>
            <w:vMerge w:val="continue"/>
            <w:noWrap w:val="0"/>
            <w:vAlign w:val="center"/>
          </w:tcPr>
          <w:p w14:paraId="2A83F4CC">
            <w:pPr>
              <w:keepNext w:val="0"/>
              <w:keepLines w:val="0"/>
              <w:pageBreakBefore w:val="0"/>
              <w:tabs>
                <w:tab w:val="left" w:pos="5388"/>
              </w:tabs>
              <w:kinsoku/>
              <w:wordWrap/>
              <w:overflowPunct/>
              <w:topLinePunct w:val="0"/>
              <w:autoSpaceDE w:val="0"/>
              <w:autoSpaceDN w:val="0"/>
              <w:bidi w:val="0"/>
              <w:spacing w:line="240" w:lineRule="auto"/>
              <w:jc w:val="center"/>
              <w:textAlignment w:val="auto"/>
              <w:rPr>
                <w:rFonts w:hint="default" w:ascii="Times New Roman" w:hAnsi="Times New Roman" w:cs="Times New Roman"/>
                <w:color w:val="auto"/>
                <w:sz w:val="18"/>
                <w:szCs w:val="18"/>
                <w:highlight w:val="none"/>
              </w:rPr>
            </w:pPr>
          </w:p>
        </w:tc>
        <w:tc>
          <w:tcPr>
            <w:tcW w:w="512" w:type="pct"/>
            <w:noWrap w:val="0"/>
            <w:vAlign w:val="center"/>
          </w:tcPr>
          <w:p w14:paraId="4BD1CC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COD</w:t>
            </w:r>
          </w:p>
        </w:tc>
        <w:tc>
          <w:tcPr>
            <w:tcW w:w="633" w:type="pct"/>
            <w:shd w:val="clear" w:color="auto" w:fill="auto"/>
            <w:noWrap w:val="0"/>
            <w:vAlign w:val="center"/>
          </w:tcPr>
          <w:p w14:paraId="04F73719">
            <w:pPr>
              <w:pStyle w:val="40"/>
              <w:keepNext w:val="0"/>
              <w:keepLines w:val="0"/>
              <w:pageBreakBefore w:val="0"/>
              <w:widowControl w:val="0"/>
              <w:kinsoku/>
              <w:wordWrap/>
              <w:overflowPunct/>
              <w:topLinePunct w:val="0"/>
              <w:bidi w:val="0"/>
              <w:spacing w:beforeLines="0" w:afterLines="0" w:line="240" w:lineRule="auto"/>
              <w:ind w:right="0" w:rightChars="0"/>
              <w:jc w:val="center"/>
              <w:textAlignment w:val="auto"/>
              <w:rPr>
                <w:rFonts w:hint="default" w:ascii="Times New Roman" w:hAnsi="Times New Roman" w:eastAsia="宋体" w:cs="Times New Roman"/>
                <w:snapToGrid w:val="0"/>
                <w:color w:val="auto"/>
                <w:kern w:val="21"/>
                <w:sz w:val="18"/>
                <w:szCs w:val="18"/>
                <w:lang w:val="en-US" w:eastAsia="zh-CN" w:bidi="ar-SA"/>
              </w:rPr>
            </w:pPr>
            <w:r>
              <w:rPr>
                <w:rFonts w:hint="eastAsia" w:ascii="Times New Roman" w:cs="Times New Roman"/>
                <w:snapToGrid w:val="0"/>
                <w:color w:val="auto"/>
                <w:kern w:val="21"/>
                <w:sz w:val="18"/>
                <w:szCs w:val="18"/>
                <w:lang w:val="en-US" w:eastAsia="zh-CN" w:bidi="ar-SA"/>
              </w:rPr>
              <w:t>5.9195</w:t>
            </w:r>
          </w:p>
        </w:tc>
        <w:tc>
          <w:tcPr>
            <w:tcW w:w="583" w:type="pct"/>
            <w:noWrap w:val="0"/>
            <w:vAlign w:val="center"/>
          </w:tcPr>
          <w:p w14:paraId="26BE83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0</w:t>
            </w:r>
          </w:p>
        </w:tc>
        <w:tc>
          <w:tcPr>
            <w:tcW w:w="492" w:type="pct"/>
            <w:noWrap w:val="0"/>
            <w:vAlign w:val="center"/>
          </w:tcPr>
          <w:p w14:paraId="7621F0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0</w:t>
            </w:r>
          </w:p>
        </w:tc>
        <w:tc>
          <w:tcPr>
            <w:tcW w:w="494" w:type="pct"/>
            <w:noWrap w:val="0"/>
            <w:vAlign w:val="center"/>
          </w:tcPr>
          <w:p w14:paraId="30CC94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0</w:t>
            </w:r>
          </w:p>
        </w:tc>
        <w:tc>
          <w:tcPr>
            <w:tcW w:w="478" w:type="pct"/>
            <w:noWrap w:val="0"/>
            <w:vAlign w:val="center"/>
          </w:tcPr>
          <w:p w14:paraId="2A7224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0</w:t>
            </w:r>
          </w:p>
        </w:tc>
        <w:tc>
          <w:tcPr>
            <w:tcW w:w="336" w:type="pct"/>
            <w:shd w:val="clear" w:color="auto" w:fill="auto"/>
            <w:noWrap w:val="0"/>
            <w:vAlign w:val="center"/>
          </w:tcPr>
          <w:p w14:paraId="26379D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auto"/>
                <w:kern w:val="21"/>
                <w:sz w:val="18"/>
                <w:szCs w:val="18"/>
                <w:lang w:val="en-US" w:eastAsia="zh-CN" w:bidi="ar-SA"/>
              </w:rPr>
            </w:pPr>
            <w:r>
              <w:rPr>
                <w:rFonts w:hint="eastAsia" w:eastAsia="宋体" w:cs="Times New Roman"/>
                <w:color w:val="auto"/>
                <w:sz w:val="18"/>
                <w:szCs w:val="18"/>
                <w:highlight w:val="none"/>
                <w:lang w:val="en-US" w:eastAsia="zh-CN"/>
              </w:rPr>
              <w:t>0</w:t>
            </w:r>
          </w:p>
        </w:tc>
        <w:tc>
          <w:tcPr>
            <w:tcW w:w="337" w:type="pct"/>
            <w:noWrap w:val="0"/>
            <w:vAlign w:val="center"/>
          </w:tcPr>
          <w:p w14:paraId="160929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0</w:t>
            </w:r>
          </w:p>
        </w:tc>
        <w:tc>
          <w:tcPr>
            <w:tcW w:w="410" w:type="pct"/>
            <w:shd w:val="clear" w:color="auto" w:fill="auto"/>
            <w:noWrap w:val="0"/>
            <w:vAlign w:val="center"/>
          </w:tcPr>
          <w:p w14:paraId="08C0B157">
            <w:pPr>
              <w:pStyle w:val="40"/>
              <w:keepNext w:val="0"/>
              <w:keepLines w:val="0"/>
              <w:pageBreakBefore w:val="0"/>
              <w:widowControl w:val="0"/>
              <w:kinsoku/>
              <w:wordWrap/>
              <w:overflowPunct/>
              <w:topLinePunct w:val="0"/>
              <w:bidi w:val="0"/>
              <w:spacing w:beforeLines="0" w:afterLines="0" w:line="240" w:lineRule="auto"/>
              <w:ind w:right="0" w:rightChars="0"/>
              <w:jc w:val="center"/>
              <w:textAlignment w:val="auto"/>
              <w:rPr>
                <w:rFonts w:hint="default" w:ascii="Times New Roman" w:hAnsi="Times New Roman" w:eastAsia="宋体" w:cs="Times New Roman"/>
                <w:snapToGrid w:val="0"/>
                <w:color w:val="auto"/>
                <w:kern w:val="21"/>
                <w:sz w:val="18"/>
                <w:szCs w:val="18"/>
                <w:lang w:val="en-US" w:eastAsia="zh-CN" w:bidi="ar-SA"/>
              </w:rPr>
            </w:pPr>
            <w:r>
              <w:rPr>
                <w:rFonts w:hint="eastAsia" w:ascii="Times New Roman" w:cs="Times New Roman"/>
                <w:snapToGrid w:val="0"/>
                <w:color w:val="auto"/>
                <w:kern w:val="21"/>
                <w:sz w:val="18"/>
                <w:szCs w:val="18"/>
                <w:lang w:val="en-US" w:eastAsia="zh-CN" w:bidi="ar-SA"/>
              </w:rPr>
              <w:t>5.9195</w:t>
            </w:r>
          </w:p>
        </w:tc>
        <w:tc>
          <w:tcPr>
            <w:tcW w:w="414" w:type="pct"/>
            <w:noWrap w:val="0"/>
            <w:vAlign w:val="center"/>
          </w:tcPr>
          <w:p w14:paraId="38EE7F45">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1.1178</w:t>
            </w:r>
          </w:p>
        </w:tc>
      </w:tr>
      <w:tr w14:paraId="1F204D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 w:type="pct"/>
            <w:vMerge w:val="continue"/>
            <w:noWrap w:val="0"/>
            <w:vAlign w:val="center"/>
          </w:tcPr>
          <w:p w14:paraId="32E33162">
            <w:pPr>
              <w:keepNext w:val="0"/>
              <w:keepLines w:val="0"/>
              <w:pageBreakBefore w:val="0"/>
              <w:tabs>
                <w:tab w:val="left" w:pos="5388"/>
              </w:tabs>
              <w:kinsoku/>
              <w:wordWrap/>
              <w:overflowPunct/>
              <w:topLinePunct w:val="0"/>
              <w:autoSpaceDE w:val="0"/>
              <w:autoSpaceDN w:val="0"/>
              <w:bidi w:val="0"/>
              <w:spacing w:line="240" w:lineRule="auto"/>
              <w:jc w:val="center"/>
              <w:textAlignment w:val="auto"/>
              <w:rPr>
                <w:rFonts w:hint="default" w:ascii="Times New Roman" w:hAnsi="Times New Roman" w:cs="Times New Roman"/>
                <w:color w:val="auto"/>
                <w:sz w:val="18"/>
                <w:szCs w:val="18"/>
                <w:highlight w:val="none"/>
              </w:rPr>
            </w:pPr>
          </w:p>
        </w:tc>
        <w:tc>
          <w:tcPr>
            <w:tcW w:w="512" w:type="pct"/>
            <w:noWrap w:val="0"/>
            <w:vAlign w:val="center"/>
          </w:tcPr>
          <w:p w14:paraId="31D909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SS</w:t>
            </w:r>
          </w:p>
        </w:tc>
        <w:tc>
          <w:tcPr>
            <w:tcW w:w="633" w:type="pct"/>
            <w:shd w:val="clear" w:color="auto" w:fill="auto"/>
            <w:noWrap w:val="0"/>
            <w:vAlign w:val="center"/>
          </w:tcPr>
          <w:p w14:paraId="68FBE153">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18"/>
                <w:szCs w:val="18"/>
                <w:lang w:val="en-US" w:eastAsia="zh-CN" w:bidi="ar-SA"/>
              </w:rPr>
            </w:pPr>
            <w:r>
              <w:rPr>
                <w:rFonts w:hint="eastAsia" w:cs="Times New Roman"/>
                <w:snapToGrid w:val="0"/>
                <w:color w:val="auto"/>
                <w:kern w:val="21"/>
                <w:sz w:val="18"/>
                <w:szCs w:val="18"/>
                <w:lang w:val="en-US" w:eastAsia="zh-CN" w:bidi="ar-SA"/>
              </w:rPr>
              <w:t>4.4712</w:t>
            </w:r>
          </w:p>
        </w:tc>
        <w:tc>
          <w:tcPr>
            <w:tcW w:w="583" w:type="pct"/>
            <w:noWrap w:val="0"/>
            <w:vAlign w:val="center"/>
          </w:tcPr>
          <w:p w14:paraId="113E3F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0</w:t>
            </w:r>
          </w:p>
        </w:tc>
        <w:tc>
          <w:tcPr>
            <w:tcW w:w="492" w:type="pct"/>
            <w:noWrap w:val="0"/>
            <w:vAlign w:val="center"/>
          </w:tcPr>
          <w:p w14:paraId="3EEF7B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0</w:t>
            </w:r>
          </w:p>
        </w:tc>
        <w:tc>
          <w:tcPr>
            <w:tcW w:w="494" w:type="pct"/>
            <w:noWrap w:val="0"/>
            <w:vAlign w:val="center"/>
          </w:tcPr>
          <w:p w14:paraId="708804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0</w:t>
            </w:r>
          </w:p>
        </w:tc>
        <w:tc>
          <w:tcPr>
            <w:tcW w:w="478" w:type="pct"/>
            <w:noWrap w:val="0"/>
            <w:vAlign w:val="center"/>
          </w:tcPr>
          <w:p w14:paraId="1F95D5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0</w:t>
            </w:r>
          </w:p>
        </w:tc>
        <w:tc>
          <w:tcPr>
            <w:tcW w:w="336" w:type="pct"/>
            <w:shd w:val="clear" w:color="auto" w:fill="auto"/>
            <w:noWrap w:val="0"/>
            <w:vAlign w:val="center"/>
          </w:tcPr>
          <w:p w14:paraId="324713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auto"/>
                <w:kern w:val="21"/>
                <w:sz w:val="18"/>
                <w:szCs w:val="18"/>
                <w:lang w:val="zh-CN" w:eastAsia="zh-CN" w:bidi="ar-SA"/>
              </w:rPr>
            </w:pPr>
            <w:r>
              <w:rPr>
                <w:rFonts w:hint="eastAsia" w:eastAsia="宋体" w:cs="Times New Roman"/>
                <w:color w:val="auto"/>
                <w:sz w:val="18"/>
                <w:szCs w:val="18"/>
                <w:highlight w:val="none"/>
                <w:lang w:val="en-US" w:eastAsia="zh-CN"/>
              </w:rPr>
              <w:t>0</w:t>
            </w:r>
          </w:p>
        </w:tc>
        <w:tc>
          <w:tcPr>
            <w:tcW w:w="337" w:type="pct"/>
            <w:noWrap w:val="0"/>
            <w:vAlign w:val="center"/>
          </w:tcPr>
          <w:p w14:paraId="4E64E3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zh-CN" w:eastAsia="zh-CN" w:bidi="ar-SA"/>
              </w:rPr>
            </w:pPr>
            <w:r>
              <w:rPr>
                <w:rFonts w:hint="eastAsia" w:eastAsia="宋体" w:cs="Times New Roman"/>
                <w:color w:val="auto"/>
                <w:sz w:val="18"/>
                <w:szCs w:val="18"/>
                <w:highlight w:val="none"/>
                <w:lang w:val="en-US" w:eastAsia="zh-CN"/>
              </w:rPr>
              <w:t>0</w:t>
            </w:r>
          </w:p>
        </w:tc>
        <w:tc>
          <w:tcPr>
            <w:tcW w:w="410" w:type="pct"/>
            <w:shd w:val="clear" w:color="auto" w:fill="auto"/>
            <w:noWrap w:val="0"/>
            <w:vAlign w:val="center"/>
          </w:tcPr>
          <w:p w14:paraId="34BB04D9">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18"/>
                <w:szCs w:val="18"/>
                <w:lang w:val="zh-CN" w:eastAsia="zh-CN" w:bidi="ar-SA"/>
              </w:rPr>
            </w:pPr>
            <w:r>
              <w:rPr>
                <w:rFonts w:hint="eastAsia" w:cs="Times New Roman"/>
                <w:snapToGrid w:val="0"/>
                <w:color w:val="auto"/>
                <w:kern w:val="21"/>
                <w:sz w:val="18"/>
                <w:szCs w:val="18"/>
                <w:lang w:val="en-US" w:eastAsia="zh-CN" w:bidi="ar-SA"/>
              </w:rPr>
              <w:t>4.4712</w:t>
            </w:r>
          </w:p>
        </w:tc>
        <w:tc>
          <w:tcPr>
            <w:tcW w:w="414" w:type="pct"/>
            <w:noWrap w:val="0"/>
            <w:vAlign w:val="center"/>
          </w:tcPr>
          <w:p w14:paraId="38458773">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0.223</w:t>
            </w:r>
            <w:r>
              <w:rPr>
                <w:rFonts w:hint="eastAsia" w:cs="Times New Roman"/>
                <w:color w:val="auto"/>
                <w:kern w:val="2"/>
                <w:sz w:val="18"/>
                <w:szCs w:val="18"/>
                <w:lang w:val="en-US" w:eastAsia="zh-CN" w:bidi="ar-SA"/>
              </w:rPr>
              <w:t>6</w:t>
            </w:r>
          </w:p>
        </w:tc>
      </w:tr>
      <w:tr w14:paraId="34AA41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 w:type="pct"/>
            <w:vMerge w:val="continue"/>
            <w:noWrap w:val="0"/>
            <w:vAlign w:val="center"/>
          </w:tcPr>
          <w:p w14:paraId="4A4A0F77">
            <w:pPr>
              <w:keepNext w:val="0"/>
              <w:keepLines w:val="0"/>
              <w:pageBreakBefore w:val="0"/>
              <w:tabs>
                <w:tab w:val="left" w:pos="5388"/>
              </w:tabs>
              <w:kinsoku/>
              <w:wordWrap/>
              <w:overflowPunct/>
              <w:topLinePunct w:val="0"/>
              <w:autoSpaceDE w:val="0"/>
              <w:autoSpaceDN w:val="0"/>
              <w:bidi w:val="0"/>
              <w:spacing w:line="240" w:lineRule="auto"/>
              <w:jc w:val="center"/>
              <w:textAlignment w:val="auto"/>
              <w:rPr>
                <w:rFonts w:hint="default" w:ascii="Times New Roman" w:hAnsi="Times New Roman" w:cs="Times New Roman"/>
                <w:color w:val="auto"/>
                <w:sz w:val="18"/>
                <w:szCs w:val="18"/>
                <w:highlight w:val="none"/>
              </w:rPr>
            </w:pPr>
          </w:p>
        </w:tc>
        <w:tc>
          <w:tcPr>
            <w:tcW w:w="512" w:type="pct"/>
            <w:noWrap w:val="0"/>
            <w:vAlign w:val="center"/>
          </w:tcPr>
          <w:p w14:paraId="71BD7B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氨氮</w:t>
            </w:r>
          </w:p>
        </w:tc>
        <w:tc>
          <w:tcPr>
            <w:tcW w:w="633" w:type="pct"/>
            <w:shd w:val="clear" w:color="auto" w:fill="auto"/>
            <w:noWrap w:val="0"/>
            <w:vAlign w:val="center"/>
          </w:tcPr>
          <w:p w14:paraId="4B7DE422">
            <w:pPr>
              <w:pStyle w:val="40"/>
              <w:keepNext w:val="0"/>
              <w:keepLines w:val="0"/>
              <w:pageBreakBefore w:val="0"/>
              <w:widowControl w:val="0"/>
              <w:kinsoku/>
              <w:wordWrap/>
              <w:overflowPunct/>
              <w:topLinePunct w:val="0"/>
              <w:bidi w:val="0"/>
              <w:spacing w:beforeLines="0" w:afterLines="0" w:line="240" w:lineRule="auto"/>
              <w:ind w:right="0" w:rightChars="0"/>
              <w:jc w:val="center"/>
              <w:textAlignment w:val="auto"/>
              <w:rPr>
                <w:rFonts w:hint="default" w:ascii="Times New Roman" w:hAnsi="Times New Roman" w:eastAsia="宋体" w:cs="Times New Roman"/>
                <w:snapToGrid w:val="0"/>
                <w:color w:val="auto"/>
                <w:kern w:val="21"/>
                <w:sz w:val="18"/>
                <w:szCs w:val="18"/>
                <w:lang w:val="en-US" w:eastAsia="zh-CN" w:bidi="ar-SA"/>
              </w:rPr>
            </w:pPr>
            <w:r>
              <w:rPr>
                <w:rFonts w:hint="eastAsia" w:ascii="Times New Roman" w:cs="Times New Roman"/>
                <w:snapToGrid w:val="0"/>
                <w:color w:val="auto"/>
                <w:kern w:val="21"/>
                <w:sz w:val="18"/>
                <w:szCs w:val="18"/>
                <w:lang w:val="en-US" w:eastAsia="zh-CN" w:bidi="ar-SA"/>
              </w:rPr>
              <w:t>0.5589</w:t>
            </w:r>
          </w:p>
        </w:tc>
        <w:tc>
          <w:tcPr>
            <w:tcW w:w="583" w:type="pct"/>
            <w:noWrap w:val="0"/>
            <w:vAlign w:val="center"/>
          </w:tcPr>
          <w:p w14:paraId="7E2859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0</w:t>
            </w:r>
          </w:p>
        </w:tc>
        <w:tc>
          <w:tcPr>
            <w:tcW w:w="492" w:type="pct"/>
            <w:noWrap w:val="0"/>
            <w:vAlign w:val="center"/>
          </w:tcPr>
          <w:p w14:paraId="03118E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0</w:t>
            </w:r>
          </w:p>
        </w:tc>
        <w:tc>
          <w:tcPr>
            <w:tcW w:w="494" w:type="pct"/>
            <w:noWrap w:val="0"/>
            <w:vAlign w:val="center"/>
          </w:tcPr>
          <w:p w14:paraId="07845F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0</w:t>
            </w:r>
          </w:p>
        </w:tc>
        <w:tc>
          <w:tcPr>
            <w:tcW w:w="478" w:type="pct"/>
            <w:noWrap w:val="0"/>
            <w:vAlign w:val="center"/>
          </w:tcPr>
          <w:p w14:paraId="6D2EAC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0</w:t>
            </w:r>
          </w:p>
        </w:tc>
        <w:tc>
          <w:tcPr>
            <w:tcW w:w="336" w:type="pct"/>
            <w:shd w:val="clear" w:color="auto" w:fill="auto"/>
            <w:noWrap w:val="0"/>
            <w:vAlign w:val="center"/>
          </w:tcPr>
          <w:p w14:paraId="497854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auto"/>
                <w:kern w:val="21"/>
                <w:sz w:val="18"/>
                <w:szCs w:val="18"/>
                <w:lang w:val="zh-CN" w:eastAsia="zh-CN" w:bidi="ar-SA"/>
              </w:rPr>
            </w:pPr>
            <w:r>
              <w:rPr>
                <w:rFonts w:hint="eastAsia" w:eastAsia="宋体" w:cs="Times New Roman"/>
                <w:color w:val="auto"/>
                <w:sz w:val="18"/>
                <w:szCs w:val="18"/>
                <w:highlight w:val="none"/>
                <w:lang w:val="en-US" w:eastAsia="zh-CN"/>
              </w:rPr>
              <w:t>0</w:t>
            </w:r>
          </w:p>
        </w:tc>
        <w:tc>
          <w:tcPr>
            <w:tcW w:w="337" w:type="pct"/>
            <w:noWrap w:val="0"/>
            <w:vAlign w:val="center"/>
          </w:tcPr>
          <w:p w14:paraId="3EB72B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zh-CN" w:eastAsia="zh-CN" w:bidi="ar-SA"/>
              </w:rPr>
            </w:pPr>
            <w:r>
              <w:rPr>
                <w:rFonts w:hint="eastAsia" w:eastAsia="宋体" w:cs="Times New Roman"/>
                <w:color w:val="auto"/>
                <w:sz w:val="18"/>
                <w:szCs w:val="18"/>
                <w:highlight w:val="none"/>
                <w:lang w:val="en-US" w:eastAsia="zh-CN"/>
              </w:rPr>
              <w:t>0</w:t>
            </w:r>
          </w:p>
        </w:tc>
        <w:tc>
          <w:tcPr>
            <w:tcW w:w="410" w:type="pct"/>
            <w:shd w:val="clear" w:color="auto" w:fill="auto"/>
            <w:noWrap w:val="0"/>
            <w:vAlign w:val="center"/>
          </w:tcPr>
          <w:p w14:paraId="3CAA2A52">
            <w:pPr>
              <w:pStyle w:val="40"/>
              <w:keepNext w:val="0"/>
              <w:keepLines w:val="0"/>
              <w:pageBreakBefore w:val="0"/>
              <w:widowControl w:val="0"/>
              <w:kinsoku/>
              <w:wordWrap/>
              <w:overflowPunct/>
              <w:topLinePunct w:val="0"/>
              <w:bidi w:val="0"/>
              <w:spacing w:beforeLines="0" w:afterLines="0" w:line="240" w:lineRule="auto"/>
              <w:ind w:right="0" w:rightChars="0"/>
              <w:jc w:val="center"/>
              <w:textAlignment w:val="auto"/>
              <w:rPr>
                <w:rFonts w:hint="default" w:ascii="Times New Roman" w:hAnsi="Times New Roman" w:eastAsia="宋体" w:cs="Times New Roman"/>
                <w:snapToGrid w:val="0"/>
                <w:color w:val="auto"/>
                <w:kern w:val="21"/>
                <w:sz w:val="18"/>
                <w:szCs w:val="18"/>
                <w:lang w:val="zh-CN" w:eastAsia="zh-CN" w:bidi="ar-SA"/>
              </w:rPr>
            </w:pPr>
            <w:r>
              <w:rPr>
                <w:rFonts w:hint="eastAsia" w:ascii="Times New Roman" w:cs="Times New Roman"/>
                <w:snapToGrid w:val="0"/>
                <w:color w:val="auto"/>
                <w:kern w:val="21"/>
                <w:sz w:val="18"/>
                <w:szCs w:val="18"/>
                <w:lang w:val="en-US" w:eastAsia="zh-CN" w:bidi="ar-SA"/>
              </w:rPr>
              <w:t>0.5589</w:t>
            </w:r>
          </w:p>
        </w:tc>
        <w:tc>
          <w:tcPr>
            <w:tcW w:w="414" w:type="pct"/>
            <w:noWrap w:val="0"/>
            <w:vAlign w:val="center"/>
          </w:tcPr>
          <w:p w14:paraId="1911645E">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w:t>
            </w:r>
            <w:r>
              <w:rPr>
                <w:rFonts w:hint="default" w:ascii="Times New Roman" w:hAnsi="Times New Roman" w:eastAsia="宋体" w:cs="Times New Roman"/>
                <w:color w:val="auto"/>
                <w:kern w:val="2"/>
                <w:sz w:val="18"/>
                <w:szCs w:val="18"/>
                <w:lang w:val="en-US" w:eastAsia="zh-CN" w:bidi="ar-SA"/>
              </w:rPr>
              <w:t>111</w:t>
            </w:r>
            <w:r>
              <w:rPr>
                <w:rFonts w:hint="eastAsia" w:cs="Times New Roman"/>
                <w:color w:val="auto"/>
                <w:kern w:val="2"/>
                <w:sz w:val="18"/>
                <w:szCs w:val="18"/>
                <w:lang w:val="en-US" w:eastAsia="zh-CN" w:bidi="ar-SA"/>
              </w:rPr>
              <w:t>8</w:t>
            </w:r>
          </w:p>
        </w:tc>
      </w:tr>
      <w:tr w14:paraId="7C4ED8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 w:type="pct"/>
            <w:vMerge w:val="continue"/>
            <w:noWrap w:val="0"/>
            <w:vAlign w:val="center"/>
          </w:tcPr>
          <w:p w14:paraId="4EBD1A92">
            <w:pPr>
              <w:keepNext w:val="0"/>
              <w:keepLines w:val="0"/>
              <w:pageBreakBefore w:val="0"/>
              <w:tabs>
                <w:tab w:val="left" w:pos="5388"/>
              </w:tabs>
              <w:kinsoku/>
              <w:wordWrap/>
              <w:overflowPunct/>
              <w:topLinePunct w:val="0"/>
              <w:autoSpaceDE w:val="0"/>
              <w:autoSpaceDN w:val="0"/>
              <w:bidi w:val="0"/>
              <w:spacing w:line="240" w:lineRule="auto"/>
              <w:jc w:val="center"/>
              <w:textAlignment w:val="auto"/>
              <w:rPr>
                <w:rFonts w:hint="default" w:ascii="Times New Roman" w:hAnsi="Times New Roman" w:cs="Times New Roman"/>
                <w:color w:val="auto"/>
                <w:sz w:val="18"/>
                <w:szCs w:val="18"/>
                <w:highlight w:val="none"/>
              </w:rPr>
            </w:pPr>
          </w:p>
        </w:tc>
        <w:tc>
          <w:tcPr>
            <w:tcW w:w="512" w:type="pct"/>
            <w:noWrap w:val="0"/>
            <w:vAlign w:val="center"/>
          </w:tcPr>
          <w:p w14:paraId="662C6C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总氮</w:t>
            </w:r>
          </w:p>
        </w:tc>
        <w:tc>
          <w:tcPr>
            <w:tcW w:w="633" w:type="pct"/>
            <w:shd w:val="clear" w:color="auto" w:fill="auto"/>
            <w:noWrap w:val="0"/>
            <w:vAlign w:val="center"/>
          </w:tcPr>
          <w:p w14:paraId="79C196D7">
            <w:pPr>
              <w:pStyle w:val="40"/>
              <w:keepNext w:val="0"/>
              <w:keepLines w:val="0"/>
              <w:pageBreakBefore w:val="0"/>
              <w:widowControl w:val="0"/>
              <w:kinsoku/>
              <w:wordWrap/>
              <w:overflowPunct/>
              <w:topLinePunct w:val="0"/>
              <w:bidi w:val="0"/>
              <w:spacing w:beforeLines="0" w:afterLines="0" w:line="240" w:lineRule="auto"/>
              <w:ind w:right="0" w:rightChars="0"/>
              <w:jc w:val="center"/>
              <w:textAlignment w:val="auto"/>
              <w:rPr>
                <w:rFonts w:hint="default" w:ascii="Times New Roman" w:hAnsi="Times New Roman" w:eastAsia="宋体" w:cs="Times New Roman"/>
                <w:snapToGrid w:val="0"/>
                <w:color w:val="auto"/>
                <w:kern w:val="21"/>
                <w:sz w:val="18"/>
                <w:szCs w:val="18"/>
                <w:lang w:val="en-US" w:eastAsia="zh-CN" w:bidi="ar-SA"/>
              </w:rPr>
            </w:pPr>
            <w:r>
              <w:rPr>
                <w:rFonts w:hint="eastAsia" w:ascii="Times New Roman" w:eastAsia="宋体" w:cs="Times New Roman"/>
                <w:snapToGrid w:val="0"/>
                <w:color w:val="auto"/>
                <w:kern w:val="21"/>
                <w:sz w:val="18"/>
                <w:szCs w:val="18"/>
                <w:lang w:val="en-US" w:eastAsia="zh-CN" w:bidi="ar-SA"/>
              </w:rPr>
              <w:t>0</w:t>
            </w:r>
          </w:p>
        </w:tc>
        <w:tc>
          <w:tcPr>
            <w:tcW w:w="583" w:type="pct"/>
            <w:noWrap w:val="0"/>
            <w:vAlign w:val="center"/>
          </w:tcPr>
          <w:p w14:paraId="198D1F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0</w:t>
            </w:r>
          </w:p>
        </w:tc>
        <w:tc>
          <w:tcPr>
            <w:tcW w:w="492" w:type="pct"/>
            <w:noWrap w:val="0"/>
            <w:vAlign w:val="center"/>
          </w:tcPr>
          <w:p w14:paraId="18759A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0</w:t>
            </w:r>
          </w:p>
        </w:tc>
        <w:tc>
          <w:tcPr>
            <w:tcW w:w="494" w:type="pct"/>
            <w:noWrap w:val="0"/>
            <w:vAlign w:val="center"/>
          </w:tcPr>
          <w:p w14:paraId="45B01C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0</w:t>
            </w:r>
          </w:p>
        </w:tc>
        <w:tc>
          <w:tcPr>
            <w:tcW w:w="478" w:type="pct"/>
            <w:noWrap w:val="0"/>
            <w:vAlign w:val="center"/>
          </w:tcPr>
          <w:p w14:paraId="3B2F93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0</w:t>
            </w:r>
          </w:p>
        </w:tc>
        <w:tc>
          <w:tcPr>
            <w:tcW w:w="336" w:type="pct"/>
            <w:shd w:val="clear" w:color="auto" w:fill="auto"/>
            <w:noWrap w:val="0"/>
            <w:vAlign w:val="center"/>
          </w:tcPr>
          <w:p w14:paraId="52ED39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auto"/>
                <w:kern w:val="21"/>
                <w:sz w:val="18"/>
                <w:szCs w:val="18"/>
                <w:lang w:val="zh-CN" w:eastAsia="zh-CN" w:bidi="ar-SA"/>
              </w:rPr>
            </w:pPr>
            <w:r>
              <w:rPr>
                <w:rFonts w:hint="eastAsia" w:eastAsia="宋体" w:cs="Times New Roman"/>
                <w:color w:val="auto"/>
                <w:sz w:val="18"/>
                <w:szCs w:val="18"/>
                <w:highlight w:val="none"/>
                <w:lang w:val="en-US" w:eastAsia="zh-CN"/>
              </w:rPr>
              <w:t>0</w:t>
            </w:r>
          </w:p>
        </w:tc>
        <w:tc>
          <w:tcPr>
            <w:tcW w:w="337" w:type="pct"/>
            <w:noWrap w:val="0"/>
            <w:vAlign w:val="center"/>
          </w:tcPr>
          <w:p w14:paraId="47B8FD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zh-CN" w:eastAsia="zh-CN" w:bidi="ar-SA"/>
              </w:rPr>
            </w:pPr>
            <w:r>
              <w:rPr>
                <w:rFonts w:hint="eastAsia" w:eastAsia="宋体" w:cs="Times New Roman"/>
                <w:color w:val="auto"/>
                <w:sz w:val="18"/>
                <w:szCs w:val="18"/>
                <w:highlight w:val="none"/>
                <w:lang w:val="en-US" w:eastAsia="zh-CN"/>
              </w:rPr>
              <w:t>0</w:t>
            </w:r>
          </w:p>
        </w:tc>
        <w:tc>
          <w:tcPr>
            <w:tcW w:w="410" w:type="pct"/>
            <w:shd w:val="clear" w:color="auto" w:fill="auto"/>
            <w:noWrap w:val="0"/>
            <w:vAlign w:val="center"/>
          </w:tcPr>
          <w:p w14:paraId="5E962B69">
            <w:pPr>
              <w:pStyle w:val="40"/>
              <w:keepNext w:val="0"/>
              <w:keepLines w:val="0"/>
              <w:pageBreakBefore w:val="0"/>
              <w:widowControl w:val="0"/>
              <w:kinsoku/>
              <w:wordWrap/>
              <w:overflowPunct/>
              <w:topLinePunct w:val="0"/>
              <w:bidi w:val="0"/>
              <w:spacing w:beforeLines="0" w:afterLines="0" w:line="240" w:lineRule="auto"/>
              <w:ind w:right="0" w:rightChars="0"/>
              <w:jc w:val="center"/>
              <w:textAlignment w:val="auto"/>
              <w:rPr>
                <w:rFonts w:hint="default" w:ascii="Times New Roman" w:hAnsi="Times New Roman" w:eastAsia="宋体" w:cs="Times New Roman"/>
                <w:snapToGrid w:val="0"/>
                <w:color w:val="auto"/>
                <w:kern w:val="21"/>
                <w:sz w:val="18"/>
                <w:szCs w:val="18"/>
                <w:lang w:val="zh-CN" w:eastAsia="zh-CN" w:bidi="ar-SA"/>
              </w:rPr>
            </w:pPr>
            <w:r>
              <w:rPr>
                <w:rFonts w:hint="eastAsia" w:ascii="Times New Roman" w:eastAsia="宋体" w:cs="Times New Roman"/>
                <w:snapToGrid w:val="0"/>
                <w:color w:val="auto"/>
                <w:kern w:val="21"/>
                <w:sz w:val="18"/>
                <w:szCs w:val="18"/>
                <w:lang w:val="en-US" w:eastAsia="zh-CN" w:bidi="ar-SA"/>
              </w:rPr>
              <w:t>0</w:t>
            </w:r>
          </w:p>
        </w:tc>
        <w:tc>
          <w:tcPr>
            <w:tcW w:w="414" w:type="pct"/>
            <w:noWrap w:val="0"/>
            <w:vAlign w:val="center"/>
          </w:tcPr>
          <w:p w14:paraId="63FB1049">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0.3353</w:t>
            </w:r>
          </w:p>
        </w:tc>
      </w:tr>
      <w:tr w14:paraId="3CC63D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 w:type="pct"/>
            <w:vMerge w:val="continue"/>
            <w:noWrap w:val="0"/>
            <w:vAlign w:val="center"/>
          </w:tcPr>
          <w:p w14:paraId="3ACD61CD">
            <w:pPr>
              <w:keepNext w:val="0"/>
              <w:keepLines w:val="0"/>
              <w:pageBreakBefore w:val="0"/>
              <w:tabs>
                <w:tab w:val="left" w:pos="5388"/>
              </w:tabs>
              <w:kinsoku/>
              <w:wordWrap/>
              <w:overflowPunct/>
              <w:topLinePunct w:val="0"/>
              <w:autoSpaceDE w:val="0"/>
              <w:autoSpaceDN w:val="0"/>
              <w:bidi w:val="0"/>
              <w:spacing w:line="240" w:lineRule="auto"/>
              <w:jc w:val="center"/>
              <w:textAlignment w:val="auto"/>
              <w:rPr>
                <w:rFonts w:hint="default" w:ascii="Times New Roman" w:hAnsi="Times New Roman" w:cs="Times New Roman"/>
                <w:color w:val="auto"/>
                <w:sz w:val="18"/>
                <w:szCs w:val="18"/>
                <w:highlight w:val="none"/>
              </w:rPr>
            </w:pPr>
          </w:p>
        </w:tc>
        <w:tc>
          <w:tcPr>
            <w:tcW w:w="512" w:type="pct"/>
            <w:noWrap w:val="0"/>
            <w:vAlign w:val="center"/>
          </w:tcPr>
          <w:p w14:paraId="6B8AA3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总磷</w:t>
            </w:r>
          </w:p>
        </w:tc>
        <w:tc>
          <w:tcPr>
            <w:tcW w:w="633" w:type="pct"/>
            <w:shd w:val="clear" w:color="auto" w:fill="auto"/>
            <w:noWrap w:val="0"/>
            <w:vAlign w:val="center"/>
          </w:tcPr>
          <w:p w14:paraId="2DCABA11">
            <w:pPr>
              <w:pStyle w:val="40"/>
              <w:keepNext w:val="0"/>
              <w:keepLines w:val="0"/>
              <w:pageBreakBefore w:val="0"/>
              <w:widowControl w:val="0"/>
              <w:kinsoku/>
              <w:wordWrap/>
              <w:overflowPunct/>
              <w:topLinePunct w:val="0"/>
              <w:bidi w:val="0"/>
              <w:spacing w:beforeLines="0" w:afterLines="0" w:line="240" w:lineRule="auto"/>
              <w:ind w:right="0" w:rightChars="0"/>
              <w:jc w:val="center"/>
              <w:textAlignment w:val="auto"/>
              <w:rPr>
                <w:rFonts w:hint="default" w:ascii="Times New Roman" w:hAnsi="Times New Roman" w:eastAsia="宋体" w:cs="Times New Roman"/>
                <w:snapToGrid w:val="0"/>
                <w:color w:val="auto"/>
                <w:kern w:val="21"/>
                <w:sz w:val="18"/>
                <w:szCs w:val="18"/>
                <w:lang w:val="en-US" w:eastAsia="zh-CN" w:bidi="ar-SA"/>
              </w:rPr>
            </w:pPr>
            <w:r>
              <w:rPr>
                <w:rFonts w:hint="eastAsia" w:ascii="Times New Roman" w:cs="Times New Roman"/>
                <w:snapToGrid w:val="0"/>
                <w:color w:val="auto"/>
                <w:kern w:val="21"/>
                <w:sz w:val="18"/>
                <w:szCs w:val="18"/>
                <w:lang w:val="en-US" w:eastAsia="zh-CN" w:bidi="ar-SA"/>
              </w:rPr>
              <w:t>0.1118</w:t>
            </w:r>
          </w:p>
        </w:tc>
        <w:tc>
          <w:tcPr>
            <w:tcW w:w="583" w:type="pct"/>
            <w:noWrap w:val="0"/>
            <w:vAlign w:val="center"/>
          </w:tcPr>
          <w:p w14:paraId="40243C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0</w:t>
            </w:r>
          </w:p>
        </w:tc>
        <w:tc>
          <w:tcPr>
            <w:tcW w:w="492" w:type="pct"/>
            <w:noWrap w:val="0"/>
            <w:vAlign w:val="center"/>
          </w:tcPr>
          <w:p w14:paraId="092B1F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0</w:t>
            </w:r>
          </w:p>
        </w:tc>
        <w:tc>
          <w:tcPr>
            <w:tcW w:w="494" w:type="pct"/>
            <w:noWrap w:val="0"/>
            <w:vAlign w:val="center"/>
          </w:tcPr>
          <w:p w14:paraId="0A416F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0</w:t>
            </w:r>
          </w:p>
        </w:tc>
        <w:tc>
          <w:tcPr>
            <w:tcW w:w="478" w:type="pct"/>
            <w:noWrap w:val="0"/>
            <w:vAlign w:val="center"/>
          </w:tcPr>
          <w:p w14:paraId="0102B8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0</w:t>
            </w:r>
          </w:p>
        </w:tc>
        <w:tc>
          <w:tcPr>
            <w:tcW w:w="336" w:type="pct"/>
            <w:shd w:val="clear" w:color="auto" w:fill="auto"/>
            <w:noWrap w:val="0"/>
            <w:vAlign w:val="center"/>
          </w:tcPr>
          <w:p w14:paraId="11B58C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auto"/>
                <w:kern w:val="21"/>
                <w:sz w:val="18"/>
                <w:szCs w:val="18"/>
                <w:lang w:val="zh-CN" w:eastAsia="zh-CN" w:bidi="ar-SA"/>
              </w:rPr>
            </w:pPr>
            <w:r>
              <w:rPr>
                <w:rFonts w:hint="eastAsia" w:eastAsia="宋体" w:cs="Times New Roman"/>
                <w:color w:val="auto"/>
                <w:sz w:val="18"/>
                <w:szCs w:val="18"/>
                <w:highlight w:val="none"/>
                <w:lang w:val="en-US" w:eastAsia="zh-CN"/>
              </w:rPr>
              <w:t>0</w:t>
            </w:r>
          </w:p>
        </w:tc>
        <w:tc>
          <w:tcPr>
            <w:tcW w:w="337" w:type="pct"/>
            <w:noWrap w:val="0"/>
            <w:vAlign w:val="center"/>
          </w:tcPr>
          <w:p w14:paraId="08D95E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zh-CN" w:eastAsia="zh-CN" w:bidi="ar-SA"/>
              </w:rPr>
            </w:pPr>
            <w:r>
              <w:rPr>
                <w:rFonts w:hint="eastAsia" w:eastAsia="宋体" w:cs="Times New Roman"/>
                <w:color w:val="auto"/>
                <w:sz w:val="18"/>
                <w:szCs w:val="18"/>
                <w:highlight w:val="none"/>
                <w:lang w:val="en-US" w:eastAsia="zh-CN"/>
              </w:rPr>
              <w:t>0</w:t>
            </w:r>
          </w:p>
        </w:tc>
        <w:tc>
          <w:tcPr>
            <w:tcW w:w="410" w:type="pct"/>
            <w:shd w:val="clear" w:color="auto" w:fill="auto"/>
            <w:noWrap w:val="0"/>
            <w:vAlign w:val="center"/>
          </w:tcPr>
          <w:p w14:paraId="05ECAEFE">
            <w:pPr>
              <w:pStyle w:val="40"/>
              <w:keepNext w:val="0"/>
              <w:keepLines w:val="0"/>
              <w:pageBreakBefore w:val="0"/>
              <w:widowControl w:val="0"/>
              <w:kinsoku/>
              <w:wordWrap/>
              <w:overflowPunct/>
              <w:topLinePunct w:val="0"/>
              <w:bidi w:val="0"/>
              <w:spacing w:beforeLines="0" w:afterLines="0" w:line="240" w:lineRule="auto"/>
              <w:ind w:right="0" w:rightChars="0"/>
              <w:jc w:val="center"/>
              <w:textAlignment w:val="auto"/>
              <w:rPr>
                <w:rFonts w:hint="default" w:ascii="Times New Roman" w:hAnsi="Times New Roman" w:eastAsia="宋体" w:cs="Times New Roman"/>
                <w:snapToGrid w:val="0"/>
                <w:color w:val="auto"/>
                <w:kern w:val="21"/>
                <w:sz w:val="18"/>
                <w:szCs w:val="18"/>
                <w:lang w:val="zh-CN" w:eastAsia="zh-CN" w:bidi="ar-SA"/>
              </w:rPr>
            </w:pPr>
            <w:r>
              <w:rPr>
                <w:rFonts w:hint="eastAsia" w:ascii="Times New Roman" w:cs="Times New Roman"/>
                <w:snapToGrid w:val="0"/>
                <w:color w:val="auto"/>
                <w:kern w:val="21"/>
                <w:sz w:val="18"/>
                <w:szCs w:val="18"/>
                <w:lang w:val="en-US" w:eastAsia="zh-CN" w:bidi="ar-SA"/>
              </w:rPr>
              <w:t>0.1118</w:t>
            </w:r>
          </w:p>
        </w:tc>
        <w:tc>
          <w:tcPr>
            <w:tcW w:w="414" w:type="pct"/>
            <w:noWrap w:val="0"/>
            <w:vAlign w:val="center"/>
          </w:tcPr>
          <w:p w14:paraId="00935CA1">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0.0</w:t>
            </w:r>
            <w:r>
              <w:rPr>
                <w:rFonts w:hint="default" w:ascii="Times New Roman" w:hAnsi="Times New Roman" w:eastAsia="宋体" w:cs="Times New Roman"/>
                <w:color w:val="auto"/>
                <w:kern w:val="2"/>
                <w:sz w:val="18"/>
                <w:szCs w:val="18"/>
                <w:lang w:val="en-US" w:eastAsia="zh-CN" w:bidi="ar-SA"/>
              </w:rPr>
              <w:t>11</w:t>
            </w:r>
            <w:r>
              <w:rPr>
                <w:rFonts w:hint="eastAsia" w:cs="Times New Roman"/>
                <w:color w:val="auto"/>
                <w:kern w:val="2"/>
                <w:sz w:val="18"/>
                <w:szCs w:val="18"/>
                <w:lang w:val="en-US" w:eastAsia="zh-CN" w:bidi="ar-SA"/>
              </w:rPr>
              <w:t>2</w:t>
            </w:r>
          </w:p>
        </w:tc>
      </w:tr>
      <w:tr w14:paraId="606C57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307" w:type="pct"/>
            <w:vMerge w:val="continue"/>
            <w:noWrap w:val="0"/>
            <w:vAlign w:val="center"/>
          </w:tcPr>
          <w:p w14:paraId="3CC2C41A">
            <w:pPr>
              <w:keepNext w:val="0"/>
              <w:keepLines w:val="0"/>
              <w:pageBreakBefore w:val="0"/>
              <w:tabs>
                <w:tab w:val="left" w:pos="5388"/>
              </w:tabs>
              <w:kinsoku/>
              <w:wordWrap/>
              <w:overflowPunct/>
              <w:topLinePunct w:val="0"/>
              <w:autoSpaceDE w:val="0"/>
              <w:autoSpaceDN w:val="0"/>
              <w:bidi w:val="0"/>
              <w:spacing w:line="240" w:lineRule="auto"/>
              <w:jc w:val="center"/>
              <w:textAlignment w:val="auto"/>
              <w:rPr>
                <w:rFonts w:hint="default" w:ascii="Times New Roman" w:hAnsi="Times New Roman" w:cs="Times New Roman"/>
                <w:color w:val="auto"/>
                <w:sz w:val="18"/>
                <w:szCs w:val="18"/>
                <w:highlight w:val="none"/>
              </w:rPr>
            </w:pPr>
          </w:p>
        </w:tc>
        <w:tc>
          <w:tcPr>
            <w:tcW w:w="512" w:type="pct"/>
            <w:noWrap w:val="0"/>
            <w:vAlign w:val="center"/>
          </w:tcPr>
          <w:p w14:paraId="752944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动植物油</w:t>
            </w:r>
          </w:p>
        </w:tc>
        <w:tc>
          <w:tcPr>
            <w:tcW w:w="633" w:type="pct"/>
            <w:shd w:val="clear" w:color="auto" w:fill="auto"/>
            <w:noWrap w:val="0"/>
            <w:vAlign w:val="center"/>
          </w:tcPr>
          <w:p w14:paraId="4284B240">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18"/>
                <w:szCs w:val="18"/>
                <w:lang w:val="en-US" w:eastAsia="zh-CN" w:bidi="ar-SA"/>
              </w:rPr>
            </w:pPr>
            <w:r>
              <w:rPr>
                <w:rFonts w:hint="eastAsia" w:cs="Times New Roman"/>
                <w:snapToGrid w:val="0"/>
                <w:color w:val="auto"/>
                <w:kern w:val="21"/>
                <w:sz w:val="18"/>
                <w:szCs w:val="18"/>
                <w:lang w:val="en-US" w:eastAsia="zh-CN" w:bidi="ar-SA"/>
              </w:rPr>
              <w:t>0.0350</w:t>
            </w:r>
          </w:p>
        </w:tc>
        <w:tc>
          <w:tcPr>
            <w:tcW w:w="583" w:type="pct"/>
            <w:noWrap w:val="0"/>
            <w:vAlign w:val="center"/>
          </w:tcPr>
          <w:p w14:paraId="7A7928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0</w:t>
            </w:r>
          </w:p>
        </w:tc>
        <w:tc>
          <w:tcPr>
            <w:tcW w:w="492" w:type="pct"/>
            <w:noWrap w:val="0"/>
            <w:vAlign w:val="center"/>
          </w:tcPr>
          <w:p w14:paraId="183476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0</w:t>
            </w:r>
          </w:p>
        </w:tc>
        <w:tc>
          <w:tcPr>
            <w:tcW w:w="494" w:type="pct"/>
            <w:noWrap w:val="0"/>
            <w:vAlign w:val="center"/>
          </w:tcPr>
          <w:p w14:paraId="1244E9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0</w:t>
            </w:r>
          </w:p>
        </w:tc>
        <w:tc>
          <w:tcPr>
            <w:tcW w:w="478" w:type="pct"/>
            <w:noWrap w:val="0"/>
            <w:vAlign w:val="center"/>
          </w:tcPr>
          <w:p w14:paraId="2C44CD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eastAsia="宋体" w:cs="Times New Roman"/>
                <w:color w:val="auto"/>
                <w:sz w:val="18"/>
                <w:szCs w:val="18"/>
                <w:highlight w:val="none"/>
                <w:lang w:val="en-US" w:eastAsia="zh-CN"/>
              </w:rPr>
              <w:t>0</w:t>
            </w:r>
          </w:p>
        </w:tc>
        <w:tc>
          <w:tcPr>
            <w:tcW w:w="336" w:type="pct"/>
            <w:shd w:val="clear" w:color="auto" w:fill="auto"/>
            <w:noWrap w:val="0"/>
            <w:vAlign w:val="center"/>
          </w:tcPr>
          <w:p w14:paraId="26E7C6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napToGrid w:val="0"/>
                <w:color w:val="auto"/>
                <w:kern w:val="21"/>
                <w:sz w:val="18"/>
                <w:szCs w:val="18"/>
                <w:lang w:val="zh-CN" w:eastAsia="zh-CN" w:bidi="ar-SA"/>
              </w:rPr>
            </w:pPr>
            <w:r>
              <w:rPr>
                <w:rFonts w:hint="eastAsia" w:eastAsia="宋体" w:cs="Times New Roman"/>
                <w:color w:val="auto"/>
                <w:sz w:val="18"/>
                <w:szCs w:val="18"/>
                <w:highlight w:val="none"/>
                <w:lang w:val="en-US" w:eastAsia="zh-CN"/>
              </w:rPr>
              <w:t>0</w:t>
            </w:r>
          </w:p>
        </w:tc>
        <w:tc>
          <w:tcPr>
            <w:tcW w:w="337" w:type="pct"/>
            <w:noWrap w:val="0"/>
            <w:vAlign w:val="center"/>
          </w:tcPr>
          <w:p w14:paraId="4BD866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zh-CN" w:eastAsia="zh-CN" w:bidi="ar-SA"/>
              </w:rPr>
            </w:pPr>
            <w:r>
              <w:rPr>
                <w:rFonts w:hint="eastAsia" w:eastAsia="宋体" w:cs="Times New Roman"/>
                <w:color w:val="auto"/>
                <w:sz w:val="18"/>
                <w:szCs w:val="18"/>
                <w:highlight w:val="none"/>
                <w:lang w:val="en-US" w:eastAsia="zh-CN"/>
              </w:rPr>
              <w:t>0</w:t>
            </w:r>
          </w:p>
        </w:tc>
        <w:tc>
          <w:tcPr>
            <w:tcW w:w="410" w:type="pct"/>
            <w:shd w:val="clear" w:color="auto" w:fill="auto"/>
            <w:noWrap w:val="0"/>
            <w:vAlign w:val="center"/>
          </w:tcPr>
          <w:p w14:paraId="5A605F46">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18"/>
                <w:szCs w:val="18"/>
                <w:lang w:val="en-US" w:eastAsia="zh-CN" w:bidi="ar-SA"/>
              </w:rPr>
            </w:pPr>
            <w:r>
              <w:rPr>
                <w:rFonts w:hint="eastAsia" w:cs="Times New Roman"/>
                <w:snapToGrid w:val="0"/>
                <w:color w:val="auto"/>
                <w:kern w:val="21"/>
                <w:sz w:val="18"/>
                <w:szCs w:val="18"/>
                <w:lang w:val="en-US" w:eastAsia="zh-CN" w:bidi="ar-SA"/>
              </w:rPr>
              <w:t>0.0350</w:t>
            </w:r>
          </w:p>
        </w:tc>
        <w:tc>
          <w:tcPr>
            <w:tcW w:w="414" w:type="pct"/>
            <w:noWrap w:val="0"/>
            <w:vAlign w:val="center"/>
          </w:tcPr>
          <w:p w14:paraId="2A458738">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w:t>
            </w:r>
            <w:r>
              <w:rPr>
                <w:rFonts w:hint="eastAsia" w:cs="Times New Roman"/>
                <w:color w:val="auto"/>
                <w:kern w:val="2"/>
                <w:sz w:val="18"/>
                <w:szCs w:val="18"/>
                <w:lang w:val="en-US" w:eastAsia="zh-CN" w:bidi="ar-SA"/>
              </w:rPr>
              <w:t>0</w:t>
            </w:r>
            <w:r>
              <w:rPr>
                <w:rFonts w:hint="default" w:ascii="Times New Roman" w:hAnsi="Times New Roman" w:eastAsia="宋体" w:cs="Times New Roman"/>
                <w:color w:val="auto"/>
                <w:kern w:val="2"/>
                <w:sz w:val="18"/>
                <w:szCs w:val="18"/>
                <w:lang w:val="en-US" w:eastAsia="zh-CN" w:bidi="ar-SA"/>
              </w:rPr>
              <w:t>22</w:t>
            </w:r>
            <w:r>
              <w:rPr>
                <w:rFonts w:hint="eastAsia" w:cs="Times New Roman"/>
                <w:color w:val="auto"/>
                <w:kern w:val="2"/>
                <w:sz w:val="18"/>
                <w:szCs w:val="18"/>
                <w:lang w:val="en-US" w:eastAsia="zh-CN" w:bidi="ar-SA"/>
              </w:rPr>
              <w:t>4</w:t>
            </w:r>
          </w:p>
        </w:tc>
      </w:tr>
      <w:tr w14:paraId="7AAA08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07" w:type="pct"/>
            <w:vMerge w:val="restart"/>
            <w:noWrap w:val="0"/>
            <w:vAlign w:val="center"/>
          </w:tcPr>
          <w:p w14:paraId="6D32CFC9">
            <w:pPr>
              <w:keepNext w:val="0"/>
              <w:keepLines w:val="0"/>
              <w:pageBreakBefore w:val="0"/>
              <w:tabs>
                <w:tab w:val="left" w:pos="5388"/>
              </w:tabs>
              <w:kinsoku/>
              <w:wordWrap/>
              <w:overflowPunct/>
              <w:topLinePunct w:val="0"/>
              <w:autoSpaceDE w:val="0"/>
              <w:autoSpaceDN w:val="0"/>
              <w:bidi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固废</w:t>
            </w:r>
          </w:p>
        </w:tc>
        <w:tc>
          <w:tcPr>
            <w:tcW w:w="512" w:type="pct"/>
            <w:noWrap w:val="0"/>
            <w:vAlign w:val="center"/>
          </w:tcPr>
          <w:p w14:paraId="105C2A05">
            <w:pPr>
              <w:pStyle w:val="52"/>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危险废物</w:t>
            </w:r>
          </w:p>
        </w:tc>
        <w:tc>
          <w:tcPr>
            <w:tcW w:w="633" w:type="pct"/>
            <w:noWrap w:val="0"/>
            <w:vAlign w:val="center"/>
          </w:tcPr>
          <w:p w14:paraId="57C500E8">
            <w:pPr>
              <w:pStyle w:val="52"/>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0</w:t>
            </w:r>
          </w:p>
        </w:tc>
        <w:tc>
          <w:tcPr>
            <w:tcW w:w="583" w:type="pct"/>
            <w:noWrap w:val="0"/>
            <w:vAlign w:val="center"/>
          </w:tcPr>
          <w:p w14:paraId="6E60C04C">
            <w:pPr>
              <w:pStyle w:val="52"/>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kern w:val="18"/>
                <w:sz w:val="18"/>
                <w:szCs w:val="18"/>
                <w:highlight w:val="none"/>
                <w:lang w:val="en-US" w:eastAsia="zh-CN" w:bidi="ar-SA"/>
              </w:rPr>
              <w:t>36.9041‬‬‬</w:t>
            </w:r>
          </w:p>
        </w:tc>
        <w:tc>
          <w:tcPr>
            <w:tcW w:w="492" w:type="pct"/>
            <w:noWrap w:val="0"/>
            <w:vAlign w:val="center"/>
          </w:tcPr>
          <w:p w14:paraId="52F99E71">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36.9041‬‬‬</w:t>
            </w:r>
          </w:p>
        </w:tc>
        <w:tc>
          <w:tcPr>
            <w:tcW w:w="494" w:type="pct"/>
            <w:noWrap w:val="0"/>
            <w:vAlign w:val="center"/>
          </w:tcPr>
          <w:p w14:paraId="005BACCC">
            <w:pPr>
              <w:pStyle w:val="52"/>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0</w:t>
            </w:r>
          </w:p>
        </w:tc>
        <w:tc>
          <w:tcPr>
            <w:tcW w:w="478" w:type="pct"/>
            <w:noWrap w:val="0"/>
            <w:vAlign w:val="center"/>
          </w:tcPr>
          <w:p w14:paraId="3673CFAE">
            <w:pPr>
              <w:keepNext w:val="0"/>
              <w:keepLines w:val="0"/>
              <w:pageBreakBefore w:val="0"/>
              <w:kinsoku/>
              <w:wordWrap/>
              <w:overflowPunct/>
              <w:topLinePunct w:val="0"/>
              <w:bidi w:val="0"/>
              <w:spacing w:line="240" w:lineRule="auto"/>
              <w:ind w:left="0" w:leftChars="0" w:right="0" w:rightChars="0"/>
              <w:jc w:val="center"/>
              <w:textAlignment w:val="auto"/>
              <w:rPr>
                <w:rFonts w:hint="default" w:cs="Times New Roman"/>
                <w:color w:val="auto"/>
                <w:kern w:val="18"/>
                <w:sz w:val="18"/>
                <w:szCs w:val="18"/>
                <w:highlight w:val="none"/>
                <w:lang w:val="en-US" w:eastAsia="zh-CN" w:bidi="zh-CN"/>
              </w:rPr>
            </w:pPr>
            <w:r>
              <w:rPr>
                <w:rFonts w:hint="eastAsia" w:cs="Times New Roman"/>
                <w:color w:val="auto"/>
                <w:sz w:val="18"/>
                <w:szCs w:val="18"/>
                <w:highlight w:val="none"/>
                <w:lang w:val="en-US" w:eastAsia="zh-CN"/>
              </w:rPr>
              <w:t>0</w:t>
            </w:r>
          </w:p>
        </w:tc>
        <w:tc>
          <w:tcPr>
            <w:tcW w:w="673" w:type="pct"/>
            <w:gridSpan w:val="2"/>
            <w:noWrap w:val="0"/>
            <w:vAlign w:val="center"/>
          </w:tcPr>
          <w:p w14:paraId="74FDD022">
            <w:pPr>
              <w:keepNext w:val="0"/>
              <w:keepLines w:val="0"/>
              <w:pageBreakBefore w:val="0"/>
              <w:kinsoku/>
              <w:wordWrap/>
              <w:overflowPunct/>
              <w:topLinePunct w:val="0"/>
              <w:bidi w:val="0"/>
              <w:spacing w:line="240" w:lineRule="auto"/>
              <w:ind w:left="0" w:leftChars="0" w:right="0" w:rightChars="0"/>
              <w:jc w:val="center"/>
              <w:textAlignment w:val="auto"/>
              <w:rPr>
                <w:rFonts w:hint="default" w:cs="Times New Roman"/>
                <w:color w:val="auto"/>
                <w:kern w:val="18"/>
                <w:sz w:val="18"/>
                <w:szCs w:val="18"/>
                <w:highlight w:val="none"/>
                <w:lang w:val="en-US" w:eastAsia="zh-CN" w:bidi="zh-CN"/>
              </w:rPr>
            </w:pPr>
            <w:r>
              <w:rPr>
                <w:rFonts w:hint="eastAsia" w:cs="Times New Roman"/>
                <w:color w:val="auto"/>
                <w:sz w:val="18"/>
                <w:szCs w:val="18"/>
                <w:highlight w:val="none"/>
                <w:lang w:val="en-US" w:eastAsia="zh-CN"/>
              </w:rPr>
              <w:t>0</w:t>
            </w:r>
          </w:p>
        </w:tc>
        <w:tc>
          <w:tcPr>
            <w:tcW w:w="825" w:type="pct"/>
            <w:gridSpan w:val="2"/>
            <w:noWrap w:val="0"/>
            <w:vAlign w:val="center"/>
          </w:tcPr>
          <w:p w14:paraId="00610238">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18"/>
                <w:sz w:val="18"/>
                <w:szCs w:val="18"/>
                <w:highlight w:val="none"/>
                <w:lang w:val="en-US" w:eastAsia="zh-CN" w:bidi="zh-CN"/>
              </w:rPr>
            </w:pPr>
            <w:r>
              <w:rPr>
                <w:rFonts w:hint="eastAsia" w:cs="Times New Roman"/>
                <w:color w:val="auto"/>
                <w:sz w:val="18"/>
                <w:szCs w:val="18"/>
                <w:highlight w:val="none"/>
                <w:lang w:val="en-US" w:eastAsia="zh-CN"/>
              </w:rPr>
              <w:t>0</w:t>
            </w:r>
          </w:p>
        </w:tc>
      </w:tr>
      <w:tr w14:paraId="5DC289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7" w:type="pct"/>
            <w:vMerge w:val="continue"/>
            <w:noWrap w:val="0"/>
            <w:vAlign w:val="center"/>
          </w:tcPr>
          <w:p w14:paraId="22FAEE7A">
            <w:pPr>
              <w:keepNext w:val="0"/>
              <w:keepLines w:val="0"/>
              <w:pageBreakBefore w:val="0"/>
              <w:tabs>
                <w:tab w:val="left" w:pos="5388"/>
              </w:tabs>
              <w:kinsoku/>
              <w:wordWrap/>
              <w:overflowPunct/>
              <w:topLinePunct w:val="0"/>
              <w:autoSpaceDE w:val="0"/>
              <w:autoSpaceDN w:val="0"/>
              <w:bidi w:val="0"/>
              <w:spacing w:line="240" w:lineRule="auto"/>
              <w:jc w:val="center"/>
              <w:textAlignment w:val="auto"/>
              <w:rPr>
                <w:rFonts w:hint="default" w:ascii="Times New Roman" w:hAnsi="Times New Roman" w:cs="Times New Roman"/>
                <w:color w:val="auto"/>
                <w:sz w:val="18"/>
                <w:szCs w:val="18"/>
                <w:highlight w:val="none"/>
              </w:rPr>
            </w:pPr>
          </w:p>
        </w:tc>
        <w:tc>
          <w:tcPr>
            <w:tcW w:w="512" w:type="pct"/>
            <w:noWrap w:val="0"/>
            <w:vAlign w:val="center"/>
          </w:tcPr>
          <w:p w14:paraId="50913D5D">
            <w:pPr>
              <w:pStyle w:val="52"/>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bCs/>
                <w:color w:val="auto"/>
                <w:kern w:val="2"/>
                <w:sz w:val="18"/>
                <w:szCs w:val="18"/>
                <w:highlight w:val="none"/>
              </w:rPr>
              <w:t>一般固废</w:t>
            </w:r>
          </w:p>
        </w:tc>
        <w:tc>
          <w:tcPr>
            <w:tcW w:w="633" w:type="pct"/>
            <w:noWrap w:val="0"/>
            <w:vAlign w:val="center"/>
          </w:tcPr>
          <w:p w14:paraId="49E71226">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0</w:t>
            </w:r>
          </w:p>
        </w:tc>
        <w:tc>
          <w:tcPr>
            <w:tcW w:w="583" w:type="pct"/>
            <w:noWrap w:val="0"/>
            <w:vAlign w:val="center"/>
          </w:tcPr>
          <w:p w14:paraId="77CAC2EE">
            <w:pPr>
              <w:pStyle w:val="52"/>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4.7976</w:t>
            </w:r>
          </w:p>
        </w:tc>
        <w:tc>
          <w:tcPr>
            <w:tcW w:w="492" w:type="pct"/>
            <w:noWrap w:val="0"/>
            <w:vAlign w:val="center"/>
          </w:tcPr>
          <w:p w14:paraId="60212E2B">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4.7976</w:t>
            </w:r>
          </w:p>
        </w:tc>
        <w:tc>
          <w:tcPr>
            <w:tcW w:w="494" w:type="pct"/>
            <w:noWrap w:val="0"/>
            <w:vAlign w:val="center"/>
          </w:tcPr>
          <w:p w14:paraId="30160DC9">
            <w:pPr>
              <w:pStyle w:val="52"/>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0</w:t>
            </w:r>
          </w:p>
        </w:tc>
        <w:tc>
          <w:tcPr>
            <w:tcW w:w="478" w:type="pct"/>
            <w:noWrap w:val="0"/>
            <w:vAlign w:val="center"/>
          </w:tcPr>
          <w:p w14:paraId="73F3BC14">
            <w:pPr>
              <w:keepNext w:val="0"/>
              <w:keepLines w:val="0"/>
              <w:pageBreakBefore w:val="0"/>
              <w:kinsoku/>
              <w:wordWrap/>
              <w:overflowPunct/>
              <w:topLinePunct w:val="0"/>
              <w:bidi w:val="0"/>
              <w:spacing w:line="240" w:lineRule="auto"/>
              <w:ind w:left="0" w:leftChars="0" w:right="0" w:rightChars="0"/>
              <w:jc w:val="center"/>
              <w:textAlignment w:val="auto"/>
              <w:rPr>
                <w:rFonts w:hint="default" w:cs="Times New Roman"/>
                <w:color w:val="auto"/>
                <w:kern w:val="18"/>
                <w:sz w:val="18"/>
                <w:szCs w:val="18"/>
                <w:highlight w:val="none"/>
                <w:lang w:val="en-US" w:eastAsia="zh-CN" w:bidi="zh-CN"/>
              </w:rPr>
            </w:pPr>
            <w:r>
              <w:rPr>
                <w:rFonts w:hint="eastAsia" w:cs="Times New Roman"/>
                <w:color w:val="auto"/>
                <w:sz w:val="18"/>
                <w:szCs w:val="18"/>
                <w:highlight w:val="none"/>
                <w:lang w:val="en-US" w:eastAsia="zh-CN"/>
              </w:rPr>
              <w:t>0</w:t>
            </w:r>
          </w:p>
        </w:tc>
        <w:tc>
          <w:tcPr>
            <w:tcW w:w="673" w:type="pct"/>
            <w:gridSpan w:val="2"/>
            <w:noWrap w:val="0"/>
            <w:vAlign w:val="center"/>
          </w:tcPr>
          <w:p w14:paraId="15575B48">
            <w:pPr>
              <w:keepNext w:val="0"/>
              <w:keepLines w:val="0"/>
              <w:pageBreakBefore w:val="0"/>
              <w:kinsoku/>
              <w:wordWrap/>
              <w:overflowPunct/>
              <w:topLinePunct w:val="0"/>
              <w:bidi w:val="0"/>
              <w:spacing w:line="240" w:lineRule="auto"/>
              <w:jc w:val="center"/>
              <w:textAlignment w:val="auto"/>
              <w:rPr>
                <w:rFonts w:hint="eastAsia"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0</w:t>
            </w:r>
          </w:p>
        </w:tc>
        <w:tc>
          <w:tcPr>
            <w:tcW w:w="825" w:type="pct"/>
            <w:gridSpan w:val="2"/>
            <w:noWrap w:val="0"/>
            <w:vAlign w:val="center"/>
          </w:tcPr>
          <w:p w14:paraId="0BBAF84A">
            <w:pPr>
              <w:keepNext w:val="0"/>
              <w:keepLines w:val="0"/>
              <w:pageBreakBefore w:val="0"/>
              <w:kinsoku/>
              <w:wordWrap/>
              <w:overflowPunct/>
              <w:topLinePunct w:val="0"/>
              <w:bidi w:val="0"/>
              <w:spacing w:line="240" w:lineRule="auto"/>
              <w:ind w:left="0" w:leftChars="0" w:right="0" w:rightChars="0"/>
              <w:jc w:val="center"/>
              <w:textAlignment w:val="auto"/>
              <w:rPr>
                <w:rFonts w:hint="default" w:ascii="Times New Roman" w:hAnsi="Times New Roman" w:eastAsia="宋体" w:cs="Times New Roman"/>
                <w:color w:val="auto"/>
                <w:kern w:val="18"/>
                <w:sz w:val="18"/>
                <w:szCs w:val="18"/>
                <w:highlight w:val="none"/>
                <w:lang w:val="en-US" w:eastAsia="zh-CN" w:bidi="zh-CN"/>
              </w:rPr>
            </w:pPr>
            <w:r>
              <w:rPr>
                <w:rFonts w:hint="eastAsia" w:cs="Times New Roman"/>
                <w:color w:val="auto"/>
                <w:sz w:val="18"/>
                <w:szCs w:val="18"/>
                <w:highlight w:val="none"/>
                <w:lang w:val="en-US" w:eastAsia="zh-CN"/>
              </w:rPr>
              <w:t>0</w:t>
            </w:r>
          </w:p>
        </w:tc>
      </w:tr>
      <w:tr w14:paraId="002F31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307" w:type="pct"/>
            <w:vMerge w:val="continue"/>
            <w:noWrap w:val="0"/>
            <w:vAlign w:val="center"/>
          </w:tcPr>
          <w:p w14:paraId="4ABD1100">
            <w:pPr>
              <w:keepNext w:val="0"/>
              <w:keepLines w:val="0"/>
              <w:pageBreakBefore w:val="0"/>
              <w:tabs>
                <w:tab w:val="left" w:pos="5388"/>
              </w:tabs>
              <w:kinsoku/>
              <w:wordWrap/>
              <w:overflowPunct/>
              <w:topLinePunct w:val="0"/>
              <w:autoSpaceDE w:val="0"/>
              <w:autoSpaceDN w:val="0"/>
              <w:bidi w:val="0"/>
              <w:spacing w:line="240" w:lineRule="auto"/>
              <w:jc w:val="center"/>
              <w:textAlignment w:val="auto"/>
              <w:rPr>
                <w:rFonts w:hint="default" w:ascii="Times New Roman" w:hAnsi="Times New Roman" w:cs="Times New Roman"/>
                <w:color w:val="auto"/>
                <w:sz w:val="18"/>
                <w:szCs w:val="18"/>
                <w:highlight w:val="none"/>
              </w:rPr>
            </w:pPr>
          </w:p>
        </w:tc>
        <w:tc>
          <w:tcPr>
            <w:tcW w:w="512" w:type="pct"/>
            <w:noWrap w:val="0"/>
            <w:vAlign w:val="center"/>
          </w:tcPr>
          <w:p w14:paraId="226C0A21">
            <w:pPr>
              <w:pStyle w:val="52"/>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bCs/>
                <w:color w:val="auto"/>
                <w:kern w:val="2"/>
                <w:sz w:val="18"/>
                <w:szCs w:val="18"/>
                <w:highlight w:val="none"/>
              </w:rPr>
            </w:pPr>
            <w:r>
              <w:rPr>
                <w:rFonts w:hint="default" w:ascii="Times New Roman" w:hAnsi="Times New Roman" w:cs="Times New Roman"/>
                <w:bCs/>
                <w:color w:val="auto"/>
                <w:kern w:val="2"/>
                <w:sz w:val="18"/>
                <w:szCs w:val="18"/>
                <w:highlight w:val="none"/>
              </w:rPr>
              <w:t>生活垃圾</w:t>
            </w:r>
          </w:p>
        </w:tc>
        <w:tc>
          <w:tcPr>
            <w:tcW w:w="633" w:type="pct"/>
            <w:noWrap w:val="0"/>
            <w:vAlign w:val="center"/>
          </w:tcPr>
          <w:p w14:paraId="16E0C923">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eastAsia="宋体" w:cs="Times New Roman"/>
                <w:color w:val="auto"/>
                <w:sz w:val="18"/>
                <w:szCs w:val="18"/>
                <w:highlight w:val="none"/>
                <w:lang w:val="en-US" w:eastAsia="zh-CN"/>
              </w:rPr>
              <w:t>0</w:t>
            </w:r>
          </w:p>
        </w:tc>
        <w:tc>
          <w:tcPr>
            <w:tcW w:w="583" w:type="pct"/>
            <w:noWrap w:val="0"/>
            <w:vAlign w:val="center"/>
          </w:tcPr>
          <w:p w14:paraId="161E7222">
            <w:pPr>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w:t>
            </w:r>
          </w:p>
        </w:tc>
        <w:tc>
          <w:tcPr>
            <w:tcW w:w="492" w:type="pct"/>
            <w:noWrap w:val="0"/>
            <w:vAlign w:val="center"/>
          </w:tcPr>
          <w:p w14:paraId="5E1414CD">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kern w:val="2"/>
                <w:sz w:val="18"/>
                <w:szCs w:val="18"/>
                <w:highlight w:val="none"/>
                <w:lang w:val="en-US" w:eastAsia="zh-CN" w:bidi="ar-SA"/>
              </w:rPr>
              <w:t>0</w:t>
            </w:r>
          </w:p>
        </w:tc>
        <w:tc>
          <w:tcPr>
            <w:tcW w:w="494" w:type="pct"/>
            <w:noWrap w:val="0"/>
            <w:vAlign w:val="center"/>
          </w:tcPr>
          <w:p w14:paraId="0DFC0642">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auto"/>
                <w:sz w:val="18"/>
                <w:szCs w:val="18"/>
                <w:highlight w:val="none"/>
                <w:lang w:val="en-US" w:eastAsia="zh-CN"/>
              </w:rPr>
            </w:pPr>
            <w:r>
              <w:rPr>
                <w:rFonts w:hint="eastAsia" w:cs="Times New Roman"/>
                <w:color w:val="auto"/>
                <w:kern w:val="2"/>
                <w:sz w:val="18"/>
                <w:szCs w:val="18"/>
                <w:highlight w:val="none"/>
                <w:lang w:val="en-US" w:eastAsia="zh-CN" w:bidi="ar-SA"/>
              </w:rPr>
              <w:t>0</w:t>
            </w:r>
          </w:p>
        </w:tc>
        <w:tc>
          <w:tcPr>
            <w:tcW w:w="478" w:type="pct"/>
            <w:noWrap w:val="0"/>
            <w:vAlign w:val="center"/>
          </w:tcPr>
          <w:p w14:paraId="40EECF31">
            <w:pPr>
              <w:keepNext w:val="0"/>
              <w:keepLines w:val="0"/>
              <w:pageBreakBefore w:val="0"/>
              <w:kinsoku/>
              <w:wordWrap/>
              <w:overflowPunct/>
              <w:topLinePunct w:val="0"/>
              <w:autoSpaceDE w:val="0"/>
              <w:autoSpaceDN w:val="0"/>
              <w:bidi w:val="0"/>
              <w:spacing w:line="240" w:lineRule="auto"/>
              <w:jc w:val="center"/>
              <w:textAlignment w:val="auto"/>
              <w:rPr>
                <w:rFonts w:hint="default" w:cs="Times New Roman"/>
                <w:color w:val="auto"/>
                <w:sz w:val="18"/>
                <w:szCs w:val="18"/>
                <w:highlight w:val="none"/>
                <w:lang w:val="en-US" w:eastAsia="zh-CN"/>
              </w:rPr>
            </w:pPr>
            <w:r>
              <w:rPr>
                <w:rFonts w:hint="eastAsia" w:cs="Times New Roman"/>
                <w:color w:val="auto"/>
                <w:kern w:val="2"/>
                <w:sz w:val="18"/>
                <w:szCs w:val="18"/>
                <w:highlight w:val="none"/>
                <w:lang w:val="en-US" w:eastAsia="zh-CN" w:bidi="ar-SA"/>
              </w:rPr>
              <w:t>0</w:t>
            </w:r>
          </w:p>
        </w:tc>
        <w:tc>
          <w:tcPr>
            <w:tcW w:w="673" w:type="pct"/>
            <w:gridSpan w:val="2"/>
            <w:noWrap w:val="0"/>
            <w:vAlign w:val="center"/>
          </w:tcPr>
          <w:p w14:paraId="2B0A1A61">
            <w:pPr>
              <w:keepNext w:val="0"/>
              <w:keepLines w:val="0"/>
              <w:pageBreakBefore w:val="0"/>
              <w:kinsoku/>
              <w:wordWrap/>
              <w:overflowPunct/>
              <w:topLinePunct w:val="0"/>
              <w:bidi w:val="0"/>
              <w:spacing w:line="240" w:lineRule="auto"/>
              <w:jc w:val="center"/>
              <w:textAlignment w:val="auto"/>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w:t>
            </w:r>
          </w:p>
        </w:tc>
        <w:tc>
          <w:tcPr>
            <w:tcW w:w="825" w:type="pct"/>
            <w:gridSpan w:val="2"/>
            <w:noWrap w:val="0"/>
            <w:vAlign w:val="center"/>
          </w:tcPr>
          <w:p w14:paraId="57D0BA0E">
            <w:pPr>
              <w:keepNext w:val="0"/>
              <w:keepLines w:val="0"/>
              <w:pageBreakBefore w:val="0"/>
              <w:kinsoku/>
              <w:wordWrap/>
              <w:overflowPunct/>
              <w:topLinePunct w:val="0"/>
              <w:autoSpaceDE w:val="0"/>
              <w:autoSpaceDN w:val="0"/>
              <w:bidi w:val="0"/>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eastAsia" w:cs="Times New Roman"/>
                <w:color w:val="auto"/>
                <w:kern w:val="2"/>
                <w:sz w:val="18"/>
                <w:szCs w:val="18"/>
                <w:highlight w:val="none"/>
                <w:lang w:val="en-US" w:eastAsia="zh-CN" w:bidi="ar-SA"/>
              </w:rPr>
              <w:t>0</w:t>
            </w:r>
          </w:p>
        </w:tc>
      </w:tr>
    </w:tbl>
    <w:p w14:paraId="4E941CF1">
      <w:pPr>
        <w:pStyle w:val="18"/>
        <w:jc w:val="center"/>
        <w:outlineLvl w:val="0"/>
        <w:rPr>
          <w:rFonts w:ascii="黑体" w:hAnsi="黑体" w:eastAsia="黑体"/>
          <w:snapToGrid w:val="0"/>
          <w:color w:val="auto"/>
          <w:sz w:val="36"/>
          <w:szCs w:val="36"/>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3"/>
        <w:gridCol w:w="8367"/>
      </w:tblGrid>
      <w:tr w14:paraId="79C8CB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623" w:type="dxa"/>
            <w:noWrap w:val="0"/>
            <w:vAlign w:val="center"/>
          </w:tcPr>
          <w:p w14:paraId="64C57AA0">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总量</w:t>
            </w:r>
          </w:p>
          <w:p w14:paraId="32E258A0">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控制</w:t>
            </w:r>
          </w:p>
          <w:p w14:paraId="37C9B4D3">
            <w:pPr>
              <w:adjustRightInd w:val="0"/>
              <w:snapToGrid w:val="0"/>
              <w:jc w:val="center"/>
              <w:rPr>
                <w:rFonts w:ascii="宋体" w:hAnsi="宋体" w:cs="宋体"/>
                <w:color w:val="auto"/>
                <w:kern w:val="0"/>
                <w:szCs w:val="21"/>
              </w:rPr>
            </w:pPr>
            <w:r>
              <w:rPr>
                <w:rFonts w:hint="eastAsia" w:ascii="宋体" w:hAnsi="宋体" w:cs="宋体"/>
                <w:color w:val="auto"/>
                <w:kern w:val="0"/>
                <w:szCs w:val="21"/>
              </w:rPr>
              <w:t>指标</w:t>
            </w:r>
          </w:p>
        </w:tc>
        <w:tc>
          <w:tcPr>
            <w:tcW w:w="8367" w:type="dxa"/>
            <w:noWrap w:val="0"/>
            <w:vAlign w:val="center"/>
          </w:tcPr>
          <w:p w14:paraId="2B59CB9D">
            <w:pPr>
              <w:autoSpaceDE w:val="0"/>
              <w:autoSpaceDN w:val="0"/>
              <w:adjustRightInd w:val="0"/>
              <w:spacing w:line="240" w:lineRule="auto"/>
              <w:jc w:val="center"/>
              <w:rPr>
                <w:rFonts w:hint="default" w:ascii="Times New Roman" w:hAnsi="Times New Roman" w:eastAsia="宋体" w:cs="Times New Roman"/>
                <w:b/>
                <w:bCs/>
                <w:color w:val="auto"/>
                <w:kern w:val="0"/>
                <w:sz w:val="21"/>
                <w:szCs w:val="21"/>
                <w:highlight w:val="none"/>
                <w:lang w:val="en-US" w:eastAsia="zh-CN"/>
              </w:rPr>
            </w:pPr>
            <w:r>
              <w:rPr>
                <w:rFonts w:hint="eastAsia" w:cs="Times New Roman"/>
                <w:b/>
                <w:bCs/>
                <w:color w:val="auto"/>
                <w:kern w:val="0"/>
                <w:sz w:val="21"/>
                <w:szCs w:val="21"/>
                <w:highlight w:val="none"/>
                <w:lang w:val="en-US" w:eastAsia="zh-CN"/>
              </w:rPr>
              <w:t>表3-7  技改后全厂总量指标汇总表（预报单）</w:t>
            </w:r>
          </w:p>
          <w:tbl>
            <w:tblPr>
              <w:tblStyle w:val="20"/>
              <w:tblW w:w="81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74"/>
              <w:gridCol w:w="1346"/>
              <w:gridCol w:w="1015"/>
              <w:gridCol w:w="1421"/>
              <w:gridCol w:w="1380"/>
            </w:tblGrid>
            <w:tr w14:paraId="4F58EA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6" w:hRule="exact"/>
                <w:jc w:val="center"/>
              </w:trPr>
              <w:tc>
                <w:tcPr>
                  <w:tcW w:w="2974" w:type="dxa"/>
                  <w:tcBorders>
                    <w:tl2br w:val="nil"/>
                    <w:tr2bl w:val="nil"/>
                  </w:tcBorders>
                  <w:vAlign w:val="center"/>
                </w:tcPr>
                <w:p w14:paraId="092FF36C">
                  <w:pPr>
                    <w:adjustRightInd w:val="0"/>
                    <w:spacing w:line="240" w:lineRule="auto"/>
                    <w:ind w:right="55" w:firstLine="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水污染物（单位：吨/年）</w:t>
                  </w:r>
                </w:p>
                <w:p w14:paraId="4CC4D7DE">
                  <w:pPr>
                    <w:adjustRightInd w:val="0"/>
                    <w:spacing w:line="240" w:lineRule="auto"/>
                    <w:ind w:right="55" w:firstLine="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（外排量）</w:t>
                  </w:r>
                </w:p>
              </w:tc>
              <w:tc>
                <w:tcPr>
                  <w:tcW w:w="1346" w:type="dxa"/>
                  <w:tcBorders>
                    <w:tl2br w:val="nil"/>
                    <w:tr2bl w:val="nil"/>
                  </w:tcBorders>
                  <w:vAlign w:val="center"/>
                </w:tcPr>
                <w:p w14:paraId="13E23319">
                  <w:pPr>
                    <w:adjustRightInd w:val="0"/>
                    <w:spacing w:line="240" w:lineRule="auto"/>
                    <w:ind w:right="55" w:firstLine="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COD</w:t>
                  </w:r>
                </w:p>
              </w:tc>
              <w:tc>
                <w:tcPr>
                  <w:tcW w:w="1015" w:type="dxa"/>
                  <w:tcBorders>
                    <w:tl2br w:val="nil"/>
                    <w:tr2bl w:val="nil"/>
                  </w:tcBorders>
                  <w:vAlign w:val="center"/>
                </w:tcPr>
                <w:p w14:paraId="7BC9A952">
                  <w:pPr>
                    <w:adjustRightInd w:val="0"/>
                    <w:spacing w:line="240" w:lineRule="auto"/>
                    <w:ind w:right="55" w:firstLine="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NH</w:t>
                  </w:r>
                  <w:r>
                    <w:rPr>
                      <w:rFonts w:hint="default" w:ascii="Times New Roman" w:hAnsi="Times New Roman" w:eastAsia="宋体" w:cs="Times New Roman"/>
                      <w:b/>
                      <w:bCs/>
                      <w:color w:val="auto"/>
                      <w:sz w:val="18"/>
                      <w:szCs w:val="18"/>
                      <w:vertAlign w:val="subscript"/>
                    </w:rPr>
                    <w:t>3</w:t>
                  </w:r>
                  <w:r>
                    <w:rPr>
                      <w:rFonts w:hint="default" w:ascii="Times New Roman" w:hAnsi="Times New Roman" w:eastAsia="宋体" w:cs="Times New Roman"/>
                      <w:b/>
                      <w:bCs/>
                      <w:color w:val="auto"/>
                      <w:sz w:val="18"/>
                      <w:szCs w:val="18"/>
                    </w:rPr>
                    <w:t>-N</w:t>
                  </w:r>
                </w:p>
              </w:tc>
              <w:tc>
                <w:tcPr>
                  <w:tcW w:w="1421" w:type="dxa"/>
                  <w:tcBorders>
                    <w:tl2br w:val="nil"/>
                    <w:tr2bl w:val="nil"/>
                  </w:tcBorders>
                  <w:vAlign w:val="center"/>
                </w:tcPr>
                <w:p w14:paraId="78F23D5D">
                  <w:pPr>
                    <w:adjustRightInd w:val="0"/>
                    <w:spacing w:line="240" w:lineRule="auto"/>
                    <w:ind w:right="55" w:firstLine="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TN</w:t>
                  </w:r>
                </w:p>
              </w:tc>
              <w:tc>
                <w:tcPr>
                  <w:tcW w:w="1380" w:type="dxa"/>
                  <w:tcBorders>
                    <w:tl2br w:val="nil"/>
                    <w:tr2bl w:val="nil"/>
                  </w:tcBorders>
                  <w:vAlign w:val="center"/>
                </w:tcPr>
                <w:p w14:paraId="30F9D884">
                  <w:pPr>
                    <w:adjustRightInd w:val="0"/>
                    <w:spacing w:line="240" w:lineRule="auto"/>
                    <w:ind w:right="55" w:firstLine="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TP</w:t>
                  </w:r>
                </w:p>
              </w:tc>
            </w:tr>
            <w:tr w14:paraId="67C7E9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974" w:type="dxa"/>
                  <w:tcBorders>
                    <w:tl2br w:val="nil"/>
                    <w:tr2bl w:val="nil"/>
                  </w:tcBorders>
                  <w:vAlign w:val="center"/>
                </w:tcPr>
                <w:p w14:paraId="45EC4B08">
                  <w:pPr>
                    <w:adjustRightInd w:val="0"/>
                    <w:spacing w:line="240" w:lineRule="auto"/>
                    <w:ind w:right="55"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已建项目批复总量</w:t>
                  </w:r>
                </w:p>
              </w:tc>
              <w:tc>
                <w:tcPr>
                  <w:tcW w:w="1346" w:type="dxa"/>
                  <w:tcBorders>
                    <w:tl2br w:val="nil"/>
                    <w:tr2bl w:val="nil"/>
                  </w:tcBorders>
                  <w:vAlign w:val="center"/>
                </w:tcPr>
                <w:p w14:paraId="761422E3">
                  <w:pPr>
                    <w:adjustRightInd w:val="0"/>
                    <w:spacing w:line="240" w:lineRule="auto"/>
                    <w:ind w:right="55" w:rightChars="0" w:firstLine="0" w:firstLineChars="0"/>
                    <w:jc w:val="center"/>
                    <w:rPr>
                      <w:rFonts w:hint="default" w:ascii="Times New Roman" w:hAnsi="Times New Roman" w:eastAsia="宋体" w:cs="Times New Roman"/>
                      <w:color w:val="auto"/>
                      <w:sz w:val="18"/>
                      <w:szCs w:val="18"/>
                      <w:lang w:val="en-US" w:eastAsia="zh-CN" w:bidi="ar-SA"/>
                    </w:rPr>
                  </w:pPr>
                  <w:r>
                    <w:rPr>
                      <w:rFonts w:hint="eastAsia" w:cs="Times New Roman"/>
                      <w:color w:val="auto"/>
                      <w:sz w:val="18"/>
                      <w:szCs w:val="18"/>
                      <w:lang w:val="en-US" w:eastAsia="zh-CN" w:bidi="ar-SA"/>
                    </w:rPr>
                    <w:t>0</w:t>
                  </w:r>
                </w:p>
              </w:tc>
              <w:tc>
                <w:tcPr>
                  <w:tcW w:w="1015" w:type="dxa"/>
                  <w:tcBorders>
                    <w:tl2br w:val="nil"/>
                    <w:tr2bl w:val="nil"/>
                  </w:tcBorders>
                  <w:vAlign w:val="center"/>
                </w:tcPr>
                <w:p w14:paraId="3133453E">
                  <w:pPr>
                    <w:adjustRightInd w:val="0"/>
                    <w:spacing w:line="240" w:lineRule="auto"/>
                    <w:ind w:right="55" w:rightChars="0" w:firstLine="0" w:firstLineChars="0"/>
                    <w:jc w:val="center"/>
                    <w:rPr>
                      <w:rFonts w:hint="default" w:ascii="Times New Roman" w:hAnsi="Times New Roman" w:eastAsia="宋体" w:cs="Times New Roman"/>
                      <w:color w:val="auto"/>
                      <w:sz w:val="18"/>
                      <w:szCs w:val="18"/>
                      <w:lang w:val="en-US" w:eastAsia="zh-CN" w:bidi="ar-SA"/>
                    </w:rPr>
                  </w:pPr>
                  <w:r>
                    <w:rPr>
                      <w:rFonts w:hint="eastAsia" w:cs="Times New Roman"/>
                      <w:color w:val="auto"/>
                      <w:sz w:val="18"/>
                      <w:szCs w:val="18"/>
                      <w:lang w:val="en-US" w:eastAsia="zh-CN" w:bidi="ar-SA"/>
                    </w:rPr>
                    <w:t>0</w:t>
                  </w:r>
                </w:p>
              </w:tc>
              <w:tc>
                <w:tcPr>
                  <w:tcW w:w="1421" w:type="dxa"/>
                  <w:tcBorders>
                    <w:tl2br w:val="nil"/>
                    <w:tr2bl w:val="nil"/>
                  </w:tcBorders>
                  <w:vAlign w:val="center"/>
                </w:tcPr>
                <w:p w14:paraId="319F7CCF">
                  <w:pPr>
                    <w:adjustRightInd w:val="0"/>
                    <w:spacing w:line="240" w:lineRule="auto"/>
                    <w:ind w:right="55" w:rightChars="0" w:firstLine="0" w:firstLineChars="0"/>
                    <w:jc w:val="center"/>
                    <w:rPr>
                      <w:rFonts w:hint="default" w:ascii="Times New Roman" w:hAnsi="Times New Roman" w:eastAsia="宋体" w:cs="Times New Roman"/>
                      <w:color w:val="auto"/>
                      <w:sz w:val="18"/>
                      <w:szCs w:val="18"/>
                      <w:lang w:val="en-US" w:eastAsia="zh-CN" w:bidi="ar-SA"/>
                    </w:rPr>
                  </w:pPr>
                  <w:r>
                    <w:rPr>
                      <w:rFonts w:hint="eastAsia" w:cs="Times New Roman"/>
                      <w:color w:val="auto"/>
                      <w:sz w:val="18"/>
                      <w:szCs w:val="18"/>
                      <w:lang w:val="en-US" w:eastAsia="zh-CN" w:bidi="ar-SA"/>
                    </w:rPr>
                    <w:t>0</w:t>
                  </w:r>
                </w:p>
              </w:tc>
              <w:tc>
                <w:tcPr>
                  <w:tcW w:w="1380" w:type="dxa"/>
                  <w:tcBorders>
                    <w:tl2br w:val="nil"/>
                    <w:tr2bl w:val="nil"/>
                  </w:tcBorders>
                  <w:vAlign w:val="center"/>
                </w:tcPr>
                <w:p w14:paraId="4FFE265B">
                  <w:pPr>
                    <w:adjustRightInd w:val="0"/>
                    <w:spacing w:line="240" w:lineRule="auto"/>
                    <w:ind w:right="55" w:rightChars="0" w:firstLine="0" w:firstLineChars="0"/>
                    <w:jc w:val="center"/>
                    <w:rPr>
                      <w:rFonts w:hint="default" w:ascii="Times New Roman" w:hAnsi="Times New Roman" w:eastAsia="宋体" w:cs="Times New Roman"/>
                      <w:color w:val="auto"/>
                      <w:sz w:val="18"/>
                      <w:szCs w:val="18"/>
                      <w:lang w:val="en-US" w:eastAsia="zh-CN" w:bidi="ar-SA"/>
                    </w:rPr>
                  </w:pPr>
                  <w:r>
                    <w:rPr>
                      <w:rFonts w:hint="eastAsia" w:cs="Times New Roman"/>
                      <w:color w:val="auto"/>
                      <w:sz w:val="18"/>
                      <w:szCs w:val="18"/>
                      <w:lang w:val="en-US" w:eastAsia="zh-CN" w:bidi="ar-SA"/>
                    </w:rPr>
                    <w:t>0</w:t>
                  </w:r>
                </w:p>
              </w:tc>
            </w:tr>
            <w:tr w14:paraId="1C3575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974" w:type="dxa"/>
                  <w:tcBorders>
                    <w:tl2br w:val="nil"/>
                    <w:tr2bl w:val="nil"/>
                  </w:tcBorders>
                  <w:vAlign w:val="center"/>
                </w:tcPr>
                <w:p w14:paraId="765BF107">
                  <w:pPr>
                    <w:adjustRightInd w:val="0"/>
                    <w:spacing w:line="240" w:lineRule="auto"/>
                    <w:ind w:right="55"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拟建项目新增排放量</w:t>
                  </w:r>
                </w:p>
              </w:tc>
              <w:tc>
                <w:tcPr>
                  <w:tcW w:w="1346" w:type="dxa"/>
                  <w:tcBorders>
                    <w:tl2br w:val="nil"/>
                    <w:tr2bl w:val="nil"/>
                  </w:tcBorders>
                  <w:vAlign w:val="center"/>
                </w:tcPr>
                <w:p w14:paraId="55952C67">
                  <w:pPr>
                    <w:adjustRightInd w:val="0"/>
                    <w:spacing w:line="240" w:lineRule="auto"/>
                    <w:ind w:right="55" w:rightChars="0" w:firstLine="0" w:firstLineChars="0"/>
                    <w:jc w:val="center"/>
                    <w:rPr>
                      <w:rFonts w:hint="default" w:ascii="Times New Roman" w:hAnsi="Times New Roman" w:eastAsia="宋体" w:cs="Times New Roman"/>
                      <w:color w:val="auto"/>
                      <w:sz w:val="18"/>
                      <w:szCs w:val="18"/>
                      <w:lang w:val="en-US" w:eastAsia="zh-CN" w:bidi="ar-SA"/>
                    </w:rPr>
                  </w:pPr>
                  <w:r>
                    <w:rPr>
                      <w:rFonts w:hint="eastAsia" w:cs="Times New Roman"/>
                      <w:color w:val="auto"/>
                      <w:sz w:val="18"/>
                      <w:szCs w:val="18"/>
                      <w:lang w:val="en-US" w:eastAsia="zh-CN" w:bidi="ar-SA"/>
                    </w:rPr>
                    <w:t>0</w:t>
                  </w:r>
                </w:p>
              </w:tc>
              <w:tc>
                <w:tcPr>
                  <w:tcW w:w="1015" w:type="dxa"/>
                  <w:tcBorders>
                    <w:tl2br w:val="nil"/>
                    <w:tr2bl w:val="nil"/>
                  </w:tcBorders>
                  <w:vAlign w:val="center"/>
                </w:tcPr>
                <w:p w14:paraId="3854C49C">
                  <w:pPr>
                    <w:adjustRightInd w:val="0"/>
                    <w:spacing w:line="240" w:lineRule="auto"/>
                    <w:ind w:right="55" w:rightChars="0" w:firstLine="0" w:firstLineChars="0"/>
                    <w:jc w:val="center"/>
                    <w:rPr>
                      <w:rFonts w:hint="default" w:ascii="Times New Roman" w:hAnsi="Times New Roman" w:eastAsia="宋体" w:cs="Times New Roman"/>
                      <w:color w:val="auto"/>
                      <w:sz w:val="18"/>
                      <w:szCs w:val="18"/>
                      <w:lang w:val="en-US" w:eastAsia="zh-CN" w:bidi="ar-SA"/>
                    </w:rPr>
                  </w:pPr>
                  <w:r>
                    <w:rPr>
                      <w:rFonts w:hint="eastAsia" w:cs="Times New Roman"/>
                      <w:color w:val="auto"/>
                      <w:sz w:val="18"/>
                      <w:szCs w:val="18"/>
                      <w:lang w:val="en-US" w:eastAsia="zh-CN" w:bidi="ar-SA"/>
                    </w:rPr>
                    <w:t>0</w:t>
                  </w:r>
                </w:p>
              </w:tc>
              <w:tc>
                <w:tcPr>
                  <w:tcW w:w="1421" w:type="dxa"/>
                  <w:tcBorders>
                    <w:tl2br w:val="nil"/>
                    <w:tr2bl w:val="nil"/>
                  </w:tcBorders>
                  <w:vAlign w:val="center"/>
                </w:tcPr>
                <w:p w14:paraId="3056E100">
                  <w:pPr>
                    <w:adjustRightInd w:val="0"/>
                    <w:spacing w:line="240" w:lineRule="auto"/>
                    <w:ind w:right="55" w:rightChars="0" w:firstLine="0" w:firstLineChars="0"/>
                    <w:jc w:val="center"/>
                    <w:rPr>
                      <w:rFonts w:hint="default" w:ascii="Times New Roman" w:hAnsi="Times New Roman" w:eastAsia="宋体" w:cs="Times New Roman"/>
                      <w:color w:val="auto"/>
                      <w:sz w:val="18"/>
                      <w:szCs w:val="18"/>
                      <w:lang w:val="en-US" w:eastAsia="zh-CN" w:bidi="ar-SA"/>
                    </w:rPr>
                  </w:pPr>
                  <w:r>
                    <w:rPr>
                      <w:rFonts w:hint="eastAsia" w:cs="Times New Roman"/>
                      <w:color w:val="auto"/>
                      <w:sz w:val="18"/>
                      <w:szCs w:val="18"/>
                      <w:lang w:val="en-US" w:eastAsia="zh-CN" w:bidi="ar-SA"/>
                    </w:rPr>
                    <w:t>0</w:t>
                  </w:r>
                </w:p>
              </w:tc>
              <w:tc>
                <w:tcPr>
                  <w:tcW w:w="1380" w:type="dxa"/>
                  <w:tcBorders>
                    <w:tl2br w:val="nil"/>
                    <w:tr2bl w:val="nil"/>
                  </w:tcBorders>
                  <w:vAlign w:val="center"/>
                </w:tcPr>
                <w:p w14:paraId="2DDBF472">
                  <w:pPr>
                    <w:adjustRightInd w:val="0"/>
                    <w:spacing w:line="240" w:lineRule="auto"/>
                    <w:ind w:right="55" w:rightChars="0" w:firstLine="0" w:firstLineChars="0"/>
                    <w:jc w:val="center"/>
                    <w:rPr>
                      <w:rFonts w:hint="default" w:ascii="Times New Roman" w:hAnsi="Times New Roman" w:eastAsia="宋体" w:cs="Times New Roman"/>
                      <w:color w:val="auto"/>
                      <w:sz w:val="18"/>
                      <w:szCs w:val="18"/>
                      <w:lang w:val="en-US" w:eastAsia="zh-CN" w:bidi="ar-SA"/>
                    </w:rPr>
                  </w:pPr>
                  <w:r>
                    <w:rPr>
                      <w:rFonts w:hint="eastAsia" w:cs="Times New Roman"/>
                      <w:color w:val="auto"/>
                      <w:sz w:val="18"/>
                      <w:szCs w:val="18"/>
                      <w:lang w:val="en-US" w:eastAsia="zh-CN" w:bidi="ar-SA"/>
                    </w:rPr>
                    <w:t>0</w:t>
                  </w:r>
                </w:p>
              </w:tc>
            </w:tr>
            <w:tr w14:paraId="0896E1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974" w:type="dxa"/>
                  <w:tcBorders>
                    <w:tl2br w:val="nil"/>
                    <w:tr2bl w:val="nil"/>
                  </w:tcBorders>
                  <w:vAlign w:val="center"/>
                </w:tcPr>
                <w:p w14:paraId="36B894D0">
                  <w:pPr>
                    <w:adjustRightInd w:val="0"/>
                    <w:spacing w:line="240" w:lineRule="auto"/>
                    <w:ind w:right="55"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以新带老削减量</w:t>
                  </w:r>
                </w:p>
              </w:tc>
              <w:tc>
                <w:tcPr>
                  <w:tcW w:w="1346" w:type="dxa"/>
                  <w:tcBorders>
                    <w:tl2br w:val="nil"/>
                    <w:tr2bl w:val="nil"/>
                  </w:tcBorders>
                  <w:vAlign w:val="center"/>
                </w:tcPr>
                <w:p w14:paraId="16F54777">
                  <w:pPr>
                    <w:adjustRightInd w:val="0"/>
                    <w:spacing w:line="240" w:lineRule="auto"/>
                    <w:ind w:left="0" w:leftChars="0" w:right="55" w:rightChars="0" w:firstLine="0" w:firstLineChars="0"/>
                    <w:jc w:val="center"/>
                    <w:rPr>
                      <w:rFonts w:hint="default" w:ascii="Times New Roman" w:hAnsi="Times New Roman" w:eastAsia="宋体" w:cs="Times New Roman"/>
                      <w:snapToGrid w:val="0"/>
                      <w:color w:val="auto"/>
                      <w:sz w:val="18"/>
                      <w:szCs w:val="18"/>
                      <w:lang w:val="en-US" w:eastAsia="zh-CN" w:bidi="ar-SA"/>
                    </w:rPr>
                  </w:pPr>
                  <w:r>
                    <w:rPr>
                      <w:rFonts w:hint="eastAsia" w:cs="Times New Roman"/>
                      <w:color w:val="auto"/>
                      <w:sz w:val="18"/>
                      <w:szCs w:val="18"/>
                      <w:lang w:val="en-US" w:eastAsia="zh-CN" w:bidi="ar-SA"/>
                    </w:rPr>
                    <w:t>0</w:t>
                  </w:r>
                </w:p>
              </w:tc>
              <w:tc>
                <w:tcPr>
                  <w:tcW w:w="1015" w:type="dxa"/>
                  <w:tcBorders>
                    <w:tl2br w:val="nil"/>
                    <w:tr2bl w:val="nil"/>
                  </w:tcBorders>
                  <w:vAlign w:val="center"/>
                </w:tcPr>
                <w:p w14:paraId="211F11B3">
                  <w:pPr>
                    <w:adjustRightInd w:val="0"/>
                    <w:spacing w:line="240" w:lineRule="auto"/>
                    <w:ind w:left="0" w:leftChars="0" w:right="55" w:rightChars="0" w:firstLine="0" w:firstLineChars="0"/>
                    <w:jc w:val="center"/>
                    <w:rPr>
                      <w:rFonts w:hint="default" w:ascii="Times New Roman" w:hAnsi="Times New Roman" w:eastAsia="宋体" w:cs="Times New Roman"/>
                      <w:snapToGrid w:val="0"/>
                      <w:color w:val="auto"/>
                      <w:sz w:val="18"/>
                      <w:szCs w:val="18"/>
                      <w:lang w:val="en-US" w:eastAsia="zh-CN" w:bidi="ar-SA"/>
                    </w:rPr>
                  </w:pPr>
                  <w:r>
                    <w:rPr>
                      <w:rFonts w:hint="eastAsia" w:cs="Times New Roman"/>
                      <w:color w:val="auto"/>
                      <w:sz w:val="18"/>
                      <w:szCs w:val="18"/>
                      <w:lang w:val="en-US" w:eastAsia="zh-CN" w:bidi="ar-SA"/>
                    </w:rPr>
                    <w:t>0</w:t>
                  </w:r>
                </w:p>
              </w:tc>
              <w:tc>
                <w:tcPr>
                  <w:tcW w:w="1421" w:type="dxa"/>
                  <w:tcBorders>
                    <w:tl2br w:val="nil"/>
                    <w:tr2bl w:val="nil"/>
                  </w:tcBorders>
                  <w:vAlign w:val="center"/>
                </w:tcPr>
                <w:p w14:paraId="70953D76">
                  <w:pPr>
                    <w:adjustRightInd w:val="0"/>
                    <w:spacing w:line="240" w:lineRule="auto"/>
                    <w:ind w:left="0" w:leftChars="0" w:right="55" w:rightChars="0" w:firstLine="0" w:firstLineChars="0"/>
                    <w:jc w:val="center"/>
                    <w:rPr>
                      <w:rFonts w:hint="default" w:ascii="Times New Roman" w:hAnsi="Times New Roman" w:eastAsia="宋体" w:cs="Times New Roman"/>
                      <w:snapToGrid w:val="0"/>
                      <w:color w:val="auto"/>
                      <w:sz w:val="18"/>
                      <w:szCs w:val="18"/>
                      <w:lang w:val="en-US" w:eastAsia="zh-CN" w:bidi="ar-SA"/>
                    </w:rPr>
                  </w:pPr>
                  <w:r>
                    <w:rPr>
                      <w:rFonts w:hint="eastAsia" w:cs="Times New Roman"/>
                      <w:color w:val="auto"/>
                      <w:sz w:val="18"/>
                      <w:szCs w:val="18"/>
                      <w:lang w:val="en-US" w:eastAsia="zh-CN" w:bidi="ar-SA"/>
                    </w:rPr>
                    <w:t>0</w:t>
                  </w:r>
                </w:p>
              </w:tc>
              <w:tc>
                <w:tcPr>
                  <w:tcW w:w="1380" w:type="dxa"/>
                  <w:tcBorders>
                    <w:tl2br w:val="nil"/>
                    <w:tr2bl w:val="nil"/>
                  </w:tcBorders>
                  <w:vAlign w:val="center"/>
                </w:tcPr>
                <w:p w14:paraId="15FB2DE7">
                  <w:pPr>
                    <w:adjustRightInd w:val="0"/>
                    <w:spacing w:line="240" w:lineRule="auto"/>
                    <w:ind w:left="0" w:leftChars="0" w:right="55" w:rightChars="0" w:firstLine="0" w:firstLineChars="0"/>
                    <w:jc w:val="center"/>
                    <w:rPr>
                      <w:rFonts w:hint="default" w:ascii="Times New Roman" w:hAnsi="Times New Roman" w:eastAsia="宋体" w:cs="Times New Roman"/>
                      <w:snapToGrid w:val="0"/>
                      <w:color w:val="auto"/>
                      <w:sz w:val="18"/>
                      <w:szCs w:val="18"/>
                      <w:lang w:val="en-US" w:eastAsia="zh-CN" w:bidi="ar-SA"/>
                    </w:rPr>
                  </w:pPr>
                  <w:r>
                    <w:rPr>
                      <w:rFonts w:hint="eastAsia" w:cs="Times New Roman"/>
                      <w:color w:val="auto"/>
                      <w:sz w:val="18"/>
                      <w:szCs w:val="18"/>
                      <w:lang w:val="en-US" w:eastAsia="zh-CN" w:bidi="ar-SA"/>
                    </w:rPr>
                    <w:t>0</w:t>
                  </w:r>
                </w:p>
              </w:tc>
            </w:tr>
            <w:tr w14:paraId="25D47A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974" w:type="dxa"/>
                  <w:tcBorders>
                    <w:tl2br w:val="nil"/>
                    <w:tr2bl w:val="nil"/>
                  </w:tcBorders>
                  <w:vAlign w:val="center"/>
                </w:tcPr>
                <w:p w14:paraId="60DE5141">
                  <w:pPr>
                    <w:adjustRightInd w:val="0"/>
                    <w:spacing w:line="240" w:lineRule="auto"/>
                    <w:ind w:right="55"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全厂排放量</w:t>
                  </w:r>
                </w:p>
              </w:tc>
              <w:tc>
                <w:tcPr>
                  <w:tcW w:w="1346" w:type="dxa"/>
                  <w:tcBorders>
                    <w:tl2br w:val="nil"/>
                    <w:tr2bl w:val="nil"/>
                  </w:tcBorders>
                  <w:vAlign w:val="center"/>
                </w:tcPr>
                <w:p w14:paraId="1CC4F98D">
                  <w:pPr>
                    <w:adjustRightInd w:val="0"/>
                    <w:spacing w:line="240" w:lineRule="auto"/>
                    <w:ind w:right="55" w:rightChars="0" w:firstLine="0" w:firstLineChars="0"/>
                    <w:jc w:val="center"/>
                    <w:rPr>
                      <w:rFonts w:hint="default" w:ascii="Times New Roman" w:hAnsi="Times New Roman" w:eastAsia="宋体" w:cs="Times New Roman"/>
                      <w:snapToGrid w:val="0"/>
                      <w:color w:val="auto"/>
                      <w:sz w:val="18"/>
                      <w:szCs w:val="18"/>
                      <w:lang w:val="en-US" w:eastAsia="zh-CN" w:bidi="ar-SA"/>
                    </w:rPr>
                  </w:pPr>
                  <w:r>
                    <w:rPr>
                      <w:rFonts w:hint="eastAsia" w:cs="Times New Roman"/>
                      <w:color w:val="auto"/>
                      <w:sz w:val="18"/>
                      <w:szCs w:val="18"/>
                      <w:lang w:val="en-US" w:eastAsia="zh-CN" w:bidi="ar-SA"/>
                    </w:rPr>
                    <w:t>0</w:t>
                  </w:r>
                </w:p>
              </w:tc>
              <w:tc>
                <w:tcPr>
                  <w:tcW w:w="1015" w:type="dxa"/>
                  <w:tcBorders>
                    <w:tl2br w:val="nil"/>
                    <w:tr2bl w:val="nil"/>
                  </w:tcBorders>
                  <w:vAlign w:val="center"/>
                </w:tcPr>
                <w:p w14:paraId="4249D72D">
                  <w:pPr>
                    <w:adjustRightInd w:val="0"/>
                    <w:spacing w:line="240" w:lineRule="auto"/>
                    <w:ind w:right="55" w:rightChars="0" w:firstLine="0" w:firstLineChars="0"/>
                    <w:jc w:val="center"/>
                    <w:rPr>
                      <w:rFonts w:hint="default" w:ascii="Times New Roman" w:hAnsi="Times New Roman" w:eastAsia="宋体" w:cs="Times New Roman"/>
                      <w:snapToGrid w:val="0"/>
                      <w:color w:val="auto"/>
                      <w:sz w:val="18"/>
                      <w:szCs w:val="18"/>
                      <w:lang w:val="en-US" w:eastAsia="zh-CN" w:bidi="ar-SA"/>
                    </w:rPr>
                  </w:pPr>
                  <w:r>
                    <w:rPr>
                      <w:rFonts w:hint="eastAsia" w:cs="Times New Roman"/>
                      <w:color w:val="auto"/>
                      <w:sz w:val="18"/>
                      <w:szCs w:val="18"/>
                      <w:lang w:val="en-US" w:eastAsia="zh-CN" w:bidi="ar-SA"/>
                    </w:rPr>
                    <w:t>0</w:t>
                  </w:r>
                </w:p>
              </w:tc>
              <w:tc>
                <w:tcPr>
                  <w:tcW w:w="1421" w:type="dxa"/>
                  <w:tcBorders>
                    <w:tl2br w:val="nil"/>
                    <w:tr2bl w:val="nil"/>
                  </w:tcBorders>
                  <w:vAlign w:val="center"/>
                </w:tcPr>
                <w:p w14:paraId="6FD18B3D">
                  <w:pPr>
                    <w:adjustRightInd w:val="0"/>
                    <w:spacing w:line="240" w:lineRule="auto"/>
                    <w:ind w:right="55" w:rightChars="0" w:firstLine="0" w:firstLineChars="0"/>
                    <w:jc w:val="center"/>
                    <w:rPr>
                      <w:rFonts w:hint="default" w:ascii="Times New Roman" w:hAnsi="Times New Roman" w:eastAsia="宋体" w:cs="Times New Roman"/>
                      <w:snapToGrid w:val="0"/>
                      <w:color w:val="auto"/>
                      <w:sz w:val="18"/>
                      <w:szCs w:val="18"/>
                      <w:lang w:val="en-US" w:eastAsia="zh-CN" w:bidi="ar-SA"/>
                    </w:rPr>
                  </w:pPr>
                  <w:r>
                    <w:rPr>
                      <w:rFonts w:hint="eastAsia" w:cs="Times New Roman"/>
                      <w:color w:val="auto"/>
                      <w:sz w:val="18"/>
                      <w:szCs w:val="18"/>
                      <w:lang w:val="en-US" w:eastAsia="zh-CN" w:bidi="ar-SA"/>
                    </w:rPr>
                    <w:t>0</w:t>
                  </w:r>
                </w:p>
              </w:tc>
              <w:tc>
                <w:tcPr>
                  <w:tcW w:w="1380" w:type="dxa"/>
                  <w:tcBorders>
                    <w:tl2br w:val="nil"/>
                    <w:tr2bl w:val="nil"/>
                  </w:tcBorders>
                  <w:vAlign w:val="center"/>
                </w:tcPr>
                <w:p w14:paraId="0BD56503">
                  <w:pPr>
                    <w:adjustRightInd w:val="0"/>
                    <w:spacing w:line="240" w:lineRule="auto"/>
                    <w:ind w:right="55" w:rightChars="0" w:firstLine="0" w:firstLineChars="0"/>
                    <w:jc w:val="center"/>
                    <w:rPr>
                      <w:rFonts w:hint="default" w:ascii="Times New Roman" w:hAnsi="Times New Roman" w:eastAsia="宋体" w:cs="Times New Roman"/>
                      <w:snapToGrid w:val="0"/>
                      <w:color w:val="auto"/>
                      <w:sz w:val="18"/>
                      <w:szCs w:val="18"/>
                      <w:lang w:val="en-US" w:eastAsia="zh-CN" w:bidi="ar-SA"/>
                    </w:rPr>
                  </w:pPr>
                  <w:r>
                    <w:rPr>
                      <w:rFonts w:hint="eastAsia" w:cs="Times New Roman"/>
                      <w:color w:val="auto"/>
                      <w:sz w:val="18"/>
                      <w:szCs w:val="18"/>
                      <w:lang w:val="en-US" w:eastAsia="zh-CN" w:bidi="ar-SA"/>
                    </w:rPr>
                    <w:t>0</w:t>
                  </w:r>
                </w:p>
              </w:tc>
            </w:tr>
            <w:tr w14:paraId="5DC83F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974" w:type="dxa"/>
                  <w:tcBorders>
                    <w:tl2br w:val="nil"/>
                    <w:tr2bl w:val="nil"/>
                  </w:tcBorders>
                  <w:vAlign w:val="center"/>
                </w:tcPr>
                <w:p w14:paraId="13FB4606">
                  <w:pPr>
                    <w:adjustRightInd w:val="0"/>
                    <w:spacing w:line="240" w:lineRule="auto"/>
                    <w:ind w:right="55"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排放新增量</w:t>
                  </w:r>
                </w:p>
              </w:tc>
              <w:tc>
                <w:tcPr>
                  <w:tcW w:w="1346" w:type="dxa"/>
                  <w:tcBorders>
                    <w:tl2br w:val="nil"/>
                    <w:tr2bl w:val="nil"/>
                  </w:tcBorders>
                  <w:vAlign w:val="center"/>
                </w:tcPr>
                <w:p w14:paraId="639AE40F">
                  <w:pPr>
                    <w:adjustRightInd w:val="0"/>
                    <w:spacing w:line="240" w:lineRule="auto"/>
                    <w:ind w:right="55" w:rightChars="0" w:firstLine="0" w:firstLineChars="0"/>
                    <w:jc w:val="center"/>
                    <w:rPr>
                      <w:rFonts w:hint="default" w:ascii="Times New Roman" w:hAnsi="Times New Roman" w:eastAsia="宋体" w:cs="Times New Roman"/>
                      <w:snapToGrid w:val="0"/>
                      <w:color w:val="auto"/>
                      <w:sz w:val="18"/>
                      <w:szCs w:val="18"/>
                      <w:lang w:val="en-US" w:eastAsia="zh-CN" w:bidi="ar-SA"/>
                    </w:rPr>
                  </w:pPr>
                  <w:r>
                    <w:rPr>
                      <w:rFonts w:hint="eastAsia" w:cs="Times New Roman"/>
                      <w:color w:val="auto"/>
                      <w:sz w:val="18"/>
                      <w:szCs w:val="18"/>
                      <w:lang w:val="en-US" w:eastAsia="zh-CN" w:bidi="ar-SA"/>
                    </w:rPr>
                    <w:t>0</w:t>
                  </w:r>
                </w:p>
              </w:tc>
              <w:tc>
                <w:tcPr>
                  <w:tcW w:w="1015" w:type="dxa"/>
                  <w:tcBorders>
                    <w:tl2br w:val="nil"/>
                    <w:tr2bl w:val="nil"/>
                  </w:tcBorders>
                  <w:vAlign w:val="center"/>
                </w:tcPr>
                <w:p w14:paraId="64C1018C">
                  <w:pPr>
                    <w:adjustRightInd w:val="0"/>
                    <w:spacing w:line="240" w:lineRule="auto"/>
                    <w:ind w:right="55" w:rightChars="0" w:firstLine="0" w:firstLineChars="0"/>
                    <w:jc w:val="center"/>
                    <w:rPr>
                      <w:rFonts w:hint="default" w:ascii="Times New Roman" w:hAnsi="Times New Roman" w:eastAsia="宋体" w:cs="Times New Roman"/>
                      <w:snapToGrid w:val="0"/>
                      <w:color w:val="auto"/>
                      <w:sz w:val="18"/>
                      <w:szCs w:val="18"/>
                      <w:lang w:val="en-US" w:eastAsia="zh-CN" w:bidi="ar-SA"/>
                    </w:rPr>
                  </w:pPr>
                  <w:r>
                    <w:rPr>
                      <w:rFonts w:hint="eastAsia" w:cs="Times New Roman"/>
                      <w:color w:val="auto"/>
                      <w:sz w:val="18"/>
                      <w:szCs w:val="18"/>
                      <w:lang w:val="en-US" w:eastAsia="zh-CN" w:bidi="ar-SA"/>
                    </w:rPr>
                    <w:t>0</w:t>
                  </w:r>
                </w:p>
              </w:tc>
              <w:tc>
                <w:tcPr>
                  <w:tcW w:w="1421" w:type="dxa"/>
                  <w:tcBorders>
                    <w:tl2br w:val="nil"/>
                    <w:tr2bl w:val="nil"/>
                  </w:tcBorders>
                  <w:vAlign w:val="center"/>
                </w:tcPr>
                <w:p w14:paraId="59100885">
                  <w:pPr>
                    <w:adjustRightInd w:val="0"/>
                    <w:spacing w:line="240" w:lineRule="auto"/>
                    <w:ind w:right="55" w:rightChars="0" w:firstLine="0" w:firstLineChars="0"/>
                    <w:jc w:val="center"/>
                    <w:rPr>
                      <w:rFonts w:hint="default" w:ascii="Times New Roman" w:hAnsi="Times New Roman" w:eastAsia="宋体" w:cs="Times New Roman"/>
                      <w:snapToGrid w:val="0"/>
                      <w:color w:val="auto"/>
                      <w:sz w:val="18"/>
                      <w:szCs w:val="18"/>
                      <w:lang w:val="en-US" w:eastAsia="zh-CN" w:bidi="ar-SA"/>
                    </w:rPr>
                  </w:pPr>
                  <w:r>
                    <w:rPr>
                      <w:rFonts w:hint="eastAsia" w:cs="Times New Roman"/>
                      <w:color w:val="auto"/>
                      <w:sz w:val="18"/>
                      <w:szCs w:val="18"/>
                      <w:lang w:val="en-US" w:eastAsia="zh-CN" w:bidi="ar-SA"/>
                    </w:rPr>
                    <w:t>0</w:t>
                  </w:r>
                </w:p>
              </w:tc>
              <w:tc>
                <w:tcPr>
                  <w:tcW w:w="1380" w:type="dxa"/>
                  <w:tcBorders>
                    <w:tl2br w:val="nil"/>
                    <w:tr2bl w:val="nil"/>
                  </w:tcBorders>
                  <w:vAlign w:val="center"/>
                </w:tcPr>
                <w:p w14:paraId="6FBD6E33">
                  <w:pPr>
                    <w:adjustRightInd w:val="0"/>
                    <w:spacing w:line="240" w:lineRule="auto"/>
                    <w:ind w:right="55" w:rightChars="0" w:firstLine="0" w:firstLineChars="0"/>
                    <w:jc w:val="center"/>
                    <w:rPr>
                      <w:rFonts w:hint="default" w:ascii="Times New Roman" w:hAnsi="Times New Roman" w:eastAsia="宋体" w:cs="Times New Roman"/>
                      <w:snapToGrid w:val="0"/>
                      <w:color w:val="auto"/>
                      <w:sz w:val="18"/>
                      <w:szCs w:val="18"/>
                      <w:lang w:val="en-US" w:eastAsia="zh-CN" w:bidi="ar-SA"/>
                    </w:rPr>
                  </w:pPr>
                  <w:r>
                    <w:rPr>
                      <w:rFonts w:hint="eastAsia" w:cs="Times New Roman"/>
                      <w:color w:val="auto"/>
                      <w:sz w:val="18"/>
                      <w:szCs w:val="18"/>
                      <w:lang w:val="en-US" w:eastAsia="zh-CN" w:bidi="ar-SA"/>
                    </w:rPr>
                    <w:t>0</w:t>
                  </w:r>
                </w:p>
              </w:tc>
            </w:tr>
            <w:tr w14:paraId="5A701D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2" w:hRule="exact"/>
                <w:jc w:val="center"/>
              </w:trPr>
              <w:tc>
                <w:tcPr>
                  <w:tcW w:w="2974" w:type="dxa"/>
                  <w:tcBorders>
                    <w:tl2br w:val="nil"/>
                    <w:tr2bl w:val="nil"/>
                  </w:tcBorders>
                  <w:vAlign w:val="center"/>
                </w:tcPr>
                <w:p w14:paraId="231FCA13">
                  <w:pPr>
                    <w:adjustRightInd w:val="0"/>
                    <w:spacing w:line="240" w:lineRule="auto"/>
                    <w:ind w:right="55" w:firstLine="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大气污染物（单位：吨/年）</w:t>
                  </w:r>
                </w:p>
                <w:p w14:paraId="435CDF59">
                  <w:pPr>
                    <w:adjustRightInd w:val="0"/>
                    <w:spacing w:line="240" w:lineRule="auto"/>
                    <w:ind w:right="55" w:firstLine="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(有组织/无组织)</w:t>
                  </w:r>
                </w:p>
              </w:tc>
              <w:tc>
                <w:tcPr>
                  <w:tcW w:w="1346" w:type="dxa"/>
                  <w:tcBorders>
                    <w:tl2br w:val="nil"/>
                    <w:tr2bl w:val="nil"/>
                  </w:tcBorders>
                  <w:vAlign w:val="center"/>
                </w:tcPr>
                <w:p w14:paraId="73AAC41B">
                  <w:pPr>
                    <w:adjustRightInd w:val="0"/>
                    <w:spacing w:line="240" w:lineRule="auto"/>
                    <w:ind w:right="55" w:firstLine="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SO</w:t>
                  </w:r>
                  <w:r>
                    <w:rPr>
                      <w:rFonts w:hint="default" w:ascii="Times New Roman" w:hAnsi="Times New Roman" w:eastAsia="宋体" w:cs="Times New Roman"/>
                      <w:b/>
                      <w:bCs/>
                      <w:color w:val="auto"/>
                      <w:sz w:val="18"/>
                      <w:szCs w:val="18"/>
                      <w:vertAlign w:val="subscript"/>
                    </w:rPr>
                    <w:t>2</w:t>
                  </w:r>
                </w:p>
              </w:tc>
              <w:tc>
                <w:tcPr>
                  <w:tcW w:w="1015" w:type="dxa"/>
                  <w:tcBorders>
                    <w:tl2br w:val="nil"/>
                    <w:tr2bl w:val="nil"/>
                  </w:tcBorders>
                  <w:vAlign w:val="center"/>
                </w:tcPr>
                <w:p w14:paraId="2D3C55C7">
                  <w:pPr>
                    <w:adjustRightInd w:val="0"/>
                    <w:spacing w:line="240" w:lineRule="auto"/>
                    <w:ind w:right="55" w:firstLine="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NO</w:t>
                  </w:r>
                  <w:r>
                    <w:rPr>
                      <w:rFonts w:hint="default" w:ascii="Times New Roman" w:hAnsi="Times New Roman" w:eastAsia="宋体" w:cs="Times New Roman"/>
                      <w:b/>
                      <w:bCs/>
                      <w:color w:val="auto"/>
                      <w:sz w:val="18"/>
                      <w:szCs w:val="18"/>
                      <w:vertAlign w:val="subscript"/>
                    </w:rPr>
                    <w:t>X</w:t>
                  </w:r>
                </w:p>
              </w:tc>
              <w:tc>
                <w:tcPr>
                  <w:tcW w:w="1421" w:type="dxa"/>
                  <w:tcBorders>
                    <w:tl2br w:val="nil"/>
                    <w:tr2bl w:val="nil"/>
                  </w:tcBorders>
                  <w:vAlign w:val="center"/>
                </w:tcPr>
                <w:p w14:paraId="66B06D04">
                  <w:pPr>
                    <w:adjustRightInd w:val="0"/>
                    <w:spacing w:line="240" w:lineRule="auto"/>
                    <w:ind w:right="55" w:firstLine="0"/>
                    <w:jc w:val="center"/>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lang w:eastAsia="zh-CN"/>
                    </w:rPr>
                    <w:t>颗粒物</w:t>
                  </w:r>
                </w:p>
              </w:tc>
              <w:tc>
                <w:tcPr>
                  <w:tcW w:w="1380" w:type="dxa"/>
                  <w:tcBorders>
                    <w:tl2br w:val="nil"/>
                    <w:tr2bl w:val="nil"/>
                  </w:tcBorders>
                  <w:vAlign w:val="center"/>
                </w:tcPr>
                <w:p w14:paraId="5272F79E">
                  <w:pPr>
                    <w:adjustRightInd w:val="0"/>
                    <w:spacing w:line="240" w:lineRule="auto"/>
                    <w:ind w:right="55" w:firstLine="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VOC</w:t>
                  </w:r>
                  <w:r>
                    <w:rPr>
                      <w:rFonts w:hint="default" w:ascii="Times New Roman" w:hAnsi="Times New Roman" w:eastAsia="宋体" w:cs="Times New Roman"/>
                      <w:b/>
                      <w:bCs/>
                      <w:color w:val="auto"/>
                      <w:sz w:val="18"/>
                      <w:szCs w:val="18"/>
                      <w:vertAlign w:val="subscript"/>
                    </w:rPr>
                    <w:t>S</w:t>
                  </w:r>
                </w:p>
              </w:tc>
            </w:tr>
            <w:tr w14:paraId="299E0F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974" w:type="dxa"/>
                  <w:tcBorders>
                    <w:tl2br w:val="nil"/>
                    <w:tr2bl w:val="nil"/>
                  </w:tcBorders>
                  <w:vAlign w:val="center"/>
                </w:tcPr>
                <w:p w14:paraId="5CA805C2">
                  <w:pPr>
                    <w:adjustRightInd w:val="0"/>
                    <w:spacing w:line="240" w:lineRule="auto"/>
                    <w:ind w:right="55"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已建项目批复总量</w:t>
                  </w:r>
                </w:p>
              </w:tc>
              <w:tc>
                <w:tcPr>
                  <w:tcW w:w="1346" w:type="dxa"/>
                  <w:tcBorders>
                    <w:tl2br w:val="nil"/>
                    <w:tr2bl w:val="nil"/>
                  </w:tcBorders>
                  <w:vAlign w:val="center"/>
                </w:tcPr>
                <w:p w14:paraId="36CA7D99">
                  <w:pPr>
                    <w:adjustRightInd w:val="0"/>
                    <w:spacing w:line="240" w:lineRule="auto"/>
                    <w:ind w:left="0" w:leftChars="0" w:right="55" w:rightChars="0" w:firstLine="0" w:firstLineChars="0"/>
                    <w:jc w:val="center"/>
                    <w:rPr>
                      <w:rFonts w:hint="default" w:ascii="Times New Roman" w:hAnsi="Times New Roman" w:eastAsia="宋体" w:cs="Times New Roman"/>
                      <w:color w:val="auto"/>
                      <w:sz w:val="18"/>
                      <w:szCs w:val="18"/>
                      <w:lang w:val="en-US" w:eastAsia="zh-CN" w:bidi="ar-SA"/>
                    </w:rPr>
                  </w:pPr>
                  <w:r>
                    <w:rPr>
                      <w:rFonts w:hint="eastAsia" w:cs="Times New Roman"/>
                      <w:color w:val="auto"/>
                      <w:sz w:val="18"/>
                      <w:szCs w:val="18"/>
                      <w:lang w:val="en-US" w:eastAsia="zh-CN" w:bidi="ar-SA"/>
                    </w:rPr>
                    <w:t>0</w:t>
                  </w:r>
                </w:p>
              </w:tc>
              <w:tc>
                <w:tcPr>
                  <w:tcW w:w="1015" w:type="dxa"/>
                  <w:tcBorders>
                    <w:tl2br w:val="nil"/>
                    <w:tr2bl w:val="nil"/>
                  </w:tcBorders>
                  <w:vAlign w:val="center"/>
                </w:tcPr>
                <w:p w14:paraId="25848834">
                  <w:pPr>
                    <w:adjustRightInd w:val="0"/>
                    <w:spacing w:line="240" w:lineRule="auto"/>
                    <w:ind w:left="0" w:leftChars="0" w:right="55" w:rightChars="0" w:firstLine="0" w:firstLineChars="0"/>
                    <w:jc w:val="center"/>
                    <w:rPr>
                      <w:rFonts w:hint="default" w:ascii="Times New Roman" w:hAnsi="Times New Roman" w:eastAsia="宋体" w:cs="Times New Roman"/>
                      <w:snapToGrid w:val="0"/>
                      <w:color w:val="auto"/>
                      <w:sz w:val="18"/>
                      <w:szCs w:val="18"/>
                      <w:lang w:val="en-US" w:eastAsia="zh-CN" w:bidi="ar-SA"/>
                    </w:rPr>
                  </w:pPr>
                  <w:r>
                    <w:rPr>
                      <w:rFonts w:hint="eastAsia" w:cs="Times New Roman"/>
                      <w:color w:val="auto"/>
                      <w:sz w:val="18"/>
                      <w:szCs w:val="18"/>
                      <w:lang w:val="en-US" w:eastAsia="zh-CN" w:bidi="ar-SA"/>
                    </w:rPr>
                    <w:t>0</w:t>
                  </w:r>
                </w:p>
              </w:tc>
              <w:tc>
                <w:tcPr>
                  <w:tcW w:w="1421" w:type="dxa"/>
                  <w:tcBorders>
                    <w:tl2br w:val="nil"/>
                    <w:tr2bl w:val="nil"/>
                  </w:tcBorders>
                  <w:vAlign w:val="center"/>
                </w:tcPr>
                <w:p w14:paraId="210FF3A3">
                  <w:pPr>
                    <w:adjustRightInd w:val="0"/>
                    <w:spacing w:line="240" w:lineRule="auto"/>
                    <w:ind w:left="0" w:leftChars="0" w:right="55" w:rightChars="0" w:firstLine="0" w:firstLineChars="0"/>
                    <w:jc w:val="center"/>
                    <w:rPr>
                      <w:rFonts w:hint="default" w:ascii="Times New Roman" w:hAnsi="Times New Roman" w:eastAsia="宋体" w:cs="Times New Roman"/>
                      <w:snapToGrid w:val="0"/>
                      <w:color w:val="auto"/>
                      <w:sz w:val="18"/>
                      <w:szCs w:val="18"/>
                      <w:lang w:val="en-US" w:eastAsia="zh-CN" w:bidi="ar-SA"/>
                    </w:rPr>
                  </w:pPr>
                  <w:r>
                    <w:rPr>
                      <w:rFonts w:hint="eastAsia" w:cs="Times New Roman"/>
                      <w:color w:val="auto"/>
                      <w:sz w:val="18"/>
                      <w:szCs w:val="18"/>
                      <w:lang w:val="en-US" w:eastAsia="zh-CN" w:bidi="ar-SA"/>
                    </w:rPr>
                    <w:t>0</w:t>
                  </w:r>
                </w:p>
              </w:tc>
              <w:tc>
                <w:tcPr>
                  <w:tcW w:w="1380" w:type="dxa"/>
                  <w:tcBorders>
                    <w:tl2br w:val="nil"/>
                    <w:tr2bl w:val="nil"/>
                  </w:tcBorders>
                  <w:vAlign w:val="center"/>
                </w:tcPr>
                <w:p w14:paraId="49AE9E06">
                  <w:pPr>
                    <w:adjustRightInd w:val="0"/>
                    <w:spacing w:line="240" w:lineRule="auto"/>
                    <w:ind w:left="0" w:leftChars="0" w:right="55" w:rightChars="0" w:firstLine="0" w:firstLineChars="0"/>
                    <w:jc w:val="center"/>
                    <w:rPr>
                      <w:rFonts w:hint="default" w:ascii="Times New Roman" w:hAnsi="Times New Roman" w:eastAsia="宋体" w:cs="Times New Roman"/>
                      <w:snapToGrid w:val="0"/>
                      <w:color w:val="auto"/>
                      <w:sz w:val="18"/>
                      <w:szCs w:val="18"/>
                      <w:lang w:val="en-US" w:eastAsia="zh-CN" w:bidi="ar-SA"/>
                    </w:rPr>
                  </w:pPr>
                  <w:r>
                    <w:rPr>
                      <w:rFonts w:hint="eastAsia" w:cs="Times New Roman"/>
                      <w:snapToGrid w:val="0"/>
                      <w:color w:val="auto"/>
                      <w:kern w:val="21"/>
                      <w:sz w:val="18"/>
                      <w:szCs w:val="18"/>
                      <w:lang w:val="en-US" w:eastAsia="zh-CN" w:bidi="ar-SA"/>
                    </w:rPr>
                    <w:t>1.5097/0.3814</w:t>
                  </w:r>
                </w:p>
              </w:tc>
            </w:tr>
            <w:tr w14:paraId="2C3E57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974" w:type="dxa"/>
                  <w:tcBorders>
                    <w:tl2br w:val="nil"/>
                    <w:tr2bl w:val="nil"/>
                  </w:tcBorders>
                  <w:vAlign w:val="center"/>
                </w:tcPr>
                <w:p w14:paraId="5DABD7D3">
                  <w:pPr>
                    <w:adjustRightInd w:val="0"/>
                    <w:spacing w:line="240" w:lineRule="auto"/>
                    <w:ind w:right="55"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拟建项目新增排放量</w:t>
                  </w:r>
                </w:p>
              </w:tc>
              <w:tc>
                <w:tcPr>
                  <w:tcW w:w="1346" w:type="dxa"/>
                  <w:tcBorders>
                    <w:tl2br w:val="nil"/>
                    <w:tr2bl w:val="nil"/>
                  </w:tcBorders>
                  <w:vAlign w:val="center"/>
                </w:tcPr>
                <w:p w14:paraId="56D2D385">
                  <w:pPr>
                    <w:adjustRightInd w:val="0"/>
                    <w:spacing w:line="240" w:lineRule="auto"/>
                    <w:ind w:left="0" w:leftChars="0" w:right="55" w:rightChars="0" w:firstLine="0" w:firstLineChars="0"/>
                    <w:jc w:val="center"/>
                    <w:rPr>
                      <w:rFonts w:hint="default" w:ascii="Times New Roman" w:hAnsi="Times New Roman" w:eastAsia="宋体" w:cs="Times New Roman"/>
                      <w:color w:val="auto"/>
                      <w:sz w:val="18"/>
                      <w:szCs w:val="18"/>
                      <w:lang w:val="en-US" w:eastAsia="zh-CN" w:bidi="ar-SA"/>
                    </w:rPr>
                  </w:pPr>
                  <w:r>
                    <w:rPr>
                      <w:rFonts w:hint="eastAsia" w:cs="Times New Roman"/>
                      <w:color w:val="auto"/>
                      <w:sz w:val="18"/>
                      <w:szCs w:val="18"/>
                      <w:lang w:val="en-US" w:eastAsia="zh-CN" w:bidi="ar-SA"/>
                    </w:rPr>
                    <w:t>0</w:t>
                  </w:r>
                </w:p>
              </w:tc>
              <w:tc>
                <w:tcPr>
                  <w:tcW w:w="1015" w:type="dxa"/>
                  <w:tcBorders>
                    <w:tl2br w:val="nil"/>
                    <w:tr2bl w:val="nil"/>
                  </w:tcBorders>
                  <w:vAlign w:val="center"/>
                </w:tcPr>
                <w:p w14:paraId="58D7E491">
                  <w:pPr>
                    <w:adjustRightInd w:val="0"/>
                    <w:spacing w:line="240" w:lineRule="auto"/>
                    <w:ind w:left="0" w:leftChars="0" w:right="55" w:rightChars="0" w:firstLine="0" w:firstLineChars="0"/>
                    <w:jc w:val="center"/>
                    <w:rPr>
                      <w:rFonts w:hint="default" w:ascii="Times New Roman" w:hAnsi="Times New Roman" w:eastAsia="宋体" w:cs="Times New Roman"/>
                      <w:snapToGrid w:val="0"/>
                      <w:color w:val="auto"/>
                      <w:sz w:val="18"/>
                      <w:szCs w:val="18"/>
                      <w:lang w:val="en-US" w:eastAsia="zh-CN" w:bidi="ar-SA"/>
                    </w:rPr>
                  </w:pPr>
                  <w:r>
                    <w:rPr>
                      <w:rFonts w:hint="eastAsia" w:cs="Times New Roman"/>
                      <w:color w:val="auto"/>
                      <w:sz w:val="18"/>
                      <w:szCs w:val="18"/>
                      <w:lang w:val="en-US" w:eastAsia="zh-CN" w:bidi="ar-SA"/>
                    </w:rPr>
                    <w:t>0</w:t>
                  </w:r>
                </w:p>
              </w:tc>
              <w:tc>
                <w:tcPr>
                  <w:tcW w:w="1421" w:type="dxa"/>
                  <w:tcBorders>
                    <w:tl2br w:val="nil"/>
                    <w:tr2bl w:val="nil"/>
                  </w:tcBorders>
                  <w:vAlign w:val="center"/>
                </w:tcPr>
                <w:p w14:paraId="517B37C8">
                  <w:pPr>
                    <w:adjustRightInd w:val="0"/>
                    <w:spacing w:line="240" w:lineRule="auto"/>
                    <w:ind w:left="0" w:leftChars="0" w:right="55" w:rightChars="0" w:firstLine="0" w:firstLineChars="0"/>
                    <w:jc w:val="center"/>
                    <w:rPr>
                      <w:rFonts w:hint="default"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0.0090/</w:t>
                  </w:r>
                  <w:r>
                    <w:rPr>
                      <w:rFonts w:hint="eastAsia" w:cs="Times New Roman"/>
                      <w:color w:val="auto"/>
                      <w:kern w:val="2"/>
                      <w:sz w:val="18"/>
                      <w:szCs w:val="18"/>
                      <w:lang w:val="en-US" w:eastAsia="zh-CN" w:bidi="ar-SA"/>
                    </w:rPr>
                    <w:t>0.0970</w:t>
                  </w:r>
                </w:p>
              </w:tc>
              <w:tc>
                <w:tcPr>
                  <w:tcW w:w="1380" w:type="dxa"/>
                  <w:tcBorders>
                    <w:tl2br w:val="nil"/>
                    <w:tr2bl w:val="nil"/>
                  </w:tcBorders>
                  <w:vAlign w:val="center"/>
                </w:tcPr>
                <w:p w14:paraId="464125AF">
                  <w:pPr>
                    <w:adjustRightInd w:val="0"/>
                    <w:spacing w:line="240" w:lineRule="auto"/>
                    <w:ind w:left="0" w:leftChars="0" w:right="55" w:rightChars="0" w:firstLine="0" w:firstLineChars="0"/>
                    <w:jc w:val="center"/>
                    <w:rPr>
                      <w:rFonts w:hint="default"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0.296/</w:t>
                  </w:r>
                  <w:r>
                    <w:rPr>
                      <w:rFonts w:hint="eastAsia" w:cs="Times New Roman"/>
                      <w:color w:val="auto"/>
                      <w:kern w:val="2"/>
                      <w:sz w:val="18"/>
                      <w:szCs w:val="18"/>
                      <w:lang w:val="en-US" w:eastAsia="zh-CN" w:bidi="ar-SA"/>
                    </w:rPr>
                    <w:t>0.3277</w:t>
                  </w:r>
                </w:p>
              </w:tc>
            </w:tr>
            <w:tr w14:paraId="488799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974" w:type="dxa"/>
                  <w:tcBorders>
                    <w:tl2br w:val="nil"/>
                    <w:tr2bl w:val="nil"/>
                  </w:tcBorders>
                  <w:vAlign w:val="center"/>
                </w:tcPr>
                <w:p w14:paraId="770DE196">
                  <w:pPr>
                    <w:adjustRightInd w:val="0"/>
                    <w:spacing w:line="240" w:lineRule="auto"/>
                    <w:ind w:right="55"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以新带老削减量</w:t>
                  </w:r>
                </w:p>
              </w:tc>
              <w:tc>
                <w:tcPr>
                  <w:tcW w:w="1346" w:type="dxa"/>
                  <w:tcBorders>
                    <w:tl2br w:val="nil"/>
                    <w:tr2bl w:val="nil"/>
                  </w:tcBorders>
                  <w:vAlign w:val="center"/>
                </w:tcPr>
                <w:p w14:paraId="64D6A437">
                  <w:pPr>
                    <w:adjustRightInd w:val="0"/>
                    <w:spacing w:line="240" w:lineRule="auto"/>
                    <w:ind w:left="0" w:leftChars="0" w:right="55" w:rightChars="0" w:firstLine="0" w:firstLineChars="0"/>
                    <w:jc w:val="center"/>
                    <w:rPr>
                      <w:rFonts w:hint="default" w:ascii="Times New Roman" w:hAnsi="Times New Roman" w:eastAsia="宋体" w:cs="Times New Roman"/>
                      <w:snapToGrid w:val="0"/>
                      <w:color w:val="auto"/>
                      <w:sz w:val="18"/>
                      <w:szCs w:val="18"/>
                      <w:lang w:val="en-US" w:eastAsia="zh-CN" w:bidi="ar-SA"/>
                    </w:rPr>
                  </w:pPr>
                  <w:r>
                    <w:rPr>
                      <w:rFonts w:hint="eastAsia" w:cs="Times New Roman"/>
                      <w:color w:val="auto"/>
                      <w:sz w:val="18"/>
                      <w:szCs w:val="18"/>
                      <w:lang w:val="en-US" w:eastAsia="zh-CN" w:bidi="ar-SA"/>
                    </w:rPr>
                    <w:t>0</w:t>
                  </w:r>
                </w:p>
              </w:tc>
              <w:tc>
                <w:tcPr>
                  <w:tcW w:w="1015" w:type="dxa"/>
                  <w:tcBorders>
                    <w:tl2br w:val="nil"/>
                    <w:tr2bl w:val="nil"/>
                  </w:tcBorders>
                  <w:vAlign w:val="center"/>
                </w:tcPr>
                <w:p w14:paraId="171B584A">
                  <w:pPr>
                    <w:adjustRightInd w:val="0"/>
                    <w:spacing w:line="240" w:lineRule="auto"/>
                    <w:ind w:left="0" w:leftChars="0" w:right="55" w:rightChars="0" w:firstLine="0" w:firstLineChars="0"/>
                    <w:jc w:val="center"/>
                    <w:rPr>
                      <w:rFonts w:hint="default" w:ascii="Times New Roman" w:hAnsi="Times New Roman" w:eastAsia="宋体" w:cs="Times New Roman"/>
                      <w:snapToGrid w:val="0"/>
                      <w:color w:val="auto"/>
                      <w:sz w:val="18"/>
                      <w:szCs w:val="18"/>
                      <w:lang w:val="en-US" w:eastAsia="zh-CN" w:bidi="ar-SA"/>
                    </w:rPr>
                  </w:pPr>
                  <w:r>
                    <w:rPr>
                      <w:rFonts w:hint="eastAsia" w:cs="Times New Roman"/>
                      <w:color w:val="auto"/>
                      <w:sz w:val="18"/>
                      <w:szCs w:val="18"/>
                      <w:lang w:val="en-US" w:eastAsia="zh-CN" w:bidi="ar-SA"/>
                    </w:rPr>
                    <w:t>0</w:t>
                  </w:r>
                </w:p>
              </w:tc>
              <w:tc>
                <w:tcPr>
                  <w:tcW w:w="1421" w:type="dxa"/>
                  <w:tcBorders>
                    <w:tl2br w:val="nil"/>
                    <w:tr2bl w:val="nil"/>
                  </w:tcBorders>
                  <w:vAlign w:val="center"/>
                </w:tcPr>
                <w:p w14:paraId="13317CBD">
                  <w:pPr>
                    <w:adjustRightInd w:val="0"/>
                    <w:spacing w:line="240" w:lineRule="auto"/>
                    <w:ind w:left="0" w:leftChars="0" w:right="55" w:rightChars="0" w:firstLine="0" w:firstLineChars="0"/>
                    <w:jc w:val="center"/>
                    <w:rPr>
                      <w:rFonts w:hint="default" w:ascii="Times New Roman" w:hAnsi="Times New Roman" w:eastAsia="宋体" w:cs="Times New Roman"/>
                      <w:snapToGrid w:val="0"/>
                      <w:color w:val="auto"/>
                      <w:sz w:val="18"/>
                      <w:szCs w:val="18"/>
                      <w:lang w:val="en-US" w:eastAsia="zh-CN" w:bidi="ar-SA"/>
                    </w:rPr>
                  </w:pPr>
                  <w:r>
                    <w:rPr>
                      <w:rFonts w:hint="eastAsia" w:cs="Times New Roman"/>
                      <w:color w:val="auto"/>
                      <w:sz w:val="18"/>
                      <w:szCs w:val="18"/>
                      <w:lang w:val="en-US" w:eastAsia="zh-CN" w:bidi="ar-SA"/>
                    </w:rPr>
                    <w:t>0</w:t>
                  </w:r>
                </w:p>
              </w:tc>
              <w:tc>
                <w:tcPr>
                  <w:tcW w:w="1380" w:type="dxa"/>
                  <w:tcBorders>
                    <w:tl2br w:val="nil"/>
                    <w:tr2bl w:val="nil"/>
                  </w:tcBorders>
                  <w:vAlign w:val="center"/>
                </w:tcPr>
                <w:p w14:paraId="3C571534">
                  <w:pPr>
                    <w:adjustRightInd w:val="0"/>
                    <w:spacing w:line="240" w:lineRule="auto"/>
                    <w:ind w:left="0" w:leftChars="0" w:right="55" w:righ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w:t>
                  </w:r>
                </w:p>
              </w:tc>
            </w:tr>
            <w:tr w14:paraId="5E0F85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2974" w:type="dxa"/>
                  <w:tcBorders>
                    <w:tl2br w:val="nil"/>
                    <w:tr2bl w:val="nil"/>
                  </w:tcBorders>
                  <w:vAlign w:val="center"/>
                </w:tcPr>
                <w:p w14:paraId="5E7E114B">
                  <w:pPr>
                    <w:adjustRightInd w:val="0"/>
                    <w:spacing w:line="240" w:lineRule="auto"/>
                    <w:ind w:right="55"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全厂排放量</w:t>
                  </w:r>
                </w:p>
              </w:tc>
              <w:tc>
                <w:tcPr>
                  <w:tcW w:w="1346" w:type="dxa"/>
                  <w:tcBorders>
                    <w:tl2br w:val="nil"/>
                    <w:tr2bl w:val="nil"/>
                  </w:tcBorders>
                  <w:vAlign w:val="center"/>
                </w:tcPr>
                <w:p w14:paraId="26F88AC3">
                  <w:pPr>
                    <w:adjustRightInd w:val="0"/>
                    <w:spacing w:line="240" w:lineRule="auto"/>
                    <w:ind w:left="0" w:leftChars="0" w:right="55" w:rightChars="0" w:firstLine="0" w:firstLineChars="0"/>
                    <w:jc w:val="center"/>
                    <w:rPr>
                      <w:rFonts w:hint="default" w:ascii="Times New Roman" w:hAnsi="Times New Roman" w:eastAsia="宋体" w:cs="Times New Roman"/>
                      <w:snapToGrid w:val="0"/>
                      <w:color w:val="auto"/>
                      <w:sz w:val="18"/>
                      <w:szCs w:val="18"/>
                      <w:lang w:val="en-US" w:eastAsia="zh-CN" w:bidi="ar-SA"/>
                    </w:rPr>
                  </w:pPr>
                  <w:r>
                    <w:rPr>
                      <w:rFonts w:hint="eastAsia" w:cs="Times New Roman"/>
                      <w:color w:val="auto"/>
                      <w:sz w:val="18"/>
                      <w:szCs w:val="18"/>
                      <w:lang w:val="en-US" w:eastAsia="zh-CN" w:bidi="ar-SA"/>
                    </w:rPr>
                    <w:t>0</w:t>
                  </w:r>
                </w:p>
              </w:tc>
              <w:tc>
                <w:tcPr>
                  <w:tcW w:w="1015" w:type="dxa"/>
                  <w:tcBorders>
                    <w:tl2br w:val="nil"/>
                    <w:tr2bl w:val="nil"/>
                  </w:tcBorders>
                  <w:vAlign w:val="center"/>
                </w:tcPr>
                <w:p w14:paraId="54C34F82">
                  <w:pPr>
                    <w:adjustRightInd w:val="0"/>
                    <w:spacing w:line="240" w:lineRule="auto"/>
                    <w:ind w:left="0" w:leftChars="0" w:right="55" w:rightChars="0" w:firstLine="0" w:firstLineChars="0"/>
                    <w:jc w:val="center"/>
                    <w:rPr>
                      <w:rFonts w:hint="default" w:ascii="Times New Roman" w:hAnsi="Times New Roman" w:eastAsia="宋体" w:cs="Times New Roman"/>
                      <w:snapToGrid w:val="0"/>
                      <w:color w:val="auto"/>
                      <w:sz w:val="18"/>
                      <w:szCs w:val="18"/>
                      <w:lang w:val="en-US" w:eastAsia="zh-CN" w:bidi="ar-SA"/>
                    </w:rPr>
                  </w:pPr>
                  <w:r>
                    <w:rPr>
                      <w:rFonts w:hint="eastAsia" w:cs="Times New Roman"/>
                      <w:color w:val="auto"/>
                      <w:sz w:val="18"/>
                      <w:szCs w:val="18"/>
                      <w:lang w:val="en-US" w:eastAsia="zh-CN" w:bidi="ar-SA"/>
                    </w:rPr>
                    <w:t>0</w:t>
                  </w:r>
                </w:p>
              </w:tc>
              <w:tc>
                <w:tcPr>
                  <w:tcW w:w="1421" w:type="dxa"/>
                  <w:tcBorders>
                    <w:tl2br w:val="nil"/>
                    <w:tr2bl w:val="nil"/>
                  </w:tcBorders>
                  <w:vAlign w:val="center"/>
                </w:tcPr>
                <w:p w14:paraId="04EDE4CF">
                  <w:pPr>
                    <w:adjustRightInd w:val="0"/>
                    <w:spacing w:line="240" w:lineRule="auto"/>
                    <w:ind w:left="0" w:leftChars="0" w:right="55" w:rightChars="0" w:firstLine="0" w:firstLineChars="0"/>
                    <w:jc w:val="center"/>
                    <w:rPr>
                      <w:rFonts w:hint="default" w:ascii="Times New Roman" w:hAnsi="Times New Roman" w:eastAsia="宋体" w:cs="Times New Roman"/>
                      <w:snapToGrid w:val="0"/>
                      <w:color w:val="auto"/>
                      <w:sz w:val="18"/>
                      <w:szCs w:val="18"/>
                      <w:lang w:val="en-US" w:eastAsia="zh-CN" w:bidi="ar-SA"/>
                    </w:rPr>
                  </w:pPr>
                  <w:r>
                    <w:rPr>
                      <w:rFonts w:hint="eastAsia"/>
                      <w:color w:val="auto"/>
                      <w:sz w:val="18"/>
                      <w:szCs w:val="18"/>
                      <w:lang w:val="en-US" w:eastAsia="zh-CN"/>
                    </w:rPr>
                    <w:t>0.0090/</w:t>
                  </w:r>
                  <w:r>
                    <w:rPr>
                      <w:rFonts w:hint="eastAsia" w:cs="Times New Roman"/>
                      <w:color w:val="auto"/>
                      <w:kern w:val="2"/>
                      <w:sz w:val="18"/>
                      <w:szCs w:val="18"/>
                      <w:lang w:val="en-US" w:eastAsia="zh-CN" w:bidi="ar-SA"/>
                    </w:rPr>
                    <w:t>0.0970</w:t>
                  </w:r>
                </w:p>
              </w:tc>
              <w:tc>
                <w:tcPr>
                  <w:tcW w:w="1380" w:type="dxa"/>
                  <w:tcBorders>
                    <w:tl2br w:val="nil"/>
                    <w:tr2bl w:val="nil"/>
                  </w:tcBorders>
                  <w:vAlign w:val="center"/>
                </w:tcPr>
                <w:p w14:paraId="76317487">
                  <w:pPr>
                    <w:adjustRightInd w:val="0"/>
                    <w:spacing w:line="240" w:lineRule="auto"/>
                    <w:ind w:left="0" w:leftChars="0" w:right="55" w:righ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1.8057/0.7091</w:t>
                  </w:r>
                </w:p>
              </w:tc>
            </w:tr>
            <w:tr w14:paraId="40E6ED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2974" w:type="dxa"/>
                  <w:tcBorders>
                    <w:tl2br w:val="nil"/>
                    <w:tr2bl w:val="nil"/>
                  </w:tcBorders>
                  <w:vAlign w:val="center"/>
                </w:tcPr>
                <w:p w14:paraId="21033033">
                  <w:pPr>
                    <w:adjustRightInd w:val="0"/>
                    <w:spacing w:line="240" w:lineRule="auto"/>
                    <w:ind w:right="55" w:firstLine="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排放新增量</w:t>
                  </w:r>
                </w:p>
              </w:tc>
              <w:tc>
                <w:tcPr>
                  <w:tcW w:w="1346" w:type="dxa"/>
                  <w:tcBorders>
                    <w:tl2br w:val="nil"/>
                    <w:tr2bl w:val="nil"/>
                  </w:tcBorders>
                  <w:vAlign w:val="center"/>
                </w:tcPr>
                <w:p w14:paraId="13BABC2E">
                  <w:pPr>
                    <w:adjustRightInd w:val="0"/>
                    <w:spacing w:line="240" w:lineRule="auto"/>
                    <w:ind w:left="0" w:leftChars="0" w:right="55" w:rightChars="0" w:firstLine="0" w:firstLineChars="0"/>
                    <w:jc w:val="center"/>
                    <w:rPr>
                      <w:rFonts w:hint="default" w:ascii="Times New Roman" w:hAnsi="Times New Roman" w:eastAsia="宋体" w:cs="Times New Roman"/>
                      <w:snapToGrid w:val="0"/>
                      <w:color w:val="auto"/>
                      <w:sz w:val="18"/>
                      <w:szCs w:val="18"/>
                      <w:lang w:val="en-US" w:eastAsia="zh-CN" w:bidi="ar-SA"/>
                    </w:rPr>
                  </w:pPr>
                  <w:r>
                    <w:rPr>
                      <w:rFonts w:hint="eastAsia" w:cs="Times New Roman"/>
                      <w:color w:val="auto"/>
                      <w:sz w:val="18"/>
                      <w:szCs w:val="18"/>
                      <w:lang w:val="en-US" w:eastAsia="zh-CN" w:bidi="ar-SA"/>
                    </w:rPr>
                    <w:t>0</w:t>
                  </w:r>
                </w:p>
              </w:tc>
              <w:tc>
                <w:tcPr>
                  <w:tcW w:w="1015" w:type="dxa"/>
                  <w:tcBorders>
                    <w:tl2br w:val="nil"/>
                    <w:tr2bl w:val="nil"/>
                  </w:tcBorders>
                  <w:vAlign w:val="center"/>
                </w:tcPr>
                <w:p w14:paraId="4BB27811">
                  <w:pPr>
                    <w:adjustRightInd w:val="0"/>
                    <w:spacing w:line="240" w:lineRule="auto"/>
                    <w:ind w:left="0" w:leftChars="0" w:right="55" w:rightChars="0" w:firstLine="0" w:firstLineChars="0"/>
                    <w:jc w:val="center"/>
                    <w:rPr>
                      <w:rFonts w:hint="default" w:ascii="Times New Roman" w:hAnsi="Times New Roman" w:eastAsia="宋体" w:cs="Times New Roman"/>
                      <w:snapToGrid w:val="0"/>
                      <w:color w:val="auto"/>
                      <w:sz w:val="18"/>
                      <w:szCs w:val="18"/>
                      <w:lang w:val="en-US" w:eastAsia="zh-CN" w:bidi="ar-SA"/>
                    </w:rPr>
                  </w:pPr>
                  <w:r>
                    <w:rPr>
                      <w:rFonts w:hint="eastAsia" w:cs="Times New Roman"/>
                      <w:color w:val="auto"/>
                      <w:sz w:val="18"/>
                      <w:szCs w:val="18"/>
                      <w:lang w:val="en-US" w:eastAsia="zh-CN" w:bidi="ar-SA"/>
                    </w:rPr>
                    <w:t>0</w:t>
                  </w:r>
                </w:p>
              </w:tc>
              <w:tc>
                <w:tcPr>
                  <w:tcW w:w="1421" w:type="dxa"/>
                  <w:tcBorders>
                    <w:tl2br w:val="nil"/>
                    <w:tr2bl w:val="nil"/>
                  </w:tcBorders>
                  <w:shd w:val="clear" w:color="auto" w:fill="auto"/>
                  <w:vAlign w:val="center"/>
                </w:tcPr>
                <w:p w14:paraId="7359B152">
                  <w:pPr>
                    <w:adjustRightInd w:val="0"/>
                    <w:spacing w:line="240" w:lineRule="auto"/>
                    <w:ind w:left="0" w:leftChars="0" w:right="55" w:rightChars="0" w:firstLine="0" w:firstLineChars="0"/>
                    <w:jc w:val="center"/>
                    <w:rPr>
                      <w:rFonts w:hint="default" w:ascii="Times New Roman" w:hAnsi="Times New Roman" w:eastAsia="宋体" w:cs="Times New Roman"/>
                      <w:snapToGrid w:val="0"/>
                      <w:color w:val="auto"/>
                      <w:kern w:val="2"/>
                      <w:sz w:val="18"/>
                      <w:szCs w:val="18"/>
                      <w:lang w:val="en-US" w:eastAsia="zh-CN" w:bidi="ar-SA"/>
                    </w:rPr>
                  </w:pPr>
                  <w:r>
                    <w:rPr>
                      <w:rFonts w:hint="eastAsia"/>
                      <w:color w:val="auto"/>
                      <w:sz w:val="18"/>
                      <w:szCs w:val="18"/>
                      <w:lang w:val="en-US" w:eastAsia="zh-CN"/>
                    </w:rPr>
                    <w:t>0.0090/</w:t>
                  </w:r>
                  <w:r>
                    <w:rPr>
                      <w:rFonts w:hint="eastAsia" w:cs="Times New Roman"/>
                      <w:color w:val="auto"/>
                      <w:kern w:val="2"/>
                      <w:sz w:val="18"/>
                      <w:szCs w:val="18"/>
                      <w:lang w:val="en-US" w:eastAsia="zh-CN" w:bidi="ar-SA"/>
                    </w:rPr>
                    <w:t>0.0970</w:t>
                  </w:r>
                </w:p>
              </w:tc>
              <w:tc>
                <w:tcPr>
                  <w:tcW w:w="1380" w:type="dxa"/>
                  <w:tcBorders>
                    <w:tl2br w:val="nil"/>
                    <w:tr2bl w:val="nil"/>
                  </w:tcBorders>
                  <w:shd w:val="clear" w:color="auto" w:fill="auto"/>
                  <w:vAlign w:val="center"/>
                </w:tcPr>
                <w:p w14:paraId="00B076E0">
                  <w:pPr>
                    <w:adjustRightInd w:val="0"/>
                    <w:spacing w:line="240" w:lineRule="auto"/>
                    <w:ind w:left="0" w:leftChars="0" w:right="55" w:rightChars="0" w:firstLine="0" w:firstLineChars="0"/>
                    <w:jc w:val="center"/>
                    <w:rPr>
                      <w:rFonts w:hint="default" w:ascii="Times New Roman" w:hAnsi="Times New Roman" w:eastAsia="宋体" w:cs="Times New Roman"/>
                      <w:snapToGrid w:val="0"/>
                      <w:color w:val="auto"/>
                      <w:kern w:val="2"/>
                      <w:sz w:val="18"/>
                      <w:szCs w:val="18"/>
                      <w:lang w:val="en-US" w:eastAsia="zh-CN" w:bidi="ar-SA"/>
                    </w:rPr>
                  </w:pPr>
                  <w:r>
                    <w:rPr>
                      <w:rFonts w:hint="eastAsia"/>
                      <w:color w:val="auto"/>
                      <w:sz w:val="18"/>
                      <w:szCs w:val="18"/>
                      <w:lang w:val="en-US" w:eastAsia="zh-CN"/>
                    </w:rPr>
                    <w:t>0.296/</w:t>
                  </w:r>
                  <w:r>
                    <w:rPr>
                      <w:rFonts w:hint="eastAsia" w:cs="Times New Roman"/>
                      <w:color w:val="auto"/>
                      <w:kern w:val="2"/>
                      <w:sz w:val="18"/>
                      <w:szCs w:val="18"/>
                      <w:lang w:val="en-US" w:eastAsia="zh-CN" w:bidi="ar-SA"/>
                    </w:rPr>
                    <w:t>0.3277</w:t>
                  </w:r>
                </w:p>
              </w:tc>
            </w:tr>
          </w:tbl>
          <w:p w14:paraId="1C796DA7">
            <w:pPr>
              <w:autoSpaceDE w:val="0"/>
              <w:autoSpaceDN w:val="0"/>
              <w:adjustRightInd w:val="0"/>
              <w:spacing w:line="360" w:lineRule="auto"/>
              <w:rPr>
                <w:rFonts w:hint="default" w:ascii="Times New Roman" w:hAnsi="Times New Roman" w:cs="Times New Roman"/>
                <w:color w:val="auto"/>
                <w:kern w:val="0"/>
                <w:sz w:val="21"/>
                <w:szCs w:val="21"/>
                <w:highlight w:val="none"/>
              </w:rPr>
            </w:pPr>
            <w:r>
              <w:rPr>
                <w:rFonts w:hint="default" w:ascii="Times New Roman" w:hAnsi="Times New Roman" w:cs="Times New Roman"/>
                <w:b/>
                <w:bCs/>
                <w:color w:val="auto"/>
                <w:kern w:val="0"/>
                <w:sz w:val="21"/>
                <w:szCs w:val="21"/>
                <w:highlight w:val="none"/>
              </w:rPr>
              <w:t>本项目污染物排放总量控制建议指标如下：</w:t>
            </w:r>
          </w:p>
          <w:p w14:paraId="6A7C2EA3">
            <w:pPr>
              <w:autoSpaceDE w:val="0"/>
              <w:autoSpaceDN w:val="0"/>
              <w:adjustRightInd w:val="0"/>
              <w:spacing w:line="360" w:lineRule="auto"/>
              <w:rPr>
                <w:rFonts w:hint="default" w:ascii="Times New Roman" w:hAnsi="Times New Roman" w:cs="Times New Roman"/>
                <w:color w:val="auto"/>
                <w:kern w:val="0"/>
                <w:sz w:val="21"/>
                <w:szCs w:val="21"/>
                <w:highlight w:val="none"/>
              </w:rPr>
            </w:pPr>
            <w:r>
              <w:rPr>
                <w:rFonts w:hint="default" w:ascii="Calibri" w:hAnsi="Calibri" w:cs="Calibri"/>
                <w:color w:val="auto"/>
                <w:kern w:val="0"/>
                <w:sz w:val="21"/>
                <w:szCs w:val="21"/>
                <w:highlight w:val="none"/>
              </w:rPr>
              <w:t>①</w:t>
            </w:r>
            <w:r>
              <w:rPr>
                <w:rFonts w:hint="default" w:ascii="Times New Roman" w:hAnsi="Times New Roman" w:cs="Times New Roman"/>
                <w:color w:val="auto"/>
                <w:kern w:val="0"/>
                <w:sz w:val="21"/>
                <w:szCs w:val="21"/>
                <w:highlight w:val="none"/>
              </w:rPr>
              <w:t>废气污染物：</w:t>
            </w:r>
          </w:p>
          <w:p w14:paraId="72B8A87E">
            <w:pPr>
              <w:autoSpaceDE w:val="0"/>
              <w:autoSpaceDN w:val="0"/>
              <w:adjustRightInd w:val="0"/>
              <w:spacing w:line="360" w:lineRule="auto"/>
              <w:ind w:firstLine="420" w:firstLineChars="200"/>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本项目有组织</w:t>
            </w:r>
            <w:r>
              <w:rPr>
                <w:rFonts w:hint="eastAsia" w:cs="Times New Roman"/>
                <w:color w:val="auto"/>
                <w:kern w:val="0"/>
                <w:sz w:val="21"/>
                <w:szCs w:val="21"/>
                <w:highlight w:val="none"/>
                <w:u w:val="none"/>
                <w:lang w:val="en-US" w:eastAsia="zh-CN"/>
              </w:rPr>
              <w:t>颗粒物</w:t>
            </w:r>
            <w:r>
              <w:rPr>
                <w:rFonts w:hint="default" w:ascii="Times New Roman" w:hAnsi="Times New Roman" w:cs="Times New Roman"/>
                <w:color w:val="auto"/>
                <w:kern w:val="0"/>
                <w:sz w:val="21"/>
                <w:szCs w:val="21"/>
                <w:highlight w:val="none"/>
                <w:u w:val="none"/>
              </w:rPr>
              <w:t>排放量为</w:t>
            </w:r>
            <w:r>
              <w:rPr>
                <w:rFonts w:hint="eastAsia" w:cs="Times New Roman"/>
                <w:color w:val="auto"/>
                <w:kern w:val="0"/>
                <w:sz w:val="21"/>
                <w:szCs w:val="21"/>
                <w:highlight w:val="none"/>
                <w:u w:val="none"/>
                <w:lang w:val="en-US" w:eastAsia="zh-CN"/>
              </w:rPr>
              <w:t>0.0090</w:t>
            </w:r>
            <w:r>
              <w:rPr>
                <w:rFonts w:hint="default" w:ascii="Times New Roman" w:hAnsi="Times New Roman" w:cs="Times New Roman"/>
                <w:color w:val="auto"/>
                <w:kern w:val="0"/>
                <w:sz w:val="21"/>
                <w:szCs w:val="21"/>
                <w:highlight w:val="none"/>
                <w:u w:val="none"/>
              </w:rPr>
              <w:t>t/a、</w:t>
            </w:r>
            <w:r>
              <w:rPr>
                <w:rFonts w:hint="eastAsia" w:cs="Times New Roman"/>
                <w:color w:val="auto"/>
                <w:kern w:val="0"/>
                <w:sz w:val="21"/>
                <w:szCs w:val="21"/>
                <w:highlight w:val="none"/>
                <w:u w:val="none"/>
                <w:lang w:val="en-US" w:eastAsia="zh-CN"/>
              </w:rPr>
              <w:t>VOCs</w:t>
            </w:r>
            <w:r>
              <w:rPr>
                <w:rFonts w:hint="default" w:ascii="Times New Roman" w:hAnsi="Times New Roman" w:cs="Times New Roman"/>
                <w:color w:val="auto"/>
                <w:kern w:val="0"/>
                <w:sz w:val="21"/>
                <w:szCs w:val="21"/>
                <w:highlight w:val="none"/>
                <w:u w:val="none"/>
              </w:rPr>
              <w:t>排放量为</w:t>
            </w:r>
            <w:r>
              <w:rPr>
                <w:rFonts w:hint="eastAsia" w:cs="Times New Roman"/>
                <w:color w:val="auto"/>
                <w:kern w:val="0"/>
                <w:sz w:val="21"/>
                <w:szCs w:val="21"/>
                <w:highlight w:val="none"/>
                <w:u w:val="none"/>
                <w:lang w:val="en-US" w:eastAsia="zh-CN"/>
              </w:rPr>
              <w:t>0.296</w:t>
            </w:r>
            <w:r>
              <w:rPr>
                <w:rFonts w:hint="default" w:ascii="Times New Roman" w:hAnsi="Times New Roman" w:cs="Times New Roman"/>
                <w:color w:val="auto"/>
                <w:kern w:val="0"/>
                <w:sz w:val="21"/>
                <w:szCs w:val="21"/>
                <w:highlight w:val="none"/>
                <w:u w:val="none"/>
              </w:rPr>
              <w:t>t/a</w:t>
            </w:r>
            <w:r>
              <w:rPr>
                <w:rFonts w:hint="eastAsia" w:ascii="Times New Roman" w:hAnsi="Times New Roman" w:cs="Times New Roman"/>
                <w:color w:val="auto"/>
                <w:kern w:val="0"/>
                <w:sz w:val="21"/>
                <w:szCs w:val="21"/>
                <w:highlight w:val="none"/>
                <w:u w:val="none"/>
                <w:lang w:eastAsia="zh-CN"/>
              </w:rPr>
              <w:t>；</w:t>
            </w:r>
            <w:r>
              <w:rPr>
                <w:rFonts w:hint="default" w:ascii="Times New Roman" w:hAnsi="Times New Roman" w:cs="Times New Roman"/>
                <w:color w:val="auto"/>
                <w:kern w:val="0"/>
                <w:sz w:val="21"/>
                <w:szCs w:val="21"/>
                <w:highlight w:val="none"/>
                <w:u w:val="none"/>
              </w:rPr>
              <w:t>无组织</w:t>
            </w:r>
            <w:r>
              <w:rPr>
                <w:rFonts w:hint="eastAsia" w:cs="Times New Roman"/>
                <w:color w:val="auto"/>
                <w:kern w:val="0"/>
                <w:sz w:val="21"/>
                <w:szCs w:val="21"/>
                <w:highlight w:val="none"/>
                <w:u w:val="none"/>
                <w:lang w:val="en-US" w:eastAsia="zh-CN"/>
              </w:rPr>
              <w:t>颗粒物</w:t>
            </w:r>
            <w:r>
              <w:rPr>
                <w:rFonts w:hint="default" w:ascii="Times New Roman" w:hAnsi="Times New Roman" w:cs="Times New Roman"/>
                <w:color w:val="auto"/>
                <w:kern w:val="0"/>
                <w:sz w:val="21"/>
                <w:szCs w:val="21"/>
                <w:highlight w:val="none"/>
                <w:u w:val="none"/>
              </w:rPr>
              <w:t>排放量为</w:t>
            </w:r>
            <w:r>
              <w:rPr>
                <w:rFonts w:hint="eastAsia" w:cs="Times New Roman"/>
                <w:color w:val="auto"/>
                <w:kern w:val="0"/>
                <w:sz w:val="21"/>
                <w:szCs w:val="21"/>
                <w:highlight w:val="none"/>
                <w:u w:val="none"/>
                <w:lang w:val="en-US" w:eastAsia="zh-CN"/>
              </w:rPr>
              <w:t>0.0970</w:t>
            </w:r>
            <w:r>
              <w:rPr>
                <w:rFonts w:hint="default" w:ascii="Times New Roman" w:hAnsi="Times New Roman" w:cs="Times New Roman"/>
                <w:color w:val="auto"/>
                <w:kern w:val="0"/>
                <w:sz w:val="21"/>
                <w:szCs w:val="21"/>
                <w:highlight w:val="none"/>
                <w:u w:val="none"/>
              </w:rPr>
              <w:t>/a</w:t>
            </w:r>
            <w:r>
              <w:rPr>
                <w:rFonts w:hint="eastAsia" w:ascii="Times New Roman" w:hAnsi="Times New Roman" w:cs="Times New Roman"/>
                <w:color w:val="auto"/>
                <w:kern w:val="0"/>
                <w:sz w:val="21"/>
                <w:szCs w:val="21"/>
                <w:highlight w:val="none"/>
                <w:u w:val="none"/>
                <w:lang w:eastAsia="zh-CN"/>
              </w:rPr>
              <w:t>、</w:t>
            </w:r>
            <w:r>
              <w:rPr>
                <w:rFonts w:hint="eastAsia" w:cs="Times New Roman"/>
                <w:color w:val="auto"/>
                <w:kern w:val="0"/>
                <w:sz w:val="21"/>
                <w:szCs w:val="21"/>
                <w:highlight w:val="none"/>
                <w:u w:val="none"/>
                <w:lang w:val="en-US" w:eastAsia="zh-CN"/>
              </w:rPr>
              <w:t>VOCs</w:t>
            </w:r>
            <w:r>
              <w:rPr>
                <w:rFonts w:hint="default" w:ascii="Times New Roman" w:hAnsi="Times New Roman" w:cs="Times New Roman"/>
                <w:color w:val="auto"/>
                <w:kern w:val="0"/>
                <w:sz w:val="21"/>
                <w:szCs w:val="21"/>
                <w:highlight w:val="none"/>
                <w:u w:val="none"/>
              </w:rPr>
              <w:t>排放量为</w:t>
            </w:r>
            <w:r>
              <w:rPr>
                <w:rFonts w:hint="eastAsia" w:cs="Times New Roman"/>
                <w:color w:val="auto"/>
                <w:kern w:val="0"/>
                <w:sz w:val="21"/>
                <w:szCs w:val="21"/>
                <w:highlight w:val="none"/>
                <w:u w:val="none"/>
                <w:lang w:val="en-US" w:eastAsia="zh-CN"/>
              </w:rPr>
              <w:t>0.3277t</w:t>
            </w:r>
            <w:r>
              <w:rPr>
                <w:rFonts w:hint="default" w:ascii="Times New Roman" w:hAnsi="Times New Roman" w:cs="Times New Roman"/>
                <w:color w:val="auto"/>
                <w:kern w:val="0"/>
                <w:sz w:val="21"/>
                <w:szCs w:val="21"/>
                <w:highlight w:val="none"/>
                <w:u w:val="none"/>
              </w:rPr>
              <w:t>/a</w:t>
            </w:r>
            <w:r>
              <w:rPr>
                <w:rFonts w:hint="eastAsia" w:ascii="Times New Roman" w:hAnsi="Times New Roman" w:cs="Times New Roman"/>
                <w:color w:val="auto"/>
                <w:kern w:val="0"/>
                <w:sz w:val="21"/>
                <w:szCs w:val="21"/>
                <w:highlight w:val="none"/>
                <w:u w:val="none"/>
                <w:lang w:eastAsia="zh-CN"/>
              </w:rPr>
              <w:t>；</w:t>
            </w:r>
            <w:r>
              <w:rPr>
                <w:rFonts w:hint="default" w:ascii="Times New Roman" w:hAnsi="Times New Roman" w:cs="Times New Roman"/>
                <w:color w:val="auto"/>
                <w:kern w:val="0"/>
                <w:sz w:val="21"/>
                <w:szCs w:val="21"/>
                <w:highlight w:val="none"/>
                <w:u w:val="none"/>
              </w:rPr>
              <w:t>向</w:t>
            </w:r>
            <w:r>
              <w:rPr>
                <w:rFonts w:hint="eastAsia" w:cs="Times New Roman"/>
                <w:color w:val="auto"/>
                <w:kern w:val="0"/>
                <w:sz w:val="21"/>
                <w:szCs w:val="21"/>
                <w:highlight w:val="none"/>
                <w:u w:val="none"/>
                <w:lang w:eastAsia="zh-CN"/>
              </w:rPr>
              <w:t>南通市海门生态环境局</w:t>
            </w:r>
            <w:r>
              <w:rPr>
                <w:rFonts w:hint="default" w:ascii="Times New Roman" w:hAnsi="Times New Roman" w:cs="Times New Roman"/>
                <w:color w:val="auto"/>
                <w:kern w:val="0"/>
                <w:sz w:val="21"/>
                <w:szCs w:val="21"/>
                <w:highlight w:val="none"/>
                <w:u w:val="none"/>
              </w:rPr>
              <w:t>申请。</w:t>
            </w:r>
          </w:p>
          <w:p w14:paraId="628F54A5">
            <w:pPr>
              <w:autoSpaceDE w:val="0"/>
              <w:autoSpaceDN w:val="0"/>
              <w:adjustRightInd w:val="0"/>
              <w:spacing w:line="360" w:lineRule="auto"/>
              <w:rPr>
                <w:rFonts w:hint="default" w:ascii="Times New Roman" w:hAnsi="Times New Roman" w:cs="Times New Roman"/>
                <w:color w:val="auto"/>
                <w:kern w:val="0"/>
                <w:sz w:val="21"/>
                <w:szCs w:val="21"/>
                <w:highlight w:val="none"/>
                <w:u w:val="none"/>
              </w:rPr>
            </w:pPr>
            <w:r>
              <w:rPr>
                <w:rFonts w:hint="default" w:ascii="Calibri" w:hAnsi="Calibri" w:cs="Calibri"/>
                <w:color w:val="auto"/>
                <w:kern w:val="0"/>
                <w:sz w:val="21"/>
                <w:szCs w:val="21"/>
                <w:highlight w:val="none"/>
                <w:u w:val="none"/>
              </w:rPr>
              <w:t>②</w:t>
            </w:r>
            <w:r>
              <w:rPr>
                <w:rFonts w:hint="default" w:ascii="Times New Roman" w:hAnsi="Times New Roman" w:cs="Times New Roman"/>
                <w:color w:val="auto"/>
                <w:kern w:val="0"/>
                <w:sz w:val="21"/>
                <w:szCs w:val="21"/>
                <w:highlight w:val="none"/>
                <w:u w:val="none"/>
              </w:rPr>
              <w:t>废水污染物：</w:t>
            </w:r>
          </w:p>
          <w:p w14:paraId="268D1934">
            <w:pPr>
              <w:autoSpaceDE w:val="0"/>
              <w:autoSpaceDN w:val="0"/>
              <w:adjustRightInd w:val="0"/>
              <w:spacing w:line="360" w:lineRule="auto"/>
              <w:ind w:firstLine="420" w:firstLineChars="200"/>
              <w:rPr>
                <w:rFonts w:hint="default" w:ascii="Times New Roman" w:hAnsi="Times New Roman" w:eastAsia="宋体" w:cs="Times New Roman"/>
                <w:color w:val="auto"/>
                <w:kern w:val="0"/>
                <w:sz w:val="21"/>
                <w:szCs w:val="21"/>
                <w:highlight w:val="none"/>
                <w:u w:val="none"/>
                <w:lang w:val="en-US" w:eastAsia="zh-CN"/>
              </w:rPr>
            </w:pPr>
            <w:r>
              <w:rPr>
                <w:rFonts w:hint="default" w:ascii="Times New Roman" w:hAnsi="Times New Roman" w:cs="Times New Roman"/>
                <w:color w:val="auto"/>
                <w:kern w:val="0"/>
                <w:sz w:val="21"/>
                <w:szCs w:val="21"/>
                <w:highlight w:val="none"/>
                <w:u w:val="none"/>
              </w:rPr>
              <w:t>本项目</w:t>
            </w:r>
            <w:r>
              <w:rPr>
                <w:rFonts w:hint="eastAsia" w:cs="Times New Roman"/>
                <w:color w:val="auto"/>
                <w:kern w:val="0"/>
                <w:sz w:val="21"/>
                <w:szCs w:val="21"/>
                <w:highlight w:val="none"/>
                <w:u w:val="none"/>
                <w:lang w:val="en-US" w:eastAsia="zh-CN"/>
              </w:rPr>
              <w:t>不新增废水。</w:t>
            </w:r>
          </w:p>
          <w:p w14:paraId="0A06B745">
            <w:pPr>
              <w:autoSpaceDE w:val="0"/>
              <w:autoSpaceDN w:val="0"/>
              <w:adjustRightInd w:val="0"/>
              <w:spacing w:line="360" w:lineRule="auto"/>
              <w:ind w:firstLine="420" w:firstLineChars="200"/>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固体废物：本项目固废均得到有效处置，零排放。</w:t>
            </w:r>
          </w:p>
          <w:p w14:paraId="534AD795">
            <w:pPr>
              <w:pStyle w:val="8"/>
              <w:spacing w:line="360" w:lineRule="auto"/>
              <w:ind w:firstLine="420" w:firstLineChars="200"/>
              <w:rPr>
                <w:rFonts w:hint="default" w:ascii="Times New Roman" w:hAnsi="Times New Roman" w:cs="Times New Roman"/>
                <w:color w:val="auto"/>
                <w:kern w:val="0"/>
                <w:sz w:val="21"/>
                <w:szCs w:val="21"/>
                <w:highlight w:val="none"/>
                <w:u w:val="none"/>
              </w:rPr>
            </w:pPr>
            <w:r>
              <w:rPr>
                <w:rFonts w:hint="default" w:ascii="Times New Roman" w:hAnsi="Times New Roman" w:cs="Times New Roman"/>
                <w:color w:val="auto"/>
                <w:kern w:val="0"/>
                <w:sz w:val="21"/>
                <w:szCs w:val="21"/>
                <w:highlight w:val="none"/>
                <w:u w:val="none"/>
              </w:rPr>
              <w:t>上述污染物总量由建设单位上报环保审批部门，核准后批复实施。</w:t>
            </w:r>
          </w:p>
          <w:p w14:paraId="0A11B238">
            <w:pPr>
              <w:pStyle w:val="4"/>
              <w:bidi w:val="0"/>
              <w:rPr>
                <w:rFonts w:hint="default"/>
                <w:color w:val="auto"/>
                <w:u w:val="none"/>
                <w:lang w:val="en-US" w:eastAsia="zh-CN"/>
              </w:rPr>
            </w:pPr>
            <w:r>
              <w:rPr>
                <w:rFonts w:hint="eastAsia"/>
                <w:color w:val="auto"/>
                <w:u w:val="none"/>
                <w:lang w:val="en-US" w:eastAsia="zh-CN"/>
              </w:rPr>
              <w:t>2、</w:t>
            </w:r>
            <w:r>
              <w:rPr>
                <w:rFonts w:hint="default"/>
                <w:color w:val="auto"/>
                <w:u w:val="none"/>
                <w:lang w:val="en-US" w:eastAsia="zh-CN"/>
              </w:rPr>
              <w:t>平衡方案</w:t>
            </w:r>
          </w:p>
          <w:p w14:paraId="4B76B21E">
            <w:pPr>
              <w:autoSpaceDE w:val="0"/>
              <w:autoSpaceDN w:val="0"/>
              <w:adjustRightInd w:val="0"/>
              <w:spacing w:line="360" w:lineRule="auto"/>
              <w:ind w:firstLine="420" w:firstLineChars="200"/>
              <w:rPr>
                <w:rFonts w:hint="eastAsia"/>
                <w:color w:val="auto"/>
                <w:kern w:val="0"/>
                <w:sz w:val="21"/>
                <w:szCs w:val="21"/>
                <w:highlight w:val="none"/>
                <w:u w:val="none"/>
              </w:rPr>
            </w:pPr>
            <w:r>
              <w:rPr>
                <w:rFonts w:hint="eastAsia"/>
                <w:color w:val="auto"/>
                <w:kern w:val="0"/>
                <w:sz w:val="21"/>
                <w:szCs w:val="21"/>
                <w:highlight w:val="none"/>
                <w:u w:val="none"/>
                <w:lang w:eastAsia="zh-CN"/>
              </w:rPr>
              <w:t>本项目属于</w:t>
            </w:r>
            <w:r>
              <w:rPr>
                <w:rFonts w:hint="eastAsia" w:cs="Times New Roman"/>
                <w:color w:val="auto"/>
                <w:szCs w:val="21"/>
                <w:u w:val="none"/>
                <w:lang w:val="en-US" w:eastAsia="zh-CN"/>
              </w:rPr>
              <w:t>C3670汽车零部件及配件制造</w:t>
            </w:r>
            <w:r>
              <w:rPr>
                <w:rFonts w:hint="eastAsia" w:cs="宋体"/>
                <w:color w:val="auto"/>
                <w:sz w:val="21"/>
                <w:szCs w:val="21"/>
                <w:u w:val="none"/>
                <w:lang w:val="en-US" w:eastAsia="zh-CN"/>
              </w:rPr>
              <w:t>，</w:t>
            </w:r>
            <w:r>
              <w:rPr>
                <w:rFonts w:hint="eastAsia"/>
                <w:color w:val="auto"/>
                <w:kern w:val="0"/>
                <w:sz w:val="21"/>
                <w:szCs w:val="21"/>
                <w:highlight w:val="none"/>
                <w:u w:val="none"/>
              </w:rPr>
              <w:t>对照《固定污染源排污许可分类管理名录》，</w:t>
            </w:r>
            <w:r>
              <w:rPr>
                <w:rFonts w:hint="eastAsia"/>
                <w:color w:val="auto"/>
                <w:kern w:val="0"/>
                <w:sz w:val="21"/>
                <w:szCs w:val="21"/>
                <w:highlight w:val="none"/>
                <w:u w:val="none"/>
                <w:lang w:val="en-US" w:eastAsia="zh-CN"/>
              </w:rPr>
              <w:t>应</w:t>
            </w:r>
            <w:r>
              <w:rPr>
                <w:rFonts w:hint="eastAsia"/>
                <w:color w:val="auto"/>
                <w:kern w:val="0"/>
                <w:sz w:val="21"/>
                <w:szCs w:val="21"/>
                <w:highlight w:val="none"/>
                <w:u w:val="none"/>
                <w:lang w:eastAsia="zh-CN"/>
              </w:rPr>
              <w:t>实行</w:t>
            </w:r>
            <w:r>
              <w:rPr>
                <w:rFonts w:hint="eastAsia"/>
                <w:color w:val="auto"/>
                <w:kern w:val="0"/>
                <w:sz w:val="21"/>
                <w:szCs w:val="21"/>
                <w:highlight w:val="none"/>
                <w:u w:val="none"/>
                <w:lang w:val="en-US" w:eastAsia="zh-CN"/>
              </w:rPr>
              <w:t>简化</w:t>
            </w:r>
            <w:r>
              <w:rPr>
                <w:rFonts w:hint="eastAsia"/>
                <w:color w:val="auto"/>
                <w:kern w:val="0"/>
                <w:sz w:val="21"/>
                <w:szCs w:val="21"/>
                <w:highlight w:val="none"/>
                <w:u w:val="none"/>
                <w:lang w:eastAsia="zh-CN"/>
              </w:rPr>
              <w:t>管理</w:t>
            </w:r>
            <w:r>
              <w:rPr>
                <w:rFonts w:hint="eastAsia"/>
                <w:color w:val="auto"/>
                <w:kern w:val="0"/>
                <w:sz w:val="21"/>
                <w:szCs w:val="21"/>
                <w:highlight w:val="none"/>
                <w:u w:val="none"/>
              </w:rPr>
              <w:t>。</w:t>
            </w:r>
          </w:p>
          <w:p w14:paraId="0F60B94E">
            <w:pPr>
              <w:autoSpaceDE w:val="0"/>
              <w:autoSpaceDN w:val="0"/>
              <w:adjustRightInd w:val="0"/>
              <w:spacing w:line="360" w:lineRule="auto"/>
              <w:ind w:firstLine="420" w:firstLineChars="200"/>
              <w:rPr>
                <w:rFonts w:hint="default" w:ascii="Times New Roman" w:hAnsi="Times New Roman" w:cs="Times New Roman"/>
                <w:color w:val="auto"/>
                <w:kern w:val="0"/>
                <w:sz w:val="21"/>
                <w:szCs w:val="21"/>
                <w:highlight w:val="none"/>
              </w:rPr>
            </w:pPr>
            <w:r>
              <w:rPr>
                <w:rFonts w:hint="eastAsia"/>
                <w:color w:val="auto"/>
                <w:kern w:val="0"/>
                <w:szCs w:val="21"/>
                <w:highlight w:val="none"/>
                <w:lang w:val="en-US" w:eastAsia="zh-CN"/>
              </w:rPr>
              <w:t>根据关于印发《关于进一步优化建设项目排污总量指标管理提升环评审批效能的意见（试行）》的通知（通环办[2023]132号），需编制报批环境影响报告书（表）的新（改、扩）建项目（不含生活污水及工业废水集中处理厂、垃圾处理场、危险废物填埋和医疗废物处置厂），且属于《固定污染源排污许可分类管理名录》规定的重点管理或简化管理的排污单位，需通过交易获得新增排污总量指标</w:t>
            </w:r>
            <w:r>
              <w:rPr>
                <w:rFonts w:hint="default" w:ascii="Times New Roman" w:hAnsi="Times New Roman" w:cs="Times New Roman"/>
                <w:color w:val="auto"/>
                <w:kern w:val="0"/>
                <w:sz w:val="21"/>
                <w:szCs w:val="21"/>
                <w:highlight w:val="none"/>
              </w:rPr>
              <w:t>。</w:t>
            </w:r>
            <w:r>
              <w:rPr>
                <w:color w:val="auto"/>
                <w:kern w:val="0"/>
                <w:szCs w:val="21"/>
                <w:highlight w:val="none"/>
              </w:rPr>
              <w:t>现阶段实施排放总量控制的主要污染物种类为化学需氧量、氨氮、总氮、总磷、二氧化硫、氮氧化物、挥发性有机物、</w:t>
            </w:r>
            <w:r>
              <w:rPr>
                <w:rFonts w:hint="eastAsia"/>
                <w:color w:val="auto"/>
                <w:kern w:val="0"/>
                <w:szCs w:val="21"/>
                <w:highlight w:val="none"/>
              </w:rPr>
              <w:t>颗粒物八</w:t>
            </w:r>
            <w:r>
              <w:rPr>
                <w:color w:val="auto"/>
                <w:kern w:val="0"/>
                <w:szCs w:val="21"/>
                <w:highlight w:val="none"/>
              </w:rPr>
              <w:t>种</w:t>
            </w:r>
            <w:r>
              <w:rPr>
                <w:rFonts w:hint="default" w:ascii="Times New Roman" w:hAnsi="Times New Roman" w:cs="Times New Roman"/>
                <w:color w:val="auto"/>
                <w:kern w:val="0"/>
                <w:sz w:val="21"/>
                <w:szCs w:val="21"/>
                <w:highlight w:val="none"/>
                <w:u w:val="none"/>
              </w:rPr>
              <w:t>。</w:t>
            </w:r>
          </w:p>
          <w:p w14:paraId="5E31DE9A">
            <w:pPr>
              <w:autoSpaceDE w:val="0"/>
              <w:autoSpaceDN w:val="0"/>
              <w:adjustRightInd w:val="0"/>
              <w:spacing w:line="360" w:lineRule="auto"/>
              <w:ind w:firstLine="420" w:firstLineChars="200"/>
              <w:rPr>
                <w:rFonts w:hint="default" w:eastAsia="宋体"/>
                <w:color w:val="auto"/>
                <w:kern w:val="0"/>
                <w:sz w:val="21"/>
                <w:szCs w:val="21"/>
                <w:highlight w:val="none"/>
                <w:u w:val="none"/>
                <w:lang w:val="en-US" w:eastAsia="zh-CN"/>
              </w:rPr>
            </w:pPr>
            <w:r>
              <w:rPr>
                <w:rFonts w:hint="default" w:eastAsia="宋体"/>
                <w:color w:val="auto"/>
                <w:kern w:val="0"/>
                <w:sz w:val="21"/>
                <w:szCs w:val="21"/>
                <w:highlight w:val="none"/>
                <w:u w:val="none"/>
                <w:lang w:eastAsia="zh-CN"/>
              </w:rPr>
              <w:t>项目废气</w:t>
            </w:r>
            <w:r>
              <w:rPr>
                <w:rFonts w:hint="eastAsia" w:eastAsia="宋体"/>
                <w:color w:val="auto"/>
                <w:kern w:val="0"/>
                <w:sz w:val="21"/>
                <w:szCs w:val="21"/>
                <w:highlight w:val="none"/>
                <w:u w:val="none"/>
                <w:lang w:eastAsia="zh-CN"/>
              </w:rPr>
              <w:t>、</w:t>
            </w:r>
            <w:r>
              <w:rPr>
                <w:rFonts w:hint="eastAsia" w:eastAsia="宋体"/>
                <w:color w:val="auto"/>
                <w:kern w:val="0"/>
                <w:sz w:val="21"/>
                <w:szCs w:val="21"/>
                <w:highlight w:val="none"/>
                <w:u w:val="none"/>
                <w:lang w:val="en-US" w:eastAsia="zh-CN"/>
              </w:rPr>
              <w:t>废水需通过交易获得新增排污总量指标，并办理《建设项目主要污染物排放总量指标预报单》作为环评附件</w:t>
            </w:r>
            <w:r>
              <w:rPr>
                <w:rFonts w:hint="default" w:eastAsia="宋体"/>
                <w:color w:val="auto"/>
                <w:kern w:val="0"/>
                <w:sz w:val="21"/>
                <w:szCs w:val="21"/>
                <w:highlight w:val="none"/>
                <w:u w:val="none"/>
                <w:lang w:eastAsia="zh-CN"/>
              </w:rPr>
              <w:t>。</w:t>
            </w:r>
          </w:p>
          <w:p w14:paraId="74CD401F">
            <w:pPr>
              <w:autoSpaceDE w:val="0"/>
              <w:autoSpaceDN w:val="0"/>
              <w:adjustRightInd w:val="0"/>
              <w:spacing w:line="360" w:lineRule="auto"/>
              <w:ind w:firstLine="420" w:firstLineChars="200"/>
              <w:rPr>
                <w:rFonts w:hint="default" w:eastAsia="宋体"/>
                <w:color w:val="auto"/>
                <w:kern w:val="0"/>
                <w:sz w:val="21"/>
                <w:szCs w:val="21"/>
                <w:highlight w:val="none"/>
                <w:u w:val="none"/>
                <w:lang w:val="en-US" w:eastAsia="zh-CN"/>
              </w:rPr>
            </w:pPr>
            <w:r>
              <w:rPr>
                <w:rFonts w:hint="eastAsia" w:eastAsia="宋体"/>
                <w:color w:val="auto"/>
                <w:kern w:val="0"/>
                <w:sz w:val="21"/>
                <w:szCs w:val="21"/>
                <w:highlight w:val="none"/>
                <w:u w:val="none"/>
                <w:lang w:val="en-US" w:eastAsia="zh-CN"/>
              </w:rPr>
              <w:t xml:space="preserve">    </w:t>
            </w:r>
          </w:p>
          <w:p w14:paraId="034885C2">
            <w:pPr>
              <w:pStyle w:val="4"/>
              <w:rPr>
                <w:rFonts w:hint="default"/>
                <w:color w:val="auto"/>
                <w:lang w:val="en-US" w:eastAsia="zh-CN"/>
              </w:rPr>
            </w:pPr>
          </w:p>
        </w:tc>
      </w:tr>
    </w:tbl>
    <w:p w14:paraId="75669AB7">
      <w:pPr>
        <w:pStyle w:val="18"/>
        <w:jc w:val="center"/>
        <w:outlineLvl w:val="0"/>
        <w:rPr>
          <w:rFonts w:ascii="黑体" w:hAnsi="黑体" w:eastAsia="黑体"/>
          <w:snapToGrid w:val="0"/>
          <w:color w:val="auto"/>
          <w:sz w:val="36"/>
          <w:szCs w:val="36"/>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3B3F5D84">
      <w:pPr>
        <w:pStyle w:val="2"/>
        <w:bidi w:val="0"/>
        <w:rPr>
          <w:color w:val="auto"/>
        </w:rPr>
      </w:pPr>
      <w:bookmarkStart w:id="19" w:name="_Toc2420"/>
      <w:r>
        <w:rPr>
          <w:rFonts w:hint="eastAsia"/>
          <w:color w:val="auto"/>
        </w:rPr>
        <w:t>四、主要环境影响和保护措施</w:t>
      </w:r>
      <w:bookmarkEnd w:id="19"/>
    </w:p>
    <w:tbl>
      <w:tblPr>
        <w:tblStyle w:val="20"/>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9"/>
        <w:gridCol w:w="8339"/>
      </w:tblGrid>
      <w:tr w14:paraId="5F940D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1" w:hRule="atLeast"/>
          <w:jc w:val="center"/>
        </w:trPr>
        <w:tc>
          <w:tcPr>
            <w:tcW w:w="569" w:type="dxa"/>
            <w:noWrap w:val="0"/>
            <w:tcMar>
              <w:left w:w="28" w:type="dxa"/>
              <w:right w:w="28" w:type="dxa"/>
            </w:tcMar>
            <w:vAlign w:val="center"/>
          </w:tcPr>
          <w:p w14:paraId="21BBA3FE">
            <w:pPr>
              <w:pStyle w:val="18"/>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施工</w:t>
            </w:r>
          </w:p>
          <w:p w14:paraId="1F35C1FA">
            <w:pPr>
              <w:pStyle w:val="18"/>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期环</w:t>
            </w:r>
          </w:p>
          <w:p w14:paraId="495EDD28">
            <w:pPr>
              <w:pStyle w:val="18"/>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境保</w:t>
            </w:r>
          </w:p>
          <w:p w14:paraId="77B32780">
            <w:pPr>
              <w:pStyle w:val="18"/>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护措</w:t>
            </w:r>
          </w:p>
          <w:p w14:paraId="6D56B753">
            <w:pPr>
              <w:pStyle w:val="18"/>
              <w:adjustRightInd w:val="0"/>
              <w:snapToGrid w:val="0"/>
              <w:spacing w:before="0" w:beforeAutospacing="0" w:after="0" w:afterAutospacing="0"/>
              <w:jc w:val="center"/>
              <w:rPr>
                <w:rFonts w:hint="eastAsia" w:cs="宋体"/>
                <w:bCs/>
                <w:color w:val="auto"/>
                <w:kern w:val="2"/>
                <w:sz w:val="21"/>
                <w:szCs w:val="21"/>
              </w:rPr>
            </w:pPr>
            <w:r>
              <w:rPr>
                <w:rFonts w:hint="eastAsia" w:cs="宋体"/>
                <w:color w:val="auto"/>
                <w:kern w:val="2"/>
                <w:sz w:val="21"/>
                <w:szCs w:val="21"/>
              </w:rPr>
              <w:t>施</w:t>
            </w:r>
          </w:p>
        </w:tc>
        <w:tc>
          <w:tcPr>
            <w:tcW w:w="8339" w:type="dxa"/>
            <w:noWrap w:val="0"/>
            <w:vAlign w:val="center"/>
          </w:tcPr>
          <w:p w14:paraId="7A5CC69F">
            <w:pPr>
              <w:adjustRightInd w:val="0"/>
              <w:snapToGrid w:val="0"/>
              <w:spacing w:line="360" w:lineRule="auto"/>
              <w:ind w:firstLine="420" w:firstLineChars="200"/>
              <w:rPr>
                <w:rFonts w:ascii="宋体" w:hAnsi="宋体" w:cs="宋体"/>
                <w:bCs/>
                <w:color w:val="auto"/>
                <w:spacing w:val="-10"/>
                <w:szCs w:val="21"/>
              </w:rPr>
            </w:pPr>
            <w:r>
              <w:rPr>
                <w:rFonts w:hint="default" w:ascii="Times New Roman" w:hAnsi="Times New Roman" w:cs="Times New Roman"/>
                <w:color w:val="auto"/>
                <w:kern w:val="0"/>
                <w:sz w:val="21"/>
                <w:szCs w:val="21"/>
                <w:highlight w:val="none"/>
                <w:lang w:eastAsia="zh-CN"/>
              </w:rPr>
              <w:t>项目利用现有厂房进行生产，施工期主要为设备调整安装，无土建工程，因此，施工期环境影响较小。</w:t>
            </w:r>
          </w:p>
        </w:tc>
      </w:tr>
      <w:tr w14:paraId="6CF77E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79" w:hRule="atLeast"/>
          <w:jc w:val="center"/>
        </w:trPr>
        <w:tc>
          <w:tcPr>
            <w:tcW w:w="569" w:type="dxa"/>
            <w:noWrap w:val="0"/>
            <w:tcMar>
              <w:left w:w="28" w:type="dxa"/>
              <w:right w:w="28" w:type="dxa"/>
            </w:tcMar>
            <w:vAlign w:val="center"/>
          </w:tcPr>
          <w:p w14:paraId="3E7A975E">
            <w:pPr>
              <w:adjustRightInd w:val="0"/>
              <w:snapToGrid w:val="0"/>
              <w:jc w:val="center"/>
              <w:rPr>
                <w:rFonts w:hint="eastAsia" w:ascii="宋体" w:hAnsi="宋体" w:cs="宋体"/>
                <w:bCs/>
                <w:color w:val="auto"/>
                <w:szCs w:val="21"/>
              </w:rPr>
            </w:pPr>
            <w:r>
              <w:rPr>
                <w:rFonts w:hint="eastAsia" w:ascii="宋体" w:hAnsi="宋体" w:cs="宋体"/>
                <w:bCs/>
                <w:color w:val="auto"/>
                <w:szCs w:val="21"/>
              </w:rPr>
              <w:t>运营</w:t>
            </w:r>
          </w:p>
          <w:p w14:paraId="5AE2BAF1">
            <w:pPr>
              <w:adjustRightInd w:val="0"/>
              <w:snapToGrid w:val="0"/>
              <w:jc w:val="center"/>
              <w:rPr>
                <w:rFonts w:hint="eastAsia" w:ascii="宋体" w:hAnsi="宋体" w:cs="宋体"/>
                <w:bCs/>
                <w:color w:val="auto"/>
                <w:szCs w:val="21"/>
              </w:rPr>
            </w:pPr>
            <w:r>
              <w:rPr>
                <w:rFonts w:hint="eastAsia" w:ascii="宋体" w:hAnsi="宋体" w:cs="宋体"/>
                <w:bCs/>
                <w:color w:val="auto"/>
                <w:szCs w:val="21"/>
              </w:rPr>
              <w:t>期环</w:t>
            </w:r>
          </w:p>
          <w:p w14:paraId="65F440F8">
            <w:pPr>
              <w:adjustRightInd w:val="0"/>
              <w:snapToGrid w:val="0"/>
              <w:jc w:val="center"/>
              <w:rPr>
                <w:rFonts w:hint="eastAsia" w:ascii="宋体" w:hAnsi="宋体" w:cs="宋体"/>
                <w:bCs/>
                <w:color w:val="auto"/>
                <w:szCs w:val="21"/>
              </w:rPr>
            </w:pPr>
            <w:r>
              <w:rPr>
                <w:rFonts w:hint="eastAsia" w:ascii="宋体" w:hAnsi="宋体" w:cs="宋体"/>
                <w:bCs/>
                <w:color w:val="auto"/>
                <w:szCs w:val="21"/>
              </w:rPr>
              <w:t>境影</w:t>
            </w:r>
          </w:p>
          <w:p w14:paraId="215AECD8">
            <w:pPr>
              <w:adjustRightInd w:val="0"/>
              <w:snapToGrid w:val="0"/>
              <w:jc w:val="center"/>
              <w:rPr>
                <w:rFonts w:hint="eastAsia" w:ascii="宋体" w:hAnsi="宋体" w:cs="宋体"/>
                <w:bCs/>
                <w:color w:val="auto"/>
                <w:szCs w:val="21"/>
              </w:rPr>
            </w:pPr>
            <w:r>
              <w:rPr>
                <w:rFonts w:hint="eastAsia" w:ascii="宋体" w:hAnsi="宋体" w:cs="宋体"/>
                <w:bCs/>
                <w:color w:val="auto"/>
                <w:szCs w:val="21"/>
              </w:rPr>
              <w:t>响和</w:t>
            </w:r>
          </w:p>
          <w:p w14:paraId="280C07E9">
            <w:pPr>
              <w:adjustRightInd w:val="0"/>
              <w:snapToGrid w:val="0"/>
              <w:jc w:val="center"/>
              <w:rPr>
                <w:rFonts w:hint="eastAsia" w:ascii="宋体" w:hAnsi="宋体" w:cs="宋体"/>
                <w:bCs/>
                <w:color w:val="auto"/>
                <w:szCs w:val="21"/>
              </w:rPr>
            </w:pPr>
            <w:r>
              <w:rPr>
                <w:rFonts w:hint="eastAsia" w:ascii="宋体" w:hAnsi="宋体" w:cs="宋体"/>
                <w:bCs/>
                <w:color w:val="auto"/>
                <w:szCs w:val="21"/>
              </w:rPr>
              <w:t>保护</w:t>
            </w:r>
          </w:p>
          <w:p w14:paraId="448BB14D">
            <w:pPr>
              <w:adjustRightInd w:val="0"/>
              <w:snapToGrid w:val="0"/>
              <w:jc w:val="center"/>
              <w:rPr>
                <w:rFonts w:ascii="宋体" w:hAnsi="宋体" w:cs="宋体"/>
                <w:bCs/>
                <w:color w:val="auto"/>
                <w:szCs w:val="21"/>
              </w:rPr>
            </w:pPr>
            <w:r>
              <w:rPr>
                <w:rFonts w:hint="eastAsia" w:ascii="宋体" w:hAnsi="宋体" w:cs="宋体"/>
                <w:bCs/>
                <w:color w:val="auto"/>
                <w:szCs w:val="21"/>
              </w:rPr>
              <w:t>措施</w:t>
            </w:r>
          </w:p>
        </w:tc>
        <w:tc>
          <w:tcPr>
            <w:tcW w:w="8339" w:type="dxa"/>
            <w:noWrap w:val="0"/>
            <w:vAlign w:val="center"/>
          </w:tcPr>
          <w:p w14:paraId="0EBE5165">
            <w:pPr>
              <w:pStyle w:val="3"/>
              <w:bidi w:val="0"/>
              <w:rPr>
                <w:rFonts w:hint="default"/>
                <w:color w:val="auto"/>
                <w:lang w:eastAsia="zh-CN"/>
              </w:rPr>
            </w:pPr>
            <w:r>
              <w:rPr>
                <w:rFonts w:hint="default"/>
                <w:color w:val="auto"/>
                <w:lang w:eastAsia="zh-CN"/>
              </w:rPr>
              <w:t>（一）废气</w:t>
            </w:r>
          </w:p>
          <w:p w14:paraId="797A4194">
            <w:pPr>
              <w:pStyle w:val="4"/>
              <w:bidi w:val="0"/>
              <w:rPr>
                <w:rFonts w:hint="default"/>
                <w:color w:val="auto"/>
                <w:lang w:eastAsia="zh-CN"/>
              </w:rPr>
            </w:pPr>
            <w:r>
              <w:rPr>
                <w:rFonts w:hint="default"/>
                <w:color w:val="auto"/>
              </w:rPr>
              <w:t>1、废气</w:t>
            </w:r>
            <w:r>
              <w:rPr>
                <w:rFonts w:hint="default"/>
                <w:color w:val="auto"/>
                <w:lang w:eastAsia="zh-CN"/>
              </w:rPr>
              <w:t>源强核算</w:t>
            </w:r>
          </w:p>
          <w:p w14:paraId="09D2EEEF">
            <w:pPr>
              <w:spacing w:line="360" w:lineRule="auto"/>
              <w:ind w:firstLine="420"/>
              <w:rPr>
                <w:rFonts w:hint="eastAsia"/>
                <w:color w:val="auto"/>
                <w:lang w:val="en-US" w:eastAsia="zh-CN"/>
              </w:rPr>
            </w:pPr>
            <w:r>
              <w:rPr>
                <w:rFonts w:hint="eastAsia"/>
                <w:color w:val="auto"/>
                <w:lang w:val="en-US" w:eastAsia="zh-CN"/>
              </w:rPr>
              <w:t>本项目废气主要为</w:t>
            </w:r>
            <w:r>
              <w:rPr>
                <w:rFonts w:hint="eastAsia"/>
                <w:color w:val="auto"/>
                <w:u w:val="none"/>
                <w:lang w:val="en-US" w:eastAsia="zh-CN"/>
              </w:rPr>
              <w:t>涂装废气、除尘废气、清洗废气</w:t>
            </w:r>
            <w:r>
              <w:rPr>
                <w:rFonts w:hint="eastAsia"/>
                <w:color w:val="auto"/>
                <w:lang w:val="en-US" w:eastAsia="zh-CN"/>
              </w:rPr>
              <w:t>。</w:t>
            </w:r>
          </w:p>
          <w:p w14:paraId="04918E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default" w:ascii="Times New Roman" w:hAnsi="Times New Roman" w:cs="Times New Roman"/>
                <w:b w:val="0"/>
                <w:bCs/>
                <w:color w:val="auto"/>
                <w:lang w:val="en-US" w:eastAsia="zh-CN"/>
              </w:rPr>
            </w:pPr>
            <w:r>
              <w:rPr>
                <w:rFonts w:hint="default" w:ascii="Times New Roman" w:hAnsi="Times New Roman" w:cs="Times New Roman"/>
                <w:b w:val="0"/>
                <w:bCs/>
                <w:color w:val="auto"/>
                <w:lang w:val="en-US" w:eastAsia="zh-CN"/>
              </w:rPr>
              <w:t>（</w:t>
            </w:r>
            <w:r>
              <w:rPr>
                <w:rFonts w:hint="default" w:ascii="Times New Roman" w:hAnsi="Times New Roman" w:eastAsia="Yu Gothic" w:cs="Times New Roman"/>
                <w:b w:val="0"/>
                <w:bCs/>
                <w:color w:val="auto"/>
                <w:lang w:val="en-US" w:eastAsia="zh-CN"/>
              </w:rPr>
              <w:t>1</w:t>
            </w:r>
            <w:r>
              <w:rPr>
                <w:rFonts w:hint="default" w:ascii="Times New Roman" w:hAnsi="Times New Roman" w:cs="Times New Roman"/>
                <w:b w:val="0"/>
                <w:bCs/>
                <w:color w:val="auto"/>
                <w:lang w:val="en-US" w:eastAsia="zh-CN"/>
              </w:rPr>
              <w:t>）</w:t>
            </w:r>
            <w:r>
              <w:rPr>
                <w:rFonts w:hint="eastAsia" w:cs="Times New Roman"/>
                <w:b w:val="0"/>
                <w:bCs/>
                <w:color w:val="auto"/>
                <w:lang w:val="en-US" w:eastAsia="zh-CN"/>
              </w:rPr>
              <w:t>除尘废气</w:t>
            </w:r>
          </w:p>
          <w:p w14:paraId="6AFFC08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default" w:ascii="Times New Roman" w:hAnsi="Times New Roman" w:cs="Times New Roman"/>
                <w:b w:val="0"/>
                <w:bCs/>
                <w:color w:val="auto"/>
                <w:lang w:val="en-US" w:eastAsia="zh-CN"/>
              </w:rPr>
            </w:pPr>
            <w:r>
              <w:rPr>
                <w:rFonts w:hint="eastAsia" w:cs="Times New Roman"/>
                <w:b w:val="0"/>
                <w:bCs/>
                <w:color w:val="auto"/>
                <w:lang w:val="en-US" w:eastAsia="zh-CN"/>
              </w:rPr>
              <w:t>项目喷涂前对车灯</w:t>
            </w:r>
            <w:r>
              <w:rPr>
                <w:rFonts w:hint="default" w:ascii="Times New Roman" w:hAnsi="Times New Roman" w:cs="Times New Roman"/>
                <w:color w:val="auto"/>
                <w:spacing w:val="0"/>
                <w:sz w:val="21"/>
                <w:szCs w:val="21"/>
                <w:lang w:val="en-US" w:eastAsia="zh-CN"/>
              </w:rPr>
              <w:t>表面</w:t>
            </w:r>
            <w:r>
              <w:rPr>
                <w:rFonts w:hint="eastAsia" w:cs="Times New Roman"/>
                <w:color w:val="auto"/>
                <w:spacing w:val="0"/>
                <w:sz w:val="21"/>
                <w:szCs w:val="21"/>
                <w:lang w:val="en-US" w:eastAsia="zh-CN"/>
              </w:rPr>
              <w:t>进行</w:t>
            </w:r>
            <w:r>
              <w:rPr>
                <w:rFonts w:hint="default" w:ascii="Times New Roman" w:hAnsi="Times New Roman" w:cs="Times New Roman"/>
                <w:color w:val="auto"/>
                <w:spacing w:val="0"/>
                <w:sz w:val="21"/>
                <w:szCs w:val="21"/>
                <w:lang w:val="en-US" w:eastAsia="zh-CN"/>
              </w:rPr>
              <w:t>静电除尘</w:t>
            </w:r>
            <w:r>
              <w:rPr>
                <w:rFonts w:hint="eastAsia" w:cs="Times New Roman"/>
                <w:color w:val="auto"/>
                <w:spacing w:val="0"/>
                <w:sz w:val="21"/>
                <w:szCs w:val="21"/>
                <w:lang w:val="en-US" w:eastAsia="zh-CN"/>
              </w:rPr>
              <w:t>，</w:t>
            </w:r>
            <w:r>
              <w:rPr>
                <w:rFonts w:hint="default" w:ascii="Times New Roman" w:hAnsi="Times New Roman" w:eastAsia="宋体" w:cs="Times New Roman"/>
                <w:color w:val="auto"/>
                <w:kern w:val="2"/>
                <w:sz w:val="21"/>
                <w:szCs w:val="21"/>
                <w:lang w:val="en-US" w:eastAsia="zh-CN" w:bidi="zh-CN"/>
              </w:rPr>
              <w:t>由于</w:t>
            </w:r>
            <w:r>
              <w:rPr>
                <w:rFonts w:hint="eastAsia" w:ascii="Times New Roman" w:hAnsi="Times New Roman" w:eastAsia="宋体" w:cs="Times New Roman"/>
                <w:color w:val="auto"/>
                <w:kern w:val="2"/>
                <w:sz w:val="21"/>
                <w:szCs w:val="21"/>
                <w:lang w:val="en-US" w:eastAsia="zh-CN" w:bidi="zh-CN"/>
              </w:rPr>
              <w:t>车灯表面灰尘极少</w:t>
            </w:r>
            <w:r>
              <w:rPr>
                <w:rFonts w:hint="default" w:ascii="Times New Roman" w:hAnsi="Times New Roman" w:eastAsia="宋体" w:cs="Times New Roman"/>
                <w:color w:val="auto"/>
                <w:kern w:val="2"/>
                <w:sz w:val="21"/>
                <w:szCs w:val="21"/>
                <w:lang w:val="en-US" w:eastAsia="zh-CN" w:bidi="zh-CN"/>
              </w:rPr>
              <w:t>，</w:t>
            </w:r>
            <w:r>
              <w:rPr>
                <w:rFonts w:hint="eastAsia" w:ascii="Times New Roman" w:hAnsi="Times New Roman" w:eastAsia="宋体" w:cs="Times New Roman"/>
                <w:color w:val="auto"/>
                <w:kern w:val="2"/>
                <w:sz w:val="21"/>
                <w:szCs w:val="21"/>
                <w:lang w:val="en-US" w:eastAsia="zh-CN" w:bidi="zh-CN"/>
              </w:rPr>
              <w:t>静电除尘</w:t>
            </w:r>
            <w:r>
              <w:rPr>
                <w:rFonts w:hint="default" w:ascii="Times New Roman" w:hAnsi="Times New Roman" w:eastAsia="宋体" w:cs="Times New Roman"/>
                <w:color w:val="auto"/>
                <w:kern w:val="2"/>
                <w:sz w:val="21"/>
                <w:szCs w:val="21"/>
                <w:lang w:val="en-US" w:eastAsia="zh-CN" w:bidi="zh-CN"/>
              </w:rPr>
              <w:t>不易飞扬，故</w:t>
            </w:r>
            <w:r>
              <w:rPr>
                <w:rFonts w:hint="eastAsia" w:ascii="Times New Roman" w:hAnsi="Times New Roman" w:eastAsia="宋体" w:cs="Times New Roman"/>
                <w:color w:val="auto"/>
                <w:kern w:val="2"/>
                <w:sz w:val="21"/>
                <w:szCs w:val="21"/>
                <w:lang w:val="en-US" w:eastAsia="zh-CN" w:bidi="zh-CN"/>
              </w:rPr>
              <w:t>除尘</w:t>
            </w:r>
            <w:r>
              <w:rPr>
                <w:rFonts w:hint="default" w:ascii="Times New Roman" w:hAnsi="Times New Roman" w:eastAsia="宋体" w:cs="Times New Roman"/>
                <w:color w:val="auto"/>
                <w:kern w:val="2"/>
                <w:sz w:val="21"/>
                <w:szCs w:val="21"/>
                <w:lang w:val="en-US" w:eastAsia="zh-CN" w:bidi="zh-CN"/>
              </w:rPr>
              <w:t>过程中</w:t>
            </w:r>
            <w:r>
              <w:rPr>
                <w:rFonts w:hint="eastAsia" w:cs="Times New Roman"/>
                <w:color w:val="auto"/>
                <w:kern w:val="2"/>
                <w:sz w:val="21"/>
                <w:szCs w:val="21"/>
                <w:lang w:val="en-US" w:eastAsia="zh-CN" w:bidi="zh-CN"/>
              </w:rPr>
              <w:t>颗粒物仅定性分析，不定量分析。</w:t>
            </w:r>
          </w:p>
          <w:p w14:paraId="3CB25D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default" w:ascii="Times New Roman" w:hAnsi="Times New Roman" w:cs="Times New Roman"/>
                <w:b w:val="0"/>
                <w:bCs/>
                <w:color w:val="auto"/>
                <w:lang w:val="en-US" w:eastAsia="zh-CN"/>
              </w:rPr>
            </w:pPr>
            <w:r>
              <w:rPr>
                <w:rFonts w:hint="eastAsia" w:cs="Times New Roman"/>
                <w:b w:val="0"/>
                <w:bCs/>
                <w:color w:val="auto"/>
                <w:lang w:val="en-US" w:eastAsia="zh-CN"/>
              </w:rPr>
              <w:t>（2）清洗废气</w:t>
            </w:r>
          </w:p>
          <w:p w14:paraId="0879A923">
            <w:pPr>
              <w:keepNext w:val="0"/>
              <w:keepLines w:val="0"/>
              <w:pageBreakBefore w:val="0"/>
              <w:widowControl w:val="0"/>
              <w:numPr>
                <w:ilvl w:val="0"/>
                <w:numId w:val="0"/>
              </w:numPr>
              <w:tabs>
                <w:tab w:val="left" w:pos="3570"/>
              </w:tabs>
              <w:kinsoku/>
              <w:wordWrap/>
              <w:overflowPunct/>
              <w:topLinePunct w:val="0"/>
              <w:autoSpaceDE/>
              <w:autoSpaceDN/>
              <w:bidi w:val="0"/>
              <w:adjustRightInd/>
              <w:snapToGrid/>
              <w:spacing w:line="360" w:lineRule="auto"/>
              <w:ind w:firstLine="420"/>
              <w:textAlignment w:val="auto"/>
              <w:rPr>
                <w:rFonts w:hint="default"/>
                <w:color w:val="auto"/>
                <w:highlight w:val="none"/>
                <w:vertAlign w:val="baseline"/>
                <w:lang w:val="en-US" w:eastAsia="zh-CN"/>
              </w:rPr>
            </w:pPr>
            <w:r>
              <w:rPr>
                <w:rFonts w:hint="eastAsia"/>
                <w:color w:val="auto"/>
                <w:highlight w:val="none"/>
                <w:lang w:val="en-US" w:eastAsia="zh-CN"/>
              </w:rPr>
              <w:t>本项目清洗使用有机清洗剂，</w:t>
            </w:r>
            <w:r>
              <w:rPr>
                <w:rFonts w:hint="eastAsia" w:ascii="Times New Roman" w:hAnsi="Times New Roman" w:eastAsia="宋体" w:cs="Times New Roman"/>
                <w:color w:val="auto"/>
                <w:sz w:val="21"/>
                <w:szCs w:val="21"/>
                <w:highlight w:val="none"/>
                <w:lang w:val="en-US" w:eastAsia="zh-CN"/>
              </w:rPr>
              <w:t>根据</w:t>
            </w:r>
            <w:r>
              <w:rPr>
                <w:rFonts w:hint="eastAsia" w:cs="Times New Roman"/>
                <w:color w:val="auto"/>
                <w:sz w:val="21"/>
                <w:szCs w:val="21"/>
                <w:highlight w:val="none"/>
                <w:lang w:val="en-US" w:eastAsia="zh-CN"/>
              </w:rPr>
              <w:t>施工状态下</w:t>
            </w:r>
            <w:r>
              <w:rPr>
                <w:rFonts w:hint="eastAsia" w:ascii="Times New Roman" w:hAnsi="Times New Roman" w:eastAsia="宋体" w:cs="Times New Roman"/>
                <w:color w:val="auto"/>
                <w:sz w:val="21"/>
                <w:szCs w:val="21"/>
                <w:highlight w:val="none"/>
                <w:lang w:val="en-US" w:eastAsia="zh-CN"/>
              </w:rPr>
              <w:t>清洗剂的VOC检测报告</w:t>
            </w:r>
            <w:r>
              <w:rPr>
                <w:rFonts w:hint="eastAsia" w:cs="Times New Roman"/>
                <w:color w:val="auto"/>
                <w:sz w:val="21"/>
                <w:szCs w:val="21"/>
                <w:highlight w:val="none"/>
                <w:lang w:val="en-US" w:eastAsia="zh-CN"/>
              </w:rPr>
              <w:t>（附件10）</w:t>
            </w:r>
            <w:r>
              <w:rPr>
                <w:rFonts w:hint="eastAsia" w:ascii="Times New Roman" w:hAnsi="Times New Roman" w:eastAsia="宋体" w:cs="Times New Roman"/>
                <w:color w:val="auto"/>
                <w:sz w:val="21"/>
                <w:szCs w:val="21"/>
                <w:highlight w:val="none"/>
                <w:lang w:val="en-US" w:eastAsia="zh-CN"/>
              </w:rPr>
              <w:t>，其VOC含量为</w:t>
            </w:r>
            <w:r>
              <w:rPr>
                <w:rFonts w:hint="eastAsia" w:cs="Times New Roman"/>
                <w:color w:val="auto"/>
                <w:sz w:val="21"/>
                <w:szCs w:val="21"/>
                <w:highlight w:val="none"/>
                <w:lang w:val="en-US" w:eastAsia="zh-CN"/>
              </w:rPr>
              <w:t>718</w:t>
            </w:r>
            <w:r>
              <w:rPr>
                <w:rFonts w:hint="eastAsia" w:ascii="Times New Roman" w:hAnsi="Times New Roman" w:eastAsia="宋体" w:cs="Times New Roman"/>
                <w:color w:val="auto"/>
                <w:sz w:val="21"/>
                <w:szCs w:val="21"/>
                <w:highlight w:val="none"/>
                <w:lang w:val="en-US" w:eastAsia="zh-CN"/>
              </w:rPr>
              <w:t>g/L，本项目使用清洗剂0.5t/a，密度</w:t>
            </w:r>
            <w:r>
              <w:rPr>
                <w:rFonts w:hint="eastAsia" w:cs="Times New Roman"/>
                <w:color w:val="auto"/>
                <w:sz w:val="21"/>
                <w:szCs w:val="21"/>
                <w:highlight w:val="none"/>
                <w:lang w:val="en-US" w:eastAsia="zh-CN"/>
              </w:rPr>
              <w:t>为1.2</w:t>
            </w:r>
            <w:r>
              <w:rPr>
                <w:rFonts w:hint="eastAsia" w:ascii="Times New Roman" w:hAnsi="Times New Roman" w:eastAsia="宋体" w:cs="Times New Roman"/>
                <w:color w:val="auto"/>
                <w:sz w:val="21"/>
                <w:szCs w:val="21"/>
                <w:highlight w:val="none"/>
                <w:lang w:val="en-US" w:eastAsia="zh-CN"/>
              </w:rPr>
              <w:t>g/cm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vertAlign w:val="baseline"/>
                <w:lang w:val="en-US" w:eastAsia="zh-CN"/>
              </w:rPr>
              <w:t>，则本项目使用清洗剂417L，清洗产生挥发性有机物</w:t>
            </w:r>
            <w:r>
              <w:rPr>
                <w:rFonts w:hint="eastAsia" w:cs="Times New Roman"/>
                <w:color w:val="auto"/>
                <w:sz w:val="21"/>
                <w:szCs w:val="21"/>
                <w:highlight w:val="none"/>
                <w:lang w:val="en-US" w:eastAsia="zh-CN"/>
              </w:rPr>
              <w:t>0.2994</w:t>
            </w:r>
            <w:r>
              <w:rPr>
                <w:rFonts w:hint="eastAsia" w:ascii="Times New Roman" w:hAnsi="Times New Roman" w:eastAsia="宋体" w:cs="Times New Roman"/>
                <w:color w:val="auto"/>
                <w:sz w:val="21"/>
                <w:szCs w:val="21"/>
                <w:highlight w:val="none"/>
                <w:lang w:val="en-US" w:eastAsia="zh-CN"/>
              </w:rPr>
              <w:t>t/a</w:t>
            </w:r>
            <w:r>
              <w:rPr>
                <w:rFonts w:hint="eastAsia"/>
                <w:bCs/>
                <w:color w:val="auto"/>
                <w:sz w:val="21"/>
                <w:szCs w:val="21"/>
                <w:highlight w:val="none"/>
                <w:lang w:val="en-US" w:eastAsia="zh-CN"/>
              </w:rPr>
              <w:t>，</w:t>
            </w:r>
            <w:r>
              <w:rPr>
                <w:rFonts w:hint="eastAsia" w:eastAsia="宋体"/>
                <w:bCs/>
                <w:color w:val="auto"/>
                <w:sz w:val="21"/>
                <w:szCs w:val="21"/>
                <w:highlight w:val="none"/>
                <w:lang w:val="en-US" w:eastAsia="zh-CN"/>
              </w:rPr>
              <w:t>以NMHC计</w:t>
            </w:r>
            <w:r>
              <w:rPr>
                <w:rFonts w:hint="eastAsia" w:ascii="Times New Roman" w:hAnsi="Times New Roman" w:eastAsia="宋体" w:cs="Times New Roman"/>
                <w:color w:val="auto"/>
                <w:sz w:val="21"/>
                <w:szCs w:val="21"/>
                <w:highlight w:val="none"/>
                <w:lang w:val="en-US" w:eastAsia="zh-CN"/>
              </w:rPr>
              <w:t>。</w:t>
            </w:r>
          </w:p>
          <w:p w14:paraId="0380B3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default"/>
                <w:color w:val="auto"/>
                <w:highlight w:val="none"/>
                <w:lang w:val="en-US" w:eastAsia="zh-CN"/>
              </w:rPr>
            </w:pPr>
            <w:r>
              <w:rPr>
                <w:rFonts w:hint="eastAsia"/>
                <w:color w:val="auto"/>
                <w:highlight w:val="none"/>
                <w:lang w:val="en-US" w:eastAsia="zh-CN"/>
              </w:rPr>
              <w:t>清洗废气</w:t>
            </w:r>
            <w:r>
              <w:rPr>
                <w:rFonts w:hint="default"/>
                <w:color w:val="auto"/>
                <w:highlight w:val="none"/>
                <w:lang w:val="en-US" w:eastAsia="zh-CN"/>
              </w:rPr>
              <w:t>气经“侧吸式集风罩”负压收集后进入“干式漆雾过滤器+二级活性炭吸附装置”处理后通过15米高的</w:t>
            </w:r>
            <w:r>
              <w:rPr>
                <w:rFonts w:hint="eastAsia"/>
                <w:color w:val="auto"/>
                <w:highlight w:val="none"/>
                <w:lang w:val="en-US" w:eastAsia="zh-CN"/>
              </w:rPr>
              <w:t>DA016</w:t>
            </w:r>
            <w:r>
              <w:rPr>
                <w:rFonts w:hint="default"/>
                <w:color w:val="auto"/>
                <w:highlight w:val="none"/>
                <w:lang w:val="en-US" w:eastAsia="zh-CN"/>
              </w:rPr>
              <w:t>排气筒排放</w:t>
            </w:r>
            <w:r>
              <w:rPr>
                <w:rFonts w:hint="eastAsia"/>
                <w:color w:val="auto"/>
                <w:highlight w:val="none"/>
                <w:lang w:val="en-US" w:eastAsia="zh-CN"/>
              </w:rPr>
              <w:t>。</w:t>
            </w:r>
          </w:p>
          <w:p w14:paraId="0C1EE8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default"/>
                <w:color w:val="auto"/>
                <w:highlight w:val="none"/>
                <w:lang w:val="en-US" w:eastAsia="zh-CN"/>
              </w:rPr>
            </w:pPr>
            <w:r>
              <w:rPr>
                <w:rFonts w:hint="eastAsia"/>
                <w:color w:val="auto"/>
                <w:highlight w:val="none"/>
                <w:lang w:val="en-US" w:eastAsia="zh-CN"/>
              </w:rPr>
              <w:t>（3）涂装废气</w:t>
            </w:r>
          </w:p>
          <w:p w14:paraId="742F5E7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bCs/>
                <w:color w:val="auto"/>
                <w:sz w:val="21"/>
                <w:szCs w:val="21"/>
                <w:highlight w:val="none"/>
                <w:lang w:eastAsia="zh-CN"/>
              </w:rPr>
            </w:pPr>
            <w:r>
              <w:rPr>
                <w:rFonts w:hint="eastAsia"/>
                <w:bCs/>
                <w:color w:val="auto"/>
                <w:sz w:val="21"/>
                <w:szCs w:val="21"/>
                <w:highlight w:val="none"/>
                <w:lang w:val="en-US" w:eastAsia="zh-CN"/>
              </w:rPr>
              <w:t>本项目涂装包里喷涂及固化过程，有机硅硬质涂层喷涂后需进行光固化，</w:t>
            </w:r>
            <w:r>
              <w:rPr>
                <w:rFonts w:hint="eastAsia" w:eastAsia="宋体"/>
                <w:bCs/>
                <w:color w:val="auto"/>
                <w:sz w:val="21"/>
                <w:szCs w:val="21"/>
                <w:highlight w:val="none"/>
                <w:lang w:val="en-US" w:eastAsia="zh-CN"/>
              </w:rPr>
              <w:t>防雾涂料</w:t>
            </w:r>
            <w:r>
              <w:rPr>
                <w:rFonts w:hint="eastAsia"/>
                <w:bCs/>
                <w:color w:val="auto"/>
                <w:sz w:val="21"/>
                <w:szCs w:val="21"/>
                <w:highlight w:val="none"/>
                <w:lang w:val="en-US" w:eastAsia="zh-CN"/>
              </w:rPr>
              <w:t>喷涂后</w:t>
            </w:r>
            <w:r>
              <w:rPr>
                <w:rFonts w:hint="eastAsia" w:eastAsia="宋体"/>
                <w:bCs/>
                <w:color w:val="auto"/>
                <w:sz w:val="21"/>
                <w:szCs w:val="21"/>
                <w:highlight w:val="none"/>
                <w:lang w:eastAsia="zh-CN"/>
              </w:rPr>
              <w:t>需</w:t>
            </w:r>
            <w:r>
              <w:rPr>
                <w:rFonts w:hint="eastAsia" w:eastAsia="宋体"/>
                <w:bCs/>
                <w:color w:val="auto"/>
                <w:sz w:val="21"/>
                <w:szCs w:val="21"/>
                <w:highlight w:val="none"/>
                <w:lang w:val="en-US" w:eastAsia="zh-CN"/>
              </w:rPr>
              <w:t>进行</w:t>
            </w:r>
            <w:r>
              <w:rPr>
                <w:rFonts w:hint="eastAsia"/>
                <w:bCs/>
                <w:color w:val="auto"/>
                <w:sz w:val="21"/>
                <w:szCs w:val="21"/>
                <w:highlight w:val="none"/>
                <w:lang w:val="en-US" w:eastAsia="zh-CN"/>
              </w:rPr>
              <w:t>烘干固化</w:t>
            </w:r>
            <w:r>
              <w:rPr>
                <w:rFonts w:hint="eastAsia" w:eastAsia="宋体"/>
                <w:bCs/>
                <w:color w:val="auto"/>
                <w:sz w:val="21"/>
                <w:szCs w:val="21"/>
                <w:highlight w:val="none"/>
                <w:lang w:eastAsia="zh-CN"/>
              </w:rPr>
              <w:t>，</w:t>
            </w:r>
            <w:r>
              <w:rPr>
                <w:rFonts w:hint="eastAsia" w:eastAsia="宋体"/>
                <w:bCs/>
                <w:color w:val="auto"/>
                <w:sz w:val="21"/>
                <w:szCs w:val="21"/>
                <w:highlight w:val="none"/>
                <w:lang w:val="en-US" w:eastAsia="zh-CN"/>
              </w:rPr>
              <w:t>该过程会产生有机废气，由于喷涂、</w:t>
            </w:r>
            <w:r>
              <w:rPr>
                <w:rFonts w:hint="eastAsia"/>
                <w:bCs/>
                <w:color w:val="auto"/>
                <w:sz w:val="21"/>
                <w:szCs w:val="21"/>
                <w:highlight w:val="none"/>
                <w:lang w:val="en-US" w:eastAsia="zh-CN"/>
              </w:rPr>
              <w:t>固化</w:t>
            </w:r>
            <w:r>
              <w:rPr>
                <w:rFonts w:hint="eastAsia" w:eastAsia="宋体"/>
                <w:bCs/>
                <w:color w:val="auto"/>
                <w:sz w:val="21"/>
                <w:szCs w:val="21"/>
                <w:highlight w:val="none"/>
                <w:lang w:val="en-US" w:eastAsia="zh-CN"/>
              </w:rPr>
              <w:t>均在</w:t>
            </w:r>
            <w:r>
              <w:rPr>
                <w:rFonts w:hint="eastAsia"/>
                <w:color w:val="auto"/>
                <w:highlight w:val="none"/>
                <w:lang w:val="en-US" w:eastAsia="zh-CN"/>
              </w:rPr>
              <w:t>防雾干式喷房</w:t>
            </w:r>
            <w:r>
              <w:rPr>
                <w:rFonts w:hint="eastAsia" w:eastAsia="宋体"/>
                <w:bCs/>
                <w:color w:val="auto"/>
                <w:sz w:val="21"/>
                <w:szCs w:val="21"/>
                <w:highlight w:val="none"/>
                <w:lang w:val="en-US" w:eastAsia="zh-CN"/>
              </w:rPr>
              <w:t>内进行，本项目防雾车灯生产产生的涂装废气（包括喷涂废气和</w:t>
            </w:r>
            <w:r>
              <w:rPr>
                <w:rFonts w:hint="eastAsia"/>
                <w:bCs/>
                <w:color w:val="auto"/>
                <w:sz w:val="21"/>
                <w:szCs w:val="21"/>
                <w:highlight w:val="none"/>
                <w:lang w:val="en-US" w:eastAsia="zh-CN"/>
              </w:rPr>
              <w:t>固化</w:t>
            </w:r>
            <w:r>
              <w:rPr>
                <w:rFonts w:hint="eastAsia" w:eastAsia="宋体"/>
                <w:bCs/>
                <w:color w:val="auto"/>
                <w:sz w:val="21"/>
                <w:szCs w:val="21"/>
                <w:highlight w:val="none"/>
                <w:lang w:val="en-US" w:eastAsia="zh-CN"/>
              </w:rPr>
              <w:t>废气）一并核算，</w:t>
            </w:r>
            <w:r>
              <w:rPr>
                <w:rFonts w:hint="eastAsia"/>
                <w:bCs/>
                <w:color w:val="auto"/>
                <w:sz w:val="21"/>
                <w:szCs w:val="21"/>
                <w:highlight w:val="none"/>
                <w:lang w:val="en-US" w:eastAsia="zh-CN"/>
              </w:rPr>
              <w:t>涂装</w:t>
            </w:r>
            <w:r>
              <w:rPr>
                <w:rFonts w:hint="eastAsia" w:eastAsia="宋体"/>
                <w:bCs/>
                <w:color w:val="auto"/>
                <w:sz w:val="21"/>
                <w:szCs w:val="21"/>
                <w:highlight w:val="none"/>
                <w:lang w:val="en-US" w:eastAsia="zh-CN"/>
              </w:rPr>
              <w:t>时</w:t>
            </w:r>
            <w:r>
              <w:rPr>
                <w:rFonts w:hint="eastAsia" w:eastAsia="宋体"/>
                <w:bCs/>
                <w:color w:val="auto"/>
                <w:sz w:val="21"/>
                <w:szCs w:val="21"/>
                <w:highlight w:val="none"/>
                <w:lang w:eastAsia="zh-CN"/>
              </w:rPr>
              <w:t>会</w:t>
            </w:r>
            <w:r>
              <w:rPr>
                <w:rFonts w:hint="eastAsia" w:eastAsia="宋体"/>
                <w:bCs/>
                <w:color w:val="auto"/>
                <w:sz w:val="21"/>
                <w:szCs w:val="21"/>
                <w:highlight w:val="none"/>
                <w:lang w:val="en-US" w:eastAsia="zh-CN"/>
              </w:rPr>
              <w:t>产生有机废气</w:t>
            </w:r>
            <w:r>
              <w:rPr>
                <w:rFonts w:hint="eastAsia"/>
                <w:bCs/>
                <w:color w:val="auto"/>
                <w:sz w:val="21"/>
                <w:szCs w:val="21"/>
                <w:highlight w:val="none"/>
                <w:lang w:eastAsia="zh-CN"/>
              </w:rPr>
              <w:t>。</w:t>
            </w:r>
          </w:p>
          <w:p w14:paraId="65569C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bCs/>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根据</w:t>
            </w:r>
            <w:r>
              <w:rPr>
                <w:rFonts w:hint="eastAsia" w:cs="Times New Roman"/>
                <w:color w:val="auto"/>
                <w:sz w:val="21"/>
                <w:szCs w:val="21"/>
                <w:highlight w:val="none"/>
                <w:lang w:val="en-US" w:eastAsia="zh-CN"/>
              </w:rPr>
              <w:t>施工状态下</w:t>
            </w:r>
            <w:r>
              <w:rPr>
                <w:rFonts w:hint="eastAsia" w:ascii="Times New Roman" w:hAnsi="Times New Roman" w:eastAsia="宋体" w:cs="Times New Roman"/>
                <w:color w:val="auto"/>
                <w:sz w:val="21"/>
                <w:szCs w:val="21"/>
                <w:highlight w:val="none"/>
                <w:lang w:val="en-US" w:eastAsia="zh-CN"/>
              </w:rPr>
              <w:t>防雾涂料的VOC检测报告</w:t>
            </w:r>
            <w:r>
              <w:rPr>
                <w:rFonts w:hint="eastAsia" w:cs="Times New Roman"/>
                <w:color w:val="auto"/>
                <w:sz w:val="21"/>
                <w:szCs w:val="21"/>
                <w:highlight w:val="none"/>
                <w:lang w:val="en-US" w:eastAsia="zh-CN"/>
              </w:rPr>
              <w:t>（附件8）</w:t>
            </w:r>
            <w:r>
              <w:rPr>
                <w:rFonts w:hint="eastAsia" w:ascii="Times New Roman" w:hAnsi="Times New Roman" w:eastAsia="宋体" w:cs="Times New Roman"/>
                <w:color w:val="auto"/>
                <w:sz w:val="21"/>
                <w:szCs w:val="21"/>
                <w:highlight w:val="none"/>
                <w:lang w:val="en-US" w:eastAsia="zh-CN"/>
              </w:rPr>
              <w:t>，其VOC含量为</w:t>
            </w:r>
            <w:r>
              <w:rPr>
                <w:rFonts w:hint="eastAsia" w:cs="Times New Roman"/>
                <w:color w:val="auto"/>
                <w:sz w:val="21"/>
                <w:szCs w:val="21"/>
                <w:highlight w:val="none"/>
                <w:lang w:val="en-US" w:eastAsia="zh-CN"/>
              </w:rPr>
              <w:t>159</w:t>
            </w:r>
            <w:r>
              <w:rPr>
                <w:rFonts w:hint="eastAsia" w:ascii="Times New Roman" w:hAnsi="Times New Roman" w:eastAsia="宋体" w:cs="Times New Roman"/>
                <w:color w:val="auto"/>
                <w:sz w:val="21"/>
                <w:szCs w:val="21"/>
                <w:highlight w:val="none"/>
                <w:lang w:val="en-US" w:eastAsia="zh-CN"/>
              </w:rPr>
              <w:t>g/L，本项目使用防雾涂料</w:t>
            </w:r>
            <w:r>
              <w:rPr>
                <w:rFonts w:hint="eastAsia" w:cs="Times New Roman"/>
                <w:color w:val="auto"/>
                <w:sz w:val="21"/>
                <w:szCs w:val="21"/>
                <w:highlight w:val="none"/>
                <w:lang w:val="en-US" w:eastAsia="zh-CN"/>
              </w:rPr>
              <w:t>2.496t/a，</w:t>
            </w:r>
            <w:r>
              <w:rPr>
                <w:rFonts w:hint="eastAsia" w:ascii="Times New Roman" w:hAnsi="Times New Roman" w:eastAsia="宋体" w:cs="Times New Roman"/>
                <w:color w:val="auto"/>
                <w:sz w:val="21"/>
                <w:szCs w:val="21"/>
                <w:highlight w:val="none"/>
                <w:lang w:val="en-US" w:eastAsia="zh-CN"/>
              </w:rPr>
              <w:t>密度</w:t>
            </w:r>
            <w:r>
              <w:rPr>
                <w:rFonts w:hint="eastAsia" w:cs="Times New Roman"/>
                <w:color w:val="auto"/>
                <w:sz w:val="21"/>
                <w:szCs w:val="21"/>
                <w:highlight w:val="none"/>
                <w:lang w:val="en-US" w:eastAsia="zh-CN"/>
              </w:rPr>
              <w:t>为1.05</w:t>
            </w:r>
            <w:r>
              <w:rPr>
                <w:rFonts w:hint="eastAsia" w:ascii="Times New Roman" w:hAnsi="Times New Roman" w:eastAsia="宋体" w:cs="Times New Roman"/>
                <w:color w:val="auto"/>
                <w:sz w:val="21"/>
                <w:szCs w:val="21"/>
                <w:highlight w:val="none"/>
                <w:lang w:val="en-US" w:eastAsia="zh-CN"/>
              </w:rPr>
              <w:t>g/cm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则</w:t>
            </w:r>
            <w:r>
              <w:rPr>
                <w:rFonts w:hint="eastAsia" w:ascii="Times New Roman" w:hAnsi="Times New Roman" w:eastAsia="宋体" w:cs="Times New Roman"/>
                <w:color w:val="auto"/>
                <w:sz w:val="21"/>
                <w:szCs w:val="21"/>
                <w:highlight w:val="none"/>
                <w:lang w:val="en-US" w:eastAsia="zh-CN"/>
              </w:rPr>
              <w:t>本项目使用防雾涂料</w:t>
            </w:r>
            <w:r>
              <w:rPr>
                <w:rFonts w:hint="eastAsia" w:cs="Times New Roman"/>
                <w:color w:val="auto"/>
                <w:sz w:val="21"/>
                <w:szCs w:val="21"/>
                <w:highlight w:val="none"/>
                <w:lang w:val="en-US" w:eastAsia="zh-CN"/>
              </w:rPr>
              <w:t>2377</w:t>
            </w:r>
            <w:r>
              <w:rPr>
                <w:rFonts w:hint="eastAsia" w:ascii="Times New Roman" w:hAnsi="Times New Roman" w:eastAsia="宋体" w:cs="Times New Roman"/>
                <w:color w:val="auto"/>
                <w:sz w:val="21"/>
                <w:szCs w:val="21"/>
                <w:highlight w:val="none"/>
                <w:lang w:val="en-US" w:eastAsia="zh-CN"/>
              </w:rPr>
              <w:t>L，则VOC含量为</w:t>
            </w:r>
            <w:r>
              <w:rPr>
                <w:rFonts w:hint="eastAsia" w:cs="Times New Roman"/>
                <w:color w:val="auto"/>
                <w:sz w:val="21"/>
                <w:szCs w:val="21"/>
                <w:highlight w:val="none"/>
                <w:lang w:val="en-US" w:eastAsia="zh-CN"/>
              </w:rPr>
              <w:t>0.3779</w:t>
            </w:r>
            <w:r>
              <w:rPr>
                <w:rFonts w:hint="eastAsia" w:ascii="Times New Roman" w:hAnsi="Times New Roman" w:eastAsia="宋体" w:cs="Times New Roman"/>
                <w:color w:val="auto"/>
                <w:sz w:val="21"/>
                <w:szCs w:val="21"/>
                <w:highlight w:val="none"/>
                <w:lang w:val="en-US" w:eastAsia="zh-CN"/>
              </w:rPr>
              <w:t>t/a</w:t>
            </w:r>
            <w:r>
              <w:rPr>
                <w:rFonts w:hint="eastAsia" w:ascii="Times New Roman" w:hAnsi="Times New Roman" w:cs="Times New Roman"/>
                <w:color w:val="auto"/>
                <w:sz w:val="21"/>
                <w:szCs w:val="21"/>
                <w:highlight w:val="none"/>
                <w:lang w:val="en-US" w:eastAsia="zh-CN"/>
              </w:rPr>
              <w:t>。则</w:t>
            </w:r>
            <w:r>
              <w:rPr>
                <w:rFonts w:hint="eastAsia" w:eastAsia="宋体"/>
                <w:bCs/>
                <w:color w:val="auto"/>
                <w:sz w:val="21"/>
                <w:szCs w:val="21"/>
                <w:highlight w:val="none"/>
                <w:lang w:val="en-US" w:eastAsia="zh-CN"/>
              </w:rPr>
              <w:t>防雾涂料喷涂</w:t>
            </w:r>
            <w:r>
              <w:rPr>
                <w:rFonts w:hint="eastAsia" w:eastAsia="宋体"/>
                <w:bCs/>
                <w:color w:val="auto"/>
                <w:sz w:val="21"/>
                <w:szCs w:val="21"/>
                <w:highlight w:val="none"/>
                <w:lang w:eastAsia="zh-CN"/>
              </w:rPr>
              <w:t>时</w:t>
            </w:r>
            <w:r>
              <w:rPr>
                <w:rFonts w:hint="eastAsia"/>
                <w:bCs/>
                <w:color w:val="auto"/>
                <w:sz w:val="21"/>
                <w:szCs w:val="21"/>
                <w:highlight w:val="none"/>
                <w:lang w:val="en-US" w:eastAsia="zh-CN"/>
              </w:rPr>
              <w:t>挥发性有机物产生量为</w:t>
            </w:r>
            <w:r>
              <w:rPr>
                <w:rFonts w:hint="eastAsia" w:cs="Times New Roman"/>
                <w:color w:val="auto"/>
                <w:sz w:val="21"/>
                <w:szCs w:val="21"/>
                <w:highlight w:val="none"/>
                <w:lang w:val="en-US" w:eastAsia="zh-CN"/>
              </w:rPr>
              <w:t>0.3779</w:t>
            </w:r>
            <w:r>
              <w:rPr>
                <w:rFonts w:hint="eastAsia" w:ascii="Times New Roman" w:hAnsi="Times New Roman" w:eastAsia="宋体" w:cs="Times New Roman"/>
                <w:color w:val="auto"/>
                <w:sz w:val="21"/>
                <w:szCs w:val="21"/>
                <w:highlight w:val="none"/>
                <w:lang w:val="en-US" w:eastAsia="zh-CN"/>
              </w:rPr>
              <w:t>t/a</w:t>
            </w:r>
            <w:r>
              <w:rPr>
                <w:rFonts w:hint="eastAsia"/>
                <w:bCs/>
                <w:color w:val="auto"/>
                <w:sz w:val="21"/>
                <w:szCs w:val="21"/>
                <w:highlight w:val="none"/>
                <w:lang w:val="en-US" w:eastAsia="zh-CN"/>
              </w:rPr>
              <w:t>，</w:t>
            </w:r>
            <w:r>
              <w:rPr>
                <w:rFonts w:hint="eastAsia" w:eastAsia="宋体"/>
                <w:bCs/>
                <w:color w:val="auto"/>
                <w:sz w:val="21"/>
                <w:szCs w:val="21"/>
                <w:highlight w:val="none"/>
                <w:lang w:val="en-US" w:eastAsia="zh-CN"/>
              </w:rPr>
              <w:t>以NMHC计</w:t>
            </w:r>
            <w:r>
              <w:rPr>
                <w:rFonts w:hint="eastAsia"/>
                <w:bCs/>
                <w:color w:val="auto"/>
                <w:sz w:val="21"/>
                <w:szCs w:val="21"/>
                <w:highlight w:val="none"/>
                <w:lang w:val="en-US" w:eastAsia="zh-CN"/>
              </w:rPr>
              <w:t>。</w:t>
            </w:r>
          </w:p>
          <w:p w14:paraId="6670A5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color w:val="auto"/>
                <w:highlight w:val="none"/>
                <w:lang w:val="en-US" w:eastAsia="zh-CN"/>
              </w:rPr>
            </w:pPr>
            <w:r>
              <w:rPr>
                <w:rFonts w:hint="eastAsia" w:eastAsia="宋体"/>
                <w:bCs/>
                <w:color w:val="auto"/>
                <w:sz w:val="21"/>
                <w:szCs w:val="21"/>
                <w:highlight w:val="none"/>
                <w:lang w:val="en-US" w:eastAsia="zh-CN"/>
              </w:rPr>
              <w:t>防雾涂料涂装</w:t>
            </w:r>
            <w:r>
              <w:rPr>
                <w:rFonts w:hint="eastAsia" w:eastAsia="宋体"/>
                <w:bCs/>
                <w:color w:val="auto"/>
                <w:sz w:val="21"/>
                <w:szCs w:val="21"/>
                <w:highlight w:val="none"/>
                <w:lang w:eastAsia="zh-CN"/>
              </w:rPr>
              <w:t>过程中，按</w:t>
            </w:r>
            <w:r>
              <w:rPr>
                <w:rFonts w:hint="eastAsia"/>
                <w:bCs/>
                <w:color w:val="auto"/>
                <w:sz w:val="21"/>
                <w:szCs w:val="21"/>
                <w:highlight w:val="none"/>
                <w:lang w:val="en-US" w:eastAsia="zh-CN"/>
              </w:rPr>
              <w:t>50</w:t>
            </w:r>
            <w:r>
              <w:rPr>
                <w:rFonts w:hint="eastAsia" w:eastAsia="宋体"/>
                <w:bCs/>
                <w:color w:val="auto"/>
                <w:sz w:val="21"/>
                <w:szCs w:val="21"/>
                <w:highlight w:val="none"/>
                <w:lang w:eastAsia="zh-CN"/>
              </w:rPr>
              <w:t>%上漆率计</w:t>
            </w:r>
            <w:r>
              <w:rPr>
                <w:rFonts w:hint="eastAsia"/>
                <w:bCs/>
                <w:color w:val="auto"/>
                <w:sz w:val="21"/>
                <w:szCs w:val="21"/>
                <w:highlight w:val="none"/>
                <w:lang w:eastAsia="zh-CN"/>
              </w:rPr>
              <w:t>，</w:t>
            </w:r>
            <w:r>
              <w:rPr>
                <w:rFonts w:hint="eastAsia" w:eastAsia="宋体"/>
                <w:bCs/>
                <w:color w:val="auto"/>
                <w:sz w:val="21"/>
                <w:szCs w:val="21"/>
                <w:highlight w:val="none"/>
                <w:lang w:eastAsia="zh-CN"/>
              </w:rPr>
              <w:t>约</w:t>
            </w:r>
            <w:r>
              <w:rPr>
                <w:rFonts w:hint="eastAsia"/>
                <w:bCs/>
                <w:color w:val="auto"/>
                <w:sz w:val="21"/>
                <w:szCs w:val="21"/>
                <w:highlight w:val="none"/>
                <w:lang w:val="en-US" w:eastAsia="zh-CN"/>
              </w:rPr>
              <w:t>2</w:t>
            </w:r>
            <w:r>
              <w:rPr>
                <w:rFonts w:hint="eastAsia" w:eastAsia="宋体"/>
                <w:bCs/>
                <w:color w:val="auto"/>
                <w:sz w:val="21"/>
                <w:szCs w:val="21"/>
                <w:highlight w:val="none"/>
                <w:lang w:eastAsia="zh-CN"/>
              </w:rPr>
              <w:t>5%沉降至地面形成漆渣，其余</w:t>
            </w:r>
            <w:r>
              <w:rPr>
                <w:rFonts w:hint="eastAsia"/>
                <w:bCs/>
                <w:color w:val="auto"/>
                <w:sz w:val="21"/>
                <w:szCs w:val="21"/>
                <w:highlight w:val="none"/>
                <w:lang w:val="en-US" w:eastAsia="zh-CN"/>
              </w:rPr>
              <w:t>25</w:t>
            </w:r>
            <w:r>
              <w:rPr>
                <w:rFonts w:hint="eastAsia" w:eastAsia="宋体"/>
                <w:bCs/>
                <w:color w:val="auto"/>
                <w:sz w:val="21"/>
                <w:szCs w:val="21"/>
                <w:highlight w:val="none"/>
                <w:lang w:eastAsia="zh-CN"/>
              </w:rPr>
              <w:t>%成为漆雾在喷漆房内逸散</w:t>
            </w:r>
            <w:r>
              <w:rPr>
                <w:rFonts w:hint="eastAsia"/>
                <w:bCs/>
                <w:color w:val="auto"/>
                <w:sz w:val="21"/>
                <w:szCs w:val="21"/>
                <w:highlight w:val="none"/>
                <w:lang w:eastAsia="zh-CN"/>
              </w:rPr>
              <w:t>。</w:t>
            </w:r>
            <w:r>
              <w:rPr>
                <w:rFonts w:hint="eastAsia"/>
                <w:bCs/>
                <w:color w:val="auto"/>
                <w:sz w:val="21"/>
                <w:szCs w:val="21"/>
                <w:highlight w:val="none"/>
                <w:lang w:val="en-US" w:eastAsia="zh-CN"/>
              </w:rPr>
              <w:t>根据物料平衡可知，</w:t>
            </w:r>
            <w:r>
              <w:rPr>
                <w:rFonts w:hint="eastAsia" w:eastAsia="宋体"/>
                <w:bCs/>
                <w:color w:val="auto"/>
                <w:sz w:val="21"/>
                <w:szCs w:val="21"/>
                <w:highlight w:val="none"/>
                <w:lang w:eastAsia="zh-CN"/>
              </w:rPr>
              <w:t>漆雾产生量为</w:t>
            </w:r>
            <w:r>
              <w:rPr>
                <w:rFonts w:hint="eastAsia"/>
                <w:bCs/>
                <w:color w:val="auto"/>
                <w:sz w:val="21"/>
                <w:szCs w:val="21"/>
                <w:highlight w:val="none"/>
                <w:lang w:val="en-US" w:eastAsia="zh-CN"/>
              </w:rPr>
              <w:t>0.3733t/a</w:t>
            </w:r>
            <w:r>
              <w:rPr>
                <w:rFonts w:hint="eastAsia"/>
                <w:color w:val="auto"/>
                <w:highlight w:val="none"/>
                <w:lang w:val="en-US" w:eastAsia="zh-CN"/>
              </w:rPr>
              <w:t>。</w:t>
            </w:r>
          </w:p>
          <w:p w14:paraId="4D2B6DB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bCs/>
                <w:color w:val="auto"/>
                <w:sz w:val="21"/>
                <w:szCs w:val="21"/>
                <w:highlight w:val="none"/>
                <w:lang w:val="en-US" w:eastAsia="zh-CN"/>
              </w:rPr>
            </w:pPr>
            <w:r>
              <w:rPr>
                <w:rFonts w:hint="eastAsia" w:eastAsia="宋体"/>
                <w:bCs/>
                <w:color w:val="auto"/>
                <w:sz w:val="21"/>
                <w:szCs w:val="21"/>
                <w:highlight w:val="none"/>
                <w:lang w:val="en-US" w:eastAsia="zh-CN"/>
              </w:rPr>
              <w:t>有机硅硬质涂层涂装过程会产生有机废气，由于喷涂、固化均在</w:t>
            </w:r>
            <w:r>
              <w:rPr>
                <w:rFonts w:hint="eastAsia"/>
                <w:color w:val="auto"/>
                <w:highlight w:val="none"/>
                <w:lang w:val="en-US" w:eastAsia="zh-CN"/>
              </w:rPr>
              <w:t>HC干式喷房</w:t>
            </w:r>
            <w:r>
              <w:rPr>
                <w:rFonts w:hint="eastAsia" w:eastAsia="宋体"/>
                <w:bCs/>
                <w:color w:val="auto"/>
                <w:sz w:val="21"/>
                <w:szCs w:val="21"/>
                <w:highlight w:val="none"/>
                <w:lang w:val="en-US" w:eastAsia="zh-CN"/>
              </w:rPr>
              <w:t>内进行，本项目HC车灯生产产生的喷涂废气和固化废气一并算作涂装废气，</w:t>
            </w:r>
            <w:r>
              <w:rPr>
                <w:rFonts w:hint="eastAsia" w:ascii="Times New Roman" w:hAnsi="Times New Roman" w:eastAsia="宋体" w:cs="Times New Roman"/>
                <w:color w:val="auto"/>
                <w:sz w:val="21"/>
                <w:szCs w:val="21"/>
                <w:highlight w:val="none"/>
                <w:lang w:val="en-US" w:eastAsia="zh-CN"/>
              </w:rPr>
              <w:t>根据</w:t>
            </w:r>
            <w:r>
              <w:rPr>
                <w:rFonts w:hint="eastAsia" w:cs="Times New Roman"/>
                <w:color w:val="auto"/>
                <w:sz w:val="21"/>
                <w:szCs w:val="21"/>
                <w:highlight w:val="none"/>
                <w:lang w:val="en-US" w:eastAsia="zh-CN"/>
              </w:rPr>
              <w:t>施工状态下</w:t>
            </w:r>
            <w:r>
              <w:rPr>
                <w:rFonts w:hint="eastAsia" w:ascii="Times New Roman" w:hAnsi="Times New Roman" w:eastAsia="宋体" w:cs="Times New Roman"/>
                <w:color w:val="auto"/>
                <w:sz w:val="21"/>
                <w:szCs w:val="21"/>
                <w:highlight w:val="none"/>
                <w:lang w:val="en-US" w:eastAsia="zh-CN"/>
              </w:rPr>
              <w:t>有机硅硬质涂层的VOC检测报告</w:t>
            </w:r>
            <w:r>
              <w:rPr>
                <w:rFonts w:hint="eastAsia" w:cs="Times New Roman"/>
                <w:color w:val="auto"/>
                <w:sz w:val="21"/>
                <w:szCs w:val="21"/>
                <w:highlight w:val="none"/>
                <w:lang w:val="en-US" w:eastAsia="zh-CN"/>
              </w:rPr>
              <w:t>（附件9）</w:t>
            </w:r>
            <w:r>
              <w:rPr>
                <w:rFonts w:hint="eastAsia" w:ascii="Times New Roman" w:hAnsi="Times New Roman" w:eastAsia="宋体" w:cs="Times New Roman"/>
                <w:color w:val="auto"/>
                <w:sz w:val="21"/>
                <w:szCs w:val="21"/>
                <w:highlight w:val="none"/>
                <w:lang w:val="en-US" w:eastAsia="zh-CN"/>
              </w:rPr>
              <w:t>，其VOC含量为</w:t>
            </w:r>
            <w:r>
              <w:rPr>
                <w:rFonts w:hint="eastAsia" w:cs="Times New Roman"/>
                <w:color w:val="auto"/>
                <w:sz w:val="21"/>
                <w:szCs w:val="21"/>
                <w:highlight w:val="none"/>
                <w:lang w:val="en-US" w:eastAsia="zh-CN"/>
              </w:rPr>
              <w:t>525</w:t>
            </w:r>
            <w:r>
              <w:rPr>
                <w:rFonts w:hint="eastAsia" w:ascii="Times New Roman" w:hAnsi="Times New Roman" w:eastAsia="宋体" w:cs="Times New Roman"/>
                <w:color w:val="auto"/>
                <w:sz w:val="21"/>
                <w:szCs w:val="21"/>
                <w:highlight w:val="none"/>
                <w:lang w:val="en-US" w:eastAsia="zh-CN"/>
              </w:rPr>
              <w:t>g/L，本项目使用</w:t>
            </w:r>
            <w:r>
              <w:rPr>
                <w:rFonts w:hint="eastAsia" w:eastAsia="宋体"/>
                <w:bCs/>
                <w:color w:val="auto"/>
                <w:sz w:val="21"/>
                <w:szCs w:val="21"/>
                <w:highlight w:val="none"/>
                <w:lang w:val="en-US" w:eastAsia="zh-CN"/>
              </w:rPr>
              <w:t>有机硅硬质涂层</w:t>
            </w:r>
            <w:r>
              <w:rPr>
                <w:rFonts w:hint="eastAsia" w:cs="Times New Roman"/>
                <w:color w:val="auto"/>
                <w:sz w:val="21"/>
                <w:szCs w:val="21"/>
                <w:highlight w:val="none"/>
                <w:lang w:val="en-US" w:eastAsia="zh-CN"/>
              </w:rPr>
              <w:t>5.07</w:t>
            </w:r>
            <w:r>
              <w:rPr>
                <w:rFonts w:hint="eastAsia" w:ascii="Times New Roman" w:hAnsi="Times New Roman" w:eastAsia="宋体" w:cs="Times New Roman"/>
                <w:color w:val="auto"/>
                <w:sz w:val="21"/>
                <w:szCs w:val="21"/>
                <w:highlight w:val="none"/>
                <w:lang w:val="en-US" w:eastAsia="zh-CN"/>
              </w:rPr>
              <w:t>t/a</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密度为</w:t>
            </w:r>
            <w:r>
              <w:rPr>
                <w:rFonts w:hint="eastAsia" w:cs="Times New Roman"/>
                <w:color w:val="auto"/>
                <w:sz w:val="21"/>
                <w:szCs w:val="21"/>
                <w:highlight w:val="none"/>
                <w:lang w:val="en-US" w:eastAsia="zh-CN"/>
              </w:rPr>
              <w:t>1.038</w:t>
            </w:r>
            <w:r>
              <w:rPr>
                <w:rFonts w:hint="eastAsia" w:ascii="Times New Roman" w:hAnsi="Times New Roman" w:eastAsia="宋体" w:cs="Times New Roman"/>
                <w:color w:val="auto"/>
                <w:sz w:val="21"/>
                <w:szCs w:val="21"/>
                <w:highlight w:val="none"/>
                <w:lang w:val="en-US" w:eastAsia="zh-CN"/>
              </w:rPr>
              <w:t>g/cm</w:t>
            </w:r>
            <w:r>
              <w:rPr>
                <w:rFonts w:hint="eastAsia"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则</w:t>
            </w:r>
            <w:r>
              <w:rPr>
                <w:rFonts w:hint="eastAsia" w:ascii="Times New Roman" w:hAnsi="Times New Roman" w:eastAsia="宋体" w:cs="Times New Roman"/>
                <w:color w:val="auto"/>
                <w:sz w:val="21"/>
                <w:szCs w:val="21"/>
                <w:highlight w:val="none"/>
                <w:lang w:val="en-US" w:eastAsia="zh-CN"/>
              </w:rPr>
              <w:t>本项目使用</w:t>
            </w:r>
            <w:r>
              <w:rPr>
                <w:rFonts w:hint="eastAsia" w:eastAsia="宋体"/>
                <w:bCs/>
                <w:color w:val="auto"/>
                <w:sz w:val="21"/>
                <w:szCs w:val="21"/>
                <w:highlight w:val="none"/>
                <w:lang w:val="en-US" w:eastAsia="zh-CN"/>
              </w:rPr>
              <w:t>有机硅硬质涂层</w:t>
            </w:r>
            <w:r>
              <w:rPr>
                <w:rFonts w:hint="eastAsia" w:cs="Times New Roman"/>
                <w:color w:val="auto"/>
                <w:sz w:val="21"/>
                <w:szCs w:val="21"/>
                <w:highlight w:val="none"/>
                <w:lang w:val="en-US" w:eastAsia="zh-CN"/>
              </w:rPr>
              <w:t>约为4884</w:t>
            </w:r>
            <w:r>
              <w:rPr>
                <w:rFonts w:hint="eastAsia" w:ascii="Times New Roman" w:hAnsi="Times New Roman" w:eastAsia="宋体" w:cs="Times New Roman"/>
                <w:color w:val="auto"/>
                <w:sz w:val="21"/>
                <w:szCs w:val="21"/>
                <w:highlight w:val="none"/>
                <w:lang w:val="en-US" w:eastAsia="zh-CN"/>
              </w:rPr>
              <w:t>L，则VOC含量为</w:t>
            </w:r>
            <w:r>
              <w:rPr>
                <w:rFonts w:hint="eastAsia" w:cs="Times New Roman"/>
                <w:color w:val="auto"/>
                <w:sz w:val="21"/>
                <w:szCs w:val="21"/>
                <w:highlight w:val="none"/>
                <w:lang w:val="en-US" w:eastAsia="zh-CN"/>
              </w:rPr>
              <w:t>2.5641</w:t>
            </w:r>
            <w:r>
              <w:rPr>
                <w:rFonts w:hint="eastAsia" w:ascii="Times New Roman" w:hAnsi="Times New Roman" w:eastAsia="宋体" w:cs="Times New Roman"/>
                <w:color w:val="auto"/>
                <w:sz w:val="21"/>
                <w:szCs w:val="21"/>
                <w:highlight w:val="none"/>
                <w:lang w:val="en-US" w:eastAsia="zh-CN"/>
              </w:rPr>
              <w:t>t/a</w:t>
            </w:r>
            <w:r>
              <w:rPr>
                <w:rFonts w:hint="eastAsia"/>
                <w:bCs/>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则</w:t>
            </w:r>
            <w:r>
              <w:rPr>
                <w:rFonts w:hint="eastAsia" w:eastAsia="宋体"/>
                <w:bCs/>
                <w:color w:val="auto"/>
                <w:sz w:val="21"/>
                <w:szCs w:val="21"/>
                <w:highlight w:val="none"/>
                <w:lang w:val="en-US" w:eastAsia="zh-CN"/>
              </w:rPr>
              <w:t>有机硅硬质涂层喷涂</w:t>
            </w:r>
            <w:r>
              <w:rPr>
                <w:rFonts w:hint="eastAsia" w:eastAsia="宋体"/>
                <w:bCs/>
                <w:color w:val="auto"/>
                <w:sz w:val="21"/>
                <w:szCs w:val="21"/>
                <w:highlight w:val="none"/>
                <w:lang w:eastAsia="zh-CN"/>
              </w:rPr>
              <w:t>时</w:t>
            </w:r>
            <w:r>
              <w:rPr>
                <w:rFonts w:hint="eastAsia"/>
                <w:bCs/>
                <w:color w:val="auto"/>
                <w:sz w:val="21"/>
                <w:szCs w:val="21"/>
                <w:highlight w:val="none"/>
                <w:lang w:val="en-US" w:eastAsia="zh-CN"/>
              </w:rPr>
              <w:t>挥发性有机物产生量为</w:t>
            </w:r>
            <w:r>
              <w:rPr>
                <w:rFonts w:hint="eastAsia" w:cs="Times New Roman"/>
                <w:color w:val="auto"/>
                <w:sz w:val="21"/>
                <w:szCs w:val="21"/>
                <w:highlight w:val="none"/>
                <w:lang w:val="en-US" w:eastAsia="zh-CN"/>
              </w:rPr>
              <w:t>2.5641</w:t>
            </w:r>
            <w:r>
              <w:rPr>
                <w:rFonts w:hint="eastAsia" w:ascii="Times New Roman" w:hAnsi="Times New Roman" w:eastAsia="宋体" w:cs="Times New Roman"/>
                <w:color w:val="auto"/>
                <w:sz w:val="21"/>
                <w:szCs w:val="21"/>
                <w:highlight w:val="none"/>
                <w:lang w:val="en-US" w:eastAsia="zh-CN"/>
              </w:rPr>
              <w:t>t/a</w:t>
            </w:r>
            <w:r>
              <w:rPr>
                <w:rFonts w:hint="eastAsia"/>
                <w:bCs/>
                <w:color w:val="auto"/>
                <w:sz w:val="21"/>
                <w:szCs w:val="21"/>
                <w:highlight w:val="none"/>
                <w:lang w:val="en-US" w:eastAsia="zh-CN"/>
              </w:rPr>
              <w:t>，</w:t>
            </w:r>
            <w:r>
              <w:rPr>
                <w:rFonts w:hint="eastAsia" w:eastAsia="宋体"/>
                <w:bCs/>
                <w:color w:val="auto"/>
                <w:sz w:val="21"/>
                <w:szCs w:val="21"/>
                <w:highlight w:val="none"/>
                <w:lang w:val="en-US" w:eastAsia="zh-CN"/>
              </w:rPr>
              <w:t>以NMHC计</w:t>
            </w:r>
            <w:r>
              <w:rPr>
                <w:rFonts w:hint="eastAsia"/>
                <w:bCs/>
                <w:color w:val="auto"/>
                <w:sz w:val="21"/>
                <w:szCs w:val="21"/>
                <w:highlight w:val="none"/>
                <w:lang w:val="en-US" w:eastAsia="zh-CN"/>
              </w:rPr>
              <w:t>。</w:t>
            </w:r>
          </w:p>
          <w:p w14:paraId="4B6BB4C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eastAsia"/>
                <w:color w:val="auto"/>
                <w:highlight w:val="none"/>
                <w:lang w:val="en-US" w:eastAsia="zh-CN"/>
              </w:rPr>
            </w:pPr>
            <w:r>
              <w:rPr>
                <w:rFonts w:hint="eastAsia" w:eastAsia="宋体"/>
                <w:bCs/>
                <w:color w:val="auto"/>
                <w:sz w:val="21"/>
                <w:szCs w:val="21"/>
                <w:highlight w:val="none"/>
                <w:lang w:val="en-US" w:eastAsia="zh-CN"/>
              </w:rPr>
              <w:t>有机硅硬质涂层涂装</w:t>
            </w:r>
            <w:r>
              <w:rPr>
                <w:rFonts w:hint="eastAsia" w:eastAsia="宋体"/>
                <w:bCs/>
                <w:color w:val="auto"/>
                <w:sz w:val="21"/>
                <w:szCs w:val="21"/>
                <w:highlight w:val="none"/>
                <w:lang w:eastAsia="zh-CN"/>
              </w:rPr>
              <w:t>过程中，按</w:t>
            </w:r>
            <w:r>
              <w:rPr>
                <w:rFonts w:hint="eastAsia"/>
                <w:bCs/>
                <w:color w:val="auto"/>
                <w:sz w:val="21"/>
                <w:szCs w:val="21"/>
                <w:highlight w:val="none"/>
                <w:lang w:val="en-US" w:eastAsia="zh-CN"/>
              </w:rPr>
              <w:t>50</w:t>
            </w:r>
            <w:r>
              <w:rPr>
                <w:rFonts w:hint="eastAsia" w:eastAsia="宋体"/>
                <w:bCs/>
                <w:color w:val="auto"/>
                <w:sz w:val="21"/>
                <w:szCs w:val="21"/>
                <w:highlight w:val="none"/>
                <w:lang w:eastAsia="zh-CN"/>
              </w:rPr>
              <w:t>%上漆率计</w:t>
            </w:r>
            <w:r>
              <w:rPr>
                <w:rFonts w:hint="eastAsia"/>
                <w:bCs/>
                <w:color w:val="auto"/>
                <w:sz w:val="21"/>
                <w:szCs w:val="21"/>
                <w:highlight w:val="none"/>
                <w:lang w:eastAsia="zh-CN"/>
              </w:rPr>
              <w:t>，</w:t>
            </w:r>
            <w:r>
              <w:rPr>
                <w:rFonts w:hint="eastAsia" w:eastAsia="宋体"/>
                <w:bCs/>
                <w:color w:val="auto"/>
                <w:sz w:val="21"/>
                <w:szCs w:val="21"/>
                <w:highlight w:val="none"/>
                <w:lang w:eastAsia="zh-CN"/>
              </w:rPr>
              <w:t>约</w:t>
            </w:r>
            <w:r>
              <w:rPr>
                <w:rFonts w:hint="eastAsia"/>
                <w:bCs/>
                <w:color w:val="auto"/>
                <w:sz w:val="21"/>
                <w:szCs w:val="21"/>
                <w:highlight w:val="none"/>
                <w:lang w:val="en-US" w:eastAsia="zh-CN"/>
              </w:rPr>
              <w:t>2</w:t>
            </w:r>
            <w:r>
              <w:rPr>
                <w:rFonts w:hint="eastAsia" w:eastAsia="宋体"/>
                <w:bCs/>
                <w:color w:val="auto"/>
                <w:sz w:val="21"/>
                <w:szCs w:val="21"/>
                <w:highlight w:val="none"/>
                <w:lang w:eastAsia="zh-CN"/>
              </w:rPr>
              <w:t>5%沉降至地面形成漆渣，其余</w:t>
            </w:r>
            <w:r>
              <w:rPr>
                <w:rFonts w:hint="eastAsia"/>
                <w:bCs/>
                <w:color w:val="auto"/>
                <w:sz w:val="21"/>
                <w:szCs w:val="21"/>
                <w:highlight w:val="none"/>
                <w:lang w:val="en-US" w:eastAsia="zh-CN"/>
              </w:rPr>
              <w:t>25</w:t>
            </w:r>
            <w:r>
              <w:rPr>
                <w:rFonts w:hint="eastAsia" w:eastAsia="宋体"/>
                <w:bCs/>
                <w:color w:val="auto"/>
                <w:sz w:val="21"/>
                <w:szCs w:val="21"/>
                <w:highlight w:val="none"/>
                <w:lang w:eastAsia="zh-CN"/>
              </w:rPr>
              <w:t>%成为漆雾在喷漆房内逸散</w:t>
            </w:r>
            <w:r>
              <w:rPr>
                <w:rFonts w:hint="eastAsia"/>
                <w:bCs/>
                <w:color w:val="auto"/>
                <w:sz w:val="21"/>
                <w:szCs w:val="21"/>
                <w:highlight w:val="none"/>
                <w:lang w:eastAsia="zh-CN"/>
              </w:rPr>
              <w:t>。</w:t>
            </w:r>
            <w:r>
              <w:rPr>
                <w:rFonts w:hint="eastAsia"/>
                <w:bCs/>
                <w:color w:val="auto"/>
                <w:sz w:val="21"/>
                <w:szCs w:val="21"/>
                <w:highlight w:val="none"/>
                <w:lang w:val="en-US" w:eastAsia="zh-CN"/>
              </w:rPr>
              <w:t>根据物料平衡可知，</w:t>
            </w:r>
            <w:r>
              <w:rPr>
                <w:rFonts w:hint="eastAsia" w:eastAsia="宋体"/>
                <w:bCs/>
                <w:color w:val="auto"/>
                <w:sz w:val="21"/>
                <w:szCs w:val="21"/>
                <w:highlight w:val="none"/>
                <w:lang w:eastAsia="zh-CN"/>
              </w:rPr>
              <w:t>漆雾产生量为</w:t>
            </w:r>
            <w:r>
              <w:rPr>
                <w:rFonts w:hint="eastAsia"/>
                <w:bCs/>
                <w:color w:val="auto"/>
                <w:sz w:val="21"/>
                <w:szCs w:val="21"/>
                <w:highlight w:val="none"/>
                <w:lang w:val="en-US" w:eastAsia="zh-CN"/>
              </w:rPr>
              <w:t>0.6265t/a</w:t>
            </w:r>
            <w:r>
              <w:rPr>
                <w:rFonts w:hint="eastAsia"/>
                <w:color w:val="auto"/>
                <w:highlight w:val="none"/>
                <w:lang w:val="en-US" w:eastAsia="zh-CN"/>
              </w:rPr>
              <w:t>。</w:t>
            </w:r>
          </w:p>
          <w:p w14:paraId="12139318">
            <w:pPr>
              <w:bidi w:val="0"/>
              <w:spacing w:line="360" w:lineRule="auto"/>
              <w:ind w:firstLine="420" w:firstLineChars="200"/>
              <w:rPr>
                <w:rFonts w:hint="default"/>
                <w:color w:val="auto"/>
                <w:highlight w:val="none"/>
                <w:lang w:val="en-US" w:eastAsia="zh-CN"/>
              </w:rPr>
            </w:pPr>
            <w:r>
              <w:rPr>
                <w:rFonts w:hint="eastAsia"/>
                <w:color w:val="auto"/>
                <w:highlight w:val="none"/>
                <w:lang w:val="en-US" w:eastAsia="zh-CN"/>
              </w:rPr>
              <w:t>综上，涂装共计产生非甲烷总烃2.942‬t/a，颗粒物0.9998t/a，涂装</w:t>
            </w:r>
            <w:r>
              <w:rPr>
                <w:rFonts w:hint="default"/>
                <w:color w:val="auto"/>
                <w:highlight w:val="none"/>
                <w:lang w:val="en-US" w:eastAsia="zh-CN"/>
              </w:rPr>
              <w:t>废气经“侧吸式集风罩”负压收集后进入“干式漆雾过滤器+二级活性炭吸附装置”处理后通过15米高的</w:t>
            </w:r>
            <w:r>
              <w:rPr>
                <w:rFonts w:hint="eastAsia"/>
                <w:color w:val="auto"/>
                <w:highlight w:val="none"/>
                <w:lang w:val="en-US" w:eastAsia="zh-CN"/>
              </w:rPr>
              <w:t>DA016</w:t>
            </w:r>
            <w:r>
              <w:rPr>
                <w:rFonts w:hint="default"/>
                <w:color w:val="auto"/>
                <w:highlight w:val="none"/>
                <w:lang w:val="en-US" w:eastAsia="zh-CN"/>
              </w:rPr>
              <w:t>排气筒排放（收集效率9</w:t>
            </w:r>
            <w:r>
              <w:rPr>
                <w:rFonts w:hint="eastAsia"/>
                <w:color w:val="auto"/>
                <w:highlight w:val="none"/>
                <w:lang w:val="en-US" w:eastAsia="zh-CN"/>
              </w:rPr>
              <w:t>0</w:t>
            </w:r>
            <w:r>
              <w:rPr>
                <w:rFonts w:hint="default"/>
                <w:color w:val="auto"/>
                <w:highlight w:val="none"/>
                <w:lang w:val="en-US" w:eastAsia="zh-CN"/>
              </w:rPr>
              <w:t>%，挥发性有机物处理效率90%、颗粒物处理效率</w:t>
            </w:r>
            <w:r>
              <w:rPr>
                <w:rFonts w:hint="eastAsia"/>
                <w:color w:val="auto"/>
                <w:highlight w:val="none"/>
                <w:lang w:val="en-US" w:eastAsia="zh-CN"/>
              </w:rPr>
              <w:t>99</w:t>
            </w:r>
            <w:r>
              <w:rPr>
                <w:rFonts w:hint="default"/>
                <w:color w:val="auto"/>
                <w:highlight w:val="none"/>
                <w:lang w:val="en-US" w:eastAsia="zh-CN"/>
              </w:rPr>
              <w:t>%）</w:t>
            </w:r>
          </w:p>
          <w:p w14:paraId="1E95C1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bidi="zh-CN"/>
              </w:rPr>
              <w:t>（5）危废仓库废气</w:t>
            </w:r>
          </w:p>
          <w:p w14:paraId="11FFCD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bidi="zh-CN"/>
              </w:rPr>
              <w:t>本项目设置</w:t>
            </w:r>
            <w:r>
              <w:rPr>
                <w:rFonts w:hint="eastAsia" w:cs="Times New Roman"/>
                <w:color w:val="auto"/>
                <w:kern w:val="2"/>
                <w:sz w:val="21"/>
                <w:szCs w:val="21"/>
                <w:lang w:val="en-US" w:eastAsia="zh-CN" w:bidi="zh-CN"/>
              </w:rPr>
              <w:t>70</w:t>
            </w:r>
            <w:r>
              <w:rPr>
                <w:rFonts w:hint="eastAsia" w:ascii="Times New Roman" w:hAnsi="Times New Roman" w:eastAsia="宋体" w:cs="Times New Roman"/>
                <w:color w:val="auto"/>
                <w:kern w:val="2"/>
                <w:sz w:val="21"/>
                <w:szCs w:val="21"/>
                <w:lang w:val="en-US" w:eastAsia="zh-CN" w:bidi="zh-CN"/>
              </w:rPr>
              <w:t>m</w:t>
            </w:r>
            <w:r>
              <w:rPr>
                <w:rFonts w:hint="eastAsia" w:ascii="Times New Roman" w:hAnsi="Times New Roman" w:eastAsia="宋体" w:cs="Times New Roman"/>
                <w:color w:val="auto"/>
                <w:kern w:val="2"/>
                <w:sz w:val="21"/>
                <w:szCs w:val="21"/>
                <w:vertAlign w:val="superscript"/>
                <w:lang w:val="en-US" w:eastAsia="zh-CN" w:bidi="zh-CN"/>
              </w:rPr>
              <w:t>2</w:t>
            </w:r>
            <w:r>
              <w:rPr>
                <w:rFonts w:hint="eastAsia" w:ascii="Times New Roman" w:hAnsi="Times New Roman" w:eastAsia="宋体" w:cs="Times New Roman"/>
                <w:color w:val="auto"/>
                <w:kern w:val="2"/>
                <w:sz w:val="21"/>
                <w:szCs w:val="21"/>
                <w:lang w:val="en-US" w:eastAsia="zh-CN" w:bidi="zh-CN"/>
              </w:rPr>
              <w:t>危废仓库，危废库涉及挥发性有机废气的主要有</w:t>
            </w:r>
            <w:r>
              <w:rPr>
                <w:rFonts w:hint="eastAsia" w:cs="Times New Roman"/>
                <w:color w:val="auto"/>
                <w:kern w:val="2"/>
                <w:sz w:val="21"/>
                <w:szCs w:val="21"/>
                <w:lang w:val="en-US" w:eastAsia="zh-CN" w:bidi="zh-CN"/>
              </w:rPr>
              <w:t>废清洗剂、</w:t>
            </w:r>
            <w:r>
              <w:rPr>
                <w:rFonts w:hint="eastAsia" w:ascii="Times New Roman" w:hAnsi="Times New Roman" w:eastAsia="宋体" w:cs="Times New Roman"/>
                <w:color w:val="auto"/>
                <w:kern w:val="2"/>
                <w:sz w:val="21"/>
                <w:szCs w:val="21"/>
                <w:lang w:val="en-US" w:eastAsia="zh-CN" w:bidi="zh-CN"/>
              </w:rPr>
              <w:t>废活性炭。其中废活性炭每</w:t>
            </w:r>
            <w:r>
              <w:rPr>
                <w:rFonts w:hint="eastAsia" w:cs="Times New Roman"/>
                <w:color w:val="auto"/>
                <w:kern w:val="2"/>
                <w:sz w:val="21"/>
                <w:szCs w:val="21"/>
                <w:lang w:val="en-US" w:eastAsia="zh-CN" w:bidi="zh-CN"/>
              </w:rPr>
              <w:t>26天</w:t>
            </w:r>
            <w:r>
              <w:rPr>
                <w:rFonts w:hint="eastAsia" w:ascii="Times New Roman" w:hAnsi="Times New Roman" w:eastAsia="宋体" w:cs="Times New Roman"/>
                <w:color w:val="auto"/>
                <w:kern w:val="2"/>
                <w:sz w:val="21"/>
                <w:szCs w:val="21"/>
                <w:lang w:val="en-US" w:eastAsia="zh-CN" w:bidi="zh-CN"/>
              </w:rPr>
              <w:t>更换一次，更换后立即联系有资质单位处置，几乎不在厂内暂存，其余危废均采用桶装密闭或塑料袋密闭的方式进行包装后暂存于危废仓库。暂存过程中仅挥发少量有机废气（以非甲烷总烃计）。</w:t>
            </w:r>
          </w:p>
          <w:p w14:paraId="3B1E11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eastAsia="宋体" w:cs="Times New Roman"/>
                <w:color w:val="auto"/>
                <w:kern w:val="2"/>
                <w:sz w:val="21"/>
                <w:szCs w:val="21"/>
                <w:lang w:val="en-US" w:eastAsia="zh-CN" w:bidi="zh-CN"/>
              </w:rPr>
              <w:t>通过计算可以得出危废仓库存储的</w:t>
            </w:r>
            <w:r>
              <w:rPr>
                <w:rFonts w:hint="eastAsia" w:cs="Times New Roman"/>
                <w:color w:val="auto"/>
                <w:kern w:val="2"/>
                <w:sz w:val="21"/>
                <w:szCs w:val="21"/>
                <w:lang w:val="en-US" w:eastAsia="zh-CN" w:bidi="zh-CN"/>
              </w:rPr>
              <w:t>废清洗剂0.2006t/a、</w:t>
            </w:r>
            <w:r>
              <w:rPr>
                <w:rFonts w:hint="eastAsia" w:cs="Times New Roman"/>
                <w:color w:val="auto"/>
                <w:kern w:val="2"/>
                <w:sz w:val="21"/>
                <w:szCs w:val="21"/>
                <w:lang w:val="en-US" w:eastAsia="zh-CN" w:bidi="zh-CN"/>
              </w:rPr>
              <w:t>油漆</w:t>
            </w:r>
            <w:r>
              <w:rPr>
                <w:rFonts w:hint="eastAsia" w:cs="Times New Roman"/>
                <w:color w:val="auto"/>
                <w:kern w:val="2"/>
                <w:sz w:val="21"/>
                <w:szCs w:val="21"/>
                <w:lang w:val="en-US" w:eastAsia="zh-CN" w:bidi="zh-CN"/>
              </w:rPr>
              <w:t>废包装1t/a、漆渣0.9997‬t/a、废过滤棉1.3908‬‬t/a，废润滑油0.048t/a、废活性炭31.7856t/a，共计</w:t>
            </w:r>
            <w:r>
              <w:rPr>
                <w:rFonts w:hint="eastAsia" w:cs="Times New Roman"/>
                <w:color w:val="auto"/>
                <w:sz w:val="21"/>
                <w:szCs w:val="21"/>
                <w:u w:val="none"/>
                <w:lang w:val="en-US" w:eastAsia="zh-CN"/>
              </w:rPr>
              <w:t>35.4247</w:t>
            </w:r>
            <w:r>
              <w:rPr>
                <w:rFonts w:hint="eastAsia" w:ascii="Times New Roman" w:hAnsi="Times New Roman" w:eastAsia="宋体" w:cs="Times New Roman"/>
                <w:color w:val="auto"/>
                <w:kern w:val="2"/>
                <w:sz w:val="21"/>
                <w:szCs w:val="21"/>
                <w:lang w:val="en-US" w:eastAsia="zh-CN" w:bidi="zh-CN"/>
              </w:rPr>
              <w:t>t/a，参照美国环保局网站AP-42空气排放因子汇编中“废物处置-工业固废处置-储存-容器逃逸排放”工序中的VOCs产生因子2.22×10</w:t>
            </w:r>
            <w:r>
              <w:rPr>
                <w:rFonts w:hint="eastAsia" w:ascii="Times New Roman" w:hAnsi="Times New Roman" w:eastAsia="宋体" w:cs="Times New Roman"/>
                <w:color w:val="auto"/>
                <w:kern w:val="2"/>
                <w:sz w:val="21"/>
                <w:szCs w:val="21"/>
                <w:vertAlign w:val="superscript"/>
                <w:lang w:val="en-US" w:eastAsia="zh-CN" w:bidi="zh-CN"/>
              </w:rPr>
              <w:t>2</w:t>
            </w:r>
            <w:r>
              <w:rPr>
                <w:rFonts w:hint="eastAsia" w:ascii="Times New Roman" w:hAnsi="Times New Roman" w:eastAsia="宋体" w:cs="Times New Roman"/>
                <w:color w:val="auto"/>
                <w:kern w:val="2"/>
                <w:sz w:val="21"/>
                <w:szCs w:val="21"/>
                <w:lang w:val="en-US" w:eastAsia="zh-CN" w:bidi="zh-CN"/>
              </w:rPr>
              <w:t>磅/1000个55加仑容器·年，折算成VOCs排放系数为100.7kg/200t固废·年，即0.5035kg/t固废·年。则非甲烷总烃产生量为0.0178t/a。通过危废仓库设置的活性炭吸附装置处理后，通过</w:t>
            </w:r>
            <w:r>
              <w:rPr>
                <w:rFonts w:hint="eastAsia" w:cs="Times New Roman"/>
                <w:color w:val="auto"/>
                <w:kern w:val="2"/>
                <w:sz w:val="21"/>
                <w:szCs w:val="21"/>
                <w:lang w:val="en-US" w:eastAsia="zh-CN" w:bidi="zh-CN"/>
              </w:rPr>
              <w:t>现有DA010</w:t>
            </w:r>
            <w:r>
              <w:rPr>
                <w:rFonts w:hint="eastAsia" w:ascii="Times New Roman" w:hAnsi="Times New Roman" w:eastAsia="宋体" w:cs="Times New Roman"/>
                <w:color w:val="auto"/>
                <w:kern w:val="2"/>
                <w:sz w:val="21"/>
                <w:szCs w:val="21"/>
                <w:lang w:val="en-US" w:eastAsia="zh-CN" w:bidi="zh-CN"/>
              </w:rPr>
              <w:t>排气筒排放，收集效率为80%，处理效率以70%计，则非甲烷总烃有组织排放量为</w:t>
            </w:r>
            <w:r>
              <w:rPr>
                <w:rFonts w:hint="eastAsia" w:cs="Times New Roman"/>
                <w:color w:val="auto"/>
                <w:kern w:val="2"/>
                <w:sz w:val="21"/>
                <w:szCs w:val="21"/>
                <w:lang w:val="en-US" w:eastAsia="zh-CN" w:bidi="zh-CN"/>
              </w:rPr>
              <w:t>0.0043</w:t>
            </w:r>
            <w:r>
              <w:rPr>
                <w:rFonts w:hint="eastAsia" w:ascii="Times New Roman" w:hAnsi="Times New Roman" w:eastAsia="宋体" w:cs="Times New Roman"/>
                <w:color w:val="auto"/>
                <w:kern w:val="2"/>
                <w:sz w:val="21"/>
                <w:szCs w:val="21"/>
                <w:lang w:val="en-US" w:eastAsia="zh-CN" w:bidi="zh-CN"/>
              </w:rPr>
              <w:t>t/a，无组织排放量为</w:t>
            </w:r>
            <w:r>
              <w:rPr>
                <w:rFonts w:hint="eastAsia" w:cs="Times New Roman"/>
                <w:color w:val="auto"/>
                <w:kern w:val="2"/>
                <w:sz w:val="21"/>
                <w:szCs w:val="21"/>
                <w:lang w:val="en-US" w:eastAsia="zh-CN" w:bidi="zh-CN"/>
              </w:rPr>
              <w:t>0.0036</w:t>
            </w:r>
            <w:r>
              <w:rPr>
                <w:rFonts w:hint="eastAsia" w:ascii="Times New Roman" w:hAnsi="Times New Roman" w:eastAsia="宋体" w:cs="Times New Roman"/>
                <w:color w:val="auto"/>
                <w:kern w:val="2"/>
                <w:sz w:val="21"/>
                <w:szCs w:val="21"/>
                <w:lang w:val="en-US" w:eastAsia="zh-CN" w:bidi="zh-CN"/>
              </w:rPr>
              <w:t>t/a，危废仓库体积</w:t>
            </w:r>
            <w:r>
              <w:rPr>
                <w:rFonts w:hint="eastAsia" w:cs="Times New Roman"/>
                <w:color w:val="auto"/>
                <w:kern w:val="2"/>
                <w:sz w:val="21"/>
                <w:szCs w:val="21"/>
                <w:lang w:val="en-US" w:eastAsia="zh-CN" w:bidi="zh-CN"/>
              </w:rPr>
              <w:t>约70</w:t>
            </w:r>
            <w:r>
              <w:rPr>
                <w:rFonts w:hint="eastAsia" w:ascii="Times New Roman" w:hAnsi="Times New Roman" w:eastAsia="宋体" w:cs="Times New Roman"/>
                <w:color w:val="auto"/>
                <w:kern w:val="2"/>
                <w:sz w:val="21"/>
                <w:szCs w:val="21"/>
                <w:lang w:val="en-US" w:eastAsia="zh-CN" w:bidi="zh-CN"/>
              </w:rPr>
              <w:t>m</w:t>
            </w:r>
            <w:r>
              <w:rPr>
                <w:rFonts w:hint="eastAsia" w:ascii="Times New Roman" w:hAnsi="Times New Roman" w:eastAsia="宋体" w:cs="Times New Roman"/>
                <w:color w:val="auto"/>
                <w:kern w:val="2"/>
                <w:sz w:val="21"/>
                <w:szCs w:val="21"/>
                <w:vertAlign w:val="superscript"/>
                <w:lang w:val="en-US" w:eastAsia="zh-CN" w:bidi="zh-CN"/>
              </w:rPr>
              <w:t>3</w:t>
            </w:r>
            <w:r>
              <w:rPr>
                <w:rFonts w:hint="eastAsia" w:ascii="Times New Roman" w:hAnsi="Times New Roman" w:eastAsia="宋体" w:cs="Times New Roman"/>
                <w:color w:val="auto"/>
                <w:kern w:val="2"/>
                <w:sz w:val="21"/>
                <w:szCs w:val="21"/>
                <w:lang w:val="en-US" w:eastAsia="zh-CN" w:bidi="zh-CN"/>
              </w:rPr>
              <w:t>，以每小时换气6次计，风机风量为</w:t>
            </w:r>
            <w:r>
              <w:rPr>
                <w:rFonts w:hint="eastAsia" w:cs="Times New Roman"/>
                <w:color w:val="auto"/>
                <w:kern w:val="2"/>
                <w:sz w:val="21"/>
                <w:szCs w:val="21"/>
                <w:lang w:val="en-US" w:eastAsia="zh-CN" w:bidi="zh-CN"/>
              </w:rPr>
              <w:t>42</w:t>
            </w:r>
            <w:r>
              <w:rPr>
                <w:rFonts w:hint="eastAsia" w:ascii="Times New Roman" w:hAnsi="Times New Roman" w:eastAsia="宋体" w:cs="Times New Roman"/>
                <w:color w:val="auto"/>
                <w:kern w:val="2"/>
                <w:sz w:val="21"/>
                <w:szCs w:val="21"/>
                <w:lang w:val="en-US" w:eastAsia="zh-CN" w:bidi="zh-CN"/>
              </w:rPr>
              <w:t>0m</w:t>
            </w:r>
            <w:r>
              <w:rPr>
                <w:rFonts w:hint="eastAsia" w:ascii="Times New Roman" w:hAnsi="Times New Roman" w:eastAsia="宋体" w:cs="Times New Roman"/>
                <w:color w:val="auto"/>
                <w:kern w:val="2"/>
                <w:sz w:val="21"/>
                <w:szCs w:val="21"/>
                <w:vertAlign w:val="superscript"/>
                <w:lang w:val="en-US" w:eastAsia="zh-CN" w:bidi="zh-CN"/>
              </w:rPr>
              <w:t>3</w:t>
            </w:r>
            <w:r>
              <w:rPr>
                <w:rFonts w:hint="eastAsia" w:ascii="Times New Roman" w:hAnsi="Times New Roman" w:eastAsia="宋体" w:cs="Times New Roman"/>
                <w:color w:val="auto"/>
                <w:kern w:val="2"/>
                <w:sz w:val="21"/>
                <w:szCs w:val="21"/>
                <w:lang w:val="en-US" w:eastAsia="zh-CN" w:bidi="zh-CN"/>
              </w:rPr>
              <w:t>/h，考虑到压力损失等因素，设计风机风量为</w:t>
            </w:r>
            <w:r>
              <w:rPr>
                <w:rFonts w:hint="eastAsia" w:cs="Times New Roman"/>
                <w:color w:val="auto"/>
                <w:kern w:val="2"/>
                <w:sz w:val="21"/>
                <w:szCs w:val="21"/>
                <w:lang w:val="en-US" w:eastAsia="zh-CN" w:bidi="zh-CN"/>
              </w:rPr>
              <w:t>5</w:t>
            </w:r>
            <w:r>
              <w:rPr>
                <w:rFonts w:hint="eastAsia" w:ascii="Times New Roman" w:hAnsi="Times New Roman" w:eastAsia="宋体" w:cs="Times New Roman"/>
                <w:color w:val="auto"/>
                <w:kern w:val="2"/>
                <w:sz w:val="21"/>
                <w:szCs w:val="21"/>
                <w:lang w:val="en-US" w:eastAsia="zh-CN" w:bidi="zh-CN"/>
              </w:rPr>
              <w:t>00m</w:t>
            </w:r>
            <w:r>
              <w:rPr>
                <w:rFonts w:hint="eastAsia" w:ascii="Times New Roman" w:hAnsi="Times New Roman" w:eastAsia="宋体" w:cs="Times New Roman"/>
                <w:color w:val="auto"/>
                <w:kern w:val="2"/>
                <w:sz w:val="21"/>
                <w:szCs w:val="21"/>
                <w:vertAlign w:val="superscript"/>
                <w:lang w:val="en-US" w:eastAsia="zh-CN" w:bidi="zh-CN"/>
              </w:rPr>
              <w:t>3</w:t>
            </w:r>
            <w:r>
              <w:rPr>
                <w:rFonts w:hint="eastAsia" w:ascii="Times New Roman" w:hAnsi="Times New Roman" w:eastAsia="宋体" w:cs="Times New Roman"/>
                <w:color w:val="auto"/>
                <w:kern w:val="2"/>
                <w:sz w:val="21"/>
                <w:szCs w:val="21"/>
                <w:lang w:val="en-US" w:eastAsia="zh-CN" w:bidi="zh-CN"/>
              </w:rPr>
              <w:t>/h。工作时间以</w:t>
            </w:r>
            <w:r>
              <w:rPr>
                <w:rFonts w:hint="eastAsia" w:cs="Times New Roman"/>
                <w:color w:val="auto"/>
                <w:kern w:val="2"/>
                <w:sz w:val="21"/>
                <w:szCs w:val="21"/>
                <w:lang w:val="en-US" w:eastAsia="zh-CN" w:bidi="zh-CN"/>
              </w:rPr>
              <w:t>8760</w:t>
            </w:r>
            <w:r>
              <w:rPr>
                <w:rFonts w:hint="eastAsia" w:ascii="Times New Roman" w:hAnsi="Times New Roman" w:eastAsia="宋体" w:cs="Times New Roman"/>
                <w:color w:val="auto"/>
                <w:kern w:val="2"/>
                <w:sz w:val="21"/>
                <w:szCs w:val="21"/>
                <w:lang w:val="en-US" w:eastAsia="zh-CN" w:bidi="zh-CN"/>
              </w:rPr>
              <w:t>h/a计。</w:t>
            </w:r>
          </w:p>
          <w:p w14:paraId="4D5B92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kern w:val="2"/>
                <w:sz w:val="21"/>
                <w:szCs w:val="21"/>
                <w:vertAlign w:val="baseline"/>
                <w:lang w:val="en-US" w:eastAsia="zh-CN" w:bidi="zh-CN"/>
              </w:rPr>
            </w:pPr>
            <w:r>
              <w:rPr>
                <w:rFonts w:hint="eastAsia"/>
                <w:color w:val="auto"/>
                <w:lang w:val="en-US" w:eastAsia="zh-CN"/>
              </w:rPr>
              <w:t>根据检测报告计算可知DA010现有活性炭吸附装置吸附非甲烷总烃0.1185t/a，非甲烷总烃有组织排放量为0.0508t/a，则本项目建成后，DA010非甲烷总烃总排放量为0.0551t/a，排放速率为0.0063kg/h，排放浓度为12.6mg/m</w:t>
            </w:r>
            <w:r>
              <w:rPr>
                <w:rFonts w:hint="eastAsia"/>
                <w:color w:val="auto"/>
                <w:vertAlign w:val="superscript"/>
                <w:lang w:val="en-US" w:eastAsia="zh-CN"/>
              </w:rPr>
              <w:t>3</w:t>
            </w:r>
            <w:r>
              <w:rPr>
                <w:rFonts w:hint="eastAsia"/>
                <w:color w:val="auto"/>
                <w:vertAlign w:val="baseline"/>
                <w:lang w:val="en-US" w:eastAsia="zh-CN"/>
              </w:rPr>
              <w:t>，可满足</w:t>
            </w:r>
            <w:r>
              <w:rPr>
                <w:rFonts w:hint="eastAsia"/>
                <w:color w:val="auto"/>
              </w:rPr>
              <w:t>《</w:t>
            </w:r>
            <w:r>
              <w:rPr>
                <w:rFonts w:hint="eastAsia"/>
                <w:color w:val="auto"/>
                <w:lang w:val="en-US" w:eastAsia="zh-CN"/>
              </w:rPr>
              <w:t>表面涂装（汽车零部件）大气污染物排放标准</w:t>
            </w:r>
            <w:r>
              <w:rPr>
                <w:rFonts w:hint="eastAsia"/>
                <w:color w:val="auto"/>
              </w:rPr>
              <w:t>》（DB32/</w:t>
            </w:r>
            <w:r>
              <w:rPr>
                <w:rFonts w:hint="eastAsia"/>
                <w:color w:val="auto"/>
                <w:lang w:val="en-US" w:eastAsia="zh-CN"/>
              </w:rPr>
              <w:t>3966-2021</w:t>
            </w:r>
            <w:r>
              <w:rPr>
                <w:rFonts w:hint="eastAsia"/>
                <w:color w:val="auto"/>
              </w:rPr>
              <w:t>）表1中标准</w:t>
            </w:r>
            <w:r>
              <w:rPr>
                <w:rFonts w:hint="eastAsia"/>
                <w:color w:val="auto"/>
                <w:lang w:eastAsia="zh-CN"/>
              </w:rPr>
              <w:t>（</w:t>
            </w:r>
            <w:r>
              <w:rPr>
                <w:rFonts w:hint="eastAsia"/>
                <w:color w:val="auto"/>
                <w:lang w:val="en-US" w:eastAsia="zh-CN"/>
              </w:rPr>
              <w:t>40mg/m</w:t>
            </w:r>
            <w:r>
              <w:rPr>
                <w:rFonts w:hint="eastAsia"/>
                <w:color w:val="auto"/>
                <w:vertAlign w:val="superscript"/>
                <w:lang w:val="en-US" w:eastAsia="zh-CN"/>
              </w:rPr>
              <w:t>3</w:t>
            </w:r>
            <w:r>
              <w:rPr>
                <w:rFonts w:hint="eastAsia"/>
                <w:color w:val="auto"/>
                <w:lang w:eastAsia="zh-CN"/>
              </w:rPr>
              <w:t>）。</w:t>
            </w:r>
          </w:p>
          <w:p w14:paraId="46501163">
            <w:pPr>
              <w:numPr>
                <w:ilvl w:val="0"/>
                <w:numId w:val="0"/>
              </w:numPr>
              <w:spacing w:line="360" w:lineRule="auto"/>
              <w:ind w:right="0" w:rightChars="0" w:firstLine="422" w:firstLineChars="200"/>
              <w:jc w:val="both"/>
              <w:rPr>
                <w:rFonts w:hint="default" w:cs="Times New Roman"/>
                <w:b/>
                <w:bCs/>
                <w:color w:val="auto"/>
                <w:highlight w:val="none"/>
                <w:lang w:val="en-US" w:eastAsia="zh-CN"/>
              </w:rPr>
            </w:pPr>
            <w:r>
              <w:rPr>
                <w:rFonts w:hint="eastAsia"/>
                <w:b/>
                <w:bCs/>
                <w:color w:val="auto"/>
                <w:highlight w:val="none"/>
                <w:lang w:val="en-US" w:eastAsia="zh-CN"/>
              </w:rPr>
              <w:t>防雾干式喷房</w:t>
            </w:r>
            <w:r>
              <w:rPr>
                <w:rFonts w:hint="eastAsia" w:cs="Times New Roman"/>
                <w:b/>
                <w:bCs/>
                <w:color w:val="auto"/>
                <w:highlight w:val="none"/>
                <w:lang w:val="en-US" w:eastAsia="zh-CN"/>
              </w:rPr>
              <w:t>风量：</w:t>
            </w:r>
          </w:p>
          <w:p w14:paraId="66E38E6F">
            <w:pPr>
              <w:widowControl w:val="0"/>
              <w:spacing w:line="360" w:lineRule="auto"/>
              <w:ind w:firstLine="420" w:firstLineChars="200"/>
              <w:rPr>
                <w:rFonts w:hint="eastAsia"/>
                <w:color w:val="auto"/>
                <w:highlight w:val="none"/>
                <w:lang w:val="en-US" w:eastAsia="zh-CN"/>
              </w:rPr>
            </w:pPr>
            <w:r>
              <w:rPr>
                <w:rFonts w:hint="eastAsia" w:eastAsia="宋体"/>
                <w:bCs/>
                <w:color w:val="auto"/>
                <w:sz w:val="21"/>
                <w:szCs w:val="21"/>
                <w:highlight w:val="none"/>
                <w:lang w:eastAsia="zh-CN"/>
              </w:rPr>
              <w:t>本项目</w:t>
            </w:r>
            <w:r>
              <w:rPr>
                <w:rFonts w:hint="eastAsia"/>
                <w:color w:val="auto"/>
                <w:highlight w:val="none"/>
                <w:lang w:val="en-US" w:eastAsia="zh-CN"/>
              </w:rPr>
              <w:t>防雾干式喷房</w:t>
            </w:r>
            <w:r>
              <w:rPr>
                <w:rFonts w:hint="eastAsia" w:eastAsia="宋体"/>
                <w:bCs/>
                <w:color w:val="auto"/>
                <w:sz w:val="21"/>
                <w:szCs w:val="21"/>
                <w:highlight w:val="none"/>
                <w:lang w:eastAsia="zh-CN"/>
              </w:rPr>
              <w:t>密闭收集废气，</w:t>
            </w:r>
            <w:r>
              <w:rPr>
                <w:rFonts w:hint="eastAsia"/>
                <w:color w:val="auto"/>
                <w:highlight w:val="none"/>
                <w:lang w:val="en-US" w:eastAsia="zh-CN"/>
              </w:rPr>
              <w:t>防雾干式喷房</w:t>
            </w:r>
            <w:r>
              <w:rPr>
                <w:rFonts w:hint="eastAsia" w:eastAsia="宋体"/>
                <w:bCs/>
                <w:color w:val="auto"/>
                <w:sz w:val="21"/>
                <w:szCs w:val="21"/>
                <w:highlight w:val="none"/>
                <w:lang w:eastAsia="zh-CN"/>
              </w:rPr>
              <w:t>尺寸为</w:t>
            </w:r>
            <w:r>
              <w:rPr>
                <w:rFonts w:hint="eastAsia"/>
                <w:color w:val="auto"/>
                <w:highlight w:val="none"/>
                <w:lang w:val="en-US" w:eastAsia="zh-CN"/>
              </w:rPr>
              <w:t>3.1m*4.69m*3.44m</w:t>
            </w:r>
            <w:r>
              <w:rPr>
                <w:rFonts w:hint="eastAsia" w:eastAsia="宋体"/>
                <w:bCs/>
                <w:color w:val="auto"/>
                <w:sz w:val="21"/>
                <w:szCs w:val="21"/>
                <w:highlight w:val="none"/>
                <w:lang w:val="en-US" w:eastAsia="zh-CN"/>
              </w:rPr>
              <w:t>，</w:t>
            </w:r>
            <w:r>
              <w:rPr>
                <w:rFonts w:hint="eastAsia"/>
                <w:bCs/>
                <w:color w:val="auto"/>
                <w:sz w:val="21"/>
                <w:szCs w:val="21"/>
                <w:highlight w:val="none"/>
                <w:lang w:val="en-US" w:eastAsia="zh-CN"/>
              </w:rPr>
              <w:t>房间容积约为50m</w:t>
            </w:r>
            <w:r>
              <w:rPr>
                <w:rFonts w:hint="eastAsia"/>
                <w:bCs/>
                <w:color w:val="auto"/>
                <w:sz w:val="21"/>
                <w:szCs w:val="21"/>
                <w:highlight w:val="none"/>
                <w:vertAlign w:val="superscript"/>
                <w:lang w:val="en-US" w:eastAsia="zh-CN"/>
              </w:rPr>
              <w:t>3</w:t>
            </w:r>
            <w:r>
              <w:rPr>
                <w:rFonts w:hint="eastAsia"/>
                <w:bCs/>
                <w:color w:val="auto"/>
                <w:sz w:val="21"/>
                <w:szCs w:val="21"/>
                <w:highlight w:val="none"/>
                <w:lang w:val="en-US" w:eastAsia="zh-CN"/>
              </w:rPr>
              <w:t>，拟设置1个</w:t>
            </w:r>
            <w:r>
              <w:rPr>
                <w:rFonts w:hint="eastAsia"/>
                <w:color w:val="auto"/>
                <w:highlight w:val="none"/>
              </w:rPr>
              <w:t>侧吸罩</w:t>
            </w:r>
            <w:r>
              <w:rPr>
                <w:rFonts w:hint="eastAsia"/>
                <w:color w:val="auto"/>
                <w:highlight w:val="none"/>
                <w:lang w:eastAsia="zh-CN"/>
              </w:rPr>
              <w:t>，</w:t>
            </w:r>
            <w:r>
              <w:rPr>
                <w:rFonts w:hint="eastAsia"/>
                <w:color w:val="auto"/>
                <w:highlight w:val="none"/>
                <w:lang w:val="en-US" w:eastAsia="zh-CN"/>
              </w:rPr>
              <w:t>侧吸罩尺寸为9</w:t>
            </w:r>
            <w:r>
              <w:rPr>
                <w:rFonts w:hint="eastAsia"/>
                <w:color w:val="auto"/>
                <w:highlight w:val="none"/>
              </w:rPr>
              <w:t>00</w:t>
            </w:r>
            <w:r>
              <w:rPr>
                <w:rFonts w:hint="eastAsia"/>
                <w:color w:val="auto"/>
                <w:highlight w:val="none"/>
                <w:lang w:val="en-US" w:eastAsia="zh-CN"/>
              </w:rPr>
              <w:t>mm</w:t>
            </w:r>
            <w:r>
              <w:rPr>
                <w:rFonts w:hint="eastAsia"/>
                <w:color w:val="auto"/>
                <w:highlight w:val="none"/>
              </w:rPr>
              <w:t>×</w:t>
            </w:r>
            <w:r>
              <w:rPr>
                <w:rFonts w:hint="eastAsia"/>
                <w:color w:val="auto"/>
                <w:highlight w:val="none"/>
                <w:lang w:val="en-US" w:eastAsia="zh-CN"/>
              </w:rPr>
              <w:t>800mm。</w:t>
            </w:r>
          </w:p>
          <w:p w14:paraId="5B39DA09">
            <w:pPr>
              <w:numPr>
                <w:ilvl w:val="0"/>
                <w:numId w:val="0"/>
              </w:numPr>
              <w:spacing w:line="360" w:lineRule="auto"/>
              <w:ind w:right="0" w:rightChars="0" w:firstLine="420" w:firstLineChars="200"/>
              <w:jc w:val="both"/>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根据</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vertAlign w:val="baseline"/>
                <w:lang w:val="en-US" w:eastAsia="zh-CN"/>
              </w:rPr>
              <w:t>环境工程设计手册</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vertAlign w:val="baseline"/>
                <w:lang w:val="en-US" w:eastAsia="zh-CN"/>
              </w:rPr>
              <w:t>，排风</w:t>
            </w:r>
            <w:r>
              <w:rPr>
                <w:rFonts w:hint="eastAsia" w:ascii="Times New Roman" w:hAnsi="Times New Roman" w:cs="Times New Roman"/>
                <w:color w:val="auto"/>
                <w:sz w:val="21"/>
                <w:szCs w:val="21"/>
                <w:highlight w:val="none"/>
                <w:vertAlign w:val="baseline"/>
                <w:lang w:val="en-US" w:eastAsia="zh-CN"/>
              </w:rPr>
              <w:t>口</w:t>
            </w:r>
            <w:r>
              <w:rPr>
                <w:rFonts w:hint="default" w:ascii="Times New Roman" w:hAnsi="Times New Roman" w:cs="Times New Roman"/>
                <w:color w:val="auto"/>
                <w:sz w:val="21"/>
                <w:szCs w:val="21"/>
                <w:highlight w:val="none"/>
                <w:vertAlign w:val="baseline"/>
                <w:lang w:val="en-US" w:eastAsia="zh-CN"/>
              </w:rPr>
              <w:t>设置在污染源上方的排风量核算方式为：L</w:t>
            </w:r>
            <w:r>
              <w:rPr>
                <w:rFonts w:hint="default" w:ascii="Times New Roman" w:hAnsi="Times New Roman" w:eastAsia="微软雅黑" w:cs="Times New Roman"/>
                <w:color w:val="auto"/>
                <w:sz w:val="21"/>
                <w:szCs w:val="21"/>
                <w:highlight w:val="none"/>
                <w:lang w:val="en-US" w:eastAsia="zh-CN"/>
              </w:rPr>
              <w:t>=</w:t>
            </w:r>
            <w:r>
              <w:rPr>
                <w:rFonts w:hint="default" w:ascii="Times New Roman" w:hAnsi="Times New Roman" w:cs="Times New Roman"/>
                <w:color w:val="auto"/>
                <w:sz w:val="21"/>
                <w:szCs w:val="21"/>
                <w:highlight w:val="none"/>
                <w:vertAlign w:val="baseline"/>
                <w:lang w:val="en-US" w:eastAsia="zh-CN"/>
              </w:rPr>
              <w:t>kPHu</w:t>
            </w:r>
          </w:p>
          <w:p w14:paraId="2BF2B448">
            <w:pPr>
              <w:pageBreakBefore w:val="0"/>
              <w:widowControl w:val="0"/>
              <w:numPr>
                <w:ilvl w:val="0"/>
                <w:numId w:val="0"/>
              </w:numPr>
              <w:kinsoku/>
              <w:wordWrap/>
              <w:overflowPunct/>
              <w:topLinePunct w:val="0"/>
              <w:autoSpaceDE/>
              <w:autoSpaceDN/>
              <w:bidi w:val="0"/>
              <w:adjustRightInd/>
              <w:snapToGrid w:val="0"/>
              <w:spacing w:line="360" w:lineRule="auto"/>
              <w:ind w:right="0"/>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式中：k--考虑沿高度速度分布不均匀的安全系数，通常取 k=1.4；</w:t>
            </w:r>
          </w:p>
          <w:p w14:paraId="29AA0CF1">
            <w:pPr>
              <w:pageBreakBefore w:val="0"/>
              <w:widowControl w:val="0"/>
              <w:numPr>
                <w:ilvl w:val="0"/>
                <w:numId w:val="0"/>
              </w:numPr>
              <w:kinsoku/>
              <w:wordWrap/>
              <w:overflowPunct/>
              <w:topLinePunct w:val="0"/>
              <w:autoSpaceDE/>
              <w:autoSpaceDN/>
              <w:bidi w:val="0"/>
              <w:adjustRightInd/>
              <w:snapToGrid w:val="0"/>
              <w:spacing w:line="360" w:lineRule="auto"/>
              <w:ind w:right="0" w:firstLine="630" w:firstLineChars="300"/>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P--排风罩口敞开面的周长，m；</w:t>
            </w:r>
          </w:p>
          <w:p w14:paraId="1CBFB391">
            <w:pPr>
              <w:pageBreakBefore w:val="0"/>
              <w:widowControl w:val="0"/>
              <w:numPr>
                <w:ilvl w:val="0"/>
                <w:numId w:val="0"/>
              </w:numPr>
              <w:kinsoku/>
              <w:wordWrap/>
              <w:overflowPunct/>
              <w:topLinePunct w:val="0"/>
              <w:autoSpaceDE/>
              <w:autoSpaceDN/>
              <w:bidi w:val="0"/>
              <w:adjustRightInd/>
              <w:snapToGrid w:val="0"/>
              <w:spacing w:line="360" w:lineRule="auto"/>
              <w:ind w:right="0" w:firstLine="630" w:firstLineChars="300"/>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H--罩口至污染源的距离，m；</w:t>
            </w:r>
          </w:p>
          <w:p w14:paraId="312F2686">
            <w:pPr>
              <w:pageBreakBefore w:val="0"/>
              <w:widowControl w:val="0"/>
              <w:numPr>
                <w:ilvl w:val="0"/>
                <w:numId w:val="0"/>
              </w:numPr>
              <w:kinsoku/>
              <w:wordWrap/>
              <w:overflowPunct/>
              <w:topLinePunct w:val="0"/>
              <w:autoSpaceDE/>
              <w:autoSpaceDN/>
              <w:bidi w:val="0"/>
              <w:adjustRightInd/>
              <w:snapToGrid w:val="0"/>
              <w:spacing w:line="360" w:lineRule="auto"/>
              <w:ind w:right="0" w:firstLine="630" w:firstLineChars="300"/>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u--边缘控制点的控制风速，m/s。</w:t>
            </w:r>
          </w:p>
          <w:p w14:paraId="17D09ED7">
            <w:pPr>
              <w:widowControl w:val="0"/>
              <w:spacing w:line="360" w:lineRule="auto"/>
              <w:ind w:firstLine="420" w:firstLineChars="200"/>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lang w:val="en-US" w:eastAsia="zh-CN"/>
              </w:rPr>
              <w:t>集气罩尺寸为</w:t>
            </w:r>
            <w:r>
              <w:rPr>
                <w:rFonts w:hint="eastAsia"/>
                <w:color w:val="auto"/>
                <w:highlight w:val="none"/>
              </w:rPr>
              <w:t>1000</w:t>
            </w:r>
            <w:r>
              <w:rPr>
                <w:rFonts w:hint="eastAsia"/>
                <w:color w:val="auto"/>
                <w:highlight w:val="none"/>
                <w:lang w:val="en-US" w:eastAsia="zh-CN"/>
              </w:rPr>
              <w:t>mm</w:t>
            </w:r>
            <w:r>
              <w:rPr>
                <w:rFonts w:hint="eastAsia"/>
                <w:color w:val="auto"/>
                <w:highlight w:val="none"/>
              </w:rPr>
              <w:t>×</w:t>
            </w:r>
            <w:r>
              <w:rPr>
                <w:rFonts w:hint="eastAsia"/>
                <w:color w:val="auto"/>
                <w:highlight w:val="none"/>
                <w:lang w:val="en-US" w:eastAsia="zh-CN"/>
              </w:rPr>
              <w:t>8</w:t>
            </w:r>
            <w:r>
              <w:rPr>
                <w:rFonts w:hint="eastAsia"/>
                <w:color w:val="auto"/>
                <w:highlight w:val="none"/>
              </w:rPr>
              <w:t>00</w:t>
            </w:r>
            <w:r>
              <w:rPr>
                <w:rFonts w:hint="eastAsia"/>
                <w:color w:val="auto"/>
                <w:highlight w:val="none"/>
                <w:lang w:val="en-US" w:eastAsia="zh-CN"/>
              </w:rPr>
              <w:t>mm</w:t>
            </w:r>
            <w:r>
              <w:rPr>
                <w:rFonts w:hint="eastAsia" w:ascii="Times New Roman" w:hAnsi="Times New Roman" w:cs="Times New Roman"/>
                <w:color w:val="auto"/>
                <w:sz w:val="21"/>
                <w:szCs w:val="21"/>
                <w:highlight w:val="none"/>
                <w:vertAlign w:val="baseline"/>
                <w:lang w:val="en-US" w:eastAsia="zh-CN"/>
              </w:rPr>
              <w:t>，则P=</w:t>
            </w:r>
            <w:r>
              <w:rPr>
                <w:rFonts w:hint="eastAsia" w:cs="Times New Roman"/>
                <w:color w:val="auto"/>
                <w:sz w:val="21"/>
                <w:szCs w:val="21"/>
                <w:highlight w:val="none"/>
                <w:vertAlign w:val="baseline"/>
                <w:lang w:val="en-US" w:eastAsia="zh-CN"/>
              </w:rPr>
              <w:t>4</w:t>
            </w:r>
            <w:r>
              <w:rPr>
                <w:rFonts w:hint="default" w:ascii="Times New Roman" w:hAnsi="Times New Roman" w:cs="Times New Roman"/>
                <w:color w:val="auto"/>
                <w:sz w:val="21"/>
                <w:szCs w:val="21"/>
                <w:highlight w:val="none"/>
                <w:vertAlign w:val="baseline"/>
                <w:lang w:val="en-US" w:eastAsia="zh-CN"/>
              </w:rPr>
              <w:t>m</w:t>
            </w:r>
            <w:r>
              <w:rPr>
                <w:rFonts w:hint="eastAsia" w:ascii="Times New Roman" w:hAnsi="Times New Roman" w:cs="Times New Roman"/>
                <w:color w:val="auto"/>
                <w:sz w:val="21"/>
                <w:szCs w:val="21"/>
                <w:highlight w:val="none"/>
                <w:vertAlign w:val="baseline"/>
                <w:lang w:val="en-US" w:eastAsia="zh-CN"/>
              </w:rPr>
              <w:t>，H=</w:t>
            </w:r>
            <w:r>
              <w:rPr>
                <w:rFonts w:hint="eastAsia" w:cs="Times New Roman"/>
                <w:color w:val="auto"/>
                <w:sz w:val="21"/>
                <w:szCs w:val="21"/>
                <w:highlight w:val="none"/>
                <w:vertAlign w:val="baseline"/>
                <w:lang w:val="en-US" w:eastAsia="zh-CN"/>
              </w:rPr>
              <w:t>0.5</w:t>
            </w:r>
            <w:r>
              <w:rPr>
                <w:rFonts w:hint="default" w:ascii="Times New Roman" w:hAnsi="Times New Roman" w:cs="Times New Roman"/>
                <w:color w:val="auto"/>
                <w:sz w:val="21"/>
                <w:szCs w:val="21"/>
                <w:highlight w:val="none"/>
                <w:vertAlign w:val="baseline"/>
                <w:lang w:val="en-US" w:eastAsia="zh-CN"/>
              </w:rPr>
              <w:t>m</w:t>
            </w:r>
            <w:r>
              <w:rPr>
                <w:rFonts w:hint="eastAsia" w:ascii="Times New Roman" w:hAnsi="Times New Roman" w:cs="Times New Roman"/>
                <w:color w:val="auto"/>
                <w:sz w:val="21"/>
                <w:szCs w:val="21"/>
                <w:highlight w:val="none"/>
                <w:vertAlign w:val="baseline"/>
                <w:lang w:val="en-US" w:eastAsia="zh-CN"/>
              </w:rPr>
              <w:t>，u=</w:t>
            </w:r>
            <w:r>
              <w:rPr>
                <w:rFonts w:hint="default" w:ascii="Times New Roman" w:hAnsi="Times New Roman" w:cs="Times New Roman"/>
                <w:color w:val="auto"/>
                <w:sz w:val="21"/>
                <w:szCs w:val="21"/>
                <w:highlight w:val="none"/>
                <w:vertAlign w:val="baseline"/>
                <w:lang w:val="en-US" w:eastAsia="zh-CN"/>
              </w:rPr>
              <w:t>0.</w:t>
            </w:r>
            <w:r>
              <w:rPr>
                <w:rFonts w:hint="eastAsia" w:cs="Times New Roman"/>
                <w:color w:val="auto"/>
                <w:sz w:val="21"/>
                <w:szCs w:val="21"/>
                <w:highlight w:val="none"/>
                <w:vertAlign w:val="baseline"/>
                <w:lang w:val="en-US" w:eastAsia="zh-CN"/>
              </w:rPr>
              <w:t>4</w:t>
            </w:r>
            <w:r>
              <w:rPr>
                <w:rFonts w:hint="default" w:ascii="Times New Roman" w:hAnsi="Times New Roman" w:cs="Times New Roman"/>
                <w:color w:val="auto"/>
                <w:sz w:val="21"/>
                <w:szCs w:val="21"/>
                <w:highlight w:val="none"/>
                <w:vertAlign w:val="baseline"/>
                <w:lang w:val="en-US" w:eastAsia="zh-CN"/>
              </w:rPr>
              <w:t>m/s</w:t>
            </w:r>
            <w:r>
              <w:rPr>
                <w:rFonts w:hint="eastAsia" w:ascii="Times New Roman" w:hAnsi="Times New Roman" w:cs="Times New Roman"/>
                <w:color w:val="auto"/>
                <w:sz w:val="21"/>
                <w:szCs w:val="21"/>
                <w:highlight w:val="none"/>
                <w:vertAlign w:val="baseline"/>
                <w:lang w:val="en-US" w:eastAsia="zh-CN"/>
              </w:rPr>
              <w:t>。</w:t>
            </w:r>
          </w:p>
          <w:p w14:paraId="7B15BC73">
            <w:pPr>
              <w:widowControl w:val="0"/>
              <w:spacing w:line="360" w:lineRule="auto"/>
              <w:ind w:firstLine="420" w:firstLineChars="200"/>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废气风量=1.4</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3.4</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0.4</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3600=</w:t>
            </w:r>
            <w:r>
              <w:rPr>
                <w:rFonts w:hint="eastAsia" w:cs="Times New Roman"/>
                <w:color w:val="auto"/>
                <w:sz w:val="21"/>
                <w:szCs w:val="21"/>
                <w:highlight w:val="none"/>
                <w:lang w:val="en-US" w:eastAsia="zh-CN"/>
              </w:rPr>
              <w:t>3427.2‬‬</w:t>
            </w:r>
            <w:r>
              <w:rPr>
                <w:rFonts w:hint="default" w:ascii="Times New Roman" w:hAnsi="Times New Roman" w:cs="Times New Roman"/>
                <w:color w:val="auto"/>
                <w:sz w:val="21"/>
                <w:szCs w:val="21"/>
                <w:highlight w:val="none"/>
                <w:vertAlign w:val="baseline"/>
                <w:lang w:val="en-US" w:eastAsia="zh-CN"/>
              </w:rPr>
              <w:t>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vertAlign w:val="baseline"/>
                <w:lang w:val="en-US" w:eastAsia="zh-CN"/>
              </w:rPr>
              <w:t>/h，</w:t>
            </w:r>
            <w:r>
              <w:rPr>
                <w:rFonts w:hint="eastAsia"/>
                <w:bCs/>
                <w:color w:val="auto"/>
                <w:sz w:val="21"/>
                <w:szCs w:val="21"/>
                <w:highlight w:val="none"/>
                <w:lang w:val="en-US" w:eastAsia="zh-CN"/>
              </w:rPr>
              <w:t>1个</w:t>
            </w:r>
            <w:r>
              <w:rPr>
                <w:rFonts w:hint="eastAsia"/>
                <w:color w:val="auto"/>
                <w:highlight w:val="none"/>
                <w:lang w:val="en-US" w:eastAsia="zh-CN"/>
              </w:rPr>
              <w:t>侧</w:t>
            </w:r>
            <w:r>
              <w:rPr>
                <w:rFonts w:hint="eastAsia"/>
                <w:color w:val="auto"/>
                <w:highlight w:val="none"/>
              </w:rPr>
              <w:t>吸罩</w:t>
            </w:r>
            <w:r>
              <w:rPr>
                <w:rFonts w:hint="eastAsia"/>
                <w:color w:val="auto"/>
                <w:highlight w:val="none"/>
                <w:lang w:eastAsia="zh-CN"/>
              </w:rPr>
              <w:t>，</w:t>
            </w:r>
            <w:r>
              <w:rPr>
                <w:rFonts w:hint="eastAsia"/>
                <w:color w:val="auto"/>
                <w:highlight w:val="none"/>
                <w:lang w:val="en-US" w:eastAsia="zh-CN"/>
              </w:rPr>
              <w:t>则废气风量为</w:t>
            </w:r>
            <w:r>
              <w:rPr>
                <w:rFonts w:hint="eastAsia" w:cs="Times New Roman"/>
                <w:color w:val="auto"/>
                <w:sz w:val="21"/>
                <w:szCs w:val="21"/>
                <w:highlight w:val="none"/>
                <w:lang w:val="en-US" w:eastAsia="zh-CN"/>
              </w:rPr>
              <w:t>3427.2</w:t>
            </w:r>
            <w:r>
              <w:rPr>
                <w:rFonts w:hint="default" w:ascii="Times New Roman" w:hAnsi="Times New Roman" w:cs="Times New Roman"/>
                <w:color w:val="auto"/>
                <w:sz w:val="21"/>
                <w:szCs w:val="21"/>
                <w:highlight w:val="none"/>
                <w:vertAlign w:val="baseline"/>
                <w:lang w:val="en-US" w:eastAsia="zh-CN"/>
              </w:rPr>
              <w:t>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vertAlign w:val="baseline"/>
                <w:lang w:val="en-US" w:eastAsia="zh-CN"/>
              </w:rPr>
              <w:t>/h</w:t>
            </w:r>
            <w:r>
              <w:rPr>
                <w:rFonts w:hint="eastAsia"/>
                <w:color w:val="auto"/>
                <w:highlight w:val="none"/>
                <w:lang w:val="en-US" w:eastAsia="zh-CN"/>
              </w:rPr>
              <w:t>，</w:t>
            </w:r>
            <w:r>
              <w:rPr>
                <w:rFonts w:hint="eastAsia" w:ascii="Times New Roman" w:hAnsi="Times New Roman" w:cs="Times New Roman"/>
                <w:color w:val="auto"/>
                <w:sz w:val="21"/>
                <w:szCs w:val="21"/>
                <w:highlight w:val="none"/>
                <w:vertAlign w:val="baseline"/>
                <w:lang w:val="en-US" w:eastAsia="zh-CN"/>
              </w:rPr>
              <w:t>考虑到</w:t>
            </w:r>
            <w:r>
              <w:rPr>
                <w:rFonts w:hint="eastAsia" w:eastAsia="宋体"/>
                <w:color w:val="auto"/>
                <w:sz w:val="21"/>
                <w:szCs w:val="21"/>
                <w:highlight w:val="none"/>
              </w:rPr>
              <w:t>管道阻力损失等</w:t>
            </w:r>
            <w:r>
              <w:rPr>
                <w:rFonts w:hint="eastAsia" w:eastAsia="宋体"/>
                <w:color w:val="auto"/>
                <w:sz w:val="21"/>
                <w:szCs w:val="21"/>
                <w:highlight w:val="none"/>
                <w:lang w:eastAsia="zh-CN"/>
              </w:rPr>
              <w:t>，</w:t>
            </w:r>
            <w:r>
              <w:rPr>
                <w:rFonts w:hint="eastAsia"/>
                <w:color w:val="auto"/>
                <w:sz w:val="21"/>
                <w:szCs w:val="21"/>
                <w:highlight w:val="none"/>
                <w:lang w:val="en-US" w:eastAsia="zh-CN"/>
              </w:rPr>
              <w:t>损失以10%计，则</w:t>
            </w:r>
            <w:r>
              <w:rPr>
                <w:rFonts w:hint="eastAsia" w:eastAsia="宋体"/>
                <w:color w:val="auto"/>
                <w:sz w:val="21"/>
                <w:szCs w:val="21"/>
                <w:highlight w:val="none"/>
                <w:lang w:val="en-US" w:eastAsia="zh-CN"/>
              </w:rPr>
              <w:t>废气量</w:t>
            </w:r>
            <w:r>
              <w:rPr>
                <w:rFonts w:hint="eastAsia"/>
                <w:color w:val="auto"/>
                <w:sz w:val="21"/>
                <w:szCs w:val="21"/>
                <w:highlight w:val="none"/>
                <w:lang w:val="en-US" w:eastAsia="zh-CN"/>
              </w:rPr>
              <w:t>约为4000</w:t>
            </w:r>
            <w:r>
              <w:rPr>
                <w:rFonts w:hint="default" w:ascii="Times New Roman" w:hAnsi="Times New Roman" w:cs="Times New Roman"/>
                <w:color w:val="auto"/>
                <w:sz w:val="21"/>
                <w:szCs w:val="21"/>
                <w:highlight w:val="none"/>
                <w:vertAlign w:val="baseline"/>
                <w:lang w:val="en-US" w:eastAsia="zh-CN"/>
              </w:rPr>
              <w:t>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vertAlign w:val="baseline"/>
                <w:lang w:val="en-US" w:eastAsia="zh-CN"/>
              </w:rPr>
              <w:t>/h</w:t>
            </w:r>
            <w:r>
              <w:rPr>
                <w:rFonts w:hint="eastAsia" w:eastAsia="宋体"/>
                <w:color w:val="auto"/>
                <w:sz w:val="21"/>
                <w:szCs w:val="21"/>
                <w:highlight w:val="none"/>
                <w:lang w:val="en-US" w:eastAsia="zh-CN"/>
              </w:rPr>
              <w:t>。</w:t>
            </w:r>
          </w:p>
          <w:p w14:paraId="27CA810D">
            <w:pPr>
              <w:widowControl w:val="0"/>
              <w:spacing w:line="360" w:lineRule="auto"/>
              <w:ind w:firstLine="420" w:firstLineChars="200"/>
              <w:rPr>
                <w:rFonts w:hint="default" w:cs="Times New Roman"/>
                <w:b/>
                <w:bCs/>
                <w:color w:val="auto"/>
                <w:highlight w:val="none"/>
                <w:lang w:val="en-US" w:eastAsia="zh-CN"/>
              </w:rPr>
            </w:pPr>
            <w:r>
              <w:rPr>
                <w:rFonts w:hint="eastAsia" w:eastAsia="宋体"/>
                <w:bCs/>
                <w:color w:val="auto"/>
                <w:sz w:val="21"/>
                <w:szCs w:val="21"/>
                <w:highlight w:val="none"/>
                <w:lang w:val="en-US" w:eastAsia="zh-CN"/>
              </w:rPr>
              <w:t>则</w:t>
            </w:r>
            <w:r>
              <w:rPr>
                <w:rFonts w:hint="eastAsia"/>
                <w:color w:val="auto"/>
                <w:highlight w:val="none"/>
                <w:lang w:val="en-US" w:eastAsia="zh-CN"/>
              </w:rPr>
              <w:t>防雾干式喷房</w:t>
            </w:r>
            <w:r>
              <w:rPr>
                <w:rFonts w:hint="eastAsia"/>
                <w:bCs/>
                <w:color w:val="auto"/>
                <w:sz w:val="21"/>
                <w:szCs w:val="21"/>
                <w:highlight w:val="none"/>
                <w:lang w:val="en-US" w:eastAsia="zh-CN"/>
              </w:rPr>
              <w:t>废气</w:t>
            </w:r>
            <w:r>
              <w:rPr>
                <w:rFonts w:hint="eastAsia" w:eastAsia="宋体"/>
                <w:bCs/>
                <w:color w:val="auto"/>
                <w:sz w:val="21"/>
                <w:szCs w:val="21"/>
                <w:highlight w:val="none"/>
                <w:lang w:val="en-US" w:eastAsia="zh-CN"/>
              </w:rPr>
              <w:t>风量为</w:t>
            </w:r>
            <w:r>
              <w:rPr>
                <w:rFonts w:hint="eastAsia"/>
                <w:bCs/>
                <w:color w:val="auto"/>
                <w:sz w:val="21"/>
                <w:szCs w:val="21"/>
                <w:highlight w:val="none"/>
                <w:lang w:val="en-US" w:eastAsia="zh-CN"/>
              </w:rPr>
              <w:t>4000</w:t>
            </w:r>
            <w:r>
              <w:rPr>
                <w:rFonts w:hint="eastAsia" w:eastAsia="宋体"/>
                <w:bCs/>
                <w:color w:val="auto"/>
                <w:sz w:val="21"/>
                <w:szCs w:val="21"/>
                <w:highlight w:val="none"/>
                <w:lang w:val="en-US" w:eastAsia="zh-CN"/>
              </w:rPr>
              <w:t>m</w:t>
            </w:r>
            <w:r>
              <w:rPr>
                <w:rFonts w:hint="eastAsia" w:eastAsia="宋体"/>
                <w:bCs/>
                <w:color w:val="auto"/>
                <w:sz w:val="21"/>
                <w:szCs w:val="21"/>
                <w:highlight w:val="none"/>
                <w:vertAlign w:val="superscript"/>
                <w:lang w:val="en-US" w:eastAsia="zh-CN"/>
              </w:rPr>
              <w:t>3</w:t>
            </w:r>
            <w:r>
              <w:rPr>
                <w:rFonts w:hint="eastAsia" w:eastAsia="宋体"/>
                <w:bCs/>
                <w:color w:val="auto"/>
                <w:sz w:val="21"/>
                <w:szCs w:val="21"/>
                <w:highlight w:val="none"/>
                <w:lang w:val="en-US" w:eastAsia="zh-CN"/>
              </w:rPr>
              <w:t>/h。</w:t>
            </w:r>
          </w:p>
          <w:p w14:paraId="3A182D27">
            <w:pPr>
              <w:numPr>
                <w:ilvl w:val="0"/>
                <w:numId w:val="0"/>
              </w:numPr>
              <w:spacing w:line="360" w:lineRule="auto"/>
              <w:ind w:right="0" w:rightChars="0" w:firstLine="422" w:firstLineChars="200"/>
              <w:jc w:val="both"/>
              <w:rPr>
                <w:rFonts w:hint="default" w:cs="Times New Roman"/>
                <w:b/>
                <w:bCs/>
                <w:color w:val="auto"/>
                <w:highlight w:val="none"/>
                <w:lang w:val="en-US" w:eastAsia="zh-CN"/>
              </w:rPr>
            </w:pPr>
            <w:r>
              <w:rPr>
                <w:rFonts w:hint="eastAsia"/>
                <w:b/>
                <w:bCs/>
                <w:color w:val="auto"/>
                <w:highlight w:val="none"/>
                <w:lang w:val="en-US" w:eastAsia="zh-CN"/>
              </w:rPr>
              <w:t>HC干式喷房</w:t>
            </w:r>
            <w:r>
              <w:rPr>
                <w:rFonts w:hint="eastAsia" w:cs="Times New Roman"/>
                <w:b/>
                <w:bCs/>
                <w:color w:val="auto"/>
                <w:highlight w:val="none"/>
                <w:lang w:val="en-US" w:eastAsia="zh-CN"/>
              </w:rPr>
              <w:t>风量：</w:t>
            </w:r>
          </w:p>
          <w:p w14:paraId="139282CE">
            <w:pPr>
              <w:widowControl w:val="0"/>
              <w:spacing w:line="360" w:lineRule="auto"/>
              <w:ind w:firstLine="420" w:firstLineChars="200"/>
              <w:rPr>
                <w:rFonts w:hint="eastAsia"/>
                <w:color w:val="auto"/>
                <w:highlight w:val="none"/>
                <w:lang w:val="en-US" w:eastAsia="zh-CN"/>
              </w:rPr>
            </w:pPr>
            <w:r>
              <w:rPr>
                <w:rFonts w:hint="eastAsia" w:eastAsia="宋体"/>
                <w:bCs/>
                <w:color w:val="auto"/>
                <w:sz w:val="21"/>
                <w:szCs w:val="21"/>
                <w:highlight w:val="none"/>
                <w:lang w:eastAsia="zh-CN"/>
              </w:rPr>
              <w:t>本项目</w:t>
            </w:r>
            <w:r>
              <w:rPr>
                <w:rFonts w:hint="eastAsia"/>
                <w:color w:val="auto"/>
                <w:highlight w:val="none"/>
                <w:lang w:val="en-US" w:eastAsia="zh-CN"/>
              </w:rPr>
              <w:t>HC干式喷房</w:t>
            </w:r>
            <w:r>
              <w:rPr>
                <w:rFonts w:hint="eastAsia" w:eastAsia="宋体"/>
                <w:bCs/>
                <w:color w:val="auto"/>
                <w:sz w:val="21"/>
                <w:szCs w:val="21"/>
                <w:highlight w:val="none"/>
                <w:lang w:eastAsia="zh-CN"/>
              </w:rPr>
              <w:t>密闭收集废气，</w:t>
            </w:r>
            <w:r>
              <w:rPr>
                <w:rFonts w:hint="eastAsia"/>
                <w:color w:val="auto"/>
                <w:highlight w:val="none"/>
                <w:lang w:val="en-US" w:eastAsia="zh-CN"/>
              </w:rPr>
              <w:t>HC干式喷房</w:t>
            </w:r>
            <w:r>
              <w:rPr>
                <w:rFonts w:hint="eastAsia" w:eastAsia="宋体"/>
                <w:bCs/>
                <w:color w:val="auto"/>
                <w:sz w:val="21"/>
                <w:szCs w:val="21"/>
                <w:highlight w:val="none"/>
                <w:lang w:eastAsia="zh-CN"/>
              </w:rPr>
              <w:t>尺寸为</w:t>
            </w:r>
            <w:r>
              <w:rPr>
                <w:rFonts w:hint="eastAsia"/>
                <w:color w:val="auto"/>
                <w:highlight w:val="none"/>
                <w:lang w:val="en-US" w:eastAsia="zh-CN"/>
              </w:rPr>
              <w:t>3.1m*4.69m*3.44m</w:t>
            </w:r>
            <w:r>
              <w:rPr>
                <w:rFonts w:hint="eastAsia" w:eastAsia="宋体"/>
                <w:bCs/>
                <w:color w:val="auto"/>
                <w:sz w:val="21"/>
                <w:szCs w:val="21"/>
                <w:highlight w:val="none"/>
                <w:lang w:val="en-US" w:eastAsia="zh-CN"/>
              </w:rPr>
              <w:t>，</w:t>
            </w:r>
            <w:r>
              <w:rPr>
                <w:rFonts w:hint="eastAsia"/>
                <w:bCs/>
                <w:color w:val="auto"/>
                <w:sz w:val="21"/>
                <w:szCs w:val="21"/>
                <w:highlight w:val="none"/>
                <w:lang w:val="en-US" w:eastAsia="zh-CN"/>
              </w:rPr>
              <w:t>房间容积约为50m</w:t>
            </w:r>
            <w:r>
              <w:rPr>
                <w:rFonts w:hint="eastAsia"/>
                <w:bCs/>
                <w:color w:val="auto"/>
                <w:sz w:val="21"/>
                <w:szCs w:val="21"/>
                <w:highlight w:val="none"/>
                <w:vertAlign w:val="superscript"/>
                <w:lang w:val="en-US" w:eastAsia="zh-CN"/>
              </w:rPr>
              <w:t>3</w:t>
            </w:r>
            <w:r>
              <w:rPr>
                <w:rFonts w:hint="eastAsia"/>
                <w:bCs/>
                <w:color w:val="auto"/>
                <w:sz w:val="21"/>
                <w:szCs w:val="21"/>
                <w:highlight w:val="none"/>
                <w:lang w:val="en-US" w:eastAsia="zh-CN"/>
              </w:rPr>
              <w:t>，拟设置1个</w:t>
            </w:r>
            <w:r>
              <w:rPr>
                <w:rFonts w:hint="eastAsia"/>
                <w:color w:val="auto"/>
                <w:highlight w:val="none"/>
              </w:rPr>
              <w:t>侧吸罩</w:t>
            </w:r>
            <w:r>
              <w:rPr>
                <w:rFonts w:hint="eastAsia"/>
                <w:color w:val="auto"/>
                <w:highlight w:val="none"/>
                <w:lang w:eastAsia="zh-CN"/>
              </w:rPr>
              <w:t>，</w:t>
            </w:r>
            <w:r>
              <w:rPr>
                <w:rFonts w:hint="eastAsia"/>
                <w:color w:val="auto"/>
                <w:highlight w:val="none"/>
                <w:lang w:val="en-US" w:eastAsia="zh-CN"/>
              </w:rPr>
              <w:t>侧吸罩尺寸为900mm</w:t>
            </w:r>
            <w:r>
              <w:rPr>
                <w:rFonts w:hint="eastAsia"/>
                <w:color w:val="auto"/>
                <w:highlight w:val="none"/>
              </w:rPr>
              <w:t>×</w:t>
            </w:r>
            <w:r>
              <w:rPr>
                <w:rFonts w:hint="eastAsia"/>
                <w:color w:val="auto"/>
                <w:highlight w:val="none"/>
                <w:lang w:val="en-US" w:eastAsia="zh-CN"/>
              </w:rPr>
              <w:t>8</w:t>
            </w:r>
            <w:r>
              <w:rPr>
                <w:rFonts w:hint="eastAsia"/>
                <w:color w:val="auto"/>
                <w:highlight w:val="none"/>
              </w:rPr>
              <w:t>00</w:t>
            </w:r>
            <w:r>
              <w:rPr>
                <w:rFonts w:hint="eastAsia"/>
                <w:color w:val="auto"/>
                <w:highlight w:val="none"/>
                <w:lang w:val="en-US" w:eastAsia="zh-CN"/>
              </w:rPr>
              <w:t>mm。</w:t>
            </w:r>
          </w:p>
          <w:p w14:paraId="3ABC30D6">
            <w:pPr>
              <w:numPr>
                <w:ilvl w:val="0"/>
                <w:numId w:val="0"/>
              </w:numPr>
              <w:spacing w:line="360" w:lineRule="auto"/>
              <w:ind w:right="0" w:rightChars="0" w:firstLine="420" w:firstLineChars="200"/>
              <w:jc w:val="both"/>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根据</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vertAlign w:val="baseline"/>
                <w:lang w:val="en-US" w:eastAsia="zh-CN"/>
              </w:rPr>
              <w:t>环境工程设计手册</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vertAlign w:val="baseline"/>
                <w:lang w:val="en-US" w:eastAsia="zh-CN"/>
              </w:rPr>
              <w:t>，排风</w:t>
            </w:r>
            <w:r>
              <w:rPr>
                <w:rFonts w:hint="eastAsia" w:ascii="Times New Roman" w:hAnsi="Times New Roman" w:cs="Times New Roman"/>
                <w:color w:val="auto"/>
                <w:sz w:val="21"/>
                <w:szCs w:val="21"/>
                <w:highlight w:val="none"/>
                <w:vertAlign w:val="baseline"/>
                <w:lang w:val="en-US" w:eastAsia="zh-CN"/>
              </w:rPr>
              <w:t>口</w:t>
            </w:r>
            <w:r>
              <w:rPr>
                <w:rFonts w:hint="default" w:ascii="Times New Roman" w:hAnsi="Times New Roman" w:cs="Times New Roman"/>
                <w:color w:val="auto"/>
                <w:sz w:val="21"/>
                <w:szCs w:val="21"/>
                <w:highlight w:val="none"/>
                <w:vertAlign w:val="baseline"/>
                <w:lang w:val="en-US" w:eastAsia="zh-CN"/>
              </w:rPr>
              <w:t>设置在污染源上方的排风量核算方式为：L</w:t>
            </w:r>
            <w:r>
              <w:rPr>
                <w:rFonts w:hint="default" w:ascii="Times New Roman" w:hAnsi="Times New Roman" w:eastAsia="微软雅黑" w:cs="Times New Roman"/>
                <w:color w:val="auto"/>
                <w:sz w:val="21"/>
                <w:szCs w:val="21"/>
                <w:highlight w:val="none"/>
                <w:lang w:val="en-US" w:eastAsia="zh-CN"/>
              </w:rPr>
              <w:t>=</w:t>
            </w:r>
            <w:r>
              <w:rPr>
                <w:rFonts w:hint="default" w:ascii="Times New Roman" w:hAnsi="Times New Roman" w:cs="Times New Roman"/>
                <w:color w:val="auto"/>
                <w:sz w:val="21"/>
                <w:szCs w:val="21"/>
                <w:highlight w:val="none"/>
                <w:vertAlign w:val="baseline"/>
                <w:lang w:val="en-US" w:eastAsia="zh-CN"/>
              </w:rPr>
              <w:t>kPHu</w:t>
            </w:r>
          </w:p>
          <w:p w14:paraId="360C2217">
            <w:pPr>
              <w:pageBreakBefore w:val="0"/>
              <w:widowControl w:val="0"/>
              <w:numPr>
                <w:ilvl w:val="0"/>
                <w:numId w:val="0"/>
              </w:numPr>
              <w:kinsoku/>
              <w:wordWrap/>
              <w:overflowPunct/>
              <w:topLinePunct w:val="0"/>
              <w:autoSpaceDE/>
              <w:autoSpaceDN/>
              <w:bidi w:val="0"/>
              <w:adjustRightInd/>
              <w:snapToGrid w:val="0"/>
              <w:spacing w:line="360" w:lineRule="auto"/>
              <w:ind w:right="0"/>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式中：k--考虑沿高度速度分布不均匀的安全系数，通常取 k=1.4；</w:t>
            </w:r>
          </w:p>
          <w:p w14:paraId="146C162B">
            <w:pPr>
              <w:pageBreakBefore w:val="0"/>
              <w:widowControl w:val="0"/>
              <w:numPr>
                <w:ilvl w:val="0"/>
                <w:numId w:val="0"/>
              </w:numPr>
              <w:kinsoku/>
              <w:wordWrap/>
              <w:overflowPunct/>
              <w:topLinePunct w:val="0"/>
              <w:autoSpaceDE/>
              <w:autoSpaceDN/>
              <w:bidi w:val="0"/>
              <w:adjustRightInd/>
              <w:snapToGrid w:val="0"/>
              <w:spacing w:line="360" w:lineRule="auto"/>
              <w:ind w:right="0" w:firstLine="630" w:firstLineChars="300"/>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P--排风罩口敞开面的周长，m；</w:t>
            </w:r>
          </w:p>
          <w:p w14:paraId="007614E1">
            <w:pPr>
              <w:pageBreakBefore w:val="0"/>
              <w:widowControl w:val="0"/>
              <w:numPr>
                <w:ilvl w:val="0"/>
                <w:numId w:val="0"/>
              </w:numPr>
              <w:kinsoku/>
              <w:wordWrap/>
              <w:overflowPunct/>
              <w:topLinePunct w:val="0"/>
              <w:autoSpaceDE/>
              <w:autoSpaceDN/>
              <w:bidi w:val="0"/>
              <w:adjustRightInd/>
              <w:snapToGrid w:val="0"/>
              <w:spacing w:line="360" w:lineRule="auto"/>
              <w:ind w:right="0" w:firstLine="630" w:firstLineChars="300"/>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H--罩口至污染源的距离，m；</w:t>
            </w:r>
          </w:p>
          <w:p w14:paraId="4210D915">
            <w:pPr>
              <w:pageBreakBefore w:val="0"/>
              <w:widowControl w:val="0"/>
              <w:numPr>
                <w:ilvl w:val="0"/>
                <w:numId w:val="0"/>
              </w:numPr>
              <w:kinsoku/>
              <w:wordWrap/>
              <w:overflowPunct/>
              <w:topLinePunct w:val="0"/>
              <w:autoSpaceDE/>
              <w:autoSpaceDN/>
              <w:bidi w:val="0"/>
              <w:adjustRightInd/>
              <w:snapToGrid w:val="0"/>
              <w:spacing w:line="360" w:lineRule="auto"/>
              <w:ind w:right="0" w:firstLine="630" w:firstLineChars="300"/>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u--边缘控制点的控制风速，m/s。</w:t>
            </w:r>
          </w:p>
          <w:p w14:paraId="692DD40A">
            <w:pPr>
              <w:widowControl w:val="0"/>
              <w:spacing w:line="360" w:lineRule="auto"/>
              <w:ind w:firstLine="420" w:firstLineChars="200"/>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lang w:val="en-US" w:eastAsia="zh-CN"/>
              </w:rPr>
              <w:t>集气罩尺寸为</w:t>
            </w:r>
            <w:r>
              <w:rPr>
                <w:rFonts w:hint="eastAsia"/>
                <w:color w:val="auto"/>
                <w:highlight w:val="none"/>
              </w:rPr>
              <w:t>1000</w:t>
            </w:r>
            <w:r>
              <w:rPr>
                <w:rFonts w:hint="eastAsia"/>
                <w:color w:val="auto"/>
                <w:highlight w:val="none"/>
                <w:lang w:val="en-US" w:eastAsia="zh-CN"/>
              </w:rPr>
              <w:t>mm</w:t>
            </w:r>
            <w:r>
              <w:rPr>
                <w:rFonts w:hint="eastAsia"/>
                <w:color w:val="auto"/>
                <w:highlight w:val="none"/>
              </w:rPr>
              <w:t>×</w:t>
            </w:r>
            <w:r>
              <w:rPr>
                <w:rFonts w:hint="eastAsia"/>
                <w:color w:val="auto"/>
                <w:highlight w:val="none"/>
                <w:lang w:val="en-US" w:eastAsia="zh-CN"/>
              </w:rPr>
              <w:t>8</w:t>
            </w:r>
            <w:r>
              <w:rPr>
                <w:rFonts w:hint="eastAsia"/>
                <w:color w:val="auto"/>
                <w:highlight w:val="none"/>
              </w:rPr>
              <w:t>00</w:t>
            </w:r>
            <w:r>
              <w:rPr>
                <w:rFonts w:hint="eastAsia"/>
                <w:color w:val="auto"/>
                <w:highlight w:val="none"/>
                <w:lang w:val="en-US" w:eastAsia="zh-CN"/>
              </w:rPr>
              <w:t>mm</w:t>
            </w:r>
            <w:r>
              <w:rPr>
                <w:rFonts w:hint="eastAsia" w:ascii="Times New Roman" w:hAnsi="Times New Roman" w:cs="Times New Roman"/>
                <w:color w:val="auto"/>
                <w:sz w:val="21"/>
                <w:szCs w:val="21"/>
                <w:highlight w:val="none"/>
                <w:vertAlign w:val="baseline"/>
                <w:lang w:val="en-US" w:eastAsia="zh-CN"/>
              </w:rPr>
              <w:t>，则P=</w:t>
            </w:r>
            <w:r>
              <w:rPr>
                <w:rFonts w:hint="eastAsia" w:cs="Times New Roman"/>
                <w:color w:val="auto"/>
                <w:sz w:val="21"/>
                <w:szCs w:val="21"/>
                <w:highlight w:val="none"/>
                <w:vertAlign w:val="baseline"/>
                <w:lang w:val="en-US" w:eastAsia="zh-CN"/>
              </w:rPr>
              <w:t>4</w:t>
            </w:r>
            <w:r>
              <w:rPr>
                <w:rFonts w:hint="default" w:ascii="Times New Roman" w:hAnsi="Times New Roman" w:cs="Times New Roman"/>
                <w:color w:val="auto"/>
                <w:sz w:val="21"/>
                <w:szCs w:val="21"/>
                <w:highlight w:val="none"/>
                <w:vertAlign w:val="baseline"/>
                <w:lang w:val="en-US" w:eastAsia="zh-CN"/>
              </w:rPr>
              <w:t>m</w:t>
            </w:r>
            <w:r>
              <w:rPr>
                <w:rFonts w:hint="eastAsia" w:ascii="Times New Roman" w:hAnsi="Times New Roman" w:cs="Times New Roman"/>
                <w:color w:val="auto"/>
                <w:sz w:val="21"/>
                <w:szCs w:val="21"/>
                <w:highlight w:val="none"/>
                <w:vertAlign w:val="baseline"/>
                <w:lang w:val="en-US" w:eastAsia="zh-CN"/>
              </w:rPr>
              <w:t>，H=</w:t>
            </w:r>
            <w:r>
              <w:rPr>
                <w:rFonts w:hint="eastAsia" w:cs="Times New Roman"/>
                <w:color w:val="auto"/>
                <w:sz w:val="21"/>
                <w:szCs w:val="21"/>
                <w:highlight w:val="none"/>
                <w:vertAlign w:val="baseline"/>
                <w:lang w:val="en-US" w:eastAsia="zh-CN"/>
              </w:rPr>
              <w:t>0.5</w:t>
            </w:r>
            <w:r>
              <w:rPr>
                <w:rFonts w:hint="default" w:ascii="Times New Roman" w:hAnsi="Times New Roman" w:cs="Times New Roman"/>
                <w:color w:val="auto"/>
                <w:sz w:val="21"/>
                <w:szCs w:val="21"/>
                <w:highlight w:val="none"/>
                <w:vertAlign w:val="baseline"/>
                <w:lang w:val="en-US" w:eastAsia="zh-CN"/>
              </w:rPr>
              <w:t>m</w:t>
            </w:r>
            <w:r>
              <w:rPr>
                <w:rFonts w:hint="eastAsia" w:ascii="Times New Roman" w:hAnsi="Times New Roman" w:cs="Times New Roman"/>
                <w:color w:val="auto"/>
                <w:sz w:val="21"/>
                <w:szCs w:val="21"/>
                <w:highlight w:val="none"/>
                <w:vertAlign w:val="baseline"/>
                <w:lang w:val="en-US" w:eastAsia="zh-CN"/>
              </w:rPr>
              <w:t>，u=</w:t>
            </w:r>
            <w:r>
              <w:rPr>
                <w:rFonts w:hint="default" w:ascii="Times New Roman" w:hAnsi="Times New Roman" w:cs="Times New Roman"/>
                <w:color w:val="auto"/>
                <w:sz w:val="21"/>
                <w:szCs w:val="21"/>
                <w:highlight w:val="none"/>
                <w:vertAlign w:val="baseline"/>
                <w:lang w:val="en-US" w:eastAsia="zh-CN"/>
              </w:rPr>
              <w:t>0.</w:t>
            </w:r>
            <w:r>
              <w:rPr>
                <w:rFonts w:hint="eastAsia" w:cs="Times New Roman"/>
                <w:color w:val="auto"/>
                <w:sz w:val="21"/>
                <w:szCs w:val="21"/>
                <w:highlight w:val="none"/>
                <w:vertAlign w:val="baseline"/>
                <w:lang w:val="en-US" w:eastAsia="zh-CN"/>
              </w:rPr>
              <w:t>4</w:t>
            </w:r>
            <w:r>
              <w:rPr>
                <w:rFonts w:hint="default" w:ascii="Times New Roman" w:hAnsi="Times New Roman" w:cs="Times New Roman"/>
                <w:color w:val="auto"/>
                <w:sz w:val="21"/>
                <w:szCs w:val="21"/>
                <w:highlight w:val="none"/>
                <w:vertAlign w:val="baseline"/>
                <w:lang w:val="en-US" w:eastAsia="zh-CN"/>
              </w:rPr>
              <w:t>m/s</w:t>
            </w:r>
            <w:r>
              <w:rPr>
                <w:rFonts w:hint="eastAsia" w:ascii="Times New Roman" w:hAnsi="Times New Roman" w:cs="Times New Roman"/>
                <w:color w:val="auto"/>
                <w:sz w:val="21"/>
                <w:szCs w:val="21"/>
                <w:highlight w:val="none"/>
                <w:vertAlign w:val="baseline"/>
                <w:lang w:val="en-US" w:eastAsia="zh-CN"/>
              </w:rPr>
              <w:t>。</w:t>
            </w:r>
          </w:p>
          <w:p w14:paraId="435CBFAA">
            <w:pPr>
              <w:widowControl w:val="0"/>
              <w:spacing w:line="360" w:lineRule="auto"/>
              <w:ind w:firstLine="420" w:firstLineChars="200"/>
              <w:rPr>
                <w:rFonts w:hint="eastAsia" w:eastAsia="宋体"/>
                <w:bCs/>
                <w:color w:val="auto"/>
                <w:sz w:val="21"/>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废气风量=1.4</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3.4</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0.4</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3600=</w:t>
            </w:r>
            <w:r>
              <w:rPr>
                <w:rFonts w:hint="eastAsia" w:cs="Times New Roman"/>
                <w:color w:val="auto"/>
                <w:sz w:val="21"/>
                <w:szCs w:val="21"/>
                <w:highlight w:val="none"/>
                <w:lang w:val="en-US" w:eastAsia="zh-CN"/>
              </w:rPr>
              <w:t>3427.2‬‬</w:t>
            </w:r>
            <w:r>
              <w:rPr>
                <w:rFonts w:hint="default" w:ascii="Times New Roman" w:hAnsi="Times New Roman" w:cs="Times New Roman"/>
                <w:color w:val="auto"/>
                <w:sz w:val="21"/>
                <w:szCs w:val="21"/>
                <w:highlight w:val="none"/>
                <w:vertAlign w:val="baseline"/>
                <w:lang w:val="en-US" w:eastAsia="zh-CN"/>
              </w:rPr>
              <w:t>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vertAlign w:val="baseline"/>
                <w:lang w:val="en-US" w:eastAsia="zh-CN"/>
              </w:rPr>
              <w:t>/h，</w:t>
            </w:r>
            <w:r>
              <w:rPr>
                <w:rFonts w:hint="eastAsia"/>
                <w:bCs/>
                <w:color w:val="auto"/>
                <w:sz w:val="21"/>
                <w:szCs w:val="21"/>
                <w:highlight w:val="none"/>
                <w:lang w:val="en-US" w:eastAsia="zh-CN"/>
              </w:rPr>
              <w:t>1个</w:t>
            </w:r>
            <w:r>
              <w:rPr>
                <w:rFonts w:hint="eastAsia"/>
                <w:color w:val="auto"/>
                <w:highlight w:val="none"/>
                <w:lang w:val="en-US" w:eastAsia="zh-CN"/>
              </w:rPr>
              <w:t>侧</w:t>
            </w:r>
            <w:r>
              <w:rPr>
                <w:rFonts w:hint="eastAsia"/>
                <w:color w:val="auto"/>
                <w:highlight w:val="none"/>
              </w:rPr>
              <w:t>吸罩</w:t>
            </w:r>
            <w:r>
              <w:rPr>
                <w:rFonts w:hint="eastAsia"/>
                <w:color w:val="auto"/>
                <w:highlight w:val="none"/>
                <w:lang w:eastAsia="zh-CN"/>
              </w:rPr>
              <w:t>，</w:t>
            </w:r>
            <w:r>
              <w:rPr>
                <w:rFonts w:hint="eastAsia"/>
                <w:color w:val="auto"/>
                <w:highlight w:val="none"/>
                <w:lang w:val="en-US" w:eastAsia="zh-CN"/>
              </w:rPr>
              <w:t>则废气风量为</w:t>
            </w:r>
            <w:r>
              <w:rPr>
                <w:rFonts w:hint="eastAsia" w:cs="Times New Roman"/>
                <w:color w:val="auto"/>
                <w:sz w:val="21"/>
                <w:szCs w:val="21"/>
                <w:highlight w:val="none"/>
                <w:lang w:val="en-US" w:eastAsia="zh-CN"/>
              </w:rPr>
              <w:t>3427.2</w:t>
            </w:r>
            <w:r>
              <w:rPr>
                <w:rFonts w:hint="default" w:ascii="Times New Roman" w:hAnsi="Times New Roman" w:cs="Times New Roman"/>
                <w:color w:val="auto"/>
                <w:sz w:val="21"/>
                <w:szCs w:val="21"/>
                <w:highlight w:val="none"/>
                <w:vertAlign w:val="baseline"/>
                <w:lang w:val="en-US" w:eastAsia="zh-CN"/>
              </w:rPr>
              <w:t>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vertAlign w:val="baseline"/>
                <w:lang w:val="en-US" w:eastAsia="zh-CN"/>
              </w:rPr>
              <w:t>/h</w:t>
            </w:r>
            <w:r>
              <w:rPr>
                <w:rFonts w:hint="eastAsia"/>
                <w:color w:val="auto"/>
                <w:highlight w:val="none"/>
                <w:lang w:val="en-US" w:eastAsia="zh-CN"/>
              </w:rPr>
              <w:t>，</w:t>
            </w:r>
            <w:r>
              <w:rPr>
                <w:rFonts w:hint="eastAsia" w:ascii="Times New Roman" w:hAnsi="Times New Roman" w:cs="Times New Roman"/>
                <w:color w:val="auto"/>
                <w:sz w:val="21"/>
                <w:szCs w:val="21"/>
                <w:highlight w:val="none"/>
                <w:vertAlign w:val="baseline"/>
                <w:lang w:val="en-US" w:eastAsia="zh-CN"/>
              </w:rPr>
              <w:t>考虑到</w:t>
            </w:r>
            <w:r>
              <w:rPr>
                <w:rFonts w:hint="eastAsia" w:eastAsia="宋体"/>
                <w:color w:val="auto"/>
                <w:sz w:val="21"/>
                <w:szCs w:val="21"/>
                <w:highlight w:val="none"/>
              </w:rPr>
              <w:t>管道阻力损失等</w:t>
            </w:r>
            <w:r>
              <w:rPr>
                <w:rFonts w:hint="eastAsia" w:eastAsia="宋体"/>
                <w:color w:val="auto"/>
                <w:sz w:val="21"/>
                <w:szCs w:val="21"/>
                <w:highlight w:val="none"/>
                <w:lang w:eastAsia="zh-CN"/>
              </w:rPr>
              <w:t>，</w:t>
            </w:r>
            <w:r>
              <w:rPr>
                <w:rFonts w:hint="eastAsia"/>
                <w:color w:val="auto"/>
                <w:sz w:val="21"/>
                <w:szCs w:val="21"/>
                <w:highlight w:val="none"/>
                <w:lang w:val="en-US" w:eastAsia="zh-CN"/>
              </w:rPr>
              <w:t>损失以10%计，则</w:t>
            </w:r>
            <w:r>
              <w:rPr>
                <w:rFonts w:hint="eastAsia" w:eastAsia="宋体"/>
                <w:color w:val="auto"/>
                <w:sz w:val="21"/>
                <w:szCs w:val="21"/>
                <w:highlight w:val="none"/>
                <w:lang w:val="en-US" w:eastAsia="zh-CN"/>
              </w:rPr>
              <w:t>废气量</w:t>
            </w:r>
            <w:r>
              <w:rPr>
                <w:rFonts w:hint="eastAsia"/>
                <w:color w:val="auto"/>
                <w:sz w:val="21"/>
                <w:szCs w:val="21"/>
                <w:highlight w:val="none"/>
                <w:lang w:val="en-US" w:eastAsia="zh-CN"/>
              </w:rPr>
              <w:t>约为4000</w:t>
            </w:r>
            <w:r>
              <w:rPr>
                <w:rFonts w:hint="default" w:ascii="Times New Roman" w:hAnsi="Times New Roman" w:cs="Times New Roman"/>
                <w:color w:val="auto"/>
                <w:sz w:val="21"/>
                <w:szCs w:val="21"/>
                <w:highlight w:val="none"/>
                <w:vertAlign w:val="baseline"/>
                <w:lang w:val="en-US" w:eastAsia="zh-CN"/>
              </w:rPr>
              <w:t>m</w:t>
            </w:r>
            <w:r>
              <w:rPr>
                <w:rFonts w:hint="eastAsia" w:ascii="Times New Roman" w:hAnsi="Times New Roman" w:cs="Times New Roman"/>
                <w:color w:val="auto"/>
                <w:sz w:val="21"/>
                <w:szCs w:val="21"/>
                <w:highlight w:val="none"/>
                <w:vertAlign w:val="superscript"/>
                <w:lang w:val="en-US" w:eastAsia="zh-CN"/>
              </w:rPr>
              <w:t>3</w:t>
            </w:r>
            <w:r>
              <w:rPr>
                <w:rFonts w:hint="eastAsia" w:ascii="Times New Roman" w:hAnsi="Times New Roman" w:cs="Times New Roman"/>
                <w:color w:val="auto"/>
                <w:sz w:val="21"/>
                <w:szCs w:val="21"/>
                <w:highlight w:val="none"/>
                <w:vertAlign w:val="baseline"/>
                <w:lang w:val="en-US" w:eastAsia="zh-CN"/>
              </w:rPr>
              <w:t>/h</w:t>
            </w:r>
            <w:r>
              <w:rPr>
                <w:rFonts w:hint="eastAsia" w:eastAsia="宋体"/>
                <w:color w:val="auto"/>
                <w:sz w:val="21"/>
                <w:szCs w:val="21"/>
                <w:highlight w:val="none"/>
                <w:lang w:val="en-US" w:eastAsia="zh-CN"/>
              </w:rPr>
              <w:t>。</w:t>
            </w:r>
          </w:p>
          <w:p w14:paraId="55083A16">
            <w:pPr>
              <w:widowControl w:val="0"/>
              <w:spacing w:line="360" w:lineRule="auto"/>
              <w:ind w:firstLine="420" w:firstLineChars="200"/>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综上，喷涂风量合计为8000m</w:t>
            </w:r>
            <w:r>
              <w:rPr>
                <w:rFonts w:hint="eastAsia" w:ascii="Times New Roman" w:hAnsi="Times New Roman" w:eastAsia="宋体" w:cs="Times New Roman"/>
                <w:bCs/>
                <w:color w:val="auto"/>
                <w:sz w:val="21"/>
                <w:szCs w:val="21"/>
                <w:highlight w:val="none"/>
                <w:vertAlign w:val="superscript"/>
                <w:lang w:val="en-US" w:eastAsia="zh-CN"/>
              </w:rPr>
              <w:t>3</w:t>
            </w:r>
            <w:r>
              <w:rPr>
                <w:rFonts w:hint="eastAsia" w:ascii="Times New Roman" w:hAnsi="Times New Roman" w:eastAsia="宋体" w:cs="Times New Roman"/>
                <w:bCs/>
                <w:color w:val="auto"/>
                <w:sz w:val="21"/>
                <w:szCs w:val="21"/>
                <w:highlight w:val="none"/>
                <w:lang w:val="en-US" w:eastAsia="zh-CN"/>
              </w:rPr>
              <w:t>/h。</w:t>
            </w:r>
          </w:p>
          <w:p w14:paraId="539EB442">
            <w:pPr>
              <w:numPr>
                <w:ilvl w:val="0"/>
                <w:numId w:val="0"/>
              </w:numPr>
              <w:spacing w:line="240" w:lineRule="auto"/>
              <w:ind w:left="220" w:leftChars="0" w:right="0" w:rightChars="0"/>
              <w:jc w:val="center"/>
              <w:rPr>
                <w:rFonts w:hint="default"/>
                <w:color w:val="auto"/>
                <w:lang w:val="en-US" w:eastAsia="zh-CN"/>
              </w:rPr>
            </w:pPr>
            <w:r>
              <w:rPr>
                <w:rFonts w:hint="default" w:ascii="Times New Roman" w:hAnsi="Times New Roman" w:cs="Times New Roman"/>
                <w:b/>
                <w:bCs/>
                <w:color w:val="auto"/>
                <w:lang w:val="en-US" w:eastAsia="zh-CN"/>
              </w:rPr>
              <w:t>表4-</w:t>
            </w:r>
            <w:r>
              <w:rPr>
                <w:rFonts w:hint="eastAsia" w:cs="Times New Roman"/>
                <w:b/>
                <w:bCs/>
                <w:color w:val="auto"/>
                <w:lang w:val="en-US" w:eastAsia="zh-CN"/>
              </w:rPr>
              <w:t>1</w:t>
            </w:r>
            <w:r>
              <w:rPr>
                <w:rFonts w:hint="eastAsia" w:ascii="Times New Roman" w:hAnsi="Times New Roman" w:cs="Times New Roman"/>
                <w:b/>
                <w:bCs/>
                <w:color w:val="auto"/>
                <w:lang w:val="en-US" w:eastAsia="zh-CN"/>
              </w:rPr>
              <w:t xml:space="preserve"> 本</w:t>
            </w:r>
            <w:r>
              <w:rPr>
                <w:rFonts w:hint="default" w:ascii="Times New Roman" w:hAnsi="Times New Roman" w:cs="Times New Roman"/>
                <w:b/>
                <w:bCs/>
                <w:color w:val="auto"/>
                <w:lang w:val="en-US" w:eastAsia="zh-CN"/>
              </w:rPr>
              <w:t>项目有组织废气产排放情况</w:t>
            </w:r>
          </w:p>
          <w:tbl>
            <w:tblPr>
              <w:tblStyle w:val="20"/>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34"/>
              <w:gridCol w:w="533"/>
              <w:gridCol w:w="585"/>
              <w:gridCol w:w="629"/>
              <w:gridCol w:w="567"/>
              <w:gridCol w:w="601"/>
              <w:gridCol w:w="554"/>
              <w:gridCol w:w="333"/>
              <w:gridCol w:w="434"/>
              <w:gridCol w:w="406"/>
              <w:gridCol w:w="476"/>
              <w:gridCol w:w="470"/>
              <w:gridCol w:w="575"/>
              <w:gridCol w:w="759"/>
              <w:gridCol w:w="762"/>
            </w:tblGrid>
            <w:tr w14:paraId="689560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87" w:hRule="atLeast"/>
                <w:jc w:val="center"/>
              </w:trPr>
              <w:tc>
                <w:tcPr>
                  <w:tcW w:w="267" w:type="pct"/>
                  <w:vMerge w:val="restart"/>
                  <w:noWrap w:val="0"/>
                  <w:vAlign w:val="center"/>
                </w:tcPr>
                <w:p w14:paraId="469F2876">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宋体"/>
                      <w:b/>
                      <w:color w:val="auto"/>
                      <w:sz w:val="18"/>
                      <w:szCs w:val="18"/>
                      <w:lang w:val="en-US" w:eastAsia="zh-CN"/>
                    </w:rPr>
                    <w:t>排气筒编号</w:t>
                  </w:r>
                </w:p>
              </w:tc>
              <w:tc>
                <w:tcPr>
                  <w:tcW w:w="688" w:type="pct"/>
                  <w:gridSpan w:val="2"/>
                  <w:vMerge w:val="restart"/>
                  <w:noWrap w:val="0"/>
                  <w:tcMar>
                    <w:left w:w="0" w:type="dxa"/>
                    <w:right w:w="0" w:type="dxa"/>
                  </w:tcMar>
                  <w:vAlign w:val="center"/>
                </w:tcPr>
                <w:p w14:paraId="56F74ADB">
                  <w:pPr>
                    <w:pStyle w:val="10"/>
                    <w:spacing w:line="240" w:lineRule="auto"/>
                    <w:ind w:firstLine="0" w:firstLineChars="0"/>
                    <w:jc w:val="center"/>
                    <w:rPr>
                      <w:rFonts w:hint="eastAsia" w:ascii="Times New Roman" w:hAnsi="宋体"/>
                      <w:b/>
                      <w:color w:val="auto"/>
                      <w:sz w:val="18"/>
                      <w:szCs w:val="18"/>
                      <w:lang w:val="en-US" w:eastAsia="zh-CN"/>
                    </w:rPr>
                  </w:pPr>
                  <w:r>
                    <w:rPr>
                      <w:rFonts w:ascii="Times New Roman" w:hAnsi="宋体"/>
                      <w:b/>
                      <w:color w:val="auto"/>
                      <w:sz w:val="18"/>
                      <w:szCs w:val="18"/>
                      <w:lang w:val="en-US" w:eastAsia="zh-CN"/>
                    </w:rPr>
                    <w:t>污染源名称</w:t>
                  </w:r>
                  <w:r>
                    <w:rPr>
                      <w:rFonts w:hint="eastAsia" w:ascii="Times New Roman" w:hAnsi="宋体"/>
                      <w:b/>
                      <w:color w:val="auto"/>
                      <w:sz w:val="18"/>
                      <w:szCs w:val="18"/>
                      <w:lang w:val="en-US" w:eastAsia="zh-CN"/>
                    </w:rPr>
                    <w:t>、</w:t>
                  </w:r>
                </w:p>
                <w:p w14:paraId="32892463">
                  <w:pPr>
                    <w:pStyle w:val="10"/>
                    <w:spacing w:line="240" w:lineRule="auto"/>
                    <w:ind w:firstLine="0" w:firstLineChars="0"/>
                    <w:jc w:val="center"/>
                    <w:rPr>
                      <w:rFonts w:hint="default" w:ascii="Times New Roman" w:hAnsi="Times New Roman"/>
                      <w:b/>
                      <w:color w:val="auto"/>
                      <w:sz w:val="18"/>
                      <w:szCs w:val="18"/>
                      <w:lang w:val="en-US" w:eastAsia="zh-CN"/>
                    </w:rPr>
                  </w:pPr>
                  <w:r>
                    <w:rPr>
                      <w:rFonts w:hint="eastAsia" w:ascii="Times New Roman" w:hAnsi="宋体"/>
                      <w:b/>
                      <w:color w:val="auto"/>
                      <w:sz w:val="18"/>
                      <w:szCs w:val="18"/>
                      <w:lang w:val="en-US" w:eastAsia="zh-CN"/>
                    </w:rPr>
                    <w:t>污染因子</w:t>
                  </w:r>
                </w:p>
              </w:tc>
              <w:tc>
                <w:tcPr>
                  <w:tcW w:w="387" w:type="pct"/>
                  <w:vMerge w:val="restart"/>
                  <w:noWrap w:val="0"/>
                  <w:tcMar>
                    <w:left w:w="0" w:type="dxa"/>
                    <w:right w:w="0" w:type="dxa"/>
                  </w:tcMar>
                  <w:vAlign w:val="center"/>
                </w:tcPr>
                <w:p w14:paraId="1C289D64">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宋体"/>
                      <w:b/>
                      <w:color w:val="auto"/>
                      <w:sz w:val="18"/>
                      <w:szCs w:val="18"/>
                      <w:lang w:val="en-US" w:eastAsia="zh-CN"/>
                    </w:rPr>
                    <w:t>排气量</w:t>
                  </w:r>
                  <w:r>
                    <w:rPr>
                      <w:rFonts w:hint="eastAsia" w:ascii="Times New Roman" w:hAnsi="宋体"/>
                      <w:b/>
                      <w:color w:val="auto"/>
                      <w:sz w:val="18"/>
                      <w:szCs w:val="18"/>
                      <w:lang w:val="en-US" w:eastAsia="zh-CN"/>
                    </w:rPr>
                    <w:t>（废气量）</w:t>
                  </w:r>
                  <w:r>
                    <w:rPr>
                      <w:rFonts w:ascii="Times New Roman" w:hAnsi="宋体"/>
                      <w:b/>
                      <w:color w:val="auto"/>
                      <w:sz w:val="18"/>
                      <w:szCs w:val="18"/>
                      <w:lang w:val="en-US" w:eastAsia="zh-CN"/>
                    </w:rPr>
                    <w:t>（</w:t>
                  </w:r>
                  <w:r>
                    <w:rPr>
                      <w:rFonts w:ascii="Times New Roman" w:hAnsi="Times New Roman"/>
                      <w:b/>
                      <w:color w:val="auto"/>
                      <w:sz w:val="18"/>
                      <w:szCs w:val="18"/>
                      <w:lang w:val="en-US" w:eastAsia="zh-CN"/>
                    </w:rPr>
                    <w:t>m</w:t>
                  </w:r>
                  <w:r>
                    <w:rPr>
                      <w:rFonts w:ascii="Times New Roman" w:hAnsi="Times New Roman"/>
                      <w:b/>
                      <w:color w:val="auto"/>
                      <w:sz w:val="18"/>
                      <w:szCs w:val="18"/>
                      <w:vertAlign w:val="superscript"/>
                      <w:lang w:val="en-US" w:eastAsia="zh-CN"/>
                    </w:rPr>
                    <w:t>3</w:t>
                  </w:r>
                  <w:r>
                    <w:rPr>
                      <w:rFonts w:ascii="Times New Roman" w:hAnsi="Times New Roman"/>
                      <w:b/>
                      <w:color w:val="auto"/>
                      <w:sz w:val="18"/>
                      <w:szCs w:val="18"/>
                      <w:lang w:val="en-US" w:eastAsia="zh-CN"/>
                    </w:rPr>
                    <w:t xml:space="preserve"> /h</w:t>
                  </w:r>
                  <w:r>
                    <w:rPr>
                      <w:rFonts w:ascii="Times New Roman" w:hAnsi="宋体"/>
                      <w:b/>
                      <w:color w:val="auto"/>
                      <w:sz w:val="18"/>
                      <w:szCs w:val="18"/>
                      <w:lang w:val="en-US" w:eastAsia="zh-CN"/>
                    </w:rPr>
                    <w:t>）</w:t>
                  </w:r>
                </w:p>
              </w:tc>
              <w:tc>
                <w:tcPr>
                  <w:tcW w:w="1060" w:type="pct"/>
                  <w:gridSpan w:val="3"/>
                  <w:noWrap w:val="0"/>
                  <w:tcMar>
                    <w:left w:w="0" w:type="dxa"/>
                    <w:right w:w="0" w:type="dxa"/>
                  </w:tcMar>
                  <w:vAlign w:val="center"/>
                </w:tcPr>
                <w:p w14:paraId="0AE1C3FF">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宋体"/>
                      <w:b/>
                      <w:color w:val="auto"/>
                      <w:sz w:val="18"/>
                      <w:szCs w:val="18"/>
                      <w:lang w:val="en-US" w:eastAsia="zh-CN"/>
                    </w:rPr>
                    <w:t>产生状况</w:t>
                  </w:r>
                </w:p>
              </w:tc>
              <w:tc>
                <w:tcPr>
                  <w:tcW w:w="205" w:type="pct"/>
                  <w:vMerge w:val="restart"/>
                  <w:noWrap w:val="0"/>
                  <w:tcMar>
                    <w:left w:w="0" w:type="dxa"/>
                    <w:right w:w="0" w:type="dxa"/>
                  </w:tcMar>
                  <w:vAlign w:val="center"/>
                </w:tcPr>
                <w:p w14:paraId="105B5603">
                  <w:pPr>
                    <w:pStyle w:val="10"/>
                    <w:spacing w:line="240" w:lineRule="auto"/>
                    <w:ind w:firstLine="0" w:firstLineChars="0"/>
                    <w:jc w:val="center"/>
                    <w:rPr>
                      <w:rFonts w:hint="default" w:ascii="Times New Roman" w:hAnsi="宋体"/>
                      <w:b/>
                      <w:color w:val="auto"/>
                      <w:sz w:val="18"/>
                      <w:szCs w:val="18"/>
                      <w:lang w:val="en-US" w:eastAsia="zh-CN"/>
                    </w:rPr>
                  </w:pPr>
                  <w:r>
                    <w:rPr>
                      <w:rFonts w:hint="eastAsia" w:ascii="Times New Roman" w:hAnsi="宋体"/>
                      <w:b/>
                      <w:color w:val="auto"/>
                      <w:sz w:val="18"/>
                      <w:szCs w:val="18"/>
                      <w:lang w:val="en-US" w:eastAsia="zh-CN"/>
                    </w:rPr>
                    <w:t>收集效率</w:t>
                  </w:r>
                  <w:r>
                    <w:rPr>
                      <w:rFonts w:ascii="Times New Roman" w:hAnsi="宋体"/>
                      <w:b/>
                      <w:color w:val="auto"/>
                      <w:sz w:val="18"/>
                      <w:szCs w:val="18"/>
                      <w:lang w:val="en-US" w:eastAsia="zh-CN"/>
                    </w:rPr>
                    <w:t>（％）</w:t>
                  </w:r>
                </w:p>
              </w:tc>
              <w:tc>
                <w:tcPr>
                  <w:tcW w:w="267" w:type="pct"/>
                  <w:vMerge w:val="restart"/>
                  <w:noWrap w:val="0"/>
                  <w:tcMar>
                    <w:left w:w="0" w:type="dxa"/>
                    <w:right w:w="0" w:type="dxa"/>
                  </w:tcMar>
                  <w:vAlign w:val="center"/>
                </w:tcPr>
                <w:p w14:paraId="47C56C52">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宋体"/>
                      <w:b/>
                      <w:color w:val="auto"/>
                      <w:sz w:val="18"/>
                      <w:szCs w:val="18"/>
                      <w:lang w:val="en-US" w:eastAsia="zh-CN"/>
                    </w:rPr>
                    <w:t>治理</w:t>
                  </w:r>
                </w:p>
                <w:p w14:paraId="451BF1CA">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宋体"/>
                      <w:b/>
                      <w:color w:val="auto"/>
                      <w:sz w:val="18"/>
                      <w:szCs w:val="18"/>
                      <w:lang w:val="en-US" w:eastAsia="zh-CN"/>
                    </w:rPr>
                    <w:t>措施</w:t>
                  </w:r>
                </w:p>
              </w:tc>
              <w:tc>
                <w:tcPr>
                  <w:tcW w:w="250" w:type="pct"/>
                  <w:vMerge w:val="restart"/>
                  <w:noWrap w:val="0"/>
                  <w:tcMar>
                    <w:left w:w="0" w:type="dxa"/>
                    <w:right w:w="0" w:type="dxa"/>
                  </w:tcMar>
                  <w:vAlign w:val="center"/>
                </w:tcPr>
                <w:p w14:paraId="4E9701E3">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宋体"/>
                      <w:b/>
                      <w:color w:val="auto"/>
                      <w:sz w:val="18"/>
                      <w:szCs w:val="18"/>
                      <w:lang w:val="en-US" w:eastAsia="zh-CN"/>
                    </w:rPr>
                    <w:t>去除率（％）</w:t>
                  </w:r>
                </w:p>
              </w:tc>
              <w:tc>
                <w:tcPr>
                  <w:tcW w:w="936" w:type="pct"/>
                  <w:gridSpan w:val="3"/>
                  <w:noWrap w:val="0"/>
                  <w:tcMar>
                    <w:left w:w="0" w:type="dxa"/>
                    <w:right w:w="0" w:type="dxa"/>
                  </w:tcMar>
                  <w:vAlign w:val="center"/>
                </w:tcPr>
                <w:p w14:paraId="4F832208">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宋体"/>
                      <w:b/>
                      <w:color w:val="auto"/>
                      <w:sz w:val="18"/>
                      <w:szCs w:val="18"/>
                      <w:lang w:val="en-US" w:eastAsia="zh-CN"/>
                    </w:rPr>
                    <w:t>排放状况</w:t>
                  </w:r>
                </w:p>
              </w:tc>
              <w:tc>
                <w:tcPr>
                  <w:tcW w:w="936" w:type="pct"/>
                  <w:gridSpan w:val="2"/>
                  <w:noWrap w:val="0"/>
                  <w:tcMar>
                    <w:left w:w="0" w:type="dxa"/>
                    <w:right w:w="0" w:type="dxa"/>
                  </w:tcMar>
                  <w:vAlign w:val="center"/>
                </w:tcPr>
                <w:p w14:paraId="544C0B05">
                  <w:pPr>
                    <w:pStyle w:val="10"/>
                    <w:spacing w:line="240" w:lineRule="auto"/>
                    <w:ind w:firstLine="0" w:firstLineChars="0"/>
                    <w:jc w:val="center"/>
                    <w:rPr>
                      <w:rFonts w:hint="default" w:ascii="Times New Roman" w:hAnsi="宋体"/>
                      <w:b/>
                      <w:color w:val="auto"/>
                      <w:sz w:val="18"/>
                      <w:szCs w:val="18"/>
                      <w:lang w:val="en-US" w:eastAsia="zh-CN"/>
                    </w:rPr>
                  </w:pPr>
                  <w:r>
                    <w:rPr>
                      <w:rFonts w:hint="eastAsia" w:ascii="Times New Roman" w:hAnsi="宋体"/>
                      <w:b/>
                      <w:color w:val="auto"/>
                      <w:sz w:val="18"/>
                      <w:szCs w:val="18"/>
                      <w:lang w:val="en-US" w:eastAsia="zh-CN"/>
                    </w:rPr>
                    <w:t>标准限值</w:t>
                  </w:r>
                </w:p>
              </w:tc>
            </w:tr>
            <w:tr w14:paraId="591691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019" w:hRule="atLeast"/>
                <w:jc w:val="center"/>
              </w:trPr>
              <w:tc>
                <w:tcPr>
                  <w:tcW w:w="267" w:type="pct"/>
                  <w:vMerge w:val="continue"/>
                  <w:noWrap w:val="0"/>
                  <w:vAlign w:val="center"/>
                </w:tcPr>
                <w:p w14:paraId="72BE416E">
                  <w:pPr>
                    <w:pStyle w:val="10"/>
                    <w:spacing w:line="240" w:lineRule="auto"/>
                    <w:ind w:firstLine="0" w:firstLineChars="0"/>
                    <w:jc w:val="center"/>
                    <w:rPr>
                      <w:rFonts w:ascii="Times New Roman" w:hAnsi="Times New Roman"/>
                      <w:b/>
                      <w:color w:val="auto"/>
                      <w:sz w:val="18"/>
                      <w:szCs w:val="18"/>
                      <w:lang w:val="en-US" w:eastAsia="zh-CN"/>
                    </w:rPr>
                  </w:pPr>
                </w:p>
              </w:tc>
              <w:tc>
                <w:tcPr>
                  <w:tcW w:w="688" w:type="pct"/>
                  <w:gridSpan w:val="2"/>
                  <w:vMerge w:val="continue"/>
                  <w:noWrap w:val="0"/>
                  <w:tcMar>
                    <w:left w:w="0" w:type="dxa"/>
                    <w:right w:w="0" w:type="dxa"/>
                  </w:tcMar>
                  <w:vAlign w:val="center"/>
                </w:tcPr>
                <w:p w14:paraId="206A4AB5">
                  <w:pPr>
                    <w:pStyle w:val="10"/>
                    <w:spacing w:line="240" w:lineRule="auto"/>
                    <w:ind w:firstLine="0" w:firstLineChars="0"/>
                    <w:jc w:val="center"/>
                    <w:rPr>
                      <w:rFonts w:ascii="Times New Roman" w:hAnsi="Times New Roman"/>
                      <w:b/>
                      <w:color w:val="auto"/>
                      <w:sz w:val="18"/>
                      <w:szCs w:val="18"/>
                      <w:lang w:val="en-US" w:eastAsia="zh-CN"/>
                    </w:rPr>
                  </w:pPr>
                </w:p>
              </w:tc>
              <w:tc>
                <w:tcPr>
                  <w:tcW w:w="387" w:type="pct"/>
                  <w:vMerge w:val="continue"/>
                  <w:noWrap w:val="0"/>
                  <w:tcMar>
                    <w:left w:w="0" w:type="dxa"/>
                    <w:right w:w="0" w:type="dxa"/>
                  </w:tcMar>
                  <w:vAlign w:val="center"/>
                </w:tcPr>
                <w:p w14:paraId="6EEC047C">
                  <w:pPr>
                    <w:pStyle w:val="10"/>
                    <w:spacing w:line="240" w:lineRule="auto"/>
                    <w:ind w:firstLine="0" w:firstLineChars="0"/>
                    <w:jc w:val="center"/>
                    <w:rPr>
                      <w:rFonts w:ascii="Times New Roman" w:hAnsi="Times New Roman"/>
                      <w:b/>
                      <w:color w:val="auto"/>
                      <w:sz w:val="18"/>
                      <w:szCs w:val="18"/>
                      <w:lang w:val="en-US" w:eastAsia="zh-CN"/>
                    </w:rPr>
                  </w:pPr>
                </w:p>
              </w:tc>
              <w:tc>
                <w:tcPr>
                  <w:tcW w:w="349" w:type="pct"/>
                  <w:noWrap w:val="0"/>
                  <w:tcMar>
                    <w:left w:w="0" w:type="dxa"/>
                    <w:right w:w="0" w:type="dxa"/>
                  </w:tcMar>
                  <w:vAlign w:val="center"/>
                </w:tcPr>
                <w:p w14:paraId="14DF728E">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宋体"/>
                      <w:b/>
                      <w:color w:val="auto"/>
                      <w:sz w:val="18"/>
                      <w:szCs w:val="18"/>
                      <w:lang w:val="en-US" w:eastAsia="zh-CN"/>
                    </w:rPr>
                    <w:t>浓度</w:t>
                  </w:r>
                </w:p>
                <w:p w14:paraId="008F6FA8">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Times New Roman"/>
                      <w:b/>
                      <w:color w:val="auto"/>
                      <w:sz w:val="18"/>
                      <w:szCs w:val="18"/>
                      <w:lang w:val="en-US" w:eastAsia="zh-CN"/>
                    </w:rPr>
                    <w:t>(mg/ m</w:t>
                  </w:r>
                  <w:r>
                    <w:rPr>
                      <w:rFonts w:ascii="Times New Roman" w:hAnsi="Times New Roman"/>
                      <w:b/>
                      <w:color w:val="auto"/>
                      <w:sz w:val="18"/>
                      <w:szCs w:val="18"/>
                      <w:vertAlign w:val="superscript"/>
                      <w:lang w:val="en-US" w:eastAsia="zh-CN"/>
                    </w:rPr>
                    <w:t>3)</w:t>
                  </w:r>
                </w:p>
              </w:tc>
              <w:tc>
                <w:tcPr>
                  <w:tcW w:w="370" w:type="pct"/>
                  <w:noWrap w:val="0"/>
                  <w:tcMar>
                    <w:left w:w="0" w:type="dxa"/>
                    <w:right w:w="0" w:type="dxa"/>
                  </w:tcMar>
                  <w:vAlign w:val="center"/>
                </w:tcPr>
                <w:p w14:paraId="5C5C41E5">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宋体"/>
                      <w:b/>
                      <w:color w:val="auto"/>
                      <w:sz w:val="18"/>
                      <w:szCs w:val="18"/>
                      <w:lang w:val="en-US" w:eastAsia="zh-CN"/>
                    </w:rPr>
                    <w:t>速率</w:t>
                  </w:r>
                  <w:r>
                    <w:rPr>
                      <w:rFonts w:ascii="Times New Roman" w:hAnsi="Times New Roman"/>
                      <w:b/>
                      <w:color w:val="auto"/>
                      <w:sz w:val="18"/>
                      <w:szCs w:val="18"/>
                      <w:lang w:val="en-US" w:eastAsia="zh-CN"/>
                    </w:rPr>
                    <w:t>(kg/h)</w:t>
                  </w:r>
                </w:p>
              </w:tc>
              <w:tc>
                <w:tcPr>
                  <w:tcW w:w="339" w:type="pct"/>
                  <w:noWrap w:val="0"/>
                  <w:tcMar>
                    <w:left w:w="0" w:type="dxa"/>
                    <w:right w:w="0" w:type="dxa"/>
                  </w:tcMar>
                  <w:vAlign w:val="center"/>
                </w:tcPr>
                <w:p w14:paraId="6E135C8A">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宋体"/>
                      <w:b/>
                      <w:color w:val="auto"/>
                      <w:sz w:val="18"/>
                      <w:szCs w:val="18"/>
                      <w:lang w:val="en-US" w:eastAsia="zh-CN"/>
                    </w:rPr>
                    <w:t>年产生量（</w:t>
                  </w:r>
                  <w:r>
                    <w:rPr>
                      <w:rFonts w:ascii="Times New Roman" w:hAnsi="Times New Roman"/>
                      <w:b/>
                      <w:color w:val="auto"/>
                      <w:sz w:val="18"/>
                      <w:szCs w:val="18"/>
                      <w:lang w:val="en-US" w:eastAsia="zh-CN"/>
                    </w:rPr>
                    <w:t>t/a</w:t>
                  </w:r>
                  <w:r>
                    <w:rPr>
                      <w:rFonts w:ascii="Times New Roman" w:hAnsi="宋体"/>
                      <w:b/>
                      <w:color w:val="auto"/>
                      <w:sz w:val="18"/>
                      <w:szCs w:val="18"/>
                      <w:lang w:val="en-US" w:eastAsia="zh-CN"/>
                    </w:rPr>
                    <w:t>）</w:t>
                  </w:r>
                </w:p>
              </w:tc>
              <w:tc>
                <w:tcPr>
                  <w:tcW w:w="205" w:type="pct"/>
                  <w:vMerge w:val="continue"/>
                  <w:noWrap w:val="0"/>
                  <w:tcMar>
                    <w:left w:w="0" w:type="dxa"/>
                    <w:right w:w="0" w:type="dxa"/>
                  </w:tcMar>
                  <w:vAlign w:val="center"/>
                </w:tcPr>
                <w:p w14:paraId="26A52E4B">
                  <w:pPr>
                    <w:pStyle w:val="10"/>
                    <w:spacing w:line="240" w:lineRule="auto"/>
                    <w:ind w:firstLine="0" w:firstLineChars="0"/>
                    <w:jc w:val="center"/>
                    <w:rPr>
                      <w:rFonts w:ascii="Times New Roman" w:hAnsi="Times New Roman"/>
                      <w:b/>
                      <w:color w:val="auto"/>
                      <w:sz w:val="18"/>
                      <w:szCs w:val="18"/>
                      <w:lang w:val="en-US" w:eastAsia="zh-CN"/>
                    </w:rPr>
                  </w:pPr>
                </w:p>
              </w:tc>
              <w:tc>
                <w:tcPr>
                  <w:tcW w:w="267" w:type="pct"/>
                  <w:vMerge w:val="continue"/>
                  <w:noWrap w:val="0"/>
                  <w:tcMar>
                    <w:left w:w="0" w:type="dxa"/>
                    <w:right w:w="0" w:type="dxa"/>
                  </w:tcMar>
                  <w:vAlign w:val="center"/>
                </w:tcPr>
                <w:p w14:paraId="41F26CD3">
                  <w:pPr>
                    <w:pStyle w:val="10"/>
                    <w:spacing w:line="240" w:lineRule="auto"/>
                    <w:ind w:firstLine="0" w:firstLineChars="0"/>
                    <w:jc w:val="center"/>
                    <w:rPr>
                      <w:rFonts w:ascii="Times New Roman" w:hAnsi="Times New Roman"/>
                      <w:b/>
                      <w:color w:val="auto"/>
                      <w:sz w:val="18"/>
                      <w:szCs w:val="18"/>
                      <w:lang w:val="en-US" w:eastAsia="zh-CN"/>
                    </w:rPr>
                  </w:pPr>
                </w:p>
              </w:tc>
              <w:tc>
                <w:tcPr>
                  <w:tcW w:w="250" w:type="pct"/>
                  <w:vMerge w:val="continue"/>
                  <w:noWrap w:val="0"/>
                  <w:tcMar>
                    <w:left w:w="0" w:type="dxa"/>
                    <w:right w:w="0" w:type="dxa"/>
                  </w:tcMar>
                  <w:vAlign w:val="center"/>
                </w:tcPr>
                <w:p w14:paraId="6530B099">
                  <w:pPr>
                    <w:pStyle w:val="10"/>
                    <w:spacing w:line="240" w:lineRule="auto"/>
                    <w:ind w:firstLine="0" w:firstLineChars="0"/>
                    <w:jc w:val="center"/>
                    <w:rPr>
                      <w:rFonts w:ascii="Times New Roman" w:hAnsi="Times New Roman"/>
                      <w:b/>
                      <w:color w:val="auto"/>
                      <w:sz w:val="18"/>
                      <w:szCs w:val="18"/>
                      <w:lang w:val="en-US" w:eastAsia="zh-CN"/>
                    </w:rPr>
                  </w:pPr>
                </w:p>
              </w:tc>
              <w:tc>
                <w:tcPr>
                  <w:tcW w:w="293" w:type="pct"/>
                  <w:noWrap w:val="0"/>
                  <w:tcMar>
                    <w:left w:w="0" w:type="dxa"/>
                    <w:right w:w="0" w:type="dxa"/>
                  </w:tcMar>
                  <w:vAlign w:val="center"/>
                </w:tcPr>
                <w:p w14:paraId="68A0B646">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宋体"/>
                      <w:b/>
                      <w:color w:val="auto"/>
                      <w:sz w:val="18"/>
                      <w:szCs w:val="18"/>
                      <w:lang w:val="en-US" w:eastAsia="zh-CN"/>
                    </w:rPr>
                    <w:t>浓度</w:t>
                  </w:r>
                </w:p>
                <w:p w14:paraId="49FF0D4D">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Times New Roman"/>
                      <w:b/>
                      <w:color w:val="auto"/>
                      <w:sz w:val="18"/>
                      <w:szCs w:val="18"/>
                      <w:lang w:val="en-US" w:eastAsia="zh-CN"/>
                    </w:rPr>
                    <w:t>(mg/ m</w:t>
                  </w:r>
                  <w:r>
                    <w:rPr>
                      <w:rFonts w:ascii="Times New Roman" w:hAnsi="Times New Roman"/>
                      <w:b/>
                      <w:color w:val="auto"/>
                      <w:sz w:val="18"/>
                      <w:szCs w:val="18"/>
                      <w:vertAlign w:val="superscript"/>
                      <w:lang w:val="en-US" w:eastAsia="zh-CN"/>
                    </w:rPr>
                    <w:t>3</w:t>
                  </w:r>
                  <w:r>
                    <w:rPr>
                      <w:rFonts w:ascii="Times New Roman" w:hAnsi="Times New Roman"/>
                      <w:b/>
                      <w:color w:val="auto"/>
                      <w:sz w:val="18"/>
                      <w:szCs w:val="18"/>
                      <w:lang w:val="en-US" w:eastAsia="zh-CN"/>
                    </w:rPr>
                    <w:t>)</w:t>
                  </w:r>
                </w:p>
              </w:tc>
              <w:tc>
                <w:tcPr>
                  <w:tcW w:w="289" w:type="pct"/>
                  <w:noWrap w:val="0"/>
                  <w:tcMar>
                    <w:left w:w="0" w:type="dxa"/>
                    <w:right w:w="0" w:type="dxa"/>
                  </w:tcMar>
                  <w:vAlign w:val="center"/>
                </w:tcPr>
                <w:p w14:paraId="299B55F4">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宋体"/>
                      <w:b/>
                      <w:color w:val="auto"/>
                      <w:sz w:val="18"/>
                      <w:szCs w:val="18"/>
                      <w:lang w:val="en-US" w:eastAsia="zh-CN"/>
                    </w:rPr>
                    <w:t>速率</w:t>
                  </w:r>
                </w:p>
                <w:p w14:paraId="50B8FD5E">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Times New Roman"/>
                      <w:b/>
                      <w:color w:val="auto"/>
                      <w:sz w:val="18"/>
                      <w:szCs w:val="18"/>
                      <w:lang w:val="en-US" w:eastAsia="zh-CN"/>
                    </w:rPr>
                    <w:t>(kg/h)</w:t>
                  </w:r>
                </w:p>
              </w:tc>
              <w:tc>
                <w:tcPr>
                  <w:tcW w:w="353" w:type="pct"/>
                  <w:noWrap w:val="0"/>
                  <w:tcMar>
                    <w:left w:w="0" w:type="dxa"/>
                    <w:right w:w="0" w:type="dxa"/>
                  </w:tcMar>
                  <w:vAlign w:val="center"/>
                </w:tcPr>
                <w:p w14:paraId="72A04BC7">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宋体"/>
                      <w:b/>
                      <w:color w:val="auto"/>
                      <w:sz w:val="18"/>
                      <w:szCs w:val="18"/>
                      <w:lang w:val="en-US" w:eastAsia="zh-CN"/>
                    </w:rPr>
                    <w:t>年排放量（</w:t>
                  </w:r>
                  <w:r>
                    <w:rPr>
                      <w:rFonts w:ascii="Times New Roman" w:hAnsi="Times New Roman"/>
                      <w:b/>
                      <w:color w:val="auto"/>
                      <w:sz w:val="18"/>
                      <w:szCs w:val="18"/>
                      <w:lang w:val="en-US" w:eastAsia="zh-CN"/>
                    </w:rPr>
                    <w:t>t/a</w:t>
                  </w:r>
                  <w:r>
                    <w:rPr>
                      <w:rFonts w:ascii="Times New Roman" w:hAnsi="宋体"/>
                      <w:b/>
                      <w:color w:val="auto"/>
                      <w:sz w:val="18"/>
                      <w:szCs w:val="18"/>
                      <w:lang w:val="en-US" w:eastAsia="zh-CN"/>
                    </w:rPr>
                    <w:t>）</w:t>
                  </w:r>
                </w:p>
              </w:tc>
              <w:tc>
                <w:tcPr>
                  <w:tcW w:w="467" w:type="pct"/>
                  <w:noWrap w:val="0"/>
                  <w:tcMar>
                    <w:left w:w="0" w:type="dxa"/>
                    <w:right w:w="0" w:type="dxa"/>
                  </w:tcMar>
                  <w:vAlign w:val="center"/>
                </w:tcPr>
                <w:p w14:paraId="5E998253">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宋体"/>
                      <w:b/>
                      <w:color w:val="auto"/>
                      <w:sz w:val="18"/>
                      <w:szCs w:val="18"/>
                      <w:lang w:val="en-US" w:eastAsia="zh-CN"/>
                    </w:rPr>
                    <w:t>浓度</w:t>
                  </w:r>
                </w:p>
                <w:p w14:paraId="4334D565">
                  <w:pPr>
                    <w:pStyle w:val="10"/>
                    <w:spacing w:line="240" w:lineRule="auto"/>
                    <w:ind w:firstLine="0" w:firstLineChars="0"/>
                    <w:jc w:val="center"/>
                    <w:rPr>
                      <w:rFonts w:ascii="Times New Roman" w:hAnsi="宋体"/>
                      <w:b/>
                      <w:color w:val="auto"/>
                      <w:sz w:val="18"/>
                      <w:szCs w:val="18"/>
                      <w:lang w:val="en-US" w:eastAsia="zh-CN"/>
                    </w:rPr>
                  </w:pPr>
                  <w:r>
                    <w:rPr>
                      <w:rFonts w:ascii="Times New Roman" w:hAnsi="Times New Roman"/>
                      <w:b/>
                      <w:color w:val="auto"/>
                      <w:sz w:val="18"/>
                      <w:szCs w:val="18"/>
                      <w:lang w:val="en-US" w:eastAsia="zh-CN"/>
                    </w:rPr>
                    <w:t>(mg/ m</w:t>
                  </w:r>
                  <w:r>
                    <w:rPr>
                      <w:rFonts w:ascii="Times New Roman" w:hAnsi="Times New Roman"/>
                      <w:b/>
                      <w:color w:val="auto"/>
                      <w:sz w:val="18"/>
                      <w:szCs w:val="18"/>
                      <w:vertAlign w:val="superscript"/>
                      <w:lang w:val="en-US" w:eastAsia="zh-CN"/>
                    </w:rPr>
                    <w:t>3)</w:t>
                  </w:r>
                </w:p>
              </w:tc>
              <w:tc>
                <w:tcPr>
                  <w:tcW w:w="468" w:type="pct"/>
                  <w:noWrap w:val="0"/>
                  <w:tcMar>
                    <w:left w:w="0" w:type="dxa"/>
                    <w:right w:w="0" w:type="dxa"/>
                  </w:tcMar>
                  <w:vAlign w:val="center"/>
                </w:tcPr>
                <w:p w14:paraId="7E884291">
                  <w:pPr>
                    <w:pStyle w:val="10"/>
                    <w:spacing w:line="240" w:lineRule="auto"/>
                    <w:ind w:firstLine="0" w:firstLineChars="0"/>
                    <w:jc w:val="center"/>
                    <w:rPr>
                      <w:rFonts w:ascii="Times New Roman" w:hAnsi="宋体"/>
                      <w:b/>
                      <w:color w:val="auto"/>
                      <w:sz w:val="18"/>
                      <w:szCs w:val="18"/>
                      <w:lang w:val="en-US" w:eastAsia="zh-CN"/>
                    </w:rPr>
                  </w:pPr>
                  <w:r>
                    <w:rPr>
                      <w:rFonts w:ascii="Times New Roman" w:hAnsi="宋体"/>
                      <w:b/>
                      <w:color w:val="auto"/>
                      <w:sz w:val="18"/>
                      <w:szCs w:val="18"/>
                      <w:lang w:val="en-US" w:eastAsia="zh-CN"/>
                    </w:rPr>
                    <w:t>速率</w:t>
                  </w:r>
                  <w:r>
                    <w:rPr>
                      <w:rFonts w:ascii="Times New Roman" w:hAnsi="Times New Roman"/>
                      <w:b/>
                      <w:color w:val="auto"/>
                      <w:sz w:val="18"/>
                      <w:szCs w:val="18"/>
                      <w:lang w:val="en-US" w:eastAsia="zh-CN"/>
                    </w:rPr>
                    <w:t>(kg/h)</w:t>
                  </w:r>
                </w:p>
              </w:tc>
            </w:tr>
            <w:tr w14:paraId="7DD6FC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267" w:type="pct"/>
                  <w:vMerge w:val="restart"/>
                  <w:noWrap w:val="0"/>
                  <w:vAlign w:val="center"/>
                </w:tcPr>
                <w:p w14:paraId="5A8DE9B3">
                  <w:pPr>
                    <w:pStyle w:val="10"/>
                    <w:spacing w:line="240" w:lineRule="auto"/>
                    <w:ind w:firstLine="0" w:firstLineChars="0"/>
                    <w:jc w:val="center"/>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DA016</w:t>
                  </w:r>
                </w:p>
              </w:tc>
              <w:tc>
                <w:tcPr>
                  <w:tcW w:w="328" w:type="pct"/>
                  <w:vMerge w:val="restart"/>
                  <w:noWrap w:val="0"/>
                  <w:tcMar>
                    <w:left w:w="0" w:type="dxa"/>
                    <w:right w:w="0" w:type="dxa"/>
                  </w:tcMar>
                  <w:vAlign w:val="center"/>
                </w:tcPr>
                <w:p w14:paraId="63FDA3F1">
                  <w:pPr>
                    <w:jc w:val="center"/>
                    <w:rPr>
                      <w:rFonts w:hint="default"/>
                      <w:color w:val="auto"/>
                      <w:sz w:val="18"/>
                      <w:szCs w:val="18"/>
                      <w:lang w:val="en-US" w:eastAsia="zh-CN"/>
                    </w:rPr>
                  </w:pPr>
                  <w:r>
                    <w:rPr>
                      <w:rFonts w:hint="eastAsia"/>
                      <w:color w:val="auto"/>
                      <w:sz w:val="18"/>
                      <w:szCs w:val="18"/>
                      <w:lang w:val="en-US" w:eastAsia="zh-CN"/>
                    </w:rPr>
                    <w:t>涂装</w:t>
                  </w:r>
                </w:p>
              </w:tc>
              <w:tc>
                <w:tcPr>
                  <w:tcW w:w="359" w:type="pct"/>
                  <w:noWrap w:val="0"/>
                  <w:tcMar>
                    <w:left w:w="0" w:type="dxa"/>
                    <w:right w:w="0" w:type="dxa"/>
                  </w:tcMar>
                  <w:vAlign w:val="center"/>
                </w:tcPr>
                <w:p w14:paraId="48460C44">
                  <w:pPr>
                    <w:jc w:val="center"/>
                    <w:rPr>
                      <w:rFonts w:hint="default"/>
                      <w:color w:val="auto"/>
                      <w:sz w:val="18"/>
                      <w:szCs w:val="18"/>
                      <w:lang w:val="en-US" w:eastAsia="zh-CN"/>
                    </w:rPr>
                  </w:pPr>
                  <w:r>
                    <w:rPr>
                      <w:rFonts w:hint="eastAsia"/>
                      <w:color w:val="auto"/>
                      <w:sz w:val="18"/>
                      <w:szCs w:val="18"/>
                      <w:lang w:val="en-US" w:eastAsia="zh-CN"/>
                    </w:rPr>
                    <w:t>颗粒物</w:t>
                  </w:r>
                </w:p>
              </w:tc>
              <w:tc>
                <w:tcPr>
                  <w:tcW w:w="387" w:type="pct"/>
                  <w:vMerge w:val="restart"/>
                  <w:noWrap w:val="0"/>
                  <w:tcMar>
                    <w:left w:w="0" w:type="dxa"/>
                    <w:right w:w="0" w:type="dxa"/>
                  </w:tcMar>
                  <w:vAlign w:val="center"/>
                </w:tcPr>
                <w:p w14:paraId="19D5A96B">
                  <w:pPr>
                    <w:pStyle w:val="10"/>
                    <w:spacing w:line="240" w:lineRule="auto"/>
                    <w:ind w:firstLine="0" w:firstLineChars="0"/>
                    <w:jc w:val="center"/>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8000</w:t>
                  </w:r>
                </w:p>
              </w:tc>
              <w:tc>
                <w:tcPr>
                  <w:tcW w:w="349" w:type="pct"/>
                  <w:noWrap w:val="0"/>
                  <w:tcMar>
                    <w:left w:w="0" w:type="dxa"/>
                    <w:right w:w="0" w:type="dxa"/>
                  </w:tcMar>
                  <w:vAlign w:val="center"/>
                </w:tcPr>
                <w:p w14:paraId="0E3B9EC1">
                  <w:pPr>
                    <w:pStyle w:val="10"/>
                    <w:spacing w:line="240" w:lineRule="auto"/>
                    <w:ind w:firstLine="0" w:firstLineChars="0"/>
                    <w:jc w:val="center"/>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53.25</w:t>
                  </w:r>
                </w:p>
              </w:tc>
              <w:tc>
                <w:tcPr>
                  <w:tcW w:w="370" w:type="pct"/>
                  <w:noWrap w:val="0"/>
                  <w:tcMar>
                    <w:left w:w="0" w:type="dxa"/>
                    <w:right w:w="0" w:type="dxa"/>
                  </w:tcMar>
                  <w:vAlign w:val="center"/>
                </w:tcPr>
                <w:p w14:paraId="47105DB4">
                  <w:pPr>
                    <w:pStyle w:val="10"/>
                    <w:spacing w:line="240" w:lineRule="auto"/>
                    <w:ind w:firstLine="0" w:firstLineChars="0"/>
                    <w:jc w:val="center"/>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0.4260</w:t>
                  </w:r>
                </w:p>
              </w:tc>
              <w:tc>
                <w:tcPr>
                  <w:tcW w:w="339" w:type="pct"/>
                  <w:noWrap w:val="0"/>
                  <w:tcMar>
                    <w:left w:w="0" w:type="dxa"/>
                    <w:right w:w="0" w:type="dxa"/>
                  </w:tcMar>
                  <w:vAlign w:val="center"/>
                </w:tcPr>
                <w:p w14:paraId="13DCC9C7">
                  <w:pPr>
                    <w:spacing w:line="240" w:lineRule="auto"/>
                    <w:ind w:firstLine="0" w:firstLineChars="0"/>
                    <w:jc w:val="center"/>
                    <w:rPr>
                      <w:rFonts w:hint="default" w:eastAsia="宋体"/>
                      <w:color w:val="auto"/>
                      <w:sz w:val="18"/>
                      <w:szCs w:val="18"/>
                      <w:lang w:val="en-US" w:eastAsia="zh-CN"/>
                    </w:rPr>
                  </w:pPr>
                  <w:r>
                    <w:rPr>
                      <w:rFonts w:hint="eastAsia"/>
                      <w:color w:val="auto"/>
                      <w:sz w:val="18"/>
                      <w:szCs w:val="18"/>
                      <w:lang w:val="en-US" w:eastAsia="zh-CN"/>
                    </w:rPr>
                    <w:t>0.8998</w:t>
                  </w:r>
                </w:p>
              </w:tc>
              <w:tc>
                <w:tcPr>
                  <w:tcW w:w="205" w:type="pct"/>
                  <w:noWrap w:val="0"/>
                  <w:tcMar>
                    <w:left w:w="0" w:type="dxa"/>
                    <w:right w:w="0" w:type="dxa"/>
                  </w:tcMar>
                  <w:vAlign w:val="center"/>
                </w:tcPr>
                <w:p w14:paraId="7F2B8001">
                  <w:pPr>
                    <w:pStyle w:val="1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w:t>
                  </w:r>
                </w:p>
              </w:tc>
              <w:tc>
                <w:tcPr>
                  <w:tcW w:w="267" w:type="pct"/>
                  <w:vMerge w:val="restart"/>
                  <w:noWrap w:val="0"/>
                  <w:tcMar>
                    <w:left w:w="0" w:type="dxa"/>
                    <w:right w:w="0" w:type="dxa"/>
                  </w:tcMar>
                  <w:vAlign w:val="center"/>
                </w:tcPr>
                <w:p w14:paraId="784B6E79">
                  <w:pPr>
                    <w:pStyle w:val="1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干式漆雾过滤器+二级活性炭吸附装置</w:t>
                  </w:r>
                </w:p>
              </w:tc>
              <w:tc>
                <w:tcPr>
                  <w:tcW w:w="250" w:type="pct"/>
                  <w:noWrap w:val="0"/>
                  <w:tcMar>
                    <w:left w:w="0" w:type="dxa"/>
                    <w:right w:w="0" w:type="dxa"/>
                  </w:tcMar>
                  <w:vAlign w:val="center"/>
                </w:tcPr>
                <w:p w14:paraId="3DC2D882">
                  <w:pPr>
                    <w:pStyle w:val="1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w:t>
                  </w:r>
                  <w:r>
                    <w:rPr>
                      <w:rFonts w:hint="eastAsia" w:ascii="Times New Roman" w:hAnsi="Times New Roman" w:cs="Times New Roman"/>
                      <w:color w:val="auto"/>
                      <w:sz w:val="18"/>
                      <w:szCs w:val="18"/>
                      <w:lang w:val="en-US" w:eastAsia="zh-CN"/>
                    </w:rPr>
                    <w:t>9</w:t>
                  </w:r>
                </w:p>
              </w:tc>
              <w:tc>
                <w:tcPr>
                  <w:tcW w:w="293" w:type="pct"/>
                  <w:noWrap w:val="0"/>
                  <w:tcMar>
                    <w:left w:w="0" w:type="dxa"/>
                    <w:right w:w="0" w:type="dxa"/>
                  </w:tcMar>
                  <w:vAlign w:val="center"/>
                </w:tcPr>
                <w:p w14:paraId="465B0281">
                  <w:pPr>
                    <w:pStyle w:val="1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0.54</w:t>
                  </w:r>
                </w:p>
              </w:tc>
              <w:tc>
                <w:tcPr>
                  <w:tcW w:w="289" w:type="pct"/>
                  <w:noWrap w:val="0"/>
                  <w:tcMar>
                    <w:left w:w="0" w:type="dxa"/>
                    <w:right w:w="0" w:type="dxa"/>
                  </w:tcMar>
                  <w:vAlign w:val="center"/>
                </w:tcPr>
                <w:p w14:paraId="6E08780A">
                  <w:pPr>
                    <w:pStyle w:val="1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0.0043</w:t>
                  </w:r>
                </w:p>
              </w:tc>
              <w:tc>
                <w:tcPr>
                  <w:tcW w:w="353" w:type="pct"/>
                  <w:noWrap w:val="0"/>
                  <w:tcMar>
                    <w:left w:w="0" w:type="dxa"/>
                    <w:right w:w="0" w:type="dxa"/>
                  </w:tcMar>
                  <w:vAlign w:val="center"/>
                </w:tcPr>
                <w:p w14:paraId="54BB48F0">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0.0090</w:t>
                  </w:r>
                </w:p>
              </w:tc>
              <w:tc>
                <w:tcPr>
                  <w:tcW w:w="467" w:type="pct"/>
                  <w:noWrap w:val="0"/>
                  <w:tcMar>
                    <w:left w:w="0" w:type="dxa"/>
                    <w:right w:w="0" w:type="dxa"/>
                  </w:tcMar>
                  <w:vAlign w:val="center"/>
                </w:tcPr>
                <w:p w14:paraId="3A8D9654">
                  <w:pPr>
                    <w:spacing w:line="240" w:lineRule="auto"/>
                    <w:ind w:firstLine="0" w:firstLineChars="0"/>
                    <w:jc w:val="center"/>
                    <w:rPr>
                      <w:rFonts w:hint="default"/>
                      <w:color w:val="auto"/>
                      <w:sz w:val="18"/>
                      <w:szCs w:val="18"/>
                      <w:lang w:val="en-US" w:eastAsia="zh-CN"/>
                    </w:rPr>
                  </w:pPr>
                  <w:r>
                    <w:rPr>
                      <w:rFonts w:hint="eastAsia"/>
                      <w:color w:val="auto"/>
                      <w:sz w:val="18"/>
                      <w:szCs w:val="18"/>
                      <w:lang w:val="en-US" w:eastAsia="zh-CN"/>
                    </w:rPr>
                    <w:t>10</w:t>
                  </w:r>
                </w:p>
              </w:tc>
              <w:tc>
                <w:tcPr>
                  <w:tcW w:w="468" w:type="pct"/>
                  <w:noWrap w:val="0"/>
                  <w:tcMar>
                    <w:left w:w="0" w:type="dxa"/>
                    <w:right w:w="0" w:type="dxa"/>
                  </w:tcMar>
                  <w:vAlign w:val="center"/>
                </w:tcPr>
                <w:p w14:paraId="4214F22E">
                  <w:pPr>
                    <w:spacing w:line="240" w:lineRule="auto"/>
                    <w:ind w:firstLine="0" w:firstLineChars="0"/>
                    <w:jc w:val="center"/>
                    <w:rPr>
                      <w:rFonts w:hint="default"/>
                      <w:color w:val="auto"/>
                      <w:sz w:val="18"/>
                      <w:szCs w:val="18"/>
                      <w:lang w:val="en-US" w:eastAsia="zh-CN"/>
                    </w:rPr>
                  </w:pPr>
                  <w:r>
                    <w:rPr>
                      <w:rFonts w:hint="eastAsia"/>
                      <w:color w:val="auto"/>
                      <w:sz w:val="18"/>
                      <w:szCs w:val="18"/>
                      <w:lang w:val="en-US" w:eastAsia="zh-CN"/>
                    </w:rPr>
                    <w:t>0.6</w:t>
                  </w:r>
                </w:p>
              </w:tc>
            </w:tr>
            <w:tr w14:paraId="42B268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3" w:hRule="atLeast"/>
                <w:jc w:val="center"/>
              </w:trPr>
              <w:tc>
                <w:tcPr>
                  <w:tcW w:w="267" w:type="pct"/>
                  <w:vMerge w:val="continue"/>
                  <w:noWrap w:val="0"/>
                  <w:vAlign w:val="center"/>
                </w:tcPr>
                <w:p w14:paraId="65FCE8B7">
                  <w:pPr>
                    <w:pStyle w:val="10"/>
                    <w:spacing w:line="240" w:lineRule="auto"/>
                    <w:ind w:firstLine="0" w:firstLineChars="0"/>
                    <w:jc w:val="center"/>
                    <w:rPr>
                      <w:rFonts w:ascii="Times New Roman" w:hAnsi="Times New Roman"/>
                      <w:color w:val="auto"/>
                      <w:sz w:val="18"/>
                      <w:szCs w:val="18"/>
                      <w:lang w:val="en-US" w:eastAsia="zh-CN"/>
                    </w:rPr>
                  </w:pPr>
                </w:p>
              </w:tc>
              <w:tc>
                <w:tcPr>
                  <w:tcW w:w="328" w:type="pct"/>
                  <w:vMerge w:val="continue"/>
                  <w:noWrap w:val="0"/>
                  <w:tcMar>
                    <w:left w:w="0" w:type="dxa"/>
                    <w:right w:w="0" w:type="dxa"/>
                  </w:tcMar>
                  <w:vAlign w:val="center"/>
                </w:tcPr>
                <w:p w14:paraId="47F0AFB9">
                  <w:pPr>
                    <w:jc w:val="center"/>
                    <w:rPr>
                      <w:rFonts w:hint="default"/>
                      <w:color w:val="auto"/>
                      <w:sz w:val="18"/>
                      <w:szCs w:val="18"/>
                      <w:lang w:val="en-US" w:eastAsia="zh-CN"/>
                    </w:rPr>
                  </w:pPr>
                </w:p>
              </w:tc>
              <w:tc>
                <w:tcPr>
                  <w:tcW w:w="359" w:type="pct"/>
                  <w:noWrap w:val="0"/>
                  <w:tcMar>
                    <w:left w:w="0" w:type="dxa"/>
                    <w:right w:w="0" w:type="dxa"/>
                  </w:tcMar>
                  <w:vAlign w:val="center"/>
                </w:tcPr>
                <w:p w14:paraId="7EFD3210">
                  <w:pPr>
                    <w:jc w:val="center"/>
                    <w:rPr>
                      <w:rFonts w:hint="default"/>
                      <w:color w:val="auto"/>
                      <w:sz w:val="18"/>
                      <w:szCs w:val="18"/>
                      <w:lang w:val="en-US" w:eastAsia="zh-CN"/>
                    </w:rPr>
                  </w:pPr>
                  <w:r>
                    <w:rPr>
                      <w:rFonts w:hint="eastAsia"/>
                      <w:color w:val="auto"/>
                      <w:sz w:val="18"/>
                      <w:szCs w:val="18"/>
                      <w:lang w:val="en-US" w:eastAsia="zh-CN"/>
                    </w:rPr>
                    <w:t>非甲烷总烃</w:t>
                  </w:r>
                </w:p>
              </w:tc>
              <w:tc>
                <w:tcPr>
                  <w:tcW w:w="387" w:type="pct"/>
                  <w:vMerge w:val="continue"/>
                  <w:noWrap w:val="0"/>
                  <w:tcMar>
                    <w:left w:w="0" w:type="dxa"/>
                    <w:right w:w="0" w:type="dxa"/>
                  </w:tcMar>
                  <w:vAlign w:val="center"/>
                </w:tcPr>
                <w:p w14:paraId="5DDBBE90">
                  <w:pPr>
                    <w:pStyle w:val="10"/>
                    <w:spacing w:line="240" w:lineRule="auto"/>
                    <w:ind w:firstLine="0" w:firstLineChars="0"/>
                    <w:jc w:val="center"/>
                    <w:rPr>
                      <w:rFonts w:hint="default" w:ascii="Times New Roman" w:hAnsi="Times New Roman"/>
                      <w:color w:val="auto"/>
                      <w:sz w:val="18"/>
                      <w:szCs w:val="18"/>
                      <w:lang w:val="en-US" w:eastAsia="zh-CN"/>
                    </w:rPr>
                  </w:pPr>
                </w:p>
              </w:tc>
              <w:tc>
                <w:tcPr>
                  <w:tcW w:w="349" w:type="pct"/>
                  <w:noWrap w:val="0"/>
                  <w:tcMar>
                    <w:left w:w="0" w:type="dxa"/>
                    <w:right w:w="0" w:type="dxa"/>
                  </w:tcMar>
                  <w:vAlign w:val="center"/>
                </w:tcPr>
                <w:p w14:paraId="4707CD3A">
                  <w:pPr>
                    <w:pStyle w:val="10"/>
                    <w:spacing w:line="240" w:lineRule="auto"/>
                    <w:ind w:firstLine="0" w:firstLineChars="0"/>
                    <w:jc w:val="center"/>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156.71</w:t>
                  </w:r>
                </w:p>
              </w:tc>
              <w:tc>
                <w:tcPr>
                  <w:tcW w:w="370" w:type="pct"/>
                  <w:noWrap w:val="0"/>
                  <w:tcMar>
                    <w:left w:w="0" w:type="dxa"/>
                    <w:right w:w="0" w:type="dxa"/>
                  </w:tcMar>
                  <w:vAlign w:val="center"/>
                </w:tcPr>
                <w:p w14:paraId="19911EDF">
                  <w:pPr>
                    <w:pStyle w:val="10"/>
                    <w:spacing w:line="240" w:lineRule="auto"/>
                    <w:ind w:firstLine="0" w:firstLineChars="0"/>
                    <w:jc w:val="center"/>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1.2537</w:t>
                  </w:r>
                </w:p>
              </w:tc>
              <w:tc>
                <w:tcPr>
                  <w:tcW w:w="339" w:type="pct"/>
                  <w:noWrap w:val="0"/>
                  <w:tcMar>
                    <w:left w:w="0" w:type="dxa"/>
                    <w:right w:w="0" w:type="dxa"/>
                  </w:tcMar>
                  <w:vAlign w:val="center"/>
                </w:tcPr>
                <w:p w14:paraId="50AEF987">
                  <w:pPr>
                    <w:spacing w:line="240" w:lineRule="auto"/>
                    <w:ind w:firstLine="0" w:firstLineChars="0"/>
                    <w:jc w:val="center"/>
                    <w:rPr>
                      <w:rFonts w:hint="default" w:eastAsia="宋体"/>
                      <w:color w:val="auto"/>
                      <w:sz w:val="18"/>
                      <w:szCs w:val="18"/>
                      <w:lang w:val="en-US" w:eastAsia="zh-CN"/>
                    </w:rPr>
                  </w:pPr>
                  <w:r>
                    <w:rPr>
                      <w:rFonts w:hint="eastAsia"/>
                      <w:color w:val="auto"/>
                      <w:sz w:val="18"/>
                      <w:szCs w:val="18"/>
                      <w:lang w:val="en-US" w:eastAsia="zh-CN"/>
                    </w:rPr>
                    <w:t>2.6478</w:t>
                  </w:r>
                </w:p>
              </w:tc>
              <w:tc>
                <w:tcPr>
                  <w:tcW w:w="205" w:type="pct"/>
                  <w:vMerge w:val="restart"/>
                  <w:noWrap w:val="0"/>
                  <w:tcMar>
                    <w:left w:w="0" w:type="dxa"/>
                    <w:right w:w="0" w:type="dxa"/>
                  </w:tcMar>
                  <w:vAlign w:val="center"/>
                </w:tcPr>
                <w:p w14:paraId="037E5CB7">
                  <w:pPr>
                    <w:pStyle w:val="1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w:t>
                  </w:r>
                </w:p>
              </w:tc>
              <w:tc>
                <w:tcPr>
                  <w:tcW w:w="267" w:type="pct"/>
                  <w:vMerge w:val="continue"/>
                  <w:noWrap w:val="0"/>
                  <w:tcMar>
                    <w:left w:w="0" w:type="dxa"/>
                    <w:right w:w="0" w:type="dxa"/>
                  </w:tcMar>
                  <w:vAlign w:val="center"/>
                </w:tcPr>
                <w:p w14:paraId="0292D1F7">
                  <w:pPr>
                    <w:pStyle w:val="10"/>
                    <w:spacing w:line="240" w:lineRule="auto"/>
                    <w:ind w:firstLine="0" w:firstLineChars="0"/>
                    <w:jc w:val="center"/>
                    <w:rPr>
                      <w:rFonts w:hint="default" w:ascii="Times New Roman" w:hAnsi="Times New Roman" w:eastAsia="宋体" w:cs="Times New Roman"/>
                      <w:color w:val="auto"/>
                      <w:sz w:val="18"/>
                      <w:szCs w:val="18"/>
                      <w:lang w:val="en-US" w:eastAsia="zh-CN"/>
                    </w:rPr>
                  </w:pPr>
                </w:p>
              </w:tc>
              <w:tc>
                <w:tcPr>
                  <w:tcW w:w="250" w:type="pct"/>
                  <w:vMerge w:val="restart"/>
                  <w:noWrap w:val="0"/>
                  <w:tcMar>
                    <w:left w:w="0" w:type="dxa"/>
                    <w:right w:w="0" w:type="dxa"/>
                  </w:tcMar>
                  <w:vAlign w:val="center"/>
                </w:tcPr>
                <w:p w14:paraId="211B2BEE">
                  <w:pPr>
                    <w:pStyle w:val="1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90</w:t>
                  </w:r>
                </w:p>
              </w:tc>
              <w:tc>
                <w:tcPr>
                  <w:tcW w:w="293" w:type="pct"/>
                  <w:vMerge w:val="restart"/>
                  <w:noWrap w:val="0"/>
                  <w:tcMar>
                    <w:left w:w="0" w:type="dxa"/>
                    <w:right w:w="0" w:type="dxa"/>
                  </w:tcMar>
                  <w:vAlign w:val="center"/>
                </w:tcPr>
                <w:p w14:paraId="6CEAA5E1">
                  <w:pPr>
                    <w:pStyle w:val="1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17.26</w:t>
                  </w:r>
                </w:p>
              </w:tc>
              <w:tc>
                <w:tcPr>
                  <w:tcW w:w="289" w:type="pct"/>
                  <w:vMerge w:val="restart"/>
                  <w:noWrap w:val="0"/>
                  <w:tcMar>
                    <w:left w:w="0" w:type="dxa"/>
                    <w:right w:w="0" w:type="dxa"/>
                  </w:tcMar>
                  <w:vAlign w:val="center"/>
                </w:tcPr>
                <w:p w14:paraId="52D639D0">
                  <w:pPr>
                    <w:pStyle w:val="1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0.1381</w:t>
                  </w:r>
                </w:p>
              </w:tc>
              <w:tc>
                <w:tcPr>
                  <w:tcW w:w="353" w:type="pct"/>
                  <w:vMerge w:val="restart"/>
                  <w:noWrap w:val="0"/>
                  <w:tcMar>
                    <w:left w:w="0" w:type="dxa"/>
                    <w:right w:w="0" w:type="dxa"/>
                  </w:tcMar>
                  <w:vAlign w:val="center"/>
                </w:tcPr>
                <w:p w14:paraId="4BB204E8">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0.2917</w:t>
                  </w:r>
                </w:p>
              </w:tc>
              <w:tc>
                <w:tcPr>
                  <w:tcW w:w="467" w:type="pct"/>
                  <w:vMerge w:val="restart"/>
                  <w:noWrap w:val="0"/>
                  <w:tcMar>
                    <w:left w:w="0" w:type="dxa"/>
                    <w:right w:w="0" w:type="dxa"/>
                  </w:tcMar>
                  <w:vAlign w:val="center"/>
                </w:tcPr>
                <w:p w14:paraId="28D60DEF">
                  <w:pPr>
                    <w:spacing w:line="240" w:lineRule="auto"/>
                    <w:ind w:firstLine="0" w:firstLineChars="0"/>
                    <w:jc w:val="center"/>
                    <w:rPr>
                      <w:rFonts w:hint="default"/>
                      <w:color w:val="auto"/>
                      <w:sz w:val="18"/>
                      <w:szCs w:val="18"/>
                      <w:lang w:val="en-US" w:eastAsia="zh-CN"/>
                    </w:rPr>
                  </w:pPr>
                  <w:r>
                    <w:rPr>
                      <w:rFonts w:hint="eastAsia"/>
                      <w:color w:val="auto"/>
                      <w:sz w:val="18"/>
                      <w:szCs w:val="18"/>
                      <w:lang w:val="en-US" w:eastAsia="zh-CN"/>
                    </w:rPr>
                    <w:t>40</w:t>
                  </w:r>
                </w:p>
              </w:tc>
              <w:tc>
                <w:tcPr>
                  <w:tcW w:w="468" w:type="pct"/>
                  <w:vMerge w:val="restart"/>
                  <w:noWrap w:val="0"/>
                  <w:tcMar>
                    <w:left w:w="0" w:type="dxa"/>
                    <w:right w:w="0" w:type="dxa"/>
                  </w:tcMar>
                  <w:vAlign w:val="center"/>
                </w:tcPr>
                <w:p w14:paraId="4398729A">
                  <w:pPr>
                    <w:spacing w:line="240" w:lineRule="auto"/>
                    <w:ind w:firstLine="0" w:firstLineChars="0"/>
                    <w:jc w:val="center"/>
                    <w:rPr>
                      <w:rFonts w:hint="default"/>
                      <w:color w:val="auto"/>
                      <w:sz w:val="18"/>
                      <w:szCs w:val="18"/>
                      <w:lang w:val="en-US" w:eastAsia="zh-CN"/>
                    </w:rPr>
                  </w:pPr>
                  <w:r>
                    <w:rPr>
                      <w:rFonts w:hint="eastAsia"/>
                      <w:color w:val="auto"/>
                      <w:sz w:val="18"/>
                      <w:szCs w:val="18"/>
                      <w:lang w:val="en-US" w:eastAsia="zh-CN"/>
                    </w:rPr>
                    <w:t>1.8</w:t>
                  </w:r>
                </w:p>
              </w:tc>
            </w:tr>
            <w:tr w14:paraId="63837F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84" w:hRule="atLeast"/>
                <w:jc w:val="center"/>
              </w:trPr>
              <w:tc>
                <w:tcPr>
                  <w:tcW w:w="267" w:type="pct"/>
                  <w:vMerge w:val="continue"/>
                  <w:noWrap w:val="0"/>
                  <w:vAlign w:val="center"/>
                </w:tcPr>
                <w:p w14:paraId="7A813F71">
                  <w:pPr>
                    <w:pStyle w:val="10"/>
                    <w:spacing w:line="240" w:lineRule="auto"/>
                    <w:ind w:firstLine="0" w:firstLineChars="0"/>
                    <w:jc w:val="center"/>
                    <w:rPr>
                      <w:rFonts w:ascii="Times New Roman" w:hAnsi="Times New Roman"/>
                      <w:color w:val="auto"/>
                      <w:sz w:val="18"/>
                      <w:szCs w:val="18"/>
                      <w:lang w:val="en-US" w:eastAsia="zh-CN"/>
                    </w:rPr>
                  </w:pPr>
                </w:p>
              </w:tc>
              <w:tc>
                <w:tcPr>
                  <w:tcW w:w="328" w:type="pct"/>
                  <w:noWrap w:val="0"/>
                  <w:tcMar>
                    <w:left w:w="0" w:type="dxa"/>
                    <w:right w:w="0" w:type="dxa"/>
                  </w:tcMar>
                  <w:vAlign w:val="center"/>
                </w:tcPr>
                <w:p w14:paraId="3D248404">
                  <w:pPr>
                    <w:jc w:val="center"/>
                    <w:rPr>
                      <w:rFonts w:hint="default"/>
                      <w:color w:val="auto"/>
                      <w:sz w:val="18"/>
                      <w:szCs w:val="18"/>
                      <w:lang w:val="en-US" w:eastAsia="zh-CN"/>
                    </w:rPr>
                  </w:pPr>
                  <w:r>
                    <w:rPr>
                      <w:rFonts w:hint="eastAsia"/>
                      <w:color w:val="auto"/>
                      <w:sz w:val="18"/>
                      <w:szCs w:val="18"/>
                      <w:lang w:val="en-US" w:eastAsia="zh-CN"/>
                    </w:rPr>
                    <w:t>清洗</w:t>
                  </w:r>
                </w:p>
              </w:tc>
              <w:tc>
                <w:tcPr>
                  <w:tcW w:w="359" w:type="pct"/>
                  <w:noWrap w:val="0"/>
                  <w:tcMar>
                    <w:left w:w="0" w:type="dxa"/>
                    <w:right w:w="0" w:type="dxa"/>
                  </w:tcMar>
                  <w:vAlign w:val="center"/>
                </w:tcPr>
                <w:p w14:paraId="53A8242D">
                  <w:pPr>
                    <w:jc w:val="center"/>
                    <w:rPr>
                      <w:rFonts w:hint="default"/>
                      <w:color w:val="auto"/>
                      <w:sz w:val="18"/>
                      <w:szCs w:val="18"/>
                      <w:lang w:val="en-US" w:eastAsia="zh-CN"/>
                    </w:rPr>
                  </w:pPr>
                  <w:r>
                    <w:rPr>
                      <w:rFonts w:hint="eastAsia"/>
                      <w:color w:val="auto"/>
                      <w:sz w:val="18"/>
                      <w:szCs w:val="18"/>
                      <w:lang w:val="en-US" w:eastAsia="zh-CN"/>
                    </w:rPr>
                    <w:t>非甲烷总烃</w:t>
                  </w:r>
                </w:p>
              </w:tc>
              <w:tc>
                <w:tcPr>
                  <w:tcW w:w="387" w:type="pct"/>
                  <w:vMerge w:val="continue"/>
                  <w:noWrap w:val="0"/>
                  <w:tcMar>
                    <w:left w:w="0" w:type="dxa"/>
                    <w:right w:w="0" w:type="dxa"/>
                  </w:tcMar>
                  <w:vAlign w:val="center"/>
                </w:tcPr>
                <w:p w14:paraId="77786ADD">
                  <w:pPr>
                    <w:pStyle w:val="10"/>
                    <w:spacing w:line="240" w:lineRule="auto"/>
                    <w:ind w:firstLine="0" w:firstLineChars="0"/>
                    <w:jc w:val="center"/>
                    <w:rPr>
                      <w:rFonts w:hint="default" w:ascii="Times New Roman" w:hAnsi="Times New Roman"/>
                      <w:color w:val="auto"/>
                      <w:sz w:val="18"/>
                      <w:szCs w:val="18"/>
                      <w:lang w:val="en-US" w:eastAsia="zh-CN"/>
                    </w:rPr>
                  </w:pPr>
                </w:p>
              </w:tc>
              <w:tc>
                <w:tcPr>
                  <w:tcW w:w="349" w:type="pct"/>
                  <w:noWrap w:val="0"/>
                  <w:tcMar>
                    <w:left w:w="0" w:type="dxa"/>
                    <w:right w:w="0" w:type="dxa"/>
                  </w:tcMar>
                  <w:vAlign w:val="center"/>
                </w:tcPr>
                <w:p w14:paraId="74910A04">
                  <w:pPr>
                    <w:pStyle w:val="10"/>
                    <w:spacing w:line="240" w:lineRule="auto"/>
                    <w:ind w:firstLine="0" w:firstLineChars="0"/>
                    <w:jc w:val="center"/>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15.95</w:t>
                  </w:r>
                </w:p>
              </w:tc>
              <w:tc>
                <w:tcPr>
                  <w:tcW w:w="370" w:type="pct"/>
                  <w:noWrap w:val="0"/>
                  <w:tcMar>
                    <w:left w:w="0" w:type="dxa"/>
                    <w:right w:w="0" w:type="dxa"/>
                  </w:tcMar>
                  <w:vAlign w:val="center"/>
                </w:tcPr>
                <w:p w14:paraId="306686C2">
                  <w:pPr>
                    <w:pStyle w:val="10"/>
                    <w:spacing w:line="240" w:lineRule="auto"/>
                    <w:ind w:firstLine="0" w:firstLineChars="0"/>
                    <w:jc w:val="center"/>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0.1276</w:t>
                  </w:r>
                </w:p>
              </w:tc>
              <w:tc>
                <w:tcPr>
                  <w:tcW w:w="339" w:type="pct"/>
                  <w:noWrap w:val="0"/>
                  <w:tcMar>
                    <w:left w:w="0" w:type="dxa"/>
                    <w:right w:w="0" w:type="dxa"/>
                  </w:tcMar>
                  <w:vAlign w:val="center"/>
                </w:tcPr>
                <w:p w14:paraId="612E4B0E">
                  <w:pPr>
                    <w:spacing w:line="240" w:lineRule="auto"/>
                    <w:ind w:firstLine="0" w:firstLineChars="0"/>
                    <w:jc w:val="center"/>
                    <w:rPr>
                      <w:rFonts w:hint="default"/>
                      <w:color w:val="auto"/>
                      <w:sz w:val="18"/>
                      <w:szCs w:val="18"/>
                      <w:lang w:val="en-US" w:eastAsia="zh-CN"/>
                    </w:rPr>
                  </w:pPr>
                  <w:r>
                    <w:rPr>
                      <w:rFonts w:hint="eastAsia"/>
                      <w:color w:val="auto"/>
                      <w:sz w:val="18"/>
                      <w:szCs w:val="18"/>
                      <w:lang w:val="en-US" w:eastAsia="zh-CN"/>
                    </w:rPr>
                    <w:t>0.2695</w:t>
                  </w:r>
                </w:p>
              </w:tc>
              <w:tc>
                <w:tcPr>
                  <w:tcW w:w="205" w:type="pct"/>
                  <w:vMerge w:val="continue"/>
                  <w:noWrap w:val="0"/>
                  <w:tcMar>
                    <w:left w:w="0" w:type="dxa"/>
                    <w:right w:w="0" w:type="dxa"/>
                  </w:tcMar>
                  <w:vAlign w:val="center"/>
                </w:tcPr>
                <w:p w14:paraId="14AFAF62">
                  <w:pPr>
                    <w:pStyle w:val="10"/>
                    <w:spacing w:line="240" w:lineRule="auto"/>
                    <w:ind w:firstLine="0" w:firstLineChars="0"/>
                    <w:jc w:val="center"/>
                    <w:rPr>
                      <w:rFonts w:hint="default" w:ascii="Times New Roman" w:hAnsi="Times New Roman" w:eastAsia="宋体" w:cs="Times New Roman"/>
                      <w:color w:val="auto"/>
                      <w:sz w:val="18"/>
                      <w:szCs w:val="18"/>
                      <w:lang w:val="en-US" w:eastAsia="zh-CN"/>
                    </w:rPr>
                  </w:pPr>
                </w:p>
              </w:tc>
              <w:tc>
                <w:tcPr>
                  <w:tcW w:w="267" w:type="pct"/>
                  <w:vMerge w:val="continue"/>
                  <w:noWrap w:val="0"/>
                  <w:tcMar>
                    <w:left w:w="0" w:type="dxa"/>
                    <w:right w:w="0" w:type="dxa"/>
                  </w:tcMar>
                  <w:vAlign w:val="center"/>
                </w:tcPr>
                <w:p w14:paraId="571718BC">
                  <w:pPr>
                    <w:pStyle w:val="10"/>
                    <w:spacing w:line="240" w:lineRule="auto"/>
                    <w:ind w:firstLine="0" w:firstLineChars="0"/>
                    <w:jc w:val="center"/>
                    <w:rPr>
                      <w:rFonts w:hint="default" w:ascii="Times New Roman" w:hAnsi="Times New Roman" w:eastAsia="宋体" w:cs="Times New Roman"/>
                      <w:color w:val="auto"/>
                      <w:sz w:val="18"/>
                      <w:szCs w:val="18"/>
                      <w:lang w:val="en-US" w:eastAsia="zh-CN"/>
                    </w:rPr>
                  </w:pPr>
                </w:p>
              </w:tc>
              <w:tc>
                <w:tcPr>
                  <w:tcW w:w="250" w:type="pct"/>
                  <w:vMerge w:val="continue"/>
                  <w:noWrap w:val="0"/>
                  <w:tcMar>
                    <w:left w:w="0" w:type="dxa"/>
                    <w:right w:w="0" w:type="dxa"/>
                  </w:tcMar>
                  <w:vAlign w:val="center"/>
                </w:tcPr>
                <w:p w14:paraId="0710A4D0">
                  <w:pPr>
                    <w:pStyle w:val="10"/>
                    <w:spacing w:line="240" w:lineRule="auto"/>
                    <w:ind w:firstLine="0" w:firstLineChars="0"/>
                    <w:jc w:val="center"/>
                    <w:rPr>
                      <w:rFonts w:hint="eastAsia" w:ascii="Times New Roman" w:hAnsi="Times New Roman" w:eastAsia="宋体" w:cs="Times New Roman"/>
                      <w:color w:val="auto"/>
                      <w:sz w:val="18"/>
                      <w:szCs w:val="18"/>
                      <w:lang w:val="en-US" w:eastAsia="zh-CN"/>
                    </w:rPr>
                  </w:pPr>
                </w:p>
              </w:tc>
              <w:tc>
                <w:tcPr>
                  <w:tcW w:w="293" w:type="pct"/>
                  <w:vMerge w:val="continue"/>
                  <w:noWrap w:val="0"/>
                  <w:tcMar>
                    <w:left w:w="0" w:type="dxa"/>
                    <w:right w:w="0" w:type="dxa"/>
                  </w:tcMar>
                  <w:vAlign w:val="center"/>
                </w:tcPr>
                <w:p w14:paraId="3818C38F">
                  <w:pPr>
                    <w:pStyle w:val="10"/>
                    <w:spacing w:line="240" w:lineRule="auto"/>
                    <w:ind w:firstLine="0" w:firstLineChars="0"/>
                    <w:jc w:val="center"/>
                    <w:rPr>
                      <w:rFonts w:hint="eastAsia" w:ascii="Times New Roman" w:hAnsi="Times New Roman" w:cs="Times New Roman"/>
                      <w:color w:val="auto"/>
                      <w:kern w:val="2"/>
                      <w:sz w:val="18"/>
                      <w:szCs w:val="18"/>
                      <w:lang w:val="en-US" w:eastAsia="zh-CN" w:bidi="ar-SA"/>
                    </w:rPr>
                  </w:pPr>
                </w:p>
              </w:tc>
              <w:tc>
                <w:tcPr>
                  <w:tcW w:w="289" w:type="pct"/>
                  <w:vMerge w:val="continue"/>
                  <w:noWrap w:val="0"/>
                  <w:tcMar>
                    <w:left w:w="0" w:type="dxa"/>
                    <w:right w:w="0" w:type="dxa"/>
                  </w:tcMar>
                  <w:vAlign w:val="center"/>
                </w:tcPr>
                <w:p w14:paraId="6F555EC3">
                  <w:pPr>
                    <w:pStyle w:val="10"/>
                    <w:spacing w:line="240" w:lineRule="auto"/>
                    <w:ind w:firstLine="0" w:firstLineChars="0"/>
                    <w:jc w:val="center"/>
                    <w:rPr>
                      <w:rFonts w:hint="eastAsia" w:ascii="Times New Roman" w:hAnsi="Times New Roman" w:cs="Times New Roman"/>
                      <w:color w:val="auto"/>
                      <w:kern w:val="2"/>
                      <w:sz w:val="18"/>
                      <w:szCs w:val="18"/>
                      <w:lang w:val="en-US" w:eastAsia="zh-CN" w:bidi="ar-SA"/>
                    </w:rPr>
                  </w:pPr>
                </w:p>
              </w:tc>
              <w:tc>
                <w:tcPr>
                  <w:tcW w:w="353" w:type="pct"/>
                  <w:vMerge w:val="continue"/>
                  <w:noWrap w:val="0"/>
                  <w:tcMar>
                    <w:left w:w="0" w:type="dxa"/>
                    <w:right w:w="0" w:type="dxa"/>
                  </w:tcMar>
                  <w:vAlign w:val="center"/>
                </w:tcPr>
                <w:p w14:paraId="4BDBF3E7">
                  <w:pPr>
                    <w:spacing w:line="240" w:lineRule="auto"/>
                    <w:ind w:firstLine="0" w:firstLineChars="0"/>
                    <w:jc w:val="center"/>
                    <w:rPr>
                      <w:rFonts w:hint="eastAsia"/>
                      <w:color w:val="auto"/>
                      <w:sz w:val="18"/>
                      <w:szCs w:val="18"/>
                      <w:lang w:val="en-US" w:eastAsia="zh-CN"/>
                    </w:rPr>
                  </w:pPr>
                </w:p>
              </w:tc>
              <w:tc>
                <w:tcPr>
                  <w:tcW w:w="467" w:type="pct"/>
                  <w:vMerge w:val="continue"/>
                  <w:noWrap w:val="0"/>
                  <w:tcMar>
                    <w:left w:w="0" w:type="dxa"/>
                    <w:right w:w="0" w:type="dxa"/>
                  </w:tcMar>
                  <w:vAlign w:val="center"/>
                </w:tcPr>
                <w:p w14:paraId="706CEA24">
                  <w:pPr>
                    <w:spacing w:line="240" w:lineRule="auto"/>
                    <w:ind w:firstLine="0" w:firstLineChars="0"/>
                    <w:jc w:val="center"/>
                    <w:rPr>
                      <w:rFonts w:hint="eastAsia"/>
                      <w:color w:val="auto"/>
                      <w:sz w:val="18"/>
                      <w:szCs w:val="18"/>
                      <w:lang w:val="en-US" w:eastAsia="zh-CN"/>
                    </w:rPr>
                  </w:pPr>
                </w:p>
              </w:tc>
              <w:tc>
                <w:tcPr>
                  <w:tcW w:w="468" w:type="pct"/>
                  <w:vMerge w:val="continue"/>
                  <w:noWrap w:val="0"/>
                  <w:tcMar>
                    <w:left w:w="0" w:type="dxa"/>
                    <w:right w:w="0" w:type="dxa"/>
                  </w:tcMar>
                  <w:vAlign w:val="center"/>
                </w:tcPr>
                <w:p w14:paraId="25A25E87">
                  <w:pPr>
                    <w:spacing w:line="240" w:lineRule="auto"/>
                    <w:ind w:firstLine="0" w:firstLineChars="0"/>
                    <w:jc w:val="center"/>
                    <w:rPr>
                      <w:rFonts w:hint="eastAsia"/>
                      <w:color w:val="auto"/>
                      <w:sz w:val="18"/>
                      <w:szCs w:val="18"/>
                      <w:lang w:val="en-US" w:eastAsia="zh-CN"/>
                    </w:rPr>
                  </w:pPr>
                </w:p>
              </w:tc>
            </w:tr>
            <w:tr w14:paraId="4FC8D9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32" w:hRule="atLeast"/>
                <w:jc w:val="center"/>
              </w:trPr>
              <w:tc>
                <w:tcPr>
                  <w:tcW w:w="267" w:type="pct"/>
                  <w:noWrap w:val="0"/>
                  <w:vAlign w:val="center"/>
                </w:tcPr>
                <w:p w14:paraId="4EC86C90">
                  <w:pPr>
                    <w:pStyle w:val="10"/>
                    <w:spacing w:line="240" w:lineRule="auto"/>
                    <w:ind w:firstLine="0" w:firstLineChars="0"/>
                    <w:jc w:val="center"/>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DA010</w:t>
                  </w:r>
                </w:p>
              </w:tc>
              <w:tc>
                <w:tcPr>
                  <w:tcW w:w="328" w:type="pct"/>
                  <w:noWrap w:val="0"/>
                  <w:tcMar>
                    <w:left w:w="0" w:type="dxa"/>
                    <w:right w:w="0" w:type="dxa"/>
                  </w:tcMar>
                  <w:vAlign w:val="center"/>
                </w:tcPr>
                <w:p w14:paraId="30E6E555">
                  <w:pPr>
                    <w:jc w:val="center"/>
                    <w:rPr>
                      <w:rFonts w:hint="default"/>
                      <w:color w:val="auto"/>
                      <w:sz w:val="18"/>
                      <w:szCs w:val="18"/>
                      <w:lang w:val="en-US" w:eastAsia="zh-CN"/>
                    </w:rPr>
                  </w:pPr>
                  <w:r>
                    <w:rPr>
                      <w:rFonts w:hint="eastAsia"/>
                      <w:color w:val="auto"/>
                      <w:sz w:val="18"/>
                      <w:szCs w:val="18"/>
                      <w:lang w:val="en-US" w:eastAsia="zh-CN"/>
                    </w:rPr>
                    <w:t>危废仓库</w:t>
                  </w:r>
                </w:p>
              </w:tc>
              <w:tc>
                <w:tcPr>
                  <w:tcW w:w="359" w:type="pct"/>
                  <w:noWrap w:val="0"/>
                  <w:tcMar>
                    <w:left w:w="0" w:type="dxa"/>
                    <w:right w:w="0" w:type="dxa"/>
                  </w:tcMar>
                  <w:vAlign w:val="center"/>
                </w:tcPr>
                <w:p w14:paraId="1F87DC9C">
                  <w:pPr>
                    <w:jc w:val="center"/>
                    <w:rPr>
                      <w:rFonts w:hint="default"/>
                      <w:color w:val="auto"/>
                      <w:sz w:val="18"/>
                      <w:szCs w:val="18"/>
                      <w:lang w:val="en-US" w:eastAsia="zh-CN"/>
                    </w:rPr>
                  </w:pPr>
                  <w:r>
                    <w:rPr>
                      <w:rFonts w:hint="eastAsia"/>
                      <w:color w:val="auto"/>
                      <w:sz w:val="18"/>
                      <w:szCs w:val="18"/>
                      <w:lang w:val="en-US" w:eastAsia="zh-CN"/>
                    </w:rPr>
                    <w:t>非甲烷总烃</w:t>
                  </w:r>
                </w:p>
              </w:tc>
              <w:tc>
                <w:tcPr>
                  <w:tcW w:w="387" w:type="pct"/>
                  <w:noWrap w:val="0"/>
                  <w:tcMar>
                    <w:left w:w="0" w:type="dxa"/>
                    <w:right w:w="0" w:type="dxa"/>
                  </w:tcMar>
                  <w:vAlign w:val="center"/>
                </w:tcPr>
                <w:p w14:paraId="49C10AB2">
                  <w:pPr>
                    <w:pStyle w:val="10"/>
                    <w:spacing w:line="240" w:lineRule="auto"/>
                    <w:ind w:firstLine="0" w:firstLineChars="0"/>
                    <w:jc w:val="center"/>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500</w:t>
                  </w:r>
                </w:p>
              </w:tc>
              <w:tc>
                <w:tcPr>
                  <w:tcW w:w="349" w:type="pct"/>
                  <w:noWrap w:val="0"/>
                  <w:tcMar>
                    <w:left w:w="0" w:type="dxa"/>
                    <w:right w:w="0" w:type="dxa"/>
                  </w:tcMar>
                  <w:vAlign w:val="center"/>
                </w:tcPr>
                <w:p w14:paraId="1223EBA1">
                  <w:pPr>
                    <w:pStyle w:val="10"/>
                    <w:spacing w:line="240" w:lineRule="auto"/>
                    <w:ind w:firstLine="0" w:firstLineChars="0"/>
                    <w:jc w:val="center"/>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3.2</w:t>
                  </w:r>
                </w:p>
              </w:tc>
              <w:tc>
                <w:tcPr>
                  <w:tcW w:w="370" w:type="pct"/>
                  <w:noWrap w:val="0"/>
                  <w:tcMar>
                    <w:left w:w="0" w:type="dxa"/>
                    <w:right w:w="0" w:type="dxa"/>
                  </w:tcMar>
                  <w:vAlign w:val="center"/>
                </w:tcPr>
                <w:p w14:paraId="48769D6C">
                  <w:pPr>
                    <w:pStyle w:val="10"/>
                    <w:spacing w:line="240" w:lineRule="auto"/>
                    <w:ind w:firstLine="0" w:firstLineChars="0"/>
                    <w:jc w:val="center"/>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0.0016</w:t>
                  </w:r>
                </w:p>
              </w:tc>
              <w:tc>
                <w:tcPr>
                  <w:tcW w:w="339" w:type="pct"/>
                  <w:noWrap w:val="0"/>
                  <w:tcMar>
                    <w:left w:w="0" w:type="dxa"/>
                    <w:right w:w="0" w:type="dxa"/>
                  </w:tcMar>
                  <w:vAlign w:val="center"/>
                </w:tcPr>
                <w:p w14:paraId="04A57F7D">
                  <w:pPr>
                    <w:spacing w:line="240" w:lineRule="auto"/>
                    <w:ind w:firstLine="0" w:firstLineChars="0"/>
                    <w:jc w:val="center"/>
                    <w:rPr>
                      <w:rFonts w:hint="default"/>
                      <w:color w:val="auto"/>
                      <w:sz w:val="18"/>
                      <w:szCs w:val="18"/>
                      <w:lang w:val="en-US" w:eastAsia="zh-CN"/>
                    </w:rPr>
                  </w:pPr>
                  <w:r>
                    <w:rPr>
                      <w:rFonts w:hint="eastAsia"/>
                      <w:color w:val="auto"/>
                      <w:sz w:val="18"/>
                      <w:szCs w:val="18"/>
                      <w:lang w:val="en-US" w:eastAsia="zh-CN"/>
                    </w:rPr>
                    <w:t>0.0142</w:t>
                  </w:r>
                </w:p>
              </w:tc>
              <w:tc>
                <w:tcPr>
                  <w:tcW w:w="205" w:type="pct"/>
                  <w:noWrap w:val="0"/>
                  <w:tcMar>
                    <w:left w:w="0" w:type="dxa"/>
                    <w:right w:w="0" w:type="dxa"/>
                  </w:tcMar>
                  <w:vAlign w:val="center"/>
                </w:tcPr>
                <w:p w14:paraId="3FEA5EEA">
                  <w:pPr>
                    <w:pStyle w:val="1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80</w:t>
                  </w:r>
                </w:p>
              </w:tc>
              <w:tc>
                <w:tcPr>
                  <w:tcW w:w="267" w:type="pct"/>
                  <w:noWrap w:val="0"/>
                  <w:tcMar>
                    <w:left w:w="0" w:type="dxa"/>
                    <w:right w:w="0" w:type="dxa"/>
                  </w:tcMar>
                  <w:vAlign w:val="center"/>
                </w:tcPr>
                <w:p w14:paraId="25576918">
                  <w:pPr>
                    <w:pStyle w:val="1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活性炭吸附</w:t>
                  </w:r>
                </w:p>
              </w:tc>
              <w:tc>
                <w:tcPr>
                  <w:tcW w:w="250" w:type="pct"/>
                  <w:noWrap w:val="0"/>
                  <w:tcMar>
                    <w:left w:w="0" w:type="dxa"/>
                    <w:right w:w="0" w:type="dxa"/>
                  </w:tcMar>
                  <w:vAlign w:val="center"/>
                </w:tcPr>
                <w:p w14:paraId="7A6D3820">
                  <w:pPr>
                    <w:pStyle w:val="1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70</w:t>
                  </w:r>
                </w:p>
              </w:tc>
              <w:tc>
                <w:tcPr>
                  <w:tcW w:w="293" w:type="pct"/>
                  <w:noWrap w:val="0"/>
                  <w:tcMar>
                    <w:left w:w="0" w:type="dxa"/>
                    <w:right w:w="0" w:type="dxa"/>
                  </w:tcMar>
                  <w:vAlign w:val="center"/>
                </w:tcPr>
                <w:p w14:paraId="0E2E8E1E">
                  <w:pPr>
                    <w:pStyle w:val="10"/>
                    <w:spacing w:line="240" w:lineRule="auto"/>
                    <w:ind w:firstLine="0" w:firstLineChars="0"/>
                    <w:jc w:val="center"/>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1</w:t>
                  </w:r>
                </w:p>
              </w:tc>
              <w:tc>
                <w:tcPr>
                  <w:tcW w:w="289" w:type="pct"/>
                  <w:noWrap w:val="0"/>
                  <w:tcMar>
                    <w:left w:w="0" w:type="dxa"/>
                    <w:right w:w="0" w:type="dxa"/>
                  </w:tcMar>
                  <w:vAlign w:val="center"/>
                </w:tcPr>
                <w:p w14:paraId="102B18BD">
                  <w:pPr>
                    <w:pStyle w:val="10"/>
                    <w:spacing w:line="240" w:lineRule="auto"/>
                    <w:ind w:firstLine="0" w:firstLineChars="0"/>
                    <w:jc w:val="center"/>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0.0005</w:t>
                  </w:r>
                </w:p>
              </w:tc>
              <w:tc>
                <w:tcPr>
                  <w:tcW w:w="353" w:type="pct"/>
                  <w:noWrap w:val="0"/>
                  <w:tcMar>
                    <w:left w:w="0" w:type="dxa"/>
                    <w:right w:w="0" w:type="dxa"/>
                  </w:tcMar>
                  <w:vAlign w:val="center"/>
                </w:tcPr>
                <w:p w14:paraId="1ACBAF18">
                  <w:pPr>
                    <w:spacing w:line="240" w:lineRule="auto"/>
                    <w:ind w:firstLine="0" w:firstLineChars="0"/>
                    <w:jc w:val="center"/>
                    <w:rPr>
                      <w:rFonts w:hint="default"/>
                      <w:color w:val="auto"/>
                      <w:sz w:val="18"/>
                      <w:szCs w:val="18"/>
                      <w:lang w:val="en-US" w:eastAsia="zh-CN"/>
                    </w:rPr>
                  </w:pPr>
                  <w:r>
                    <w:rPr>
                      <w:rFonts w:hint="eastAsia"/>
                      <w:color w:val="auto"/>
                      <w:sz w:val="18"/>
                      <w:szCs w:val="18"/>
                      <w:lang w:val="en-US" w:eastAsia="zh-CN"/>
                    </w:rPr>
                    <w:t>0.0043</w:t>
                  </w:r>
                </w:p>
              </w:tc>
              <w:tc>
                <w:tcPr>
                  <w:tcW w:w="467" w:type="pct"/>
                  <w:vMerge w:val="continue"/>
                  <w:noWrap w:val="0"/>
                  <w:tcMar>
                    <w:left w:w="0" w:type="dxa"/>
                    <w:right w:w="0" w:type="dxa"/>
                  </w:tcMar>
                  <w:vAlign w:val="center"/>
                </w:tcPr>
                <w:p w14:paraId="0A88FCFA">
                  <w:pPr>
                    <w:spacing w:line="240" w:lineRule="auto"/>
                    <w:ind w:firstLine="0" w:firstLineChars="0"/>
                    <w:jc w:val="center"/>
                    <w:rPr>
                      <w:rFonts w:hint="eastAsia"/>
                      <w:color w:val="auto"/>
                      <w:sz w:val="18"/>
                      <w:szCs w:val="18"/>
                      <w:lang w:val="en-US" w:eastAsia="zh-CN"/>
                    </w:rPr>
                  </w:pPr>
                </w:p>
              </w:tc>
              <w:tc>
                <w:tcPr>
                  <w:tcW w:w="468" w:type="pct"/>
                  <w:vMerge w:val="continue"/>
                  <w:noWrap w:val="0"/>
                  <w:tcMar>
                    <w:left w:w="0" w:type="dxa"/>
                    <w:right w:w="0" w:type="dxa"/>
                  </w:tcMar>
                  <w:vAlign w:val="center"/>
                </w:tcPr>
                <w:p w14:paraId="7822FC3D">
                  <w:pPr>
                    <w:spacing w:line="240" w:lineRule="auto"/>
                    <w:ind w:firstLine="0" w:firstLineChars="0"/>
                    <w:jc w:val="center"/>
                    <w:rPr>
                      <w:rFonts w:hint="eastAsia"/>
                      <w:color w:val="auto"/>
                      <w:sz w:val="18"/>
                      <w:szCs w:val="18"/>
                      <w:lang w:val="en-US" w:eastAsia="zh-CN"/>
                    </w:rPr>
                  </w:pPr>
                </w:p>
              </w:tc>
            </w:tr>
          </w:tbl>
          <w:p w14:paraId="15D98371">
            <w:pPr>
              <w:pStyle w:val="46"/>
              <w:spacing w:before="139" w:line="240" w:lineRule="auto"/>
              <w:jc w:val="center"/>
              <w:rPr>
                <w:rFonts w:hint="eastAsia" w:ascii="Times New Roman" w:hAnsi="Times New Roman" w:eastAsia="宋体" w:cs="Times New Roman"/>
                <w:b/>
                <w:bCs/>
                <w:color w:val="auto"/>
                <w:kern w:val="2"/>
                <w:sz w:val="21"/>
                <w:szCs w:val="24"/>
                <w:lang w:val="en-US" w:eastAsia="zh-CN" w:bidi="ar-SA"/>
              </w:rPr>
            </w:pPr>
            <w:r>
              <w:rPr>
                <w:rFonts w:hint="eastAsia" w:ascii="Times New Roman" w:hAnsi="Times New Roman" w:eastAsia="宋体" w:cs="Times New Roman"/>
                <w:b/>
                <w:bCs/>
                <w:color w:val="auto"/>
                <w:kern w:val="2"/>
                <w:sz w:val="21"/>
                <w:szCs w:val="24"/>
                <w:lang w:val="en-US" w:eastAsia="zh-CN" w:bidi="ar-SA"/>
              </w:rPr>
              <w:t>表4-2 DA010</w:t>
            </w:r>
            <w:r>
              <w:rPr>
                <w:rFonts w:hint="eastAsia" w:ascii="Times New Roman" w:hAnsi="Times New Roman" w:cs="Times New Roman"/>
                <w:b/>
                <w:bCs/>
                <w:color w:val="auto"/>
                <w:kern w:val="2"/>
                <w:sz w:val="21"/>
                <w:szCs w:val="24"/>
                <w:lang w:val="en-US" w:eastAsia="zh-CN" w:bidi="ar-SA"/>
              </w:rPr>
              <w:t>叠加后有组织废气产排放情况</w:t>
            </w:r>
          </w:p>
          <w:tbl>
            <w:tblPr>
              <w:tblStyle w:val="20"/>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02"/>
              <w:gridCol w:w="375"/>
              <w:gridCol w:w="406"/>
              <w:gridCol w:w="500"/>
              <w:gridCol w:w="539"/>
              <w:gridCol w:w="478"/>
              <w:gridCol w:w="512"/>
              <w:gridCol w:w="546"/>
              <w:gridCol w:w="526"/>
              <w:gridCol w:w="300"/>
              <w:gridCol w:w="526"/>
              <w:gridCol w:w="385"/>
              <w:gridCol w:w="481"/>
              <w:gridCol w:w="547"/>
              <w:gridCol w:w="619"/>
              <w:gridCol w:w="676"/>
            </w:tblGrid>
            <w:tr w14:paraId="0B3286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87" w:hRule="atLeast"/>
                <w:jc w:val="center"/>
              </w:trPr>
              <w:tc>
                <w:tcPr>
                  <w:tcW w:w="663" w:type="pct"/>
                  <w:gridSpan w:val="2"/>
                  <w:vMerge w:val="restart"/>
                  <w:noWrap w:val="0"/>
                  <w:vAlign w:val="center"/>
                </w:tcPr>
                <w:p w14:paraId="4787DBB7">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宋体"/>
                      <w:b/>
                      <w:color w:val="auto"/>
                      <w:sz w:val="18"/>
                      <w:szCs w:val="18"/>
                      <w:lang w:val="en-US" w:eastAsia="zh-CN"/>
                    </w:rPr>
                    <w:t>排气筒编号</w:t>
                  </w:r>
                </w:p>
              </w:tc>
              <w:tc>
                <w:tcPr>
                  <w:tcW w:w="558" w:type="pct"/>
                  <w:gridSpan w:val="2"/>
                  <w:vMerge w:val="restart"/>
                  <w:noWrap w:val="0"/>
                  <w:tcMar>
                    <w:left w:w="0" w:type="dxa"/>
                    <w:right w:w="0" w:type="dxa"/>
                  </w:tcMar>
                  <w:vAlign w:val="center"/>
                </w:tcPr>
                <w:p w14:paraId="5D51501E">
                  <w:pPr>
                    <w:pStyle w:val="10"/>
                    <w:spacing w:line="240" w:lineRule="auto"/>
                    <w:ind w:firstLine="0" w:firstLineChars="0"/>
                    <w:jc w:val="center"/>
                    <w:rPr>
                      <w:rFonts w:hint="eastAsia" w:ascii="Times New Roman" w:hAnsi="宋体"/>
                      <w:b/>
                      <w:color w:val="auto"/>
                      <w:sz w:val="18"/>
                      <w:szCs w:val="18"/>
                      <w:lang w:val="en-US" w:eastAsia="zh-CN"/>
                    </w:rPr>
                  </w:pPr>
                  <w:r>
                    <w:rPr>
                      <w:rFonts w:ascii="Times New Roman" w:hAnsi="宋体"/>
                      <w:b/>
                      <w:color w:val="auto"/>
                      <w:sz w:val="18"/>
                      <w:szCs w:val="18"/>
                      <w:lang w:val="en-US" w:eastAsia="zh-CN"/>
                    </w:rPr>
                    <w:t>污染源名称</w:t>
                  </w:r>
                  <w:r>
                    <w:rPr>
                      <w:rFonts w:hint="eastAsia" w:ascii="Times New Roman" w:hAnsi="宋体"/>
                      <w:b/>
                      <w:color w:val="auto"/>
                      <w:sz w:val="18"/>
                      <w:szCs w:val="18"/>
                      <w:lang w:val="en-US" w:eastAsia="zh-CN"/>
                    </w:rPr>
                    <w:t>、</w:t>
                  </w:r>
                </w:p>
                <w:p w14:paraId="018A7930">
                  <w:pPr>
                    <w:pStyle w:val="10"/>
                    <w:spacing w:line="240" w:lineRule="auto"/>
                    <w:ind w:firstLine="0" w:firstLineChars="0"/>
                    <w:jc w:val="center"/>
                    <w:rPr>
                      <w:rFonts w:hint="default" w:ascii="Times New Roman" w:hAnsi="Times New Roman"/>
                      <w:b/>
                      <w:color w:val="auto"/>
                      <w:sz w:val="18"/>
                      <w:szCs w:val="18"/>
                      <w:lang w:val="en-US" w:eastAsia="zh-CN"/>
                    </w:rPr>
                  </w:pPr>
                  <w:r>
                    <w:rPr>
                      <w:rFonts w:hint="eastAsia" w:ascii="Times New Roman" w:hAnsi="宋体"/>
                      <w:b/>
                      <w:color w:val="auto"/>
                      <w:sz w:val="18"/>
                      <w:szCs w:val="18"/>
                      <w:lang w:val="en-US" w:eastAsia="zh-CN"/>
                    </w:rPr>
                    <w:t>污染因子</w:t>
                  </w:r>
                </w:p>
              </w:tc>
              <w:tc>
                <w:tcPr>
                  <w:tcW w:w="332" w:type="pct"/>
                  <w:vMerge w:val="restart"/>
                  <w:noWrap w:val="0"/>
                  <w:tcMar>
                    <w:left w:w="0" w:type="dxa"/>
                    <w:right w:w="0" w:type="dxa"/>
                  </w:tcMar>
                  <w:vAlign w:val="center"/>
                </w:tcPr>
                <w:p w14:paraId="6634C27A">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宋体"/>
                      <w:b/>
                      <w:color w:val="auto"/>
                      <w:sz w:val="18"/>
                      <w:szCs w:val="18"/>
                      <w:lang w:val="en-US" w:eastAsia="zh-CN"/>
                    </w:rPr>
                    <w:t>排气量</w:t>
                  </w:r>
                  <w:r>
                    <w:rPr>
                      <w:rFonts w:hint="eastAsia" w:ascii="Times New Roman" w:hAnsi="宋体"/>
                      <w:b/>
                      <w:color w:val="auto"/>
                      <w:sz w:val="18"/>
                      <w:szCs w:val="18"/>
                      <w:lang w:val="en-US" w:eastAsia="zh-CN"/>
                    </w:rPr>
                    <w:t>（废气量）</w:t>
                  </w:r>
                  <w:r>
                    <w:rPr>
                      <w:rFonts w:ascii="Times New Roman" w:hAnsi="宋体"/>
                      <w:b/>
                      <w:color w:val="auto"/>
                      <w:sz w:val="18"/>
                      <w:szCs w:val="18"/>
                      <w:lang w:val="en-US" w:eastAsia="zh-CN"/>
                    </w:rPr>
                    <w:t>（</w:t>
                  </w:r>
                  <w:r>
                    <w:rPr>
                      <w:rFonts w:ascii="Times New Roman" w:hAnsi="Times New Roman"/>
                      <w:b/>
                      <w:color w:val="auto"/>
                      <w:sz w:val="18"/>
                      <w:szCs w:val="18"/>
                      <w:lang w:val="en-US" w:eastAsia="zh-CN"/>
                    </w:rPr>
                    <w:t>m</w:t>
                  </w:r>
                  <w:r>
                    <w:rPr>
                      <w:rFonts w:ascii="Times New Roman" w:hAnsi="Times New Roman"/>
                      <w:b/>
                      <w:color w:val="auto"/>
                      <w:sz w:val="18"/>
                      <w:szCs w:val="18"/>
                      <w:vertAlign w:val="superscript"/>
                      <w:lang w:val="en-US" w:eastAsia="zh-CN"/>
                    </w:rPr>
                    <w:t>3</w:t>
                  </w:r>
                  <w:r>
                    <w:rPr>
                      <w:rFonts w:ascii="Times New Roman" w:hAnsi="Times New Roman"/>
                      <w:b/>
                      <w:color w:val="auto"/>
                      <w:sz w:val="18"/>
                      <w:szCs w:val="18"/>
                      <w:lang w:val="en-US" w:eastAsia="zh-CN"/>
                    </w:rPr>
                    <w:t xml:space="preserve"> /h</w:t>
                  </w:r>
                  <w:r>
                    <w:rPr>
                      <w:rFonts w:ascii="Times New Roman" w:hAnsi="宋体"/>
                      <w:b/>
                      <w:color w:val="auto"/>
                      <w:sz w:val="18"/>
                      <w:szCs w:val="18"/>
                      <w:lang w:val="en-US" w:eastAsia="zh-CN"/>
                    </w:rPr>
                    <w:t>）</w:t>
                  </w:r>
                </w:p>
              </w:tc>
              <w:tc>
                <w:tcPr>
                  <w:tcW w:w="945" w:type="pct"/>
                  <w:gridSpan w:val="3"/>
                  <w:noWrap w:val="0"/>
                  <w:tcMar>
                    <w:left w:w="0" w:type="dxa"/>
                    <w:right w:w="0" w:type="dxa"/>
                  </w:tcMar>
                  <w:vAlign w:val="center"/>
                </w:tcPr>
                <w:p w14:paraId="7D2F076C">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宋体"/>
                      <w:b/>
                      <w:color w:val="auto"/>
                      <w:sz w:val="18"/>
                      <w:szCs w:val="18"/>
                      <w:lang w:val="en-US" w:eastAsia="zh-CN"/>
                    </w:rPr>
                    <w:t>产生状况</w:t>
                  </w:r>
                </w:p>
              </w:tc>
              <w:tc>
                <w:tcPr>
                  <w:tcW w:w="324" w:type="pct"/>
                  <w:vMerge w:val="restart"/>
                  <w:noWrap w:val="0"/>
                  <w:tcMar>
                    <w:left w:w="0" w:type="dxa"/>
                    <w:right w:w="0" w:type="dxa"/>
                  </w:tcMar>
                  <w:vAlign w:val="center"/>
                </w:tcPr>
                <w:p w14:paraId="05AA6F6E">
                  <w:pPr>
                    <w:pStyle w:val="10"/>
                    <w:spacing w:line="240" w:lineRule="auto"/>
                    <w:ind w:firstLine="0" w:firstLineChars="0"/>
                    <w:jc w:val="center"/>
                    <w:rPr>
                      <w:rFonts w:hint="default" w:ascii="Times New Roman" w:hAnsi="宋体"/>
                      <w:b/>
                      <w:color w:val="auto"/>
                      <w:sz w:val="18"/>
                      <w:szCs w:val="18"/>
                      <w:lang w:val="en-US" w:eastAsia="zh-CN"/>
                    </w:rPr>
                  </w:pPr>
                  <w:r>
                    <w:rPr>
                      <w:rFonts w:hint="eastAsia" w:ascii="Times New Roman" w:hAnsi="宋体"/>
                      <w:b/>
                      <w:color w:val="auto"/>
                      <w:sz w:val="18"/>
                      <w:szCs w:val="18"/>
                      <w:lang w:val="en-US" w:eastAsia="zh-CN"/>
                    </w:rPr>
                    <w:t>收集效率</w:t>
                  </w:r>
                  <w:r>
                    <w:rPr>
                      <w:rFonts w:ascii="Times New Roman" w:hAnsi="宋体"/>
                      <w:b/>
                      <w:color w:val="auto"/>
                      <w:sz w:val="18"/>
                      <w:szCs w:val="18"/>
                      <w:lang w:val="en-US" w:eastAsia="zh-CN"/>
                    </w:rPr>
                    <w:t>（％）</w:t>
                  </w:r>
                </w:p>
              </w:tc>
              <w:tc>
                <w:tcPr>
                  <w:tcW w:w="185" w:type="pct"/>
                  <w:vMerge w:val="restart"/>
                  <w:noWrap w:val="0"/>
                  <w:tcMar>
                    <w:left w:w="0" w:type="dxa"/>
                    <w:right w:w="0" w:type="dxa"/>
                  </w:tcMar>
                  <w:vAlign w:val="center"/>
                </w:tcPr>
                <w:p w14:paraId="2587264F">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宋体"/>
                      <w:b/>
                      <w:color w:val="auto"/>
                      <w:sz w:val="18"/>
                      <w:szCs w:val="18"/>
                      <w:lang w:val="en-US" w:eastAsia="zh-CN"/>
                    </w:rPr>
                    <w:t>治理</w:t>
                  </w:r>
                </w:p>
                <w:p w14:paraId="236FEB04">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宋体"/>
                      <w:b/>
                      <w:color w:val="auto"/>
                      <w:sz w:val="18"/>
                      <w:szCs w:val="18"/>
                      <w:lang w:val="en-US" w:eastAsia="zh-CN"/>
                    </w:rPr>
                    <w:t>措施</w:t>
                  </w:r>
                </w:p>
              </w:tc>
              <w:tc>
                <w:tcPr>
                  <w:tcW w:w="324" w:type="pct"/>
                  <w:vMerge w:val="restart"/>
                  <w:noWrap w:val="0"/>
                  <w:tcMar>
                    <w:left w:w="0" w:type="dxa"/>
                    <w:right w:w="0" w:type="dxa"/>
                  </w:tcMar>
                  <w:vAlign w:val="center"/>
                </w:tcPr>
                <w:p w14:paraId="4C57227A">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宋体"/>
                      <w:b/>
                      <w:color w:val="auto"/>
                      <w:sz w:val="18"/>
                      <w:szCs w:val="18"/>
                      <w:lang w:val="en-US" w:eastAsia="zh-CN"/>
                    </w:rPr>
                    <w:t>去除率（％）</w:t>
                  </w:r>
                </w:p>
              </w:tc>
              <w:tc>
                <w:tcPr>
                  <w:tcW w:w="870" w:type="pct"/>
                  <w:gridSpan w:val="3"/>
                  <w:noWrap w:val="0"/>
                  <w:tcMar>
                    <w:left w:w="0" w:type="dxa"/>
                    <w:right w:w="0" w:type="dxa"/>
                  </w:tcMar>
                  <w:vAlign w:val="center"/>
                </w:tcPr>
                <w:p w14:paraId="3A7D6D5E">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宋体"/>
                      <w:b/>
                      <w:color w:val="auto"/>
                      <w:sz w:val="18"/>
                      <w:szCs w:val="18"/>
                      <w:lang w:val="en-US" w:eastAsia="zh-CN"/>
                    </w:rPr>
                    <w:t>排放状况</w:t>
                  </w:r>
                </w:p>
              </w:tc>
              <w:tc>
                <w:tcPr>
                  <w:tcW w:w="797" w:type="pct"/>
                  <w:gridSpan w:val="2"/>
                  <w:noWrap w:val="0"/>
                  <w:tcMar>
                    <w:left w:w="0" w:type="dxa"/>
                    <w:right w:w="0" w:type="dxa"/>
                  </w:tcMar>
                  <w:vAlign w:val="center"/>
                </w:tcPr>
                <w:p w14:paraId="2F55310F">
                  <w:pPr>
                    <w:pStyle w:val="10"/>
                    <w:spacing w:line="240" w:lineRule="auto"/>
                    <w:ind w:firstLine="0" w:firstLineChars="0"/>
                    <w:jc w:val="center"/>
                    <w:rPr>
                      <w:rFonts w:hint="default" w:ascii="Times New Roman" w:hAnsi="宋体"/>
                      <w:b/>
                      <w:color w:val="auto"/>
                      <w:sz w:val="18"/>
                      <w:szCs w:val="18"/>
                      <w:lang w:val="en-US" w:eastAsia="zh-CN"/>
                    </w:rPr>
                  </w:pPr>
                  <w:r>
                    <w:rPr>
                      <w:rFonts w:hint="eastAsia" w:ascii="Times New Roman" w:hAnsi="宋体"/>
                      <w:b/>
                      <w:color w:val="auto"/>
                      <w:sz w:val="18"/>
                      <w:szCs w:val="18"/>
                      <w:lang w:val="en-US" w:eastAsia="zh-CN"/>
                    </w:rPr>
                    <w:t>标准限值</w:t>
                  </w:r>
                </w:p>
              </w:tc>
            </w:tr>
            <w:tr w14:paraId="6FF398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019" w:hRule="atLeast"/>
                <w:jc w:val="center"/>
              </w:trPr>
              <w:tc>
                <w:tcPr>
                  <w:tcW w:w="663" w:type="pct"/>
                  <w:gridSpan w:val="2"/>
                  <w:vMerge w:val="continue"/>
                  <w:noWrap w:val="0"/>
                  <w:vAlign w:val="center"/>
                </w:tcPr>
                <w:p w14:paraId="4D85A5A2">
                  <w:pPr>
                    <w:pStyle w:val="10"/>
                    <w:spacing w:line="240" w:lineRule="auto"/>
                    <w:ind w:firstLine="0" w:firstLineChars="0"/>
                    <w:jc w:val="center"/>
                    <w:rPr>
                      <w:rFonts w:ascii="Times New Roman" w:hAnsi="Times New Roman"/>
                      <w:b/>
                      <w:color w:val="auto"/>
                      <w:sz w:val="18"/>
                      <w:szCs w:val="18"/>
                      <w:lang w:val="en-US" w:eastAsia="zh-CN"/>
                    </w:rPr>
                  </w:pPr>
                </w:p>
              </w:tc>
              <w:tc>
                <w:tcPr>
                  <w:tcW w:w="558" w:type="pct"/>
                  <w:gridSpan w:val="2"/>
                  <w:vMerge w:val="continue"/>
                  <w:noWrap w:val="0"/>
                  <w:tcMar>
                    <w:left w:w="0" w:type="dxa"/>
                    <w:right w:w="0" w:type="dxa"/>
                  </w:tcMar>
                  <w:vAlign w:val="center"/>
                </w:tcPr>
                <w:p w14:paraId="55DB2840">
                  <w:pPr>
                    <w:pStyle w:val="10"/>
                    <w:spacing w:line="240" w:lineRule="auto"/>
                    <w:ind w:firstLine="0" w:firstLineChars="0"/>
                    <w:jc w:val="center"/>
                    <w:rPr>
                      <w:rFonts w:ascii="Times New Roman" w:hAnsi="Times New Roman"/>
                      <w:b/>
                      <w:color w:val="auto"/>
                      <w:sz w:val="18"/>
                      <w:szCs w:val="18"/>
                      <w:lang w:val="en-US" w:eastAsia="zh-CN"/>
                    </w:rPr>
                  </w:pPr>
                </w:p>
              </w:tc>
              <w:tc>
                <w:tcPr>
                  <w:tcW w:w="332" w:type="pct"/>
                  <w:vMerge w:val="continue"/>
                  <w:noWrap w:val="0"/>
                  <w:tcMar>
                    <w:left w:w="0" w:type="dxa"/>
                    <w:right w:w="0" w:type="dxa"/>
                  </w:tcMar>
                  <w:vAlign w:val="center"/>
                </w:tcPr>
                <w:p w14:paraId="38B6C185">
                  <w:pPr>
                    <w:pStyle w:val="10"/>
                    <w:spacing w:line="240" w:lineRule="auto"/>
                    <w:ind w:firstLine="0" w:firstLineChars="0"/>
                    <w:jc w:val="center"/>
                    <w:rPr>
                      <w:rFonts w:ascii="Times New Roman" w:hAnsi="Times New Roman"/>
                      <w:b/>
                      <w:color w:val="auto"/>
                      <w:sz w:val="18"/>
                      <w:szCs w:val="18"/>
                      <w:lang w:val="en-US" w:eastAsia="zh-CN"/>
                    </w:rPr>
                  </w:pPr>
                </w:p>
              </w:tc>
              <w:tc>
                <w:tcPr>
                  <w:tcW w:w="294" w:type="pct"/>
                  <w:noWrap w:val="0"/>
                  <w:tcMar>
                    <w:left w:w="0" w:type="dxa"/>
                    <w:right w:w="0" w:type="dxa"/>
                  </w:tcMar>
                  <w:vAlign w:val="center"/>
                </w:tcPr>
                <w:p w14:paraId="7786C96A">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宋体"/>
                      <w:b/>
                      <w:color w:val="auto"/>
                      <w:sz w:val="18"/>
                      <w:szCs w:val="18"/>
                      <w:lang w:val="en-US" w:eastAsia="zh-CN"/>
                    </w:rPr>
                    <w:t>浓度</w:t>
                  </w:r>
                </w:p>
                <w:p w14:paraId="4C34D9CF">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Times New Roman"/>
                      <w:b/>
                      <w:color w:val="auto"/>
                      <w:sz w:val="18"/>
                      <w:szCs w:val="18"/>
                      <w:lang w:val="en-US" w:eastAsia="zh-CN"/>
                    </w:rPr>
                    <w:t>(mg/ m</w:t>
                  </w:r>
                  <w:r>
                    <w:rPr>
                      <w:rFonts w:ascii="Times New Roman" w:hAnsi="Times New Roman"/>
                      <w:b/>
                      <w:color w:val="auto"/>
                      <w:sz w:val="18"/>
                      <w:szCs w:val="18"/>
                      <w:vertAlign w:val="superscript"/>
                      <w:lang w:val="en-US" w:eastAsia="zh-CN"/>
                    </w:rPr>
                    <w:t>3)</w:t>
                  </w:r>
                </w:p>
              </w:tc>
              <w:tc>
                <w:tcPr>
                  <w:tcW w:w="315" w:type="pct"/>
                  <w:noWrap w:val="0"/>
                  <w:tcMar>
                    <w:left w:w="0" w:type="dxa"/>
                    <w:right w:w="0" w:type="dxa"/>
                  </w:tcMar>
                  <w:vAlign w:val="center"/>
                </w:tcPr>
                <w:p w14:paraId="0BD75285">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宋体"/>
                      <w:b/>
                      <w:color w:val="auto"/>
                      <w:sz w:val="18"/>
                      <w:szCs w:val="18"/>
                      <w:lang w:val="en-US" w:eastAsia="zh-CN"/>
                    </w:rPr>
                    <w:t>速率</w:t>
                  </w:r>
                  <w:r>
                    <w:rPr>
                      <w:rFonts w:ascii="Times New Roman" w:hAnsi="Times New Roman"/>
                      <w:b/>
                      <w:color w:val="auto"/>
                      <w:sz w:val="18"/>
                      <w:szCs w:val="18"/>
                      <w:lang w:val="en-US" w:eastAsia="zh-CN"/>
                    </w:rPr>
                    <w:t>(kg/h)</w:t>
                  </w:r>
                </w:p>
              </w:tc>
              <w:tc>
                <w:tcPr>
                  <w:tcW w:w="335" w:type="pct"/>
                  <w:noWrap w:val="0"/>
                  <w:tcMar>
                    <w:left w:w="0" w:type="dxa"/>
                    <w:right w:w="0" w:type="dxa"/>
                  </w:tcMar>
                  <w:vAlign w:val="center"/>
                </w:tcPr>
                <w:p w14:paraId="4114B6C3">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宋体"/>
                      <w:b/>
                      <w:color w:val="auto"/>
                      <w:sz w:val="18"/>
                      <w:szCs w:val="18"/>
                      <w:lang w:val="en-US" w:eastAsia="zh-CN"/>
                    </w:rPr>
                    <w:t>年产生量（</w:t>
                  </w:r>
                  <w:r>
                    <w:rPr>
                      <w:rFonts w:ascii="Times New Roman" w:hAnsi="Times New Roman"/>
                      <w:b/>
                      <w:color w:val="auto"/>
                      <w:sz w:val="18"/>
                      <w:szCs w:val="18"/>
                      <w:lang w:val="en-US" w:eastAsia="zh-CN"/>
                    </w:rPr>
                    <w:t>t/a</w:t>
                  </w:r>
                  <w:r>
                    <w:rPr>
                      <w:rFonts w:ascii="Times New Roman" w:hAnsi="宋体"/>
                      <w:b/>
                      <w:color w:val="auto"/>
                      <w:sz w:val="18"/>
                      <w:szCs w:val="18"/>
                      <w:lang w:val="en-US" w:eastAsia="zh-CN"/>
                    </w:rPr>
                    <w:t>）</w:t>
                  </w:r>
                </w:p>
              </w:tc>
              <w:tc>
                <w:tcPr>
                  <w:tcW w:w="324" w:type="pct"/>
                  <w:vMerge w:val="continue"/>
                  <w:noWrap w:val="0"/>
                  <w:tcMar>
                    <w:left w:w="0" w:type="dxa"/>
                    <w:right w:w="0" w:type="dxa"/>
                  </w:tcMar>
                  <w:vAlign w:val="center"/>
                </w:tcPr>
                <w:p w14:paraId="3C998BDD">
                  <w:pPr>
                    <w:pStyle w:val="10"/>
                    <w:spacing w:line="240" w:lineRule="auto"/>
                    <w:ind w:firstLine="0" w:firstLineChars="0"/>
                    <w:jc w:val="center"/>
                    <w:rPr>
                      <w:rFonts w:ascii="Times New Roman" w:hAnsi="Times New Roman"/>
                      <w:b/>
                      <w:color w:val="auto"/>
                      <w:sz w:val="18"/>
                      <w:szCs w:val="18"/>
                      <w:lang w:val="en-US" w:eastAsia="zh-CN"/>
                    </w:rPr>
                  </w:pPr>
                </w:p>
              </w:tc>
              <w:tc>
                <w:tcPr>
                  <w:tcW w:w="185" w:type="pct"/>
                  <w:vMerge w:val="continue"/>
                  <w:noWrap w:val="0"/>
                  <w:tcMar>
                    <w:left w:w="0" w:type="dxa"/>
                    <w:right w:w="0" w:type="dxa"/>
                  </w:tcMar>
                  <w:vAlign w:val="center"/>
                </w:tcPr>
                <w:p w14:paraId="6CC1566A">
                  <w:pPr>
                    <w:pStyle w:val="10"/>
                    <w:spacing w:line="240" w:lineRule="auto"/>
                    <w:ind w:firstLine="0" w:firstLineChars="0"/>
                    <w:jc w:val="center"/>
                    <w:rPr>
                      <w:rFonts w:ascii="Times New Roman" w:hAnsi="Times New Roman"/>
                      <w:b/>
                      <w:color w:val="auto"/>
                      <w:sz w:val="18"/>
                      <w:szCs w:val="18"/>
                      <w:lang w:val="en-US" w:eastAsia="zh-CN"/>
                    </w:rPr>
                  </w:pPr>
                </w:p>
              </w:tc>
              <w:tc>
                <w:tcPr>
                  <w:tcW w:w="324" w:type="pct"/>
                  <w:vMerge w:val="continue"/>
                  <w:noWrap w:val="0"/>
                  <w:tcMar>
                    <w:left w:w="0" w:type="dxa"/>
                    <w:right w:w="0" w:type="dxa"/>
                  </w:tcMar>
                  <w:vAlign w:val="center"/>
                </w:tcPr>
                <w:p w14:paraId="0C151725">
                  <w:pPr>
                    <w:pStyle w:val="10"/>
                    <w:spacing w:line="240" w:lineRule="auto"/>
                    <w:ind w:firstLine="0" w:firstLineChars="0"/>
                    <w:jc w:val="center"/>
                    <w:rPr>
                      <w:rFonts w:ascii="Times New Roman" w:hAnsi="Times New Roman"/>
                      <w:b/>
                      <w:color w:val="auto"/>
                      <w:sz w:val="18"/>
                      <w:szCs w:val="18"/>
                      <w:lang w:val="en-US" w:eastAsia="zh-CN"/>
                    </w:rPr>
                  </w:pPr>
                </w:p>
              </w:tc>
              <w:tc>
                <w:tcPr>
                  <w:tcW w:w="237" w:type="pct"/>
                  <w:noWrap w:val="0"/>
                  <w:tcMar>
                    <w:left w:w="0" w:type="dxa"/>
                    <w:right w:w="0" w:type="dxa"/>
                  </w:tcMar>
                  <w:vAlign w:val="center"/>
                </w:tcPr>
                <w:p w14:paraId="49E48628">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宋体"/>
                      <w:b/>
                      <w:color w:val="auto"/>
                      <w:sz w:val="18"/>
                      <w:szCs w:val="18"/>
                      <w:lang w:val="en-US" w:eastAsia="zh-CN"/>
                    </w:rPr>
                    <w:t>浓度</w:t>
                  </w:r>
                </w:p>
                <w:p w14:paraId="698958A6">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Times New Roman"/>
                      <w:b/>
                      <w:color w:val="auto"/>
                      <w:sz w:val="18"/>
                      <w:szCs w:val="18"/>
                      <w:lang w:val="en-US" w:eastAsia="zh-CN"/>
                    </w:rPr>
                    <w:t>(mg/ m</w:t>
                  </w:r>
                  <w:r>
                    <w:rPr>
                      <w:rFonts w:ascii="Times New Roman" w:hAnsi="Times New Roman"/>
                      <w:b/>
                      <w:color w:val="auto"/>
                      <w:sz w:val="18"/>
                      <w:szCs w:val="18"/>
                      <w:vertAlign w:val="superscript"/>
                      <w:lang w:val="en-US" w:eastAsia="zh-CN"/>
                    </w:rPr>
                    <w:t>3</w:t>
                  </w:r>
                  <w:r>
                    <w:rPr>
                      <w:rFonts w:ascii="Times New Roman" w:hAnsi="Times New Roman"/>
                      <w:b/>
                      <w:color w:val="auto"/>
                      <w:sz w:val="18"/>
                      <w:szCs w:val="18"/>
                      <w:lang w:val="en-US" w:eastAsia="zh-CN"/>
                    </w:rPr>
                    <w:t>)</w:t>
                  </w:r>
                </w:p>
              </w:tc>
              <w:tc>
                <w:tcPr>
                  <w:tcW w:w="296" w:type="pct"/>
                  <w:noWrap w:val="0"/>
                  <w:tcMar>
                    <w:left w:w="0" w:type="dxa"/>
                    <w:right w:w="0" w:type="dxa"/>
                  </w:tcMar>
                  <w:vAlign w:val="center"/>
                </w:tcPr>
                <w:p w14:paraId="31FD9317">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宋体"/>
                      <w:b/>
                      <w:color w:val="auto"/>
                      <w:sz w:val="18"/>
                      <w:szCs w:val="18"/>
                      <w:lang w:val="en-US" w:eastAsia="zh-CN"/>
                    </w:rPr>
                    <w:t>速率</w:t>
                  </w:r>
                </w:p>
                <w:p w14:paraId="4B4643F1">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Times New Roman"/>
                      <w:b/>
                      <w:color w:val="auto"/>
                      <w:sz w:val="18"/>
                      <w:szCs w:val="18"/>
                      <w:lang w:val="en-US" w:eastAsia="zh-CN"/>
                    </w:rPr>
                    <w:t>(kg/h)</w:t>
                  </w:r>
                </w:p>
              </w:tc>
              <w:tc>
                <w:tcPr>
                  <w:tcW w:w="335" w:type="pct"/>
                  <w:noWrap w:val="0"/>
                  <w:tcMar>
                    <w:left w:w="0" w:type="dxa"/>
                    <w:right w:w="0" w:type="dxa"/>
                  </w:tcMar>
                  <w:vAlign w:val="center"/>
                </w:tcPr>
                <w:p w14:paraId="248B6071">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宋体"/>
                      <w:b/>
                      <w:color w:val="auto"/>
                      <w:sz w:val="18"/>
                      <w:szCs w:val="18"/>
                      <w:lang w:val="en-US" w:eastAsia="zh-CN"/>
                    </w:rPr>
                    <w:t>年排放量（</w:t>
                  </w:r>
                  <w:r>
                    <w:rPr>
                      <w:rFonts w:ascii="Times New Roman" w:hAnsi="Times New Roman"/>
                      <w:b/>
                      <w:color w:val="auto"/>
                      <w:sz w:val="18"/>
                      <w:szCs w:val="18"/>
                      <w:lang w:val="en-US" w:eastAsia="zh-CN"/>
                    </w:rPr>
                    <w:t>t/a</w:t>
                  </w:r>
                  <w:r>
                    <w:rPr>
                      <w:rFonts w:ascii="Times New Roman" w:hAnsi="宋体"/>
                      <w:b/>
                      <w:color w:val="auto"/>
                      <w:sz w:val="18"/>
                      <w:szCs w:val="18"/>
                      <w:lang w:val="en-US" w:eastAsia="zh-CN"/>
                    </w:rPr>
                    <w:t>）</w:t>
                  </w:r>
                </w:p>
              </w:tc>
              <w:tc>
                <w:tcPr>
                  <w:tcW w:w="381" w:type="pct"/>
                  <w:noWrap w:val="0"/>
                  <w:tcMar>
                    <w:left w:w="0" w:type="dxa"/>
                    <w:right w:w="0" w:type="dxa"/>
                  </w:tcMar>
                  <w:vAlign w:val="center"/>
                </w:tcPr>
                <w:p w14:paraId="543A78DE">
                  <w:pPr>
                    <w:pStyle w:val="10"/>
                    <w:spacing w:line="240" w:lineRule="auto"/>
                    <w:ind w:firstLine="0" w:firstLineChars="0"/>
                    <w:jc w:val="center"/>
                    <w:rPr>
                      <w:rFonts w:ascii="Times New Roman" w:hAnsi="Times New Roman"/>
                      <w:b/>
                      <w:color w:val="auto"/>
                      <w:sz w:val="18"/>
                      <w:szCs w:val="18"/>
                      <w:lang w:val="en-US" w:eastAsia="zh-CN"/>
                    </w:rPr>
                  </w:pPr>
                  <w:r>
                    <w:rPr>
                      <w:rFonts w:ascii="Times New Roman" w:hAnsi="宋体"/>
                      <w:b/>
                      <w:color w:val="auto"/>
                      <w:sz w:val="18"/>
                      <w:szCs w:val="18"/>
                      <w:lang w:val="en-US" w:eastAsia="zh-CN"/>
                    </w:rPr>
                    <w:t>浓度</w:t>
                  </w:r>
                </w:p>
                <w:p w14:paraId="1A3E70D5">
                  <w:pPr>
                    <w:pStyle w:val="10"/>
                    <w:spacing w:line="240" w:lineRule="auto"/>
                    <w:ind w:firstLine="0" w:firstLineChars="0"/>
                    <w:jc w:val="center"/>
                    <w:rPr>
                      <w:rFonts w:ascii="Times New Roman" w:hAnsi="宋体"/>
                      <w:b/>
                      <w:color w:val="auto"/>
                      <w:sz w:val="18"/>
                      <w:szCs w:val="18"/>
                      <w:lang w:val="en-US" w:eastAsia="zh-CN"/>
                    </w:rPr>
                  </w:pPr>
                  <w:r>
                    <w:rPr>
                      <w:rFonts w:ascii="Times New Roman" w:hAnsi="Times New Roman"/>
                      <w:b/>
                      <w:color w:val="auto"/>
                      <w:sz w:val="18"/>
                      <w:szCs w:val="18"/>
                      <w:lang w:val="en-US" w:eastAsia="zh-CN"/>
                    </w:rPr>
                    <w:t>(mg/ m</w:t>
                  </w:r>
                  <w:r>
                    <w:rPr>
                      <w:rFonts w:ascii="Times New Roman" w:hAnsi="Times New Roman"/>
                      <w:b/>
                      <w:color w:val="auto"/>
                      <w:sz w:val="18"/>
                      <w:szCs w:val="18"/>
                      <w:vertAlign w:val="superscript"/>
                      <w:lang w:val="en-US" w:eastAsia="zh-CN"/>
                    </w:rPr>
                    <w:t>3)</w:t>
                  </w:r>
                </w:p>
              </w:tc>
              <w:tc>
                <w:tcPr>
                  <w:tcW w:w="415" w:type="pct"/>
                  <w:noWrap w:val="0"/>
                  <w:tcMar>
                    <w:left w:w="0" w:type="dxa"/>
                    <w:right w:w="0" w:type="dxa"/>
                  </w:tcMar>
                  <w:vAlign w:val="center"/>
                </w:tcPr>
                <w:p w14:paraId="4673E8F8">
                  <w:pPr>
                    <w:pStyle w:val="10"/>
                    <w:spacing w:line="240" w:lineRule="auto"/>
                    <w:ind w:firstLine="0" w:firstLineChars="0"/>
                    <w:jc w:val="center"/>
                    <w:rPr>
                      <w:rFonts w:ascii="Times New Roman" w:hAnsi="宋体"/>
                      <w:b/>
                      <w:color w:val="auto"/>
                      <w:sz w:val="18"/>
                      <w:szCs w:val="18"/>
                      <w:lang w:val="en-US" w:eastAsia="zh-CN"/>
                    </w:rPr>
                  </w:pPr>
                  <w:r>
                    <w:rPr>
                      <w:rFonts w:ascii="Times New Roman" w:hAnsi="宋体"/>
                      <w:b/>
                      <w:color w:val="auto"/>
                      <w:sz w:val="18"/>
                      <w:szCs w:val="18"/>
                      <w:lang w:val="en-US" w:eastAsia="zh-CN"/>
                    </w:rPr>
                    <w:t>速率</w:t>
                  </w:r>
                  <w:r>
                    <w:rPr>
                      <w:rFonts w:ascii="Times New Roman" w:hAnsi="Times New Roman"/>
                      <w:b/>
                      <w:color w:val="auto"/>
                      <w:sz w:val="18"/>
                      <w:szCs w:val="18"/>
                      <w:lang w:val="en-US" w:eastAsia="zh-CN"/>
                    </w:rPr>
                    <w:t>(kg/h)</w:t>
                  </w:r>
                </w:p>
              </w:tc>
            </w:tr>
            <w:tr w14:paraId="764646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32" w:hRule="atLeast"/>
                <w:jc w:val="center"/>
              </w:trPr>
              <w:tc>
                <w:tcPr>
                  <w:tcW w:w="432" w:type="pct"/>
                  <w:vMerge w:val="restart"/>
                  <w:noWrap w:val="0"/>
                  <w:vAlign w:val="center"/>
                </w:tcPr>
                <w:p w14:paraId="38610CD8">
                  <w:pPr>
                    <w:pStyle w:val="10"/>
                    <w:spacing w:line="240" w:lineRule="auto"/>
                    <w:ind w:firstLine="0" w:firstLineChars="0"/>
                    <w:jc w:val="center"/>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DA010</w:t>
                  </w:r>
                </w:p>
              </w:tc>
              <w:tc>
                <w:tcPr>
                  <w:tcW w:w="230" w:type="pct"/>
                  <w:noWrap w:val="0"/>
                  <w:vAlign w:val="center"/>
                </w:tcPr>
                <w:p w14:paraId="49812EB4">
                  <w:pPr>
                    <w:pStyle w:val="10"/>
                    <w:spacing w:line="240" w:lineRule="auto"/>
                    <w:ind w:firstLine="0" w:firstLineChars="0"/>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现有</w:t>
                  </w:r>
                </w:p>
              </w:tc>
              <w:tc>
                <w:tcPr>
                  <w:tcW w:w="250" w:type="pct"/>
                  <w:vMerge w:val="restart"/>
                  <w:noWrap w:val="0"/>
                  <w:tcMar>
                    <w:left w:w="0" w:type="dxa"/>
                    <w:right w:w="0" w:type="dxa"/>
                  </w:tcMar>
                  <w:vAlign w:val="center"/>
                </w:tcPr>
                <w:p w14:paraId="3A8D66D8">
                  <w:pPr>
                    <w:jc w:val="center"/>
                    <w:rPr>
                      <w:rFonts w:hint="default"/>
                      <w:color w:val="auto"/>
                      <w:sz w:val="18"/>
                      <w:szCs w:val="18"/>
                      <w:lang w:val="en-US" w:eastAsia="zh-CN"/>
                    </w:rPr>
                  </w:pPr>
                  <w:r>
                    <w:rPr>
                      <w:rFonts w:hint="eastAsia"/>
                      <w:color w:val="auto"/>
                      <w:sz w:val="18"/>
                      <w:szCs w:val="18"/>
                      <w:lang w:val="en-US" w:eastAsia="zh-CN"/>
                    </w:rPr>
                    <w:t>危废仓库</w:t>
                  </w:r>
                </w:p>
              </w:tc>
              <w:tc>
                <w:tcPr>
                  <w:tcW w:w="308" w:type="pct"/>
                  <w:vMerge w:val="restart"/>
                  <w:noWrap w:val="0"/>
                  <w:tcMar>
                    <w:left w:w="0" w:type="dxa"/>
                    <w:right w:w="0" w:type="dxa"/>
                  </w:tcMar>
                  <w:vAlign w:val="center"/>
                </w:tcPr>
                <w:p w14:paraId="1EBE2C15">
                  <w:pPr>
                    <w:jc w:val="center"/>
                    <w:rPr>
                      <w:rFonts w:hint="default"/>
                      <w:color w:val="auto"/>
                      <w:sz w:val="18"/>
                      <w:szCs w:val="18"/>
                      <w:lang w:val="en-US" w:eastAsia="zh-CN"/>
                    </w:rPr>
                  </w:pPr>
                  <w:r>
                    <w:rPr>
                      <w:rFonts w:hint="eastAsia"/>
                      <w:color w:val="auto"/>
                      <w:sz w:val="18"/>
                      <w:szCs w:val="18"/>
                      <w:lang w:val="en-US" w:eastAsia="zh-CN"/>
                    </w:rPr>
                    <w:t>非甲烷总烃</w:t>
                  </w:r>
                </w:p>
              </w:tc>
              <w:tc>
                <w:tcPr>
                  <w:tcW w:w="332" w:type="pct"/>
                  <w:vMerge w:val="restart"/>
                  <w:noWrap w:val="0"/>
                  <w:tcMar>
                    <w:left w:w="0" w:type="dxa"/>
                    <w:right w:w="0" w:type="dxa"/>
                  </w:tcMar>
                  <w:vAlign w:val="center"/>
                </w:tcPr>
                <w:p w14:paraId="27EC962B">
                  <w:pPr>
                    <w:pStyle w:val="10"/>
                    <w:spacing w:line="240" w:lineRule="auto"/>
                    <w:ind w:firstLine="0" w:firstLineChars="0"/>
                    <w:jc w:val="center"/>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500</w:t>
                  </w:r>
                </w:p>
              </w:tc>
              <w:tc>
                <w:tcPr>
                  <w:tcW w:w="294" w:type="pct"/>
                  <w:noWrap w:val="0"/>
                  <w:tcMar>
                    <w:left w:w="0" w:type="dxa"/>
                    <w:right w:w="0" w:type="dxa"/>
                  </w:tcMar>
                  <w:vAlign w:val="center"/>
                </w:tcPr>
                <w:p w14:paraId="50746F7B">
                  <w:pPr>
                    <w:pStyle w:val="10"/>
                    <w:spacing w:line="240" w:lineRule="auto"/>
                    <w:ind w:firstLine="0" w:firstLineChars="0"/>
                    <w:jc w:val="center"/>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38.6</w:t>
                  </w:r>
                </w:p>
              </w:tc>
              <w:tc>
                <w:tcPr>
                  <w:tcW w:w="315" w:type="pct"/>
                  <w:noWrap w:val="0"/>
                  <w:tcMar>
                    <w:left w:w="0" w:type="dxa"/>
                    <w:right w:w="0" w:type="dxa"/>
                  </w:tcMar>
                  <w:vAlign w:val="center"/>
                </w:tcPr>
                <w:p w14:paraId="6B908E3B">
                  <w:pPr>
                    <w:pStyle w:val="10"/>
                    <w:spacing w:line="240" w:lineRule="auto"/>
                    <w:ind w:firstLine="0" w:firstLineChars="0"/>
                    <w:jc w:val="center"/>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0.0193</w:t>
                  </w:r>
                </w:p>
              </w:tc>
              <w:tc>
                <w:tcPr>
                  <w:tcW w:w="335" w:type="pct"/>
                  <w:noWrap w:val="0"/>
                  <w:tcMar>
                    <w:left w:w="0" w:type="dxa"/>
                    <w:right w:w="0" w:type="dxa"/>
                  </w:tcMar>
                  <w:vAlign w:val="center"/>
                </w:tcPr>
                <w:p w14:paraId="0BA3E0CE">
                  <w:pPr>
                    <w:spacing w:line="240" w:lineRule="auto"/>
                    <w:ind w:firstLine="0" w:firstLineChars="0"/>
                    <w:jc w:val="center"/>
                    <w:rPr>
                      <w:rFonts w:hint="default"/>
                      <w:color w:val="auto"/>
                      <w:sz w:val="18"/>
                      <w:szCs w:val="18"/>
                      <w:lang w:val="en-US" w:eastAsia="zh-CN"/>
                    </w:rPr>
                  </w:pPr>
                  <w:r>
                    <w:rPr>
                      <w:rFonts w:hint="eastAsia"/>
                      <w:color w:val="auto"/>
                      <w:sz w:val="18"/>
                      <w:szCs w:val="18"/>
                      <w:lang w:val="en-US" w:eastAsia="zh-CN"/>
                    </w:rPr>
                    <w:t>0.1693</w:t>
                  </w:r>
                </w:p>
              </w:tc>
              <w:tc>
                <w:tcPr>
                  <w:tcW w:w="324" w:type="pct"/>
                  <w:vMerge w:val="restart"/>
                  <w:noWrap w:val="0"/>
                  <w:tcMar>
                    <w:left w:w="0" w:type="dxa"/>
                    <w:right w:w="0" w:type="dxa"/>
                  </w:tcMar>
                  <w:vAlign w:val="center"/>
                </w:tcPr>
                <w:p w14:paraId="3B90981B">
                  <w:pPr>
                    <w:pStyle w:val="1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80</w:t>
                  </w:r>
                </w:p>
              </w:tc>
              <w:tc>
                <w:tcPr>
                  <w:tcW w:w="185" w:type="pct"/>
                  <w:vMerge w:val="restart"/>
                  <w:noWrap w:val="0"/>
                  <w:tcMar>
                    <w:left w:w="0" w:type="dxa"/>
                    <w:right w:w="0" w:type="dxa"/>
                  </w:tcMar>
                  <w:vAlign w:val="center"/>
                </w:tcPr>
                <w:p w14:paraId="6989286B">
                  <w:pPr>
                    <w:pStyle w:val="1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活性炭吸附</w:t>
                  </w:r>
                </w:p>
              </w:tc>
              <w:tc>
                <w:tcPr>
                  <w:tcW w:w="324" w:type="pct"/>
                  <w:vMerge w:val="restart"/>
                  <w:noWrap w:val="0"/>
                  <w:tcMar>
                    <w:left w:w="0" w:type="dxa"/>
                    <w:right w:w="0" w:type="dxa"/>
                  </w:tcMar>
                  <w:vAlign w:val="center"/>
                </w:tcPr>
                <w:p w14:paraId="723221BC">
                  <w:pPr>
                    <w:pStyle w:val="10"/>
                    <w:spacing w:line="240" w:lineRule="auto"/>
                    <w:ind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70</w:t>
                  </w:r>
                </w:p>
              </w:tc>
              <w:tc>
                <w:tcPr>
                  <w:tcW w:w="237" w:type="pct"/>
                  <w:noWrap w:val="0"/>
                  <w:tcMar>
                    <w:left w:w="0" w:type="dxa"/>
                    <w:right w:w="0" w:type="dxa"/>
                  </w:tcMar>
                  <w:vAlign w:val="center"/>
                </w:tcPr>
                <w:p w14:paraId="0104702F">
                  <w:pPr>
                    <w:pStyle w:val="10"/>
                    <w:spacing w:line="240" w:lineRule="auto"/>
                    <w:ind w:firstLine="0" w:firstLineChars="0"/>
                    <w:jc w:val="center"/>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11.6</w:t>
                  </w:r>
                </w:p>
              </w:tc>
              <w:tc>
                <w:tcPr>
                  <w:tcW w:w="296" w:type="pct"/>
                  <w:noWrap w:val="0"/>
                  <w:tcMar>
                    <w:left w:w="0" w:type="dxa"/>
                    <w:right w:w="0" w:type="dxa"/>
                  </w:tcMar>
                  <w:vAlign w:val="center"/>
                </w:tcPr>
                <w:p w14:paraId="1B6BC814">
                  <w:pPr>
                    <w:pStyle w:val="10"/>
                    <w:spacing w:line="240" w:lineRule="auto"/>
                    <w:ind w:firstLine="0" w:firstLineChars="0"/>
                    <w:jc w:val="center"/>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0.0058</w:t>
                  </w:r>
                </w:p>
              </w:tc>
              <w:tc>
                <w:tcPr>
                  <w:tcW w:w="335" w:type="pct"/>
                  <w:noWrap w:val="0"/>
                  <w:tcMar>
                    <w:left w:w="0" w:type="dxa"/>
                    <w:right w:w="0" w:type="dxa"/>
                  </w:tcMar>
                  <w:vAlign w:val="center"/>
                </w:tcPr>
                <w:p w14:paraId="51CAAD48">
                  <w:pPr>
                    <w:spacing w:line="240" w:lineRule="auto"/>
                    <w:ind w:firstLine="0" w:firstLineChars="0"/>
                    <w:jc w:val="center"/>
                    <w:rPr>
                      <w:rFonts w:hint="default"/>
                      <w:color w:val="auto"/>
                      <w:sz w:val="18"/>
                      <w:szCs w:val="18"/>
                      <w:lang w:val="en-US" w:eastAsia="zh-CN"/>
                    </w:rPr>
                  </w:pPr>
                  <w:r>
                    <w:rPr>
                      <w:rFonts w:hint="eastAsia"/>
                      <w:color w:val="auto"/>
                      <w:sz w:val="18"/>
                      <w:szCs w:val="18"/>
                      <w:lang w:val="en-US" w:eastAsia="zh-CN"/>
                    </w:rPr>
                    <w:t>0.0508</w:t>
                  </w:r>
                </w:p>
              </w:tc>
              <w:tc>
                <w:tcPr>
                  <w:tcW w:w="381" w:type="pct"/>
                  <w:vMerge w:val="restart"/>
                  <w:noWrap w:val="0"/>
                  <w:tcMar>
                    <w:left w:w="0" w:type="dxa"/>
                    <w:right w:w="0" w:type="dxa"/>
                  </w:tcMar>
                  <w:vAlign w:val="center"/>
                </w:tcPr>
                <w:p w14:paraId="1F9E3C37">
                  <w:pPr>
                    <w:spacing w:line="240" w:lineRule="auto"/>
                    <w:ind w:firstLine="0" w:firstLineChars="0"/>
                    <w:jc w:val="center"/>
                    <w:rPr>
                      <w:rFonts w:hint="default"/>
                      <w:color w:val="auto"/>
                      <w:sz w:val="18"/>
                      <w:szCs w:val="18"/>
                      <w:lang w:val="en-US" w:eastAsia="zh-CN"/>
                    </w:rPr>
                  </w:pPr>
                  <w:r>
                    <w:rPr>
                      <w:rFonts w:hint="eastAsia"/>
                      <w:color w:val="auto"/>
                      <w:sz w:val="18"/>
                      <w:szCs w:val="18"/>
                      <w:lang w:val="en-US" w:eastAsia="zh-CN"/>
                    </w:rPr>
                    <w:t>40</w:t>
                  </w:r>
                </w:p>
              </w:tc>
              <w:tc>
                <w:tcPr>
                  <w:tcW w:w="415" w:type="pct"/>
                  <w:vMerge w:val="restart"/>
                  <w:noWrap w:val="0"/>
                  <w:tcMar>
                    <w:left w:w="0" w:type="dxa"/>
                    <w:right w:w="0" w:type="dxa"/>
                  </w:tcMar>
                  <w:vAlign w:val="center"/>
                </w:tcPr>
                <w:p w14:paraId="2713BC21">
                  <w:pPr>
                    <w:spacing w:line="240" w:lineRule="auto"/>
                    <w:ind w:firstLine="0" w:firstLineChars="0"/>
                    <w:jc w:val="center"/>
                    <w:rPr>
                      <w:rFonts w:hint="default"/>
                      <w:color w:val="auto"/>
                      <w:sz w:val="18"/>
                      <w:szCs w:val="18"/>
                      <w:lang w:val="en-US" w:eastAsia="zh-CN"/>
                    </w:rPr>
                  </w:pPr>
                  <w:r>
                    <w:rPr>
                      <w:rFonts w:hint="eastAsia"/>
                      <w:color w:val="auto"/>
                      <w:sz w:val="18"/>
                      <w:szCs w:val="18"/>
                      <w:lang w:val="en-US" w:eastAsia="zh-CN"/>
                    </w:rPr>
                    <w:t>1.8</w:t>
                  </w:r>
                </w:p>
              </w:tc>
            </w:tr>
            <w:tr w14:paraId="38E883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32" w:hRule="atLeast"/>
                <w:jc w:val="center"/>
              </w:trPr>
              <w:tc>
                <w:tcPr>
                  <w:tcW w:w="432" w:type="pct"/>
                  <w:vMerge w:val="continue"/>
                  <w:noWrap w:val="0"/>
                  <w:vAlign w:val="center"/>
                </w:tcPr>
                <w:p w14:paraId="7B5E6E2C">
                  <w:pPr>
                    <w:pStyle w:val="10"/>
                    <w:spacing w:line="240" w:lineRule="auto"/>
                    <w:ind w:firstLine="0" w:firstLineChars="0"/>
                    <w:jc w:val="center"/>
                    <w:rPr>
                      <w:rFonts w:hint="eastAsia" w:ascii="Times New Roman" w:hAnsi="Times New Roman"/>
                      <w:color w:val="auto"/>
                      <w:sz w:val="18"/>
                      <w:szCs w:val="18"/>
                      <w:lang w:val="en-US" w:eastAsia="zh-CN"/>
                    </w:rPr>
                  </w:pPr>
                </w:p>
              </w:tc>
              <w:tc>
                <w:tcPr>
                  <w:tcW w:w="230" w:type="pct"/>
                  <w:noWrap w:val="0"/>
                  <w:vAlign w:val="center"/>
                </w:tcPr>
                <w:p w14:paraId="03BEF549">
                  <w:pPr>
                    <w:pStyle w:val="10"/>
                    <w:spacing w:line="240" w:lineRule="auto"/>
                    <w:ind w:firstLine="0" w:firstLineChars="0"/>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本次</w:t>
                  </w:r>
                </w:p>
              </w:tc>
              <w:tc>
                <w:tcPr>
                  <w:tcW w:w="250" w:type="pct"/>
                  <w:vMerge w:val="continue"/>
                  <w:noWrap w:val="0"/>
                  <w:tcMar>
                    <w:left w:w="0" w:type="dxa"/>
                    <w:right w:w="0" w:type="dxa"/>
                  </w:tcMar>
                  <w:vAlign w:val="center"/>
                </w:tcPr>
                <w:p w14:paraId="00B292F1">
                  <w:pPr>
                    <w:jc w:val="center"/>
                    <w:rPr>
                      <w:rFonts w:hint="eastAsia"/>
                      <w:color w:val="auto"/>
                      <w:sz w:val="18"/>
                      <w:szCs w:val="18"/>
                      <w:lang w:val="en-US" w:eastAsia="zh-CN"/>
                    </w:rPr>
                  </w:pPr>
                </w:p>
              </w:tc>
              <w:tc>
                <w:tcPr>
                  <w:tcW w:w="308" w:type="pct"/>
                  <w:vMerge w:val="continue"/>
                  <w:noWrap w:val="0"/>
                  <w:tcMar>
                    <w:left w:w="0" w:type="dxa"/>
                    <w:right w:w="0" w:type="dxa"/>
                  </w:tcMar>
                  <w:vAlign w:val="center"/>
                </w:tcPr>
                <w:p w14:paraId="486F38A2">
                  <w:pPr>
                    <w:jc w:val="center"/>
                    <w:rPr>
                      <w:rFonts w:hint="eastAsia"/>
                      <w:color w:val="auto"/>
                      <w:sz w:val="18"/>
                      <w:szCs w:val="18"/>
                      <w:lang w:val="en-US" w:eastAsia="zh-CN"/>
                    </w:rPr>
                  </w:pPr>
                </w:p>
              </w:tc>
              <w:tc>
                <w:tcPr>
                  <w:tcW w:w="332" w:type="pct"/>
                  <w:vMerge w:val="continue"/>
                  <w:noWrap w:val="0"/>
                  <w:tcMar>
                    <w:left w:w="0" w:type="dxa"/>
                    <w:right w:w="0" w:type="dxa"/>
                  </w:tcMar>
                  <w:vAlign w:val="center"/>
                </w:tcPr>
                <w:p w14:paraId="0EFF18B8">
                  <w:pPr>
                    <w:pStyle w:val="10"/>
                    <w:spacing w:line="240" w:lineRule="auto"/>
                    <w:ind w:firstLine="0" w:firstLineChars="0"/>
                    <w:jc w:val="center"/>
                    <w:rPr>
                      <w:rFonts w:hint="eastAsia" w:ascii="Times New Roman" w:hAnsi="Times New Roman"/>
                      <w:color w:val="auto"/>
                      <w:sz w:val="18"/>
                      <w:szCs w:val="18"/>
                      <w:lang w:val="en-US" w:eastAsia="zh-CN"/>
                    </w:rPr>
                  </w:pPr>
                </w:p>
              </w:tc>
              <w:tc>
                <w:tcPr>
                  <w:tcW w:w="507" w:type="dxa"/>
                  <w:noWrap w:val="0"/>
                  <w:tcMar>
                    <w:left w:w="0" w:type="dxa"/>
                    <w:right w:w="0" w:type="dxa"/>
                  </w:tcMar>
                  <w:vAlign w:val="center"/>
                </w:tcPr>
                <w:p w14:paraId="6B9FF3B1">
                  <w:pPr>
                    <w:pStyle w:val="10"/>
                    <w:spacing w:line="240" w:lineRule="auto"/>
                    <w:ind w:firstLine="0" w:firstLineChars="0"/>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3.2</w:t>
                  </w:r>
                </w:p>
              </w:tc>
              <w:tc>
                <w:tcPr>
                  <w:tcW w:w="543" w:type="dxa"/>
                  <w:noWrap w:val="0"/>
                  <w:tcMar>
                    <w:left w:w="0" w:type="dxa"/>
                    <w:right w:w="0" w:type="dxa"/>
                  </w:tcMar>
                  <w:vAlign w:val="center"/>
                </w:tcPr>
                <w:p w14:paraId="3C50FDDD">
                  <w:pPr>
                    <w:pStyle w:val="10"/>
                    <w:spacing w:line="240" w:lineRule="auto"/>
                    <w:ind w:firstLine="0" w:firstLineChars="0"/>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0.0016</w:t>
                  </w:r>
                </w:p>
              </w:tc>
              <w:tc>
                <w:tcPr>
                  <w:tcW w:w="579" w:type="dxa"/>
                  <w:noWrap w:val="0"/>
                  <w:tcMar>
                    <w:left w:w="0" w:type="dxa"/>
                    <w:right w:w="0" w:type="dxa"/>
                  </w:tcMar>
                  <w:vAlign w:val="center"/>
                </w:tcPr>
                <w:p w14:paraId="0A013459">
                  <w:pPr>
                    <w:spacing w:line="240" w:lineRule="auto"/>
                    <w:ind w:firstLine="0" w:firstLineChars="0"/>
                    <w:jc w:val="center"/>
                    <w:rPr>
                      <w:rFonts w:hint="eastAsia"/>
                      <w:color w:val="auto"/>
                      <w:sz w:val="18"/>
                      <w:szCs w:val="18"/>
                      <w:lang w:val="en-US" w:eastAsia="zh-CN"/>
                    </w:rPr>
                  </w:pPr>
                  <w:r>
                    <w:rPr>
                      <w:rFonts w:hint="eastAsia"/>
                      <w:color w:val="auto"/>
                      <w:sz w:val="18"/>
                      <w:szCs w:val="18"/>
                      <w:lang w:val="en-US" w:eastAsia="zh-CN"/>
                    </w:rPr>
                    <w:t>0.0142</w:t>
                  </w:r>
                </w:p>
              </w:tc>
              <w:tc>
                <w:tcPr>
                  <w:tcW w:w="324" w:type="pct"/>
                  <w:vMerge w:val="continue"/>
                  <w:noWrap w:val="0"/>
                  <w:tcMar>
                    <w:left w:w="0" w:type="dxa"/>
                    <w:right w:w="0" w:type="dxa"/>
                  </w:tcMar>
                  <w:vAlign w:val="center"/>
                </w:tcPr>
                <w:p w14:paraId="7624A1B4">
                  <w:pPr>
                    <w:pStyle w:val="10"/>
                    <w:spacing w:line="240" w:lineRule="auto"/>
                    <w:ind w:firstLine="0" w:firstLineChars="0"/>
                    <w:jc w:val="center"/>
                    <w:rPr>
                      <w:rFonts w:hint="eastAsia" w:ascii="Times New Roman" w:hAnsi="Times New Roman" w:cs="Times New Roman"/>
                      <w:color w:val="auto"/>
                      <w:sz w:val="18"/>
                      <w:szCs w:val="18"/>
                      <w:lang w:val="en-US" w:eastAsia="zh-CN"/>
                    </w:rPr>
                  </w:pPr>
                </w:p>
              </w:tc>
              <w:tc>
                <w:tcPr>
                  <w:tcW w:w="185" w:type="pct"/>
                  <w:vMerge w:val="continue"/>
                  <w:noWrap w:val="0"/>
                  <w:tcMar>
                    <w:left w:w="0" w:type="dxa"/>
                    <w:right w:w="0" w:type="dxa"/>
                  </w:tcMar>
                  <w:vAlign w:val="center"/>
                </w:tcPr>
                <w:p w14:paraId="01EB2F83">
                  <w:pPr>
                    <w:pStyle w:val="10"/>
                    <w:spacing w:line="240" w:lineRule="auto"/>
                    <w:ind w:firstLine="0" w:firstLineChars="0"/>
                    <w:jc w:val="center"/>
                    <w:rPr>
                      <w:rFonts w:hint="eastAsia" w:ascii="Times New Roman" w:hAnsi="Times New Roman" w:cs="Times New Roman"/>
                      <w:color w:val="auto"/>
                      <w:sz w:val="18"/>
                      <w:szCs w:val="18"/>
                      <w:lang w:val="en-US" w:eastAsia="zh-CN"/>
                    </w:rPr>
                  </w:pPr>
                </w:p>
              </w:tc>
              <w:tc>
                <w:tcPr>
                  <w:tcW w:w="324" w:type="pct"/>
                  <w:vMerge w:val="continue"/>
                  <w:noWrap w:val="0"/>
                  <w:tcMar>
                    <w:left w:w="0" w:type="dxa"/>
                    <w:right w:w="0" w:type="dxa"/>
                  </w:tcMar>
                  <w:vAlign w:val="center"/>
                </w:tcPr>
                <w:p w14:paraId="2FD446CF">
                  <w:pPr>
                    <w:pStyle w:val="10"/>
                    <w:spacing w:line="240" w:lineRule="auto"/>
                    <w:ind w:firstLine="0" w:firstLineChars="0"/>
                    <w:jc w:val="center"/>
                    <w:rPr>
                      <w:rFonts w:hint="eastAsia" w:ascii="Times New Roman" w:hAnsi="Times New Roman" w:cs="Times New Roman"/>
                      <w:color w:val="auto"/>
                      <w:sz w:val="18"/>
                      <w:szCs w:val="18"/>
                      <w:lang w:val="en-US" w:eastAsia="zh-CN"/>
                    </w:rPr>
                  </w:pPr>
                </w:p>
              </w:tc>
              <w:tc>
                <w:tcPr>
                  <w:tcW w:w="409" w:type="dxa"/>
                  <w:noWrap w:val="0"/>
                  <w:tcMar>
                    <w:left w:w="0" w:type="dxa"/>
                    <w:right w:w="0" w:type="dxa"/>
                  </w:tcMar>
                  <w:vAlign w:val="center"/>
                </w:tcPr>
                <w:p w14:paraId="2A0022C5">
                  <w:pPr>
                    <w:pStyle w:val="10"/>
                    <w:spacing w:line="240" w:lineRule="auto"/>
                    <w:ind w:firstLine="0" w:firstLineChars="0"/>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1</w:t>
                  </w:r>
                </w:p>
              </w:tc>
              <w:tc>
                <w:tcPr>
                  <w:tcW w:w="510" w:type="dxa"/>
                  <w:noWrap w:val="0"/>
                  <w:tcMar>
                    <w:left w:w="0" w:type="dxa"/>
                    <w:right w:w="0" w:type="dxa"/>
                  </w:tcMar>
                  <w:vAlign w:val="center"/>
                </w:tcPr>
                <w:p w14:paraId="1A2510C4">
                  <w:pPr>
                    <w:pStyle w:val="10"/>
                    <w:spacing w:line="240" w:lineRule="auto"/>
                    <w:ind w:firstLine="0" w:firstLineChars="0"/>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0.0005</w:t>
                  </w:r>
                </w:p>
              </w:tc>
              <w:tc>
                <w:tcPr>
                  <w:tcW w:w="581" w:type="dxa"/>
                  <w:noWrap w:val="0"/>
                  <w:tcMar>
                    <w:left w:w="0" w:type="dxa"/>
                    <w:right w:w="0" w:type="dxa"/>
                  </w:tcMar>
                  <w:vAlign w:val="center"/>
                </w:tcPr>
                <w:p w14:paraId="44167F0E">
                  <w:pPr>
                    <w:spacing w:line="240" w:lineRule="auto"/>
                    <w:ind w:firstLine="0" w:firstLineChars="0"/>
                    <w:jc w:val="center"/>
                    <w:rPr>
                      <w:rFonts w:hint="eastAsia"/>
                      <w:color w:val="auto"/>
                      <w:sz w:val="18"/>
                      <w:szCs w:val="18"/>
                      <w:lang w:val="en-US" w:eastAsia="zh-CN"/>
                    </w:rPr>
                  </w:pPr>
                  <w:r>
                    <w:rPr>
                      <w:rFonts w:hint="eastAsia"/>
                      <w:color w:val="auto"/>
                      <w:sz w:val="18"/>
                      <w:szCs w:val="18"/>
                      <w:lang w:val="en-US" w:eastAsia="zh-CN"/>
                    </w:rPr>
                    <w:t>0.0043</w:t>
                  </w:r>
                </w:p>
              </w:tc>
              <w:tc>
                <w:tcPr>
                  <w:tcW w:w="381" w:type="pct"/>
                  <w:vMerge w:val="continue"/>
                  <w:noWrap w:val="0"/>
                  <w:tcMar>
                    <w:left w:w="0" w:type="dxa"/>
                    <w:right w:w="0" w:type="dxa"/>
                  </w:tcMar>
                  <w:vAlign w:val="center"/>
                </w:tcPr>
                <w:p w14:paraId="3E948939">
                  <w:pPr>
                    <w:spacing w:line="240" w:lineRule="auto"/>
                    <w:ind w:firstLine="0" w:firstLineChars="0"/>
                    <w:jc w:val="center"/>
                    <w:rPr>
                      <w:rFonts w:hint="eastAsia"/>
                      <w:color w:val="auto"/>
                      <w:sz w:val="18"/>
                      <w:szCs w:val="18"/>
                      <w:lang w:val="en-US" w:eastAsia="zh-CN"/>
                    </w:rPr>
                  </w:pPr>
                </w:p>
              </w:tc>
              <w:tc>
                <w:tcPr>
                  <w:tcW w:w="415" w:type="pct"/>
                  <w:vMerge w:val="continue"/>
                  <w:noWrap w:val="0"/>
                  <w:tcMar>
                    <w:left w:w="0" w:type="dxa"/>
                    <w:right w:w="0" w:type="dxa"/>
                  </w:tcMar>
                  <w:vAlign w:val="center"/>
                </w:tcPr>
                <w:p w14:paraId="52856F63">
                  <w:pPr>
                    <w:spacing w:line="240" w:lineRule="auto"/>
                    <w:ind w:firstLine="0" w:firstLineChars="0"/>
                    <w:jc w:val="center"/>
                    <w:rPr>
                      <w:rFonts w:hint="eastAsia"/>
                      <w:color w:val="auto"/>
                      <w:sz w:val="18"/>
                      <w:szCs w:val="18"/>
                      <w:lang w:val="en-US" w:eastAsia="zh-CN"/>
                    </w:rPr>
                  </w:pPr>
                </w:p>
              </w:tc>
            </w:tr>
            <w:tr w14:paraId="47110F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32" w:hRule="atLeast"/>
                <w:jc w:val="center"/>
              </w:trPr>
              <w:tc>
                <w:tcPr>
                  <w:tcW w:w="432" w:type="pct"/>
                  <w:vMerge w:val="continue"/>
                  <w:noWrap w:val="0"/>
                  <w:vAlign w:val="center"/>
                </w:tcPr>
                <w:p w14:paraId="0F70BA98">
                  <w:pPr>
                    <w:pStyle w:val="10"/>
                    <w:spacing w:line="240" w:lineRule="auto"/>
                    <w:ind w:firstLine="0" w:firstLineChars="0"/>
                    <w:jc w:val="center"/>
                    <w:rPr>
                      <w:rFonts w:hint="eastAsia" w:ascii="Times New Roman" w:hAnsi="Times New Roman"/>
                      <w:color w:val="auto"/>
                      <w:sz w:val="18"/>
                      <w:szCs w:val="18"/>
                      <w:lang w:val="en-US" w:eastAsia="zh-CN"/>
                    </w:rPr>
                  </w:pPr>
                </w:p>
              </w:tc>
              <w:tc>
                <w:tcPr>
                  <w:tcW w:w="230" w:type="pct"/>
                  <w:noWrap w:val="0"/>
                  <w:vAlign w:val="center"/>
                </w:tcPr>
                <w:p w14:paraId="0550DC5A">
                  <w:pPr>
                    <w:pStyle w:val="10"/>
                    <w:spacing w:line="240" w:lineRule="auto"/>
                    <w:ind w:firstLine="0" w:firstLineChars="0"/>
                    <w:jc w:val="center"/>
                    <w:rPr>
                      <w:rFonts w:hint="eastAsia" w:ascii="Times New Roman" w:hAnsi="Times New Roman"/>
                      <w:color w:val="auto"/>
                      <w:sz w:val="18"/>
                      <w:szCs w:val="18"/>
                      <w:lang w:val="en-US" w:eastAsia="zh-CN"/>
                    </w:rPr>
                  </w:pPr>
                  <w:r>
                    <w:rPr>
                      <w:rFonts w:hint="eastAsia" w:ascii="Times New Roman" w:hAnsi="Times New Roman"/>
                      <w:color w:val="auto"/>
                      <w:sz w:val="18"/>
                      <w:szCs w:val="18"/>
                      <w:lang w:val="en-US" w:eastAsia="zh-CN"/>
                    </w:rPr>
                    <w:t>合计</w:t>
                  </w:r>
                </w:p>
              </w:tc>
              <w:tc>
                <w:tcPr>
                  <w:tcW w:w="250" w:type="pct"/>
                  <w:vMerge w:val="continue"/>
                  <w:noWrap w:val="0"/>
                  <w:tcMar>
                    <w:left w:w="0" w:type="dxa"/>
                    <w:right w:w="0" w:type="dxa"/>
                  </w:tcMar>
                  <w:vAlign w:val="center"/>
                </w:tcPr>
                <w:p w14:paraId="39934A24">
                  <w:pPr>
                    <w:jc w:val="center"/>
                    <w:rPr>
                      <w:rFonts w:hint="eastAsia"/>
                      <w:color w:val="auto"/>
                      <w:sz w:val="18"/>
                      <w:szCs w:val="18"/>
                      <w:lang w:val="en-US" w:eastAsia="zh-CN"/>
                    </w:rPr>
                  </w:pPr>
                </w:p>
              </w:tc>
              <w:tc>
                <w:tcPr>
                  <w:tcW w:w="308" w:type="pct"/>
                  <w:vMerge w:val="continue"/>
                  <w:noWrap w:val="0"/>
                  <w:tcMar>
                    <w:left w:w="0" w:type="dxa"/>
                    <w:right w:w="0" w:type="dxa"/>
                  </w:tcMar>
                  <w:vAlign w:val="center"/>
                </w:tcPr>
                <w:p w14:paraId="37364F16">
                  <w:pPr>
                    <w:jc w:val="center"/>
                    <w:rPr>
                      <w:rFonts w:hint="eastAsia"/>
                      <w:color w:val="auto"/>
                      <w:sz w:val="18"/>
                      <w:szCs w:val="18"/>
                      <w:lang w:val="en-US" w:eastAsia="zh-CN"/>
                    </w:rPr>
                  </w:pPr>
                </w:p>
              </w:tc>
              <w:tc>
                <w:tcPr>
                  <w:tcW w:w="332" w:type="pct"/>
                  <w:vMerge w:val="continue"/>
                  <w:noWrap w:val="0"/>
                  <w:tcMar>
                    <w:left w:w="0" w:type="dxa"/>
                    <w:right w:w="0" w:type="dxa"/>
                  </w:tcMar>
                  <w:vAlign w:val="center"/>
                </w:tcPr>
                <w:p w14:paraId="0484E2E9">
                  <w:pPr>
                    <w:pStyle w:val="10"/>
                    <w:spacing w:line="240" w:lineRule="auto"/>
                    <w:ind w:firstLine="0" w:firstLineChars="0"/>
                    <w:jc w:val="center"/>
                    <w:rPr>
                      <w:rFonts w:hint="eastAsia" w:ascii="Times New Roman" w:hAnsi="Times New Roman"/>
                      <w:color w:val="auto"/>
                      <w:sz w:val="18"/>
                      <w:szCs w:val="18"/>
                      <w:lang w:val="en-US" w:eastAsia="zh-CN"/>
                    </w:rPr>
                  </w:pPr>
                </w:p>
              </w:tc>
              <w:tc>
                <w:tcPr>
                  <w:tcW w:w="294" w:type="pct"/>
                  <w:noWrap w:val="0"/>
                  <w:tcMar>
                    <w:left w:w="0" w:type="dxa"/>
                    <w:right w:w="0" w:type="dxa"/>
                  </w:tcMar>
                  <w:vAlign w:val="center"/>
                </w:tcPr>
                <w:p w14:paraId="479F8846">
                  <w:pPr>
                    <w:pStyle w:val="10"/>
                    <w:spacing w:line="240" w:lineRule="auto"/>
                    <w:ind w:firstLine="0" w:firstLineChars="0"/>
                    <w:jc w:val="center"/>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41.8</w:t>
                  </w:r>
                </w:p>
              </w:tc>
              <w:tc>
                <w:tcPr>
                  <w:tcW w:w="315" w:type="pct"/>
                  <w:noWrap w:val="0"/>
                  <w:tcMar>
                    <w:left w:w="0" w:type="dxa"/>
                    <w:right w:w="0" w:type="dxa"/>
                  </w:tcMar>
                  <w:vAlign w:val="center"/>
                </w:tcPr>
                <w:p w14:paraId="65C26672">
                  <w:pPr>
                    <w:pStyle w:val="10"/>
                    <w:spacing w:line="240" w:lineRule="auto"/>
                    <w:ind w:firstLine="0" w:firstLineChars="0"/>
                    <w:jc w:val="center"/>
                    <w:rPr>
                      <w:rFonts w:hint="default" w:ascii="Times New Roman" w:hAnsi="Times New Roman"/>
                      <w:color w:val="auto"/>
                      <w:sz w:val="18"/>
                      <w:szCs w:val="18"/>
                      <w:lang w:val="en-US" w:eastAsia="zh-CN"/>
                    </w:rPr>
                  </w:pPr>
                  <w:r>
                    <w:rPr>
                      <w:rFonts w:hint="eastAsia" w:ascii="Times New Roman" w:hAnsi="Times New Roman"/>
                      <w:color w:val="auto"/>
                      <w:sz w:val="18"/>
                      <w:szCs w:val="18"/>
                      <w:lang w:val="en-US" w:eastAsia="zh-CN"/>
                    </w:rPr>
                    <w:t>0.0209</w:t>
                  </w:r>
                </w:p>
              </w:tc>
              <w:tc>
                <w:tcPr>
                  <w:tcW w:w="335" w:type="pct"/>
                  <w:noWrap w:val="0"/>
                  <w:tcMar>
                    <w:left w:w="0" w:type="dxa"/>
                    <w:right w:w="0" w:type="dxa"/>
                  </w:tcMar>
                  <w:vAlign w:val="center"/>
                </w:tcPr>
                <w:p w14:paraId="24F9CC93">
                  <w:pPr>
                    <w:spacing w:line="240" w:lineRule="auto"/>
                    <w:ind w:firstLine="0" w:firstLineChars="0"/>
                    <w:jc w:val="center"/>
                    <w:rPr>
                      <w:rFonts w:hint="default"/>
                      <w:color w:val="auto"/>
                      <w:sz w:val="18"/>
                      <w:szCs w:val="18"/>
                      <w:lang w:val="en-US" w:eastAsia="zh-CN"/>
                    </w:rPr>
                  </w:pPr>
                  <w:r>
                    <w:rPr>
                      <w:rFonts w:hint="eastAsia"/>
                      <w:color w:val="auto"/>
                      <w:sz w:val="18"/>
                      <w:szCs w:val="18"/>
                      <w:lang w:val="en-US" w:eastAsia="zh-CN"/>
                    </w:rPr>
                    <w:t>0.1835</w:t>
                  </w:r>
                </w:p>
              </w:tc>
              <w:tc>
                <w:tcPr>
                  <w:tcW w:w="324" w:type="pct"/>
                  <w:vMerge w:val="continue"/>
                  <w:noWrap w:val="0"/>
                  <w:tcMar>
                    <w:left w:w="0" w:type="dxa"/>
                    <w:right w:w="0" w:type="dxa"/>
                  </w:tcMar>
                  <w:vAlign w:val="center"/>
                </w:tcPr>
                <w:p w14:paraId="55BB7ED8">
                  <w:pPr>
                    <w:pStyle w:val="10"/>
                    <w:spacing w:line="240" w:lineRule="auto"/>
                    <w:ind w:firstLine="0" w:firstLineChars="0"/>
                    <w:jc w:val="center"/>
                    <w:rPr>
                      <w:rFonts w:hint="eastAsia" w:ascii="Times New Roman" w:hAnsi="Times New Roman" w:cs="Times New Roman"/>
                      <w:color w:val="auto"/>
                      <w:sz w:val="18"/>
                      <w:szCs w:val="18"/>
                      <w:lang w:val="en-US" w:eastAsia="zh-CN"/>
                    </w:rPr>
                  </w:pPr>
                </w:p>
              </w:tc>
              <w:tc>
                <w:tcPr>
                  <w:tcW w:w="185" w:type="pct"/>
                  <w:vMerge w:val="continue"/>
                  <w:noWrap w:val="0"/>
                  <w:tcMar>
                    <w:left w:w="0" w:type="dxa"/>
                    <w:right w:w="0" w:type="dxa"/>
                  </w:tcMar>
                  <w:vAlign w:val="center"/>
                </w:tcPr>
                <w:p w14:paraId="4E0FC127">
                  <w:pPr>
                    <w:pStyle w:val="10"/>
                    <w:spacing w:line="240" w:lineRule="auto"/>
                    <w:ind w:firstLine="0" w:firstLineChars="0"/>
                    <w:jc w:val="center"/>
                    <w:rPr>
                      <w:rFonts w:hint="eastAsia" w:ascii="Times New Roman" w:hAnsi="Times New Roman" w:cs="Times New Roman"/>
                      <w:color w:val="auto"/>
                      <w:sz w:val="18"/>
                      <w:szCs w:val="18"/>
                      <w:lang w:val="en-US" w:eastAsia="zh-CN"/>
                    </w:rPr>
                  </w:pPr>
                </w:p>
              </w:tc>
              <w:tc>
                <w:tcPr>
                  <w:tcW w:w="324" w:type="pct"/>
                  <w:vMerge w:val="continue"/>
                  <w:noWrap w:val="0"/>
                  <w:tcMar>
                    <w:left w:w="0" w:type="dxa"/>
                    <w:right w:w="0" w:type="dxa"/>
                  </w:tcMar>
                  <w:vAlign w:val="center"/>
                </w:tcPr>
                <w:p w14:paraId="1F4B8260">
                  <w:pPr>
                    <w:pStyle w:val="10"/>
                    <w:spacing w:line="240" w:lineRule="auto"/>
                    <w:ind w:firstLine="0" w:firstLineChars="0"/>
                    <w:jc w:val="center"/>
                    <w:rPr>
                      <w:rFonts w:hint="eastAsia" w:ascii="Times New Roman" w:hAnsi="Times New Roman" w:cs="Times New Roman"/>
                      <w:color w:val="auto"/>
                      <w:sz w:val="18"/>
                      <w:szCs w:val="18"/>
                      <w:lang w:val="en-US" w:eastAsia="zh-CN"/>
                    </w:rPr>
                  </w:pPr>
                </w:p>
              </w:tc>
              <w:tc>
                <w:tcPr>
                  <w:tcW w:w="237" w:type="pct"/>
                  <w:noWrap w:val="0"/>
                  <w:tcMar>
                    <w:left w:w="0" w:type="dxa"/>
                    <w:right w:w="0" w:type="dxa"/>
                  </w:tcMar>
                  <w:vAlign w:val="center"/>
                </w:tcPr>
                <w:p w14:paraId="55A10432">
                  <w:pPr>
                    <w:pStyle w:val="10"/>
                    <w:spacing w:line="240" w:lineRule="auto"/>
                    <w:ind w:firstLine="0" w:firstLineChars="0"/>
                    <w:jc w:val="center"/>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12.6</w:t>
                  </w:r>
                </w:p>
              </w:tc>
              <w:tc>
                <w:tcPr>
                  <w:tcW w:w="296" w:type="pct"/>
                  <w:noWrap w:val="0"/>
                  <w:tcMar>
                    <w:left w:w="0" w:type="dxa"/>
                    <w:right w:w="0" w:type="dxa"/>
                  </w:tcMar>
                  <w:vAlign w:val="center"/>
                </w:tcPr>
                <w:p w14:paraId="77259593">
                  <w:pPr>
                    <w:pStyle w:val="10"/>
                    <w:spacing w:line="240" w:lineRule="auto"/>
                    <w:ind w:firstLine="0" w:firstLineChars="0"/>
                    <w:jc w:val="center"/>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0.0063</w:t>
                  </w:r>
                </w:p>
              </w:tc>
              <w:tc>
                <w:tcPr>
                  <w:tcW w:w="335" w:type="pct"/>
                  <w:noWrap w:val="0"/>
                  <w:tcMar>
                    <w:left w:w="0" w:type="dxa"/>
                    <w:right w:w="0" w:type="dxa"/>
                  </w:tcMar>
                  <w:vAlign w:val="center"/>
                </w:tcPr>
                <w:p w14:paraId="558F3952">
                  <w:pPr>
                    <w:spacing w:line="240" w:lineRule="auto"/>
                    <w:ind w:firstLine="0" w:firstLineChars="0"/>
                    <w:jc w:val="center"/>
                    <w:rPr>
                      <w:rFonts w:hint="default"/>
                      <w:color w:val="auto"/>
                      <w:sz w:val="18"/>
                      <w:szCs w:val="18"/>
                      <w:lang w:val="en-US" w:eastAsia="zh-CN"/>
                    </w:rPr>
                  </w:pPr>
                  <w:r>
                    <w:rPr>
                      <w:rFonts w:hint="eastAsia"/>
                      <w:color w:val="auto"/>
                      <w:sz w:val="18"/>
                      <w:szCs w:val="18"/>
                      <w:lang w:val="en-US" w:eastAsia="zh-CN"/>
                    </w:rPr>
                    <w:t>0.0551</w:t>
                  </w:r>
                </w:p>
              </w:tc>
              <w:tc>
                <w:tcPr>
                  <w:tcW w:w="381" w:type="pct"/>
                  <w:vMerge w:val="continue"/>
                  <w:noWrap w:val="0"/>
                  <w:tcMar>
                    <w:left w:w="0" w:type="dxa"/>
                    <w:right w:w="0" w:type="dxa"/>
                  </w:tcMar>
                  <w:vAlign w:val="center"/>
                </w:tcPr>
                <w:p w14:paraId="15DA7B10">
                  <w:pPr>
                    <w:spacing w:line="240" w:lineRule="auto"/>
                    <w:ind w:firstLine="0" w:firstLineChars="0"/>
                    <w:jc w:val="center"/>
                    <w:rPr>
                      <w:rFonts w:hint="eastAsia"/>
                      <w:color w:val="auto"/>
                      <w:sz w:val="18"/>
                      <w:szCs w:val="18"/>
                      <w:lang w:val="en-US" w:eastAsia="zh-CN"/>
                    </w:rPr>
                  </w:pPr>
                </w:p>
              </w:tc>
              <w:tc>
                <w:tcPr>
                  <w:tcW w:w="415" w:type="pct"/>
                  <w:vMerge w:val="continue"/>
                  <w:noWrap w:val="0"/>
                  <w:tcMar>
                    <w:left w:w="0" w:type="dxa"/>
                    <w:right w:w="0" w:type="dxa"/>
                  </w:tcMar>
                  <w:vAlign w:val="center"/>
                </w:tcPr>
                <w:p w14:paraId="145C8FB2">
                  <w:pPr>
                    <w:spacing w:line="240" w:lineRule="auto"/>
                    <w:ind w:firstLine="0" w:firstLineChars="0"/>
                    <w:jc w:val="center"/>
                    <w:rPr>
                      <w:rFonts w:hint="eastAsia"/>
                      <w:color w:val="auto"/>
                      <w:sz w:val="18"/>
                      <w:szCs w:val="18"/>
                      <w:lang w:val="en-US" w:eastAsia="zh-CN"/>
                    </w:rPr>
                  </w:pPr>
                </w:p>
              </w:tc>
            </w:tr>
          </w:tbl>
          <w:p w14:paraId="03C58E9D">
            <w:pPr>
              <w:pStyle w:val="46"/>
              <w:spacing w:before="139" w:line="240" w:lineRule="auto"/>
              <w:jc w:val="center"/>
              <w:rPr>
                <w:rFonts w:hint="default" w:ascii="Times New Roman" w:hAnsi="Times New Roman" w:eastAsia="宋体" w:cs="Times New Roman"/>
                <w:b/>
                <w:bCs/>
                <w:color w:val="auto"/>
                <w:kern w:val="2"/>
                <w:sz w:val="21"/>
                <w:szCs w:val="24"/>
                <w:lang w:val="en-US" w:eastAsia="zh-CN" w:bidi="ar-SA"/>
              </w:rPr>
            </w:pPr>
            <w:r>
              <w:rPr>
                <w:rFonts w:hint="eastAsia" w:ascii="Times New Roman" w:hAnsi="Times New Roman" w:eastAsia="宋体" w:cs="Times New Roman"/>
                <w:b/>
                <w:bCs/>
                <w:color w:val="auto"/>
                <w:kern w:val="2"/>
                <w:sz w:val="21"/>
                <w:szCs w:val="24"/>
                <w:lang w:val="en-US" w:eastAsia="zh-CN" w:bidi="ar-SA"/>
              </w:rPr>
              <w:t>表</w:t>
            </w:r>
            <w:r>
              <w:rPr>
                <w:rFonts w:hint="default" w:ascii="Times New Roman" w:hAnsi="Times New Roman" w:eastAsia="宋体" w:cs="Times New Roman"/>
                <w:b/>
                <w:bCs/>
                <w:color w:val="auto"/>
                <w:kern w:val="2"/>
                <w:sz w:val="21"/>
                <w:szCs w:val="24"/>
                <w:lang w:val="en-US" w:eastAsia="zh-CN" w:bidi="ar-SA"/>
              </w:rPr>
              <w:t>4-</w:t>
            </w:r>
            <w:r>
              <w:rPr>
                <w:rFonts w:hint="eastAsia" w:ascii="Times New Roman" w:hAnsi="Times New Roman" w:cs="Times New Roman"/>
                <w:b/>
                <w:bCs/>
                <w:color w:val="auto"/>
                <w:kern w:val="2"/>
                <w:sz w:val="21"/>
                <w:szCs w:val="24"/>
                <w:lang w:val="en-US" w:eastAsia="zh-CN" w:bidi="ar-SA"/>
              </w:rPr>
              <w:t>3</w:t>
            </w:r>
            <w:r>
              <w:rPr>
                <w:rFonts w:hint="eastAsia" w:ascii="Times New Roman" w:hAnsi="Times New Roman" w:eastAsia="宋体" w:cs="Times New Roman"/>
                <w:b/>
                <w:bCs/>
                <w:color w:val="auto"/>
                <w:kern w:val="2"/>
                <w:sz w:val="21"/>
                <w:szCs w:val="24"/>
                <w:lang w:val="en-US" w:eastAsia="zh-CN" w:bidi="ar-SA"/>
              </w:rPr>
              <w:t xml:space="preserve"> 本项目无组织废气产排</w:t>
            </w:r>
            <w:r>
              <w:rPr>
                <w:rFonts w:hint="default" w:ascii="Times New Roman" w:hAnsi="Times New Roman" w:eastAsia="宋体" w:cs="Times New Roman"/>
                <w:b/>
                <w:bCs/>
                <w:color w:val="auto"/>
                <w:kern w:val="2"/>
                <w:sz w:val="21"/>
                <w:szCs w:val="24"/>
                <w:lang w:val="en-US" w:eastAsia="zh-CN" w:bidi="ar-SA"/>
              </w:rPr>
              <w:t>放情况</w:t>
            </w:r>
          </w:p>
          <w:tbl>
            <w:tblPr>
              <w:tblStyle w:val="20"/>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0" w:type="dxa"/>
                <w:bottom w:w="0" w:type="dxa"/>
                <w:right w:w="0" w:type="dxa"/>
              </w:tblCellMar>
            </w:tblPr>
            <w:tblGrid>
              <w:gridCol w:w="1787"/>
              <w:gridCol w:w="1363"/>
              <w:gridCol w:w="1496"/>
              <w:gridCol w:w="1735"/>
              <w:gridCol w:w="1739"/>
            </w:tblGrid>
            <w:tr w14:paraId="744C7A81">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PrEx>
              <w:trPr>
                <w:trHeight w:val="422" w:hRule="atLeast"/>
                <w:jc w:val="center"/>
              </w:trPr>
              <w:tc>
                <w:tcPr>
                  <w:tcW w:w="1100" w:type="pct"/>
                  <w:tcBorders>
                    <w:tl2br w:val="nil"/>
                    <w:tr2bl w:val="nil"/>
                  </w:tcBorders>
                  <w:noWrap w:val="0"/>
                  <w:vAlign w:val="center"/>
                </w:tcPr>
                <w:p w14:paraId="3AC9047B">
                  <w:pPr>
                    <w:pStyle w:val="46"/>
                    <w:spacing w:before="83" w:line="240" w:lineRule="auto"/>
                    <w:ind w:left="86" w:right="54"/>
                    <w:jc w:val="center"/>
                    <w:rPr>
                      <w:b/>
                      <w:color w:val="auto"/>
                      <w:sz w:val="18"/>
                    </w:rPr>
                  </w:pPr>
                  <w:r>
                    <w:rPr>
                      <w:b/>
                      <w:color w:val="auto"/>
                      <w:sz w:val="18"/>
                    </w:rPr>
                    <w:t>污染源位置</w:t>
                  </w:r>
                </w:p>
              </w:tc>
              <w:tc>
                <w:tcPr>
                  <w:tcW w:w="839" w:type="pct"/>
                  <w:tcBorders>
                    <w:tl2br w:val="nil"/>
                    <w:tr2bl w:val="nil"/>
                  </w:tcBorders>
                  <w:noWrap w:val="0"/>
                  <w:vAlign w:val="center"/>
                </w:tcPr>
                <w:p w14:paraId="17C6DE49">
                  <w:pPr>
                    <w:pStyle w:val="46"/>
                    <w:spacing w:before="83" w:line="240" w:lineRule="auto"/>
                    <w:ind w:left="88" w:right="60"/>
                    <w:jc w:val="center"/>
                    <w:rPr>
                      <w:b/>
                      <w:color w:val="auto"/>
                      <w:sz w:val="18"/>
                    </w:rPr>
                  </w:pPr>
                  <w:r>
                    <w:rPr>
                      <w:b/>
                      <w:color w:val="auto"/>
                      <w:sz w:val="18"/>
                    </w:rPr>
                    <w:t>污染物名称</w:t>
                  </w:r>
                </w:p>
              </w:tc>
              <w:tc>
                <w:tcPr>
                  <w:tcW w:w="921" w:type="pct"/>
                  <w:tcBorders>
                    <w:tl2br w:val="nil"/>
                    <w:tr2bl w:val="nil"/>
                  </w:tcBorders>
                  <w:noWrap w:val="0"/>
                  <w:vAlign w:val="center"/>
                </w:tcPr>
                <w:p w14:paraId="30870AD9">
                  <w:pPr>
                    <w:pStyle w:val="46"/>
                    <w:spacing w:before="83" w:line="240" w:lineRule="auto"/>
                    <w:ind w:left="81"/>
                    <w:jc w:val="center"/>
                    <w:rPr>
                      <w:b/>
                      <w:color w:val="auto"/>
                      <w:sz w:val="18"/>
                    </w:rPr>
                  </w:pPr>
                  <w:r>
                    <w:rPr>
                      <w:b/>
                      <w:color w:val="auto"/>
                      <w:sz w:val="18"/>
                    </w:rPr>
                    <w:t>排放量（</w:t>
                  </w:r>
                  <w:r>
                    <w:rPr>
                      <w:rFonts w:ascii="Times New Roman" w:eastAsia="Times New Roman"/>
                      <w:b/>
                      <w:color w:val="auto"/>
                      <w:sz w:val="18"/>
                    </w:rPr>
                    <w:t>t/a</w:t>
                  </w:r>
                  <w:r>
                    <w:rPr>
                      <w:b/>
                      <w:color w:val="auto"/>
                      <w:sz w:val="18"/>
                    </w:rPr>
                    <w:t>）</w:t>
                  </w:r>
                </w:p>
              </w:tc>
              <w:tc>
                <w:tcPr>
                  <w:tcW w:w="1068" w:type="pct"/>
                  <w:tcBorders>
                    <w:tl2br w:val="nil"/>
                    <w:tr2bl w:val="nil"/>
                  </w:tcBorders>
                  <w:noWrap w:val="0"/>
                  <w:vAlign w:val="center"/>
                </w:tcPr>
                <w:p w14:paraId="1BD880F2">
                  <w:pPr>
                    <w:pStyle w:val="46"/>
                    <w:spacing w:before="83" w:line="240" w:lineRule="auto"/>
                    <w:ind w:left="73" w:right="46"/>
                    <w:jc w:val="center"/>
                    <w:rPr>
                      <w:rFonts w:hint="eastAsia" w:eastAsia="宋体"/>
                      <w:b/>
                      <w:color w:val="auto"/>
                      <w:sz w:val="18"/>
                      <w:lang w:eastAsia="zh-CN"/>
                    </w:rPr>
                  </w:pPr>
                  <w:r>
                    <w:rPr>
                      <w:b/>
                      <w:color w:val="auto"/>
                      <w:sz w:val="18"/>
                    </w:rPr>
                    <w:t>面源</w:t>
                  </w:r>
                  <w:r>
                    <w:rPr>
                      <w:rFonts w:hint="eastAsia"/>
                      <w:b/>
                      <w:color w:val="auto"/>
                      <w:sz w:val="18"/>
                      <w:lang w:val="en-US" w:eastAsia="zh-CN"/>
                    </w:rPr>
                    <w:t>面积</w:t>
                  </w:r>
                  <w:r>
                    <w:rPr>
                      <w:b/>
                      <w:color w:val="auto"/>
                      <w:sz w:val="18"/>
                    </w:rPr>
                    <w:t>（</w:t>
                  </w:r>
                  <w:r>
                    <w:rPr>
                      <w:rFonts w:ascii="Times New Roman" w:eastAsia="Times New Roman"/>
                      <w:b/>
                      <w:color w:val="auto"/>
                      <w:sz w:val="18"/>
                    </w:rPr>
                    <w:t>m</w:t>
                  </w:r>
                  <w:r>
                    <w:rPr>
                      <w:rFonts w:hint="eastAsia" w:ascii="Times New Roman" w:eastAsia="宋体"/>
                      <w:b/>
                      <w:color w:val="auto"/>
                      <w:sz w:val="18"/>
                      <w:vertAlign w:val="superscript"/>
                      <w:lang w:val="en-US" w:eastAsia="zh-CN"/>
                    </w:rPr>
                    <w:t>2</w:t>
                  </w:r>
                  <w:r>
                    <w:rPr>
                      <w:b/>
                      <w:color w:val="auto"/>
                      <w:sz w:val="18"/>
                    </w:rPr>
                    <w:t>）</w:t>
                  </w:r>
                </w:p>
              </w:tc>
              <w:tc>
                <w:tcPr>
                  <w:tcW w:w="1070" w:type="pct"/>
                  <w:tcBorders>
                    <w:tl2br w:val="nil"/>
                    <w:tr2bl w:val="nil"/>
                  </w:tcBorders>
                  <w:noWrap w:val="0"/>
                  <w:vAlign w:val="center"/>
                </w:tcPr>
                <w:p w14:paraId="6D29E73A">
                  <w:pPr>
                    <w:pStyle w:val="46"/>
                    <w:spacing w:before="83" w:line="240" w:lineRule="auto"/>
                    <w:ind w:left="75" w:right="55"/>
                    <w:jc w:val="center"/>
                    <w:rPr>
                      <w:b/>
                      <w:color w:val="auto"/>
                      <w:sz w:val="18"/>
                    </w:rPr>
                  </w:pPr>
                  <w:r>
                    <w:rPr>
                      <w:b/>
                      <w:color w:val="auto"/>
                      <w:sz w:val="18"/>
                    </w:rPr>
                    <w:t>面源高度（</w:t>
                  </w:r>
                  <w:r>
                    <w:rPr>
                      <w:rFonts w:ascii="Times New Roman" w:eastAsia="Times New Roman"/>
                      <w:b/>
                      <w:color w:val="auto"/>
                      <w:sz w:val="18"/>
                    </w:rPr>
                    <w:t>m</w:t>
                  </w:r>
                  <w:r>
                    <w:rPr>
                      <w:b/>
                      <w:color w:val="auto"/>
                      <w:sz w:val="18"/>
                    </w:rPr>
                    <w:t>）</w:t>
                  </w:r>
                </w:p>
              </w:tc>
            </w:tr>
            <w:tr w14:paraId="156F2ED2">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08" w:hRule="atLeast"/>
                <w:jc w:val="center"/>
              </w:trPr>
              <w:tc>
                <w:tcPr>
                  <w:tcW w:w="1100" w:type="pct"/>
                  <w:vMerge w:val="restart"/>
                  <w:tcBorders>
                    <w:tl2br w:val="nil"/>
                    <w:tr2bl w:val="nil"/>
                  </w:tcBorders>
                  <w:noWrap w:val="0"/>
                  <w:vAlign w:val="center"/>
                </w:tcPr>
                <w:p w14:paraId="2205395E">
                  <w:pPr>
                    <w:pStyle w:val="46"/>
                    <w:spacing w:before="81" w:line="240" w:lineRule="auto"/>
                    <w:ind w:left="88" w:right="58"/>
                    <w:jc w:val="center"/>
                    <w:rPr>
                      <w:rFonts w:hint="default"/>
                      <w:color w:val="auto"/>
                      <w:sz w:val="18"/>
                      <w:lang w:val="en-US" w:eastAsia="zh-CN"/>
                    </w:rPr>
                  </w:pPr>
                  <w:r>
                    <w:rPr>
                      <w:rFonts w:hint="eastAsia"/>
                      <w:color w:val="auto"/>
                      <w:sz w:val="18"/>
                      <w:lang w:val="en-US" w:eastAsia="zh-CN"/>
                    </w:rPr>
                    <w:t>涂装车间</w:t>
                  </w:r>
                </w:p>
              </w:tc>
              <w:tc>
                <w:tcPr>
                  <w:tcW w:w="839" w:type="pct"/>
                  <w:tcBorders>
                    <w:tl2br w:val="nil"/>
                    <w:tr2bl w:val="nil"/>
                  </w:tcBorders>
                  <w:noWrap w:val="0"/>
                  <w:vAlign w:val="center"/>
                </w:tcPr>
                <w:p w14:paraId="24A169CE">
                  <w:pPr>
                    <w:pStyle w:val="46"/>
                    <w:spacing w:before="81" w:line="240" w:lineRule="auto"/>
                    <w:ind w:left="88" w:right="58"/>
                    <w:jc w:val="center"/>
                    <w:rPr>
                      <w:rFonts w:hint="eastAsia" w:eastAsia="宋体"/>
                      <w:color w:val="auto"/>
                      <w:sz w:val="18"/>
                      <w:lang w:val="en-US" w:eastAsia="zh-CN"/>
                    </w:rPr>
                  </w:pPr>
                  <w:r>
                    <w:rPr>
                      <w:rFonts w:hint="eastAsia"/>
                      <w:color w:val="auto"/>
                      <w:sz w:val="18"/>
                      <w:lang w:val="en-US" w:eastAsia="zh-CN"/>
                    </w:rPr>
                    <w:t>颗粒物</w:t>
                  </w:r>
                </w:p>
              </w:tc>
              <w:tc>
                <w:tcPr>
                  <w:tcW w:w="921" w:type="pct"/>
                  <w:tcBorders>
                    <w:tl2br w:val="nil"/>
                    <w:tr2bl w:val="nil"/>
                  </w:tcBorders>
                  <w:noWrap w:val="0"/>
                  <w:vAlign w:val="center"/>
                </w:tcPr>
                <w:p w14:paraId="5D2F169F">
                  <w:pPr>
                    <w:pStyle w:val="46"/>
                    <w:spacing w:before="93" w:line="240" w:lineRule="auto"/>
                    <w:ind w:left="27"/>
                    <w:jc w:val="center"/>
                    <w:rPr>
                      <w:rFonts w:hint="default" w:ascii="Times New Roman" w:eastAsia="宋体"/>
                      <w:color w:val="auto"/>
                      <w:sz w:val="18"/>
                      <w:lang w:val="en-US" w:eastAsia="zh-CN"/>
                    </w:rPr>
                  </w:pPr>
                  <w:r>
                    <w:rPr>
                      <w:rFonts w:hint="eastAsia" w:ascii="Times New Roman"/>
                      <w:color w:val="auto"/>
                      <w:sz w:val="18"/>
                      <w:highlight w:val="none"/>
                      <w:lang w:val="en-US" w:eastAsia="zh-CN"/>
                    </w:rPr>
                    <w:t>0.1000</w:t>
                  </w:r>
                </w:p>
              </w:tc>
              <w:tc>
                <w:tcPr>
                  <w:tcW w:w="1068" w:type="pct"/>
                  <w:vMerge w:val="restart"/>
                  <w:tcBorders>
                    <w:tl2br w:val="nil"/>
                    <w:tr2bl w:val="nil"/>
                  </w:tcBorders>
                  <w:shd w:val="clear" w:color="auto" w:fill="auto"/>
                  <w:noWrap w:val="0"/>
                  <w:vAlign w:val="center"/>
                </w:tcPr>
                <w:p w14:paraId="59248515">
                  <w:pPr>
                    <w:pStyle w:val="46"/>
                    <w:spacing w:before="94" w:line="240" w:lineRule="auto"/>
                    <w:ind w:left="73" w:leftChars="0" w:right="45" w:rightChars="0"/>
                    <w:jc w:val="center"/>
                    <w:rPr>
                      <w:rFonts w:hint="default" w:ascii="Times New Roman" w:hAnsi="宋体" w:eastAsia="宋体" w:cs="宋体"/>
                      <w:color w:val="auto"/>
                      <w:kern w:val="2"/>
                      <w:sz w:val="18"/>
                      <w:szCs w:val="24"/>
                      <w:highlight w:val="none"/>
                      <w:lang w:val="en-US" w:eastAsia="zh-CN" w:bidi="zh-CN"/>
                    </w:rPr>
                  </w:pPr>
                  <w:r>
                    <w:rPr>
                      <w:rFonts w:hint="eastAsia" w:ascii="Times New Roman"/>
                      <w:color w:val="auto"/>
                      <w:sz w:val="18"/>
                      <w:highlight w:val="none"/>
                      <w:lang w:val="en-US" w:eastAsia="zh-CN"/>
                    </w:rPr>
                    <w:t>650</w:t>
                  </w:r>
                </w:p>
              </w:tc>
              <w:tc>
                <w:tcPr>
                  <w:tcW w:w="1070" w:type="pct"/>
                  <w:vMerge w:val="restart"/>
                  <w:tcBorders>
                    <w:tl2br w:val="nil"/>
                    <w:tr2bl w:val="nil"/>
                  </w:tcBorders>
                  <w:shd w:val="clear" w:color="auto" w:fill="auto"/>
                  <w:noWrap w:val="0"/>
                  <w:vAlign w:val="center"/>
                </w:tcPr>
                <w:p w14:paraId="7707A119">
                  <w:pPr>
                    <w:pStyle w:val="46"/>
                    <w:spacing w:before="94" w:line="240" w:lineRule="auto"/>
                    <w:ind w:left="75" w:leftChars="0" w:right="51" w:rightChars="0"/>
                    <w:jc w:val="center"/>
                    <w:rPr>
                      <w:rFonts w:hint="eastAsia" w:ascii="Times New Roman" w:hAnsi="宋体" w:eastAsia="宋体" w:cs="宋体"/>
                      <w:color w:val="auto"/>
                      <w:kern w:val="2"/>
                      <w:sz w:val="18"/>
                      <w:szCs w:val="24"/>
                      <w:highlight w:val="none"/>
                      <w:lang w:val="en-US" w:eastAsia="zh-CN" w:bidi="zh-CN"/>
                    </w:rPr>
                  </w:pPr>
                  <w:r>
                    <w:rPr>
                      <w:rFonts w:hint="eastAsia" w:ascii="Times New Roman"/>
                      <w:color w:val="auto"/>
                      <w:sz w:val="18"/>
                      <w:highlight w:val="none"/>
                      <w:lang w:val="en-US" w:eastAsia="zh-CN"/>
                    </w:rPr>
                    <w:t>5</w:t>
                  </w:r>
                </w:p>
              </w:tc>
            </w:tr>
            <w:tr w14:paraId="313BE6E7">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36" w:hRule="atLeast"/>
                <w:jc w:val="center"/>
              </w:trPr>
              <w:tc>
                <w:tcPr>
                  <w:tcW w:w="1100" w:type="pct"/>
                  <w:vMerge w:val="continue"/>
                  <w:tcBorders>
                    <w:tl2br w:val="nil"/>
                    <w:tr2bl w:val="nil"/>
                  </w:tcBorders>
                  <w:noWrap w:val="0"/>
                  <w:vAlign w:val="center"/>
                </w:tcPr>
                <w:p w14:paraId="5CD42889">
                  <w:pPr>
                    <w:pStyle w:val="46"/>
                    <w:spacing w:before="81" w:line="240" w:lineRule="auto"/>
                    <w:ind w:left="88" w:right="58"/>
                    <w:jc w:val="center"/>
                    <w:rPr>
                      <w:rFonts w:hint="default"/>
                      <w:color w:val="auto"/>
                      <w:sz w:val="18"/>
                      <w:lang w:val="en-US" w:eastAsia="zh-CN"/>
                    </w:rPr>
                  </w:pPr>
                </w:p>
              </w:tc>
              <w:tc>
                <w:tcPr>
                  <w:tcW w:w="839" w:type="pct"/>
                  <w:tcBorders>
                    <w:tl2br w:val="nil"/>
                    <w:tr2bl w:val="nil"/>
                  </w:tcBorders>
                  <w:noWrap w:val="0"/>
                  <w:vAlign w:val="center"/>
                </w:tcPr>
                <w:p w14:paraId="424FA8D0">
                  <w:pPr>
                    <w:pStyle w:val="46"/>
                    <w:spacing w:before="82" w:line="240" w:lineRule="auto"/>
                    <w:ind w:left="88" w:leftChars="0" w:right="58" w:rightChars="0"/>
                    <w:jc w:val="center"/>
                    <w:rPr>
                      <w:rFonts w:hint="eastAsia" w:eastAsia="宋体"/>
                      <w:color w:val="auto"/>
                      <w:sz w:val="18"/>
                      <w:highlight w:val="none"/>
                      <w:lang w:val="en-US" w:eastAsia="zh-CN"/>
                    </w:rPr>
                  </w:pPr>
                  <w:r>
                    <w:rPr>
                      <w:rFonts w:hint="eastAsia"/>
                      <w:color w:val="auto"/>
                      <w:sz w:val="18"/>
                      <w:highlight w:val="none"/>
                      <w:lang w:val="en-US" w:eastAsia="zh-CN"/>
                    </w:rPr>
                    <w:t>非甲烷总烃</w:t>
                  </w:r>
                </w:p>
              </w:tc>
              <w:tc>
                <w:tcPr>
                  <w:tcW w:w="921" w:type="pct"/>
                  <w:tcBorders>
                    <w:tl2br w:val="nil"/>
                    <w:tr2bl w:val="nil"/>
                  </w:tcBorders>
                  <w:noWrap w:val="0"/>
                  <w:vAlign w:val="center"/>
                </w:tcPr>
                <w:p w14:paraId="597EBAB6">
                  <w:pPr>
                    <w:pStyle w:val="46"/>
                    <w:spacing w:before="94" w:line="240" w:lineRule="auto"/>
                    <w:ind w:left="32" w:leftChars="0" w:right="0" w:rightChars="0"/>
                    <w:jc w:val="center"/>
                    <w:rPr>
                      <w:rFonts w:hint="default" w:ascii="Times New Roman"/>
                      <w:color w:val="auto"/>
                      <w:sz w:val="18"/>
                      <w:highlight w:val="none"/>
                      <w:lang w:val="en-US" w:eastAsia="zh-CN"/>
                    </w:rPr>
                  </w:pPr>
                  <w:r>
                    <w:rPr>
                      <w:rFonts w:hint="eastAsia" w:ascii="Times New Roman"/>
                      <w:color w:val="auto"/>
                      <w:sz w:val="18"/>
                      <w:lang w:val="en-US" w:eastAsia="zh-CN"/>
                    </w:rPr>
                    <w:t>0.3241</w:t>
                  </w:r>
                </w:p>
              </w:tc>
              <w:tc>
                <w:tcPr>
                  <w:tcW w:w="1068" w:type="pct"/>
                  <w:vMerge w:val="continue"/>
                  <w:tcBorders>
                    <w:tl2br w:val="nil"/>
                    <w:tr2bl w:val="nil"/>
                  </w:tcBorders>
                  <w:noWrap w:val="0"/>
                  <w:vAlign w:val="center"/>
                </w:tcPr>
                <w:p w14:paraId="79894627">
                  <w:pPr>
                    <w:pStyle w:val="46"/>
                    <w:spacing w:before="94" w:line="240" w:lineRule="auto"/>
                    <w:ind w:left="73" w:leftChars="0" w:right="45" w:rightChars="0"/>
                    <w:jc w:val="center"/>
                    <w:rPr>
                      <w:rFonts w:hint="eastAsia" w:ascii="Times New Roman" w:hAnsi="宋体" w:eastAsia="宋体" w:cs="宋体"/>
                      <w:color w:val="auto"/>
                      <w:sz w:val="18"/>
                      <w:szCs w:val="22"/>
                      <w:highlight w:val="none"/>
                      <w:lang w:val="en-US" w:eastAsia="zh-CN" w:bidi="zh-CN"/>
                    </w:rPr>
                  </w:pPr>
                </w:p>
              </w:tc>
              <w:tc>
                <w:tcPr>
                  <w:tcW w:w="1070" w:type="pct"/>
                  <w:vMerge w:val="continue"/>
                  <w:tcBorders>
                    <w:tl2br w:val="nil"/>
                    <w:tr2bl w:val="nil"/>
                  </w:tcBorders>
                  <w:noWrap w:val="0"/>
                  <w:vAlign w:val="center"/>
                </w:tcPr>
                <w:p w14:paraId="2488FE73">
                  <w:pPr>
                    <w:pStyle w:val="46"/>
                    <w:spacing w:before="94" w:line="240" w:lineRule="auto"/>
                    <w:ind w:left="75" w:leftChars="0" w:right="51" w:rightChars="0"/>
                    <w:jc w:val="center"/>
                    <w:rPr>
                      <w:rFonts w:hint="eastAsia" w:ascii="Times New Roman" w:hAnsi="宋体" w:eastAsia="宋体" w:cs="宋体"/>
                      <w:color w:val="auto"/>
                      <w:sz w:val="18"/>
                      <w:szCs w:val="22"/>
                      <w:highlight w:val="none"/>
                      <w:lang w:val="en-US" w:eastAsia="zh-CN" w:bidi="zh-CN"/>
                    </w:rPr>
                  </w:pPr>
                </w:p>
              </w:tc>
            </w:tr>
            <w:tr w14:paraId="772ABD91">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436" w:hRule="atLeast"/>
                <w:jc w:val="center"/>
              </w:trPr>
              <w:tc>
                <w:tcPr>
                  <w:tcW w:w="1100" w:type="pct"/>
                  <w:tcBorders>
                    <w:tl2br w:val="nil"/>
                    <w:tr2bl w:val="nil"/>
                  </w:tcBorders>
                  <w:noWrap w:val="0"/>
                  <w:vAlign w:val="center"/>
                </w:tcPr>
                <w:p w14:paraId="696668DF">
                  <w:pPr>
                    <w:pStyle w:val="46"/>
                    <w:spacing w:before="81" w:line="240" w:lineRule="auto"/>
                    <w:ind w:left="88" w:right="58"/>
                    <w:jc w:val="center"/>
                    <w:rPr>
                      <w:rFonts w:hint="default"/>
                      <w:color w:val="auto"/>
                      <w:sz w:val="18"/>
                      <w:lang w:val="en-US" w:eastAsia="zh-CN"/>
                    </w:rPr>
                  </w:pPr>
                  <w:r>
                    <w:rPr>
                      <w:rFonts w:hint="eastAsia"/>
                      <w:color w:val="auto"/>
                      <w:sz w:val="18"/>
                      <w:lang w:val="en-US" w:eastAsia="zh-CN"/>
                    </w:rPr>
                    <w:t>危废仓库</w:t>
                  </w:r>
                </w:p>
              </w:tc>
              <w:tc>
                <w:tcPr>
                  <w:tcW w:w="839" w:type="pct"/>
                  <w:tcBorders>
                    <w:tl2br w:val="nil"/>
                    <w:tr2bl w:val="nil"/>
                  </w:tcBorders>
                  <w:noWrap w:val="0"/>
                  <w:vAlign w:val="center"/>
                </w:tcPr>
                <w:p w14:paraId="06800F94">
                  <w:pPr>
                    <w:pStyle w:val="46"/>
                    <w:spacing w:before="82" w:line="240" w:lineRule="auto"/>
                    <w:ind w:left="88" w:leftChars="0" w:right="58" w:rightChars="0"/>
                    <w:jc w:val="center"/>
                    <w:rPr>
                      <w:rFonts w:hint="default"/>
                      <w:color w:val="auto"/>
                      <w:sz w:val="18"/>
                      <w:highlight w:val="none"/>
                      <w:lang w:val="en-US" w:eastAsia="zh-CN"/>
                    </w:rPr>
                  </w:pPr>
                  <w:r>
                    <w:rPr>
                      <w:rFonts w:hint="eastAsia"/>
                      <w:color w:val="auto"/>
                      <w:sz w:val="18"/>
                      <w:highlight w:val="none"/>
                      <w:lang w:val="en-US" w:eastAsia="zh-CN"/>
                    </w:rPr>
                    <w:t>非甲烷总烃</w:t>
                  </w:r>
                </w:p>
              </w:tc>
              <w:tc>
                <w:tcPr>
                  <w:tcW w:w="921" w:type="pct"/>
                  <w:tcBorders>
                    <w:tl2br w:val="nil"/>
                    <w:tr2bl w:val="nil"/>
                  </w:tcBorders>
                  <w:noWrap w:val="0"/>
                  <w:vAlign w:val="center"/>
                </w:tcPr>
                <w:p w14:paraId="11C1214C">
                  <w:pPr>
                    <w:pStyle w:val="46"/>
                    <w:spacing w:before="94" w:line="240" w:lineRule="auto"/>
                    <w:ind w:left="32" w:leftChars="0" w:right="0" w:rightChars="0"/>
                    <w:jc w:val="center"/>
                    <w:rPr>
                      <w:rFonts w:hint="default" w:ascii="Times New Roman"/>
                      <w:color w:val="auto"/>
                      <w:sz w:val="18"/>
                      <w:lang w:val="en-US" w:eastAsia="zh-CN"/>
                    </w:rPr>
                  </w:pPr>
                  <w:r>
                    <w:rPr>
                      <w:rFonts w:hint="eastAsia" w:ascii="Times New Roman"/>
                      <w:color w:val="auto"/>
                      <w:sz w:val="18"/>
                      <w:lang w:val="en-US" w:eastAsia="zh-CN"/>
                    </w:rPr>
                    <w:t>0.04592</w:t>
                  </w:r>
                </w:p>
              </w:tc>
              <w:tc>
                <w:tcPr>
                  <w:tcW w:w="1068" w:type="pct"/>
                  <w:tcBorders>
                    <w:tl2br w:val="nil"/>
                    <w:tr2bl w:val="nil"/>
                  </w:tcBorders>
                  <w:noWrap w:val="0"/>
                  <w:vAlign w:val="center"/>
                </w:tcPr>
                <w:p w14:paraId="62885D00">
                  <w:pPr>
                    <w:pStyle w:val="46"/>
                    <w:spacing w:before="94" w:line="240" w:lineRule="auto"/>
                    <w:ind w:left="73" w:leftChars="0" w:right="45" w:rightChars="0"/>
                    <w:jc w:val="center"/>
                    <w:rPr>
                      <w:rFonts w:hint="default" w:ascii="Times New Roman" w:hAnsi="宋体" w:eastAsia="宋体" w:cs="宋体"/>
                      <w:color w:val="auto"/>
                      <w:sz w:val="18"/>
                      <w:szCs w:val="22"/>
                      <w:highlight w:val="none"/>
                      <w:lang w:val="en-US" w:eastAsia="zh-CN" w:bidi="zh-CN"/>
                    </w:rPr>
                  </w:pPr>
                  <w:r>
                    <w:rPr>
                      <w:rFonts w:hint="eastAsia" w:ascii="Times New Roman" w:cs="宋体"/>
                      <w:color w:val="auto"/>
                      <w:sz w:val="18"/>
                      <w:szCs w:val="22"/>
                      <w:highlight w:val="none"/>
                      <w:lang w:val="en-US" w:eastAsia="zh-CN" w:bidi="zh-CN"/>
                    </w:rPr>
                    <w:t>70</w:t>
                  </w:r>
                </w:p>
              </w:tc>
              <w:tc>
                <w:tcPr>
                  <w:tcW w:w="1070" w:type="pct"/>
                  <w:tcBorders>
                    <w:tl2br w:val="nil"/>
                    <w:tr2bl w:val="nil"/>
                  </w:tcBorders>
                  <w:noWrap w:val="0"/>
                  <w:vAlign w:val="center"/>
                </w:tcPr>
                <w:p w14:paraId="57941DDB">
                  <w:pPr>
                    <w:pStyle w:val="46"/>
                    <w:spacing w:before="94" w:line="240" w:lineRule="auto"/>
                    <w:ind w:left="75" w:leftChars="0" w:right="51" w:rightChars="0"/>
                    <w:jc w:val="center"/>
                    <w:rPr>
                      <w:rFonts w:hint="default" w:ascii="Times New Roman" w:hAnsi="宋体" w:eastAsia="宋体" w:cs="宋体"/>
                      <w:color w:val="auto"/>
                      <w:sz w:val="18"/>
                      <w:szCs w:val="22"/>
                      <w:highlight w:val="none"/>
                      <w:lang w:val="en-US" w:eastAsia="zh-CN" w:bidi="zh-CN"/>
                    </w:rPr>
                  </w:pPr>
                  <w:r>
                    <w:rPr>
                      <w:rFonts w:hint="eastAsia" w:ascii="Times New Roman" w:cs="宋体"/>
                      <w:color w:val="auto"/>
                      <w:sz w:val="18"/>
                      <w:szCs w:val="22"/>
                      <w:highlight w:val="none"/>
                      <w:lang w:val="en-US" w:eastAsia="zh-CN" w:bidi="zh-CN"/>
                    </w:rPr>
                    <w:t>5</w:t>
                  </w:r>
                </w:p>
              </w:tc>
            </w:tr>
          </w:tbl>
          <w:p w14:paraId="5F86B352">
            <w:pPr>
              <w:pStyle w:val="4"/>
              <w:rPr>
                <w:rFonts w:hint="default" w:ascii="Times New Roman" w:hAnsi="Times New Roman" w:cs="Times New Roman"/>
                <w:color w:val="auto"/>
                <w:sz w:val="21"/>
                <w:lang w:val="en-US" w:eastAsia="zh-CN"/>
              </w:rPr>
            </w:pPr>
            <w:r>
              <w:rPr>
                <w:rFonts w:hint="default" w:ascii="Times New Roman" w:hAnsi="Times New Roman" w:cs="Times New Roman"/>
                <w:color w:val="auto"/>
                <w:sz w:val="21"/>
                <w:lang w:val="en-US" w:eastAsia="zh-CN"/>
              </w:rPr>
              <w:t>2、</w:t>
            </w:r>
            <w:r>
              <w:rPr>
                <w:rFonts w:hint="eastAsia" w:ascii="Times New Roman" w:hAnsi="Times New Roman" w:cs="Times New Roman"/>
                <w:color w:val="auto"/>
                <w:sz w:val="21"/>
                <w:lang w:val="en-US" w:eastAsia="zh-CN"/>
              </w:rPr>
              <w:t>废气</w:t>
            </w:r>
            <w:r>
              <w:rPr>
                <w:rFonts w:hint="default" w:ascii="Times New Roman" w:hAnsi="Times New Roman" w:cs="Times New Roman"/>
                <w:color w:val="auto"/>
                <w:lang w:eastAsia="zh-CN"/>
              </w:rPr>
              <w:t>非正常</w:t>
            </w:r>
            <w:r>
              <w:rPr>
                <w:rFonts w:hint="eastAsia" w:ascii="Times New Roman" w:hAnsi="Times New Roman" w:cs="Times New Roman"/>
                <w:color w:val="auto"/>
                <w:lang w:val="en-US" w:eastAsia="zh-CN"/>
              </w:rPr>
              <w:t>排放情况</w:t>
            </w:r>
          </w:p>
          <w:p w14:paraId="05A81C04">
            <w:pPr>
              <w:autoSpaceDE w:val="0"/>
              <w:autoSpaceDN w:val="0"/>
              <w:adjustRightInd w:val="0"/>
              <w:snapToGrid w:val="0"/>
              <w:spacing w:line="400" w:lineRule="exact"/>
              <w:ind w:firstLine="420" w:firstLineChars="200"/>
              <w:jc w:val="left"/>
              <w:rPr>
                <w:color w:val="auto"/>
                <w:kern w:val="0"/>
                <w:szCs w:val="21"/>
              </w:rPr>
            </w:pPr>
            <w:r>
              <w:rPr>
                <w:color w:val="auto"/>
                <w:kern w:val="0"/>
                <w:szCs w:val="21"/>
              </w:rPr>
              <w:t>生产过程中，由于管理上的不完善或废气处理设施发生故障，可能导致废气的处理效果为零时，废气污染物超标排放，污染大气。本项目主要考虑</w:t>
            </w:r>
            <w:r>
              <w:rPr>
                <w:rFonts w:hint="eastAsia"/>
                <w:color w:val="auto"/>
                <w:kern w:val="0"/>
                <w:szCs w:val="21"/>
              </w:rPr>
              <w:t>“</w:t>
            </w:r>
            <w:r>
              <w:rPr>
                <w:rFonts w:hint="eastAsia"/>
                <w:color w:val="auto"/>
                <w:kern w:val="0"/>
                <w:szCs w:val="21"/>
                <w:lang w:val="en-US" w:eastAsia="zh-CN"/>
              </w:rPr>
              <w:t>干式漆雾过滤器与活性炭吸附装置</w:t>
            </w:r>
            <w:r>
              <w:rPr>
                <w:rFonts w:hint="eastAsia"/>
                <w:color w:val="auto"/>
                <w:kern w:val="0"/>
                <w:szCs w:val="21"/>
              </w:rPr>
              <w:t>”</w:t>
            </w:r>
            <w:r>
              <w:rPr>
                <w:color w:val="auto"/>
                <w:kern w:val="0"/>
                <w:szCs w:val="21"/>
              </w:rPr>
              <w:t>未正常工作时的废气排放情况。</w:t>
            </w:r>
          </w:p>
          <w:p w14:paraId="5C7E5BDF">
            <w:pPr>
              <w:pStyle w:val="6"/>
              <w:tabs>
                <w:tab w:val="left" w:pos="960"/>
                <w:tab w:val="left" w:pos="8760"/>
              </w:tabs>
              <w:adjustRightInd w:val="0"/>
              <w:snapToGrid w:val="0"/>
              <w:spacing w:line="240" w:lineRule="auto"/>
              <w:ind w:firstLine="422"/>
              <w:jc w:val="center"/>
              <w:rPr>
                <w:b/>
                <w:color w:val="auto"/>
                <w:szCs w:val="21"/>
                <w:highlight w:val="none"/>
              </w:rPr>
            </w:pPr>
            <w:r>
              <w:rPr>
                <w:rFonts w:hint="eastAsia"/>
                <w:b/>
                <w:color w:val="auto"/>
                <w:szCs w:val="21"/>
                <w:highlight w:val="none"/>
              </w:rPr>
              <w:t>表</w:t>
            </w:r>
            <w:r>
              <w:rPr>
                <w:b/>
                <w:color w:val="auto"/>
                <w:szCs w:val="21"/>
                <w:highlight w:val="none"/>
              </w:rPr>
              <w:t>4-</w:t>
            </w:r>
            <w:r>
              <w:rPr>
                <w:rFonts w:hint="eastAsia"/>
                <w:b/>
                <w:color w:val="auto"/>
                <w:szCs w:val="21"/>
                <w:highlight w:val="none"/>
                <w:lang w:val="en-US" w:eastAsia="zh-CN"/>
              </w:rPr>
              <w:t>4</w:t>
            </w:r>
            <w:r>
              <w:rPr>
                <w:b/>
                <w:color w:val="auto"/>
                <w:szCs w:val="21"/>
                <w:highlight w:val="none"/>
              </w:rPr>
              <w:t xml:space="preserve"> </w:t>
            </w:r>
            <w:r>
              <w:rPr>
                <w:rFonts w:hint="eastAsia"/>
                <w:b/>
                <w:color w:val="auto"/>
                <w:szCs w:val="21"/>
                <w:highlight w:val="none"/>
                <w:lang w:val="en-US" w:eastAsia="zh-CN"/>
              </w:rPr>
              <w:t>本项目</w:t>
            </w:r>
            <w:r>
              <w:rPr>
                <w:rFonts w:hint="eastAsia"/>
                <w:b/>
                <w:color w:val="auto"/>
                <w:szCs w:val="21"/>
                <w:highlight w:val="none"/>
              </w:rPr>
              <w:t>废气非正常排放情况</w:t>
            </w:r>
          </w:p>
          <w:tbl>
            <w:tblPr>
              <w:tblStyle w:val="20"/>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43"/>
              <w:gridCol w:w="658"/>
              <w:gridCol w:w="903"/>
              <w:gridCol w:w="755"/>
              <w:gridCol w:w="741"/>
              <w:gridCol w:w="892"/>
              <w:gridCol w:w="677"/>
              <w:gridCol w:w="806"/>
              <w:gridCol w:w="666"/>
              <w:gridCol w:w="565"/>
              <w:gridCol w:w="612"/>
            </w:tblGrid>
            <w:tr w14:paraId="2F8F58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696" w:hRule="atLeast"/>
                <w:jc w:val="center"/>
              </w:trPr>
              <w:tc>
                <w:tcPr>
                  <w:tcW w:w="924" w:type="pct"/>
                  <w:gridSpan w:val="2"/>
                  <w:vMerge w:val="restart"/>
                  <w:tcBorders>
                    <w:tl2br w:val="nil"/>
                    <w:tr2bl w:val="nil"/>
                  </w:tcBorders>
                  <w:noWrap w:val="0"/>
                  <w:vAlign w:val="center"/>
                </w:tcPr>
                <w:p w14:paraId="49215B53">
                  <w:pPr>
                    <w:pStyle w:val="46"/>
                    <w:spacing w:before="83" w:line="240" w:lineRule="auto"/>
                    <w:ind w:left="88" w:right="60"/>
                    <w:jc w:val="center"/>
                    <w:rPr>
                      <w:rFonts w:hint="default" w:ascii="Times New Roman" w:hAnsi="Times New Roman" w:eastAsia="宋体" w:cs="Times New Roman"/>
                      <w:b/>
                      <w:color w:val="auto"/>
                      <w:sz w:val="18"/>
                      <w:lang w:val="en-US" w:eastAsia="zh-CN"/>
                    </w:rPr>
                  </w:pPr>
                  <w:r>
                    <w:rPr>
                      <w:rFonts w:hint="eastAsia" w:ascii="Times New Roman" w:hAnsi="Times New Roman" w:cs="Times New Roman"/>
                      <w:b/>
                      <w:color w:val="auto"/>
                      <w:sz w:val="18"/>
                      <w:lang w:val="en-US" w:eastAsia="zh-CN"/>
                    </w:rPr>
                    <w:t>非正常工况</w:t>
                  </w:r>
                </w:p>
              </w:tc>
              <w:tc>
                <w:tcPr>
                  <w:tcW w:w="1021" w:type="pct"/>
                  <w:gridSpan w:val="2"/>
                  <w:tcBorders>
                    <w:tl2br w:val="nil"/>
                    <w:tr2bl w:val="nil"/>
                  </w:tcBorders>
                  <w:noWrap w:val="0"/>
                  <w:vAlign w:val="center"/>
                </w:tcPr>
                <w:p w14:paraId="43296EC1">
                  <w:pPr>
                    <w:pStyle w:val="46"/>
                    <w:spacing w:before="83" w:line="240" w:lineRule="auto"/>
                    <w:ind w:left="73" w:right="46"/>
                    <w:jc w:val="center"/>
                    <w:rPr>
                      <w:rFonts w:hint="default" w:ascii="Times New Roman" w:hAnsi="Times New Roman" w:eastAsia="宋体" w:cs="Times New Roman"/>
                      <w:b/>
                      <w:color w:val="auto"/>
                      <w:sz w:val="18"/>
                      <w:lang w:eastAsia="zh-CN"/>
                    </w:rPr>
                  </w:pPr>
                  <w:r>
                    <w:rPr>
                      <w:rFonts w:hint="default" w:ascii="Times New Roman" w:hAnsi="Times New Roman" w:cs="Times New Roman"/>
                      <w:b/>
                      <w:color w:val="auto"/>
                      <w:sz w:val="18"/>
                      <w:lang w:eastAsia="zh-CN"/>
                    </w:rPr>
                    <w:t>废气源废气产生情况</w:t>
                  </w:r>
                </w:p>
              </w:tc>
              <w:tc>
                <w:tcPr>
                  <w:tcW w:w="456" w:type="pct"/>
                  <w:vMerge w:val="restart"/>
                  <w:tcBorders>
                    <w:tl2br w:val="nil"/>
                    <w:tr2bl w:val="nil"/>
                  </w:tcBorders>
                  <w:noWrap w:val="0"/>
                  <w:vAlign w:val="center"/>
                </w:tcPr>
                <w:p w14:paraId="021786C2">
                  <w:pPr>
                    <w:pStyle w:val="46"/>
                    <w:spacing w:before="83" w:line="240" w:lineRule="auto"/>
                    <w:ind w:left="75" w:right="55"/>
                    <w:jc w:val="center"/>
                    <w:rPr>
                      <w:rFonts w:hint="default" w:ascii="Times New Roman" w:hAnsi="Times New Roman" w:cs="Times New Roman"/>
                      <w:b/>
                      <w:color w:val="auto"/>
                      <w:sz w:val="18"/>
                      <w:lang w:val="en-US" w:eastAsia="zh-CN"/>
                    </w:rPr>
                  </w:pPr>
                  <w:r>
                    <w:rPr>
                      <w:rFonts w:hint="eastAsia" w:ascii="Times New Roman" w:hAnsi="Times New Roman" w:cs="Times New Roman"/>
                      <w:b/>
                      <w:color w:val="auto"/>
                      <w:sz w:val="18"/>
                      <w:lang w:val="en-US" w:eastAsia="zh-CN"/>
                    </w:rPr>
                    <w:t>持续时间(h)</w:t>
                  </w:r>
                </w:p>
              </w:tc>
              <w:tc>
                <w:tcPr>
                  <w:tcW w:w="1462" w:type="pct"/>
                  <w:gridSpan w:val="3"/>
                  <w:tcBorders>
                    <w:tl2br w:val="nil"/>
                    <w:tr2bl w:val="nil"/>
                  </w:tcBorders>
                  <w:noWrap w:val="0"/>
                  <w:vAlign w:val="center"/>
                </w:tcPr>
                <w:p w14:paraId="160343FF">
                  <w:pPr>
                    <w:pStyle w:val="46"/>
                    <w:spacing w:before="83" w:line="240" w:lineRule="auto"/>
                    <w:ind w:left="75" w:right="55"/>
                    <w:jc w:val="center"/>
                    <w:rPr>
                      <w:rFonts w:hint="default" w:ascii="Times New Roman" w:hAnsi="Times New Roman" w:eastAsia="宋体" w:cs="Times New Roman"/>
                      <w:b/>
                      <w:color w:val="auto"/>
                      <w:sz w:val="18"/>
                      <w:lang w:eastAsia="zh-CN"/>
                    </w:rPr>
                  </w:pPr>
                  <w:r>
                    <w:rPr>
                      <w:rFonts w:hint="default" w:ascii="Times New Roman" w:hAnsi="Times New Roman" w:cs="Times New Roman"/>
                      <w:b/>
                      <w:color w:val="auto"/>
                      <w:sz w:val="18"/>
                      <w:lang w:eastAsia="zh-CN"/>
                    </w:rPr>
                    <w:t>非正常工况排放情况</w:t>
                  </w:r>
                </w:p>
              </w:tc>
              <w:tc>
                <w:tcPr>
                  <w:tcW w:w="410" w:type="pct"/>
                  <w:vMerge w:val="restart"/>
                  <w:tcBorders>
                    <w:tl2br w:val="nil"/>
                    <w:tr2bl w:val="nil"/>
                  </w:tcBorders>
                  <w:noWrap w:val="0"/>
                  <w:vAlign w:val="center"/>
                </w:tcPr>
                <w:p w14:paraId="763F6F08">
                  <w:pPr>
                    <w:pStyle w:val="46"/>
                    <w:spacing w:before="83" w:line="240" w:lineRule="auto"/>
                    <w:ind w:left="75" w:right="55"/>
                    <w:jc w:val="center"/>
                    <w:rPr>
                      <w:rFonts w:hint="default" w:ascii="Times New Roman" w:hAnsi="Times New Roman" w:eastAsia="宋体" w:cs="Times New Roman"/>
                      <w:b/>
                      <w:color w:val="auto"/>
                      <w:sz w:val="18"/>
                      <w:lang w:eastAsia="zh-CN"/>
                    </w:rPr>
                  </w:pPr>
                  <w:r>
                    <w:rPr>
                      <w:rFonts w:hint="default" w:ascii="Times New Roman" w:hAnsi="Times New Roman" w:cs="Times New Roman"/>
                      <w:b/>
                      <w:color w:val="auto"/>
                      <w:sz w:val="18"/>
                      <w:lang w:eastAsia="zh-CN"/>
                    </w:rPr>
                    <w:t>处理效率</w:t>
                  </w:r>
                </w:p>
              </w:tc>
              <w:tc>
                <w:tcPr>
                  <w:tcW w:w="348" w:type="pct"/>
                  <w:vMerge w:val="restart"/>
                  <w:tcBorders>
                    <w:tl2br w:val="nil"/>
                    <w:tr2bl w:val="nil"/>
                  </w:tcBorders>
                  <w:noWrap w:val="0"/>
                  <w:vAlign w:val="center"/>
                </w:tcPr>
                <w:p w14:paraId="099D2CCF">
                  <w:pPr>
                    <w:pStyle w:val="46"/>
                    <w:spacing w:before="83" w:line="240" w:lineRule="auto"/>
                    <w:ind w:left="75" w:right="55"/>
                    <w:jc w:val="center"/>
                    <w:rPr>
                      <w:rFonts w:hint="default" w:ascii="Times New Roman" w:hAnsi="Times New Roman" w:cs="Times New Roman"/>
                      <w:b/>
                      <w:color w:val="auto"/>
                      <w:sz w:val="18"/>
                      <w:lang w:val="en-US" w:eastAsia="zh-CN"/>
                    </w:rPr>
                  </w:pPr>
                  <w:r>
                    <w:rPr>
                      <w:rFonts w:hint="eastAsia" w:ascii="Times New Roman" w:hAnsi="Times New Roman" w:cs="Times New Roman"/>
                      <w:b/>
                      <w:color w:val="auto"/>
                      <w:sz w:val="18"/>
                      <w:lang w:val="en-US" w:eastAsia="zh-CN"/>
                    </w:rPr>
                    <w:t>发生频次</w:t>
                  </w:r>
                </w:p>
              </w:tc>
              <w:tc>
                <w:tcPr>
                  <w:tcW w:w="377" w:type="pct"/>
                  <w:vMerge w:val="restart"/>
                  <w:tcBorders>
                    <w:tl2br w:val="nil"/>
                    <w:tr2bl w:val="nil"/>
                  </w:tcBorders>
                  <w:noWrap w:val="0"/>
                  <w:vAlign w:val="center"/>
                </w:tcPr>
                <w:p w14:paraId="1F67451B">
                  <w:pPr>
                    <w:pStyle w:val="46"/>
                    <w:spacing w:before="83" w:line="240" w:lineRule="auto"/>
                    <w:ind w:left="75" w:right="55"/>
                    <w:jc w:val="center"/>
                    <w:rPr>
                      <w:rFonts w:hint="default" w:ascii="Times New Roman" w:hAnsi="Times New Roman" w:cs="Times New Roman"/>
                      <w:b/>
                      <w:color w:val="auto"/>
                      <w:sz w:val="18"/>
                      <w:lang w:val="en-US" w:eastAsia="zh-CN"/>
                    </w:rPr>
                  </w:pPr>
                  <w:r>
                    <w:rPr>
                      <w:rFonts w:hint="eastAsia" w:ascii="Times New Roman" w:hAnsi="Times New Roman" w:cs="Times New Roman"/>
                      <w:b/>
                      <w:color w:val="auto"/>
                      <w:sz w:val="18"/>
                      <w:lang w:val="en-US" w:eastAsia="zh-CN"/>
                    </w:rPr>
                    <w:t>应对措施</w:t>
                  </w:r>
                </w:p>
              </w:tc>
            </w:tr>
            <w:tr w14:paraId="354008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46" w:hRule="atLeast"/>
                <w:jc w:val="center"/>
              </w:trPr>
              <w:tc>
                <w:tcPr>
                  <w:tcW w:w="924" w:type="pct"/>
                  <w:gridSpan w:val="2"/>
                  <w:vMerge w:val="continue"/>
                  <w:tcBorders>
                    <w:tl2br w:val="nil"/>
                    <w:tr2bl w:val="nil"/>
                  </w:tcBorders>
                  <w:noWrap w:val="0"/>
                  <w:vAlign w:val="center"/>
                </w:tcPr>
                <w:p w14:paraId="09356BEB">
                  <w:pPr>
                    <w:pStyle w:val="46"/>
                    <w:spacing w:before="81" w:line="240" w:lineRule="auto"/>
                    <w:ind w:left="88" w:right="58"/>
                    <w:jc w:val="center"/>
                    <w:rPr>
                      <w:rFonts w:hint="default" w:ascii="Times New Roman" w:hAnsi="Times New Roman" w:cs="Times New Roman"/>
                      <w:color w:val="auto"/>
                      <w:sz w:val="18"/>
                    </w:rPr>
                  </w:pPr>
                </w:p>
              </w:tc>
              <w:tc>
                <w:tcPr>
                  <w:tcW w:w="556" w:type="pct"/>
                  <w:tcBorders>
                    <w:tl2br w:val="nil"/>
                    <w:tr2bl w:val="nil"/>
                  </w:tcBorders>
                  <w:noWrap w:val="0"/>
                  <w:vAlign w:val="center"/>
                </w:tcPr>
                <w:p w14:paraId="409619E5">
                  <w:pPr>
                    <w:pStyle w:val="46"/>
                    <w:spacing w:before="93" w:line="240" w:lineRule="auto"/>
                    <w:ind w:left="27"/>
                    <w:jc w:val="center"/>
                    <w:rPr>
                      <w:rFonts w:hint="eastAsia" w:ascii="Times New Roman" w:hAnsi="Times New Roman" w:eastAsia="宋体" w:cs="Times New Roman"/>
                      <w:color w:val="auto"/>
                      <w:sz w:val="18"/>
                      <w:lang w:val="en-US" w:eastAsia="zh-CN"/>
                    </w:rPr>
                  </w:pPr>
                  <w:r>
                    <w:rPr>
                      <w:rFonts w:hint="eastAsia" w:ascii="Times New Roman" w:hAnsi="Times New Roman" w:cs="Times New Roman"/>
                      <w:b/>
                      <w:color w:val="auto"/>
                      <w:sz w:val="18"/>
                      <w:lang w:val="en-US" w:eastAsia="zh-CN"/>
                    </w:rPr>
                    <w:t>浓度(</w:t>
                  </w:r>
                  <w:r>
                    <w:rPr>
                      <w:rFonts w:hint="default" w:ascii="Times New Roman" w:hAnsi="Times New Roman" w:cs="Times New Roman"/>
                      <w:b/>
                      <w:color w:val="auto"/>
                      <w:sz w:val="18"/>
                    </w:rPr>
                    <w:t>mg/m³</w:t>
                  </w:r>
                  <w:r>
                    <w:rPr>
                      <w:rFonts w:hint="eastAsia" w:ascii="Times New Roman" w:hAnsi="Times New Roman" w:cs="Times New Roman"/>
                      <w:b/>
                      <w:color w:val="auto"/>
                      <w:sz w:val="18"/>
                      <w:lang w:val="en-US" w:eastAsia="zh-CN"/>
                    </w:rPr>
                    <w:t>)</w:t>
                  </w:r>
                </w:p>
              </w:tc>
              <w:tc>
                <w:tcPr>
                  <w:tcW w:w="464" w:type="pct"/>
                  <w:tcBorders>
                    <w:tl2br w:val="nil"/>
                    <w:tr2bl w:val="nil"/>
                  </w:tcBorders>
                  <w:noWrap w:val="0"/>
                  <w:vAlign w:val="center"/>
                </w:tcPr>
                <w:p w14:paraId="2BE88A33">
                  <w:pPr>
                    <w:pStyle w:val="46"/>
                    <w:spacing w:before="93" w:line="240" w:lineRule="auto"/>
                    <w:ind w:left="27"/>
                    <w:jc w:val="center"/>
                    <w:rPr>
                      <w:rFonts w:hint="eastAsia" w:ascii="Times New Roman" w:hAnsi="Times New Roman" w:cs="Times New Roman"/>
                      <w:b/>
                      <w:color w:val="auto"/>
                      <w:sz w:val="18"/>
                      <w:lang w:val="en-US" w:eastAsia="zh-CN"/>
                    </w:rPr>
                  </w:pPr>
                  <w:r>
                    <w:rPr>
                      <w:rFonts w:hint="eastAsia" w:ascii="Times New Roman" w:hAnsi="Times New Roman" w:cs="Times New Roman"/>
                      <w:b/>
                      <w:color w:val="auto"/>
                      <w:sz w:val="18"/>
                      <w:lang w:val="en-US" w:eastAsia="zh-CN"/>
                    </w:rPr>
                    <w:t>速率</w:t>
                  </w:r>
                </w:p>
                <w:p w14:paraId="54A15BB2">
                  <w:pPr>
                    <w:pStyle w:val="46"/>
                    <w:spacing w:before="93" w:line="240" w:lineRule="auto"/>
                    <w:ind w:left="27"/>
                    <w:jc w:val="center"/>
                    <w:rPr>
                      <w:rFonts w:hint="default" w:ascii="Times New Roman" w:hAnsi="Times New Roman" w:eastAsia="宋体" w:cs="Times New Roman"/>
                      <w:color w:val="auto"/>
                      <w:sz w:val="18"/>
                      <w:lang w:val="en-US" w:eastAsia="zh-CN"/>
                    </w:rPr>
                  </w:pPr>
                  <w:r>
                    <w:rPr>
                      <w:rFonts w:hint="eastAsia" w:ascii="Times New Roman" w:hAnsi="Times New Roman" w:cs="Times New Roman"/>
                      <w:b/>
                      <w:color w:val="auto"/>
                      <w:sz w:val="18"/>
                      <w:lang w:val="en-US" w:eastAsia="zh-CN"/>
                    </w:rPr>
                    <w:t>(kg</w:t>
                  </w:r>
                  <w:r>
                    <w:rPr>
                      <w:rFonts w:hint="default" w:ascii="Times New Roman" w:hAnsi="Times New Roman" w:cs="Times New Roman"/>
                      <w:b/>
                      <w:color w:val="auto"/>
                      <w:sz w:val="18"/>
                    </w:rPr>
                    <w:t>/</w:t>
                  </w:r>
                  <w:r>
                    <w:rPr>
                      <w:rFonts w:hint="eastAsia" w:ascii="Times New Roman" w:hAnsi="Times New Roman" w:cs="Times New Roman"/>
                      <w:b/>
                      <w:color w:val="auto"/>
                      <w:sz w:val="18"/>
                      <w:lang w:val="en-US" w:eastAsia="zh-CN"/>
                    </w:rPr>
                    <w:t>h)</w:t>
                  </w:r>
                </w:p>
              </w:tc>
              <w:tc>
                <w:tcPr>
                  <w:tcW w:w="456" w:type="pct"/>
                  <w:vMerge w:val="continue"/>
                  <w:tcBorders>
                    <w:tl2br w:val="nil"/>
                    <w:tr2bl w:val="nil"/>
                  </w:tcBorders>
                  <w:noWrap w:val="0"/>
                  <w:vAlign w:val="center"/>
                </w:tcPr>
                <w:p w14:paraId="7D33C03E">
                  <w:pPr>
                    <w:spacing w:before="93" w:line="240" w:lineRule="auto"/>
                    <w:ind w:left="0" w:leftChars="0" w:right="0" w:rightChars="0"/>
                    <w:jc w:val="center"/>
                    <w:rPr>
                      <w:rFonts w:hint="default" w:ascii="Times New Roman" w:hAnsi="Times New Roman" w:cs="Times New Roman"/>
                      <w:b/>
                      <w:color w:val="auto"/>
                      <w:sz w:val="18"/>
                      <w:lang w:val="en-US" w:eastAsia="zh-CN"/>
                    </w:rPr>
                  </w:pPr>
                </w:p>
              </w:tc>
              <w:tc>
                <w:tcPr>
                  <w:tcW w:w="549" w:type="pct"/>
                  <w:tcBorders>
                    <w:tl2br w:val="nil"/>
                    <w:tr2bl w:val="nil"/>
                  </w:tcBorders>
                  <w:noWrap w:val="0"/>
                  <w:vAlign w:val="center"/>
                </w:tcPr>
                <w:p w14:paraId="6A49B5E6">
                  <w:pPr>
                    <w:pStyle w:val="46"/>
                    <w:spacing w:before="93" w:line="240" w:lineRule="auto"/>
                    <w:ind w:left="27" w:leftChars="0" w:right="0" w:rightChars="0"/>
                    <w:jc w:val="center"/>
                    <w:rPr>
                      <w:rFonts w:hint="default" w:ascii="Times New Roman" w:hAnsi="Times New Roman" w:cs="Times New Roman"/>
                      <w:color w:val="auto"/>
                      <w:sz w:val="18"/>
                    </w:rPr>
                  </w:pPr>
                  <w:r>
                    <w:rPr>
                      <w:rFonts w:hint="eastAsia" w:ascii="Times New Roman" w:hAnsi="Times New Roman" w:cs="Times New Roman"/>
                      <w:b/>
                      <w:color w:val="auto"/>
                      <w:sz w:val="18"/>
                      <w:lang w:val="en-US" w:eastAsia="zh-CN"/>
                    </w:rPr>
                    <w:t>浓度(</w:t>
                  </w:r>
                  <w:r>
                    <w:rPr>
                      <w:rFonts w:hint="default" w:ascii="Times New Roman" w:hAnsi="Times New Roman" w:cs="Times New Roman"/>
                      <w:b/>
                      <w:color w:val="auto"/>
                      <w:sz w:val="18"/>
                    </w:rPr>
                    <w:t>mg/m³</w:t>
                  </w:r>
                  <w:r>
                    <w:rPr>
                      <w:rFonts w:hint="eastAsia" w:ascii="Times New Roman" w:hAnsi="Times New Roman" w:cs="Times New Roman"/>
                      <w:b/>
                      <w:color w:val="auto"/>
                      <w:sz w:val="18"/>
                      <w:lang w:val="en-US" w:eastAsia="zh-CN"/>
                    </w:rPr>
                    <w:t>)</w:t>
                  </w:r>
                </w:p>
              </w:tc>
              <w:tc>
                <w:tcPr>
                  <w:tcW w:w="417" w:type="pct"/>
                  <w:tcBorders>
                    <w:tl2br w:val="nil"/>
                    <w:tr2bl w:val="nil"/>
                  </w:tcBorders>
                  <w:noWrap w:val="0"/>
                  <w:vAlign w:val="center"/>
                </w:tcPr>
                <w:p w14:paraId="67402396">
                  <w:pPr>
                    <w:pStyle w:val="46"/>
                    <w:spacing w:before="93" w:line="240" w:lineRule="auto"/>
                    <w:ind w:left="27"/>
                    <w:jc w:val="center"/>
                    <w:rPr>
                      <w:rFonts w:hint="eastAsia" w:ascii="Times New Roman" w:hAnsi="Times New Roman" w:cs="Times New Roman"/>
                      <w:b/>
                      <w:color w:val="auto"/>
                      <w:sz w:val="18"/>
                      <w:lang w:val="en-US" w:eastAsia="zh-CN"/>
                    </w:rPr>
                  </w:pPr>
                  <w:r>
                    <w:rPr>
                      <w:rFonts w:hint="eastAsia" w:ascii="Times New Roman" w:hAnsi="Times New Roman" w:cs="Times New Roman"/>
                      <w:b/>
                      <w:color w:val="auto"/>
                      <w:sz w:val="18"/>
                      <w:lang w:val="en-US" w:eastAsia="zh-CN"/>
                    </w:rPr>
                    <w:t>速率</w:t>
                  </w:r>
                </w:p>
                <w:p w14:paraId="565D39D9">
                  <w:pPr>
                    <w:pStyle w:val="46"/>
                    <w:spacing w:before="93" w:line="240" w:lineRule="auto"/>
                    <w:ind w:left="27" w:leftChars="0" w:right="0" w:rightChars="0"/>
                    <w:jc w:val="center"/>
                    <w:rPr>
                      <w:rFonts w:hint="default" w:ascii="Times New Roman" w:hAnsi="Times New Roman" w:cs="Times New Roman"/>
                      <w:color w:val="auto"/>
                      <w:sz w:val="18"/>
                    </w:rPr>
                  </w:pPr>
                  <w:r>
                    <w:rPr>
                      <w:rFonts w:hint="eastAsia" w:ascii="Times New Roman" w:hAnsi="Times New Roman" w:cs="Times New Roman"/>
                      <w:b/>
                      <w:color w:val="auto"/>
                      <w:sz w:val="18"/>
                      <w:lang w:val="en-US" w:eastAsia="zh-CN"/>
                    </w:rPr>
                    <w:t>(kg</w:t>
                  </w:r>
                  <w:r>
                    <w:rPr>
                      <w:rFonts w:hint="default" w:ascii="Times New Roman" w:hAnsi="Times New Roman" w:cs="Times New Roman"/>
                      <w:b/>
                      <w:color w:val="auto"/>
                      <w:sz w:val="18"/>
                    </w:rPr>
                    <w:t>/</w:t>
                  </w:r>
                  <w:r>
                    <w:rPr>
                      <w:rFonts w:hint="eastAsia" w:ascii="Times New Roman" w:hAnsi="Times New Roman" w:cs="Times New Roman"/>
                      <w:b/>
                      <w:color w:val="auto"/>
                      <w:sz w:val="18"/>
                      <w:lang w:val="en-US" w:eastAsia="zh-CN"/>
                    </w:rPr>
                    <w:t>h)</w:t>
                  </w:r>
                </w:p>
              </w:tc>
              <w:tc>
                <w:tcPr>
                  <w:tcW w:w="495" w:type="pct"/>
                  <w:tcBorders>
                    <w:tl2br w:val="nil"/>
                    <w:tr2bl w:val="nil"/>
                  </w:tcBorders>
                  <w:noWrap w:val="0"/>
                  <w:vAlign w:val="center"/>
                </w:tcPr>
                <w:p w14:paraId="0CB58EED">
                  <w:pPr>
                    <w:pStyle w:val="46"/>
                    <w:spacing w:before="93" w:line="240" w:lineRule="auto"/>
                    <w:ind w:left="75" w:right="51"/>
                    <w:jc w:val="center"/>
                    <w:rPr>
                      <w:rFonts w:hint="default" w:ascii="Times New Roman" w:hAnsi="Times New Roman" w:cs="Times New Roman"/>
                      <w:color w:val="auto"/>
                      <w:sz w:val="18"/>
                    </w:rPr>
                  </w:pPr>
                  <w:r>
                    <w:rPr>
                      <w:rFonts w:hint="default" w:ascii="Times New Roman" w:hAnsi="Times New Roman" w:eastAsia="Times New Roman" w:cs="Times New Roman"/>
                      <w:b/>
                      <w:color w:val="auto"/>
                      <w:sz w:val="18"/>
                    </w:rPr>
                    <w:t>kg/</w:t>
                  </w:r>
                  <w:r>
                    <w:rPr>
                      <w:rFonts w:hint="default" w:ascii="Times New Roman" w:hAnsi="Times New Roman" w:cs="Times New Roman"/>
                      <w:b/>
                      <w:color w:val="auto"/>
                      <w:sz w:val="18"/>
                    </w:rPr>
                    <w:t>次（最大）</w:t>
                  </w:r>
                </w:p>
              </w:tc>
              <w:tc>
                <w:tcPr>
                  <w:tcW w:w="410" w:type="pct"/>
                  <w:vMerge w:val="continue"/>
                  <w:tcBorders>
                    <w:tl2br w:val="nil"/>
                    <w:tr2bl w:val="nil"/>
                  </w:tcBorders>
                  <w:noWrap w:val="0"/>
                  <w:vAlign w:val="center"/>
                </w:tcPr>
                <w:p w14:paraId="458D31AA">
                  <w:pPr>
                    <w:pStyle w:val="46"/>
                    <w:spacing w:before="93" w:line="240" w:lineRule="auto"/>
                    <w:ind w:left="75" w:right="51"/>
                    <w:jc w:val="center"/>
                    <w:rPr>
                      <w:rFonts w:hint="default" w:ascii="Times New Roman" w:hAnsi="Times New Roman" w:cs="Times New Roman"/>
                      <w:color w:val="auto"/>
                      <w:sz w:val="18"/>
                    </w:rPr>
                  </w:pPr>
                </w:p>
              </w:tc>
              <w:tc>
                <w:tcPr>
                  <w:tcW w:w="348" w:type="pct"/>
                  <w:vMerge w:val="continue"/>
                  <w:tcBorders>
                    <w:tl2br w:val="nil"/>
                    <w:tr2bl w:val="nil"/>
                  </w:tcBorders>
                  <w:noWrap w:val="0"/>
                  <w:vAlign w:val="center"/>
                </w:tcPr>
                <w:p w14:paraId="50F3596C">
                  <w:pPr>
                    <w:pStyle w:val="46"/>
                    <w:spacing w:before="93" w:line="240" w:lineRule="auto"/>
                    <w:ind w:left="75" w:right="51"/>
                    <w:jc w:val="center"/>
                    <w:rPr>
                      <w:rFonts w:hint="default" w:ascii="Times New Roman" w:hAnsi="Times New Roman" w:cs="Times New Roman"/>
                      <w:color w:val="auto"/>
                      <w:sz w:val="18"/>
                    </w:rPr>
                  </w:pPr>
                </w:p>
              </w:tc>
              <w:tc>
                <w:tcPr>
                  <w:tcW w:w="377" w:type="pct"/>
                  <w:vMerge w:val="continue"/>
                  <w:tcBorders>
                    <w:tl2br w:val="nil"/>
                    <w:tr2bl w:val="nil"/>
                  </w:tcBorders>
                  <w:noWrap w:val="0"/>
                  <w:vAlign w:val="center"/>
                </w:tcPr>
                <w:p w14:paraId="1F9305F4">
                  <w:pPr>
                    <w:pStyle w:val="46"/>
                    <w:spacing w:before="93" w:line="240" w:lineRule="auto"/>
                    <w:ind w:left="75" w:right="51"/>
                    <w:jc w:val="center"/>
                    <w:rPr>
                      <w:rFonts w:hint="default" w:ascii="Times New Roman" w:hAnsi="Times New Roman" w:cs="Times New Roman"/>
                      <w:color w:val="auto"/>
                      <w:sz w:val="18"/>
                    </w:rPr>
                  </w:pPr>
                </w:p>
              </w:tc>
            </w:tr>
            <w:tr w14:paraId="261E4F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76" w:hRule="atLeast"/>
                <w:jc w:val="center"/>
              </w:trPr>
              <w:tc>
                <w:tcPr>
                  <w:tcW w:w="519" w:type="pct"/>
                  <w:vMerge w:val="restart"/>
                  <w:tcBorders>
                    <w:tl2br w:val="nil"/>
                    <w:tr2bl w:val="nil"/>
                  </w:tcBorders>
                  <w:noWrap w:val="0"/>
                  <w:vAlign w:val="center"/>
                </w:tcPr>
                <w:p w14:paraId="47D0F5E0">
                  <w:pPr>
                    <w:pStyle w:val="46"/>
                    <w:spacing w:before="94" w:line="240" w:lineRule="auto"/>
                    <w:ind w:left="75" w:leftChars="0" w:right="51" w:rightChars="0"/>
                    <w:jc w:val="center"/>
                    <w:rPr>
                      <w:rFonts w:hint="default" w:ascii="Times New Roman" w:hAnsi="Times New Roman" w:eastAsia="宋体" w:cs="宋体"/>
                      <w:bCs/>
                      <w:color w:val="auto"/>
                      <w:kern w:val="2"/>
                      <w:sz w:val="18"/>
                      <w:szCs w:val="18"/>
                      <w:highlight w:val="none"/>
                      <w:lang w:val="zh-CN" w:eastAsia="zh-CN" w:bidi="zh-CN"/>
                    </w:rPr>
                  </w:pPr>
                  <w:r>
                    <w:rPr>
                      <w:rFonts w:hint="eastAsia" w:ascii="Times New Roman" w:hAnsi="Times New Roman" w:cs="宋体"/>
                      <w:bCs/>
                      <w:color w:val="auto"/>
                      <w:sz w:val="18"/>
                      <w:szCs w:val="18"/>
                      <w:highlight w:val="none"/>
                      <w:lang w:val="en-US" w:eastAsia="zh-CN"/>
                    </w:rPr>
                    <w:t xml:space="preserve"> </w:t>
                  </w:r>
                  <w:r>
                    <w:rPr>
                      <w:rFonts w:hint="default" w:ascii="Times New Roman" w:hAnsi="Times New Roman"/>
                      <w:color w:val="auto"/>
                      <w:sz w:val="18"/>
                      <w:szCs w:val="18"/>
                      <w:highlight w:val="none"/>
                      <w:lang w:val="en-US" w:eastAsia="zh-CN"/>
                    </w:rPr>
                    <w:t>干式漆雾过滤器+二级活性炭吸附装置</w:t>
                  </w:r>
                  <w:r>
                    <w:rPr>
                      <w:rFonts w:hint="default" w:ascii="Times New Roman" w:hAnsi="Times New Roman" w:eastAsia="宋体" w:cs="宋体"/>
                      <w:bCs/>
                      <w:color w:val="auto"/>
                      <w:sz w:val="18"/>
                      <w:szCs w:val="18"/>
                      <w:highlight w:val="none"/>
                    </w:rPr>
                    <w:t>发生故障时发生故障时，故障时间1h</w:t>
                  </w:r>
                </w:p>
              </w:tc>
              <w:tc>
                <w:tcPr>
                  <w:tcW w:w="404" w:type="pct"/>
                  <w:tcBorders>
                    <w:tl2br w:val="nil"/>
                    <w:tr2bl w:val="nil"/>
                  </w:tcBorders>
                  <w:noWrap w:val="0"/>
                  <w:vAlign w:val="center"/>
                </w:tcPr>
                <w:p w14:paraId="6631F0AF">
                  <w:pPr>
                    <w:jc w:val="center"/>
                    <w:rPr>
                      <w:rFonts w:hint="default" w:ascii="Times New Roman" w:hAnsi="Times New Roman" w:eastAsia="宋体" w:cs="Times New Roman"/>
                      <w:color w:val="auto"/>
                      <w:kern w:val="2"/>
                      <w:sz w:val="18"/>
                      <w:szCs w:val="24"/>
                      <w:lang w:val="zh-CN" w:eastAsia="zh-CN" w:bidi="zh-CN"/>
                    </w:rPr>
                  </w:pPr>
                  <w:r>
                    <w:rPr>
                      <w:rFonts w:hint="eastAsia"/>
                      <w:color w:val="auto"/>
                      <w:sz w:val="18"/>
                      <w:szCs w:val="18"/>
                      <w:lang w:val="en-US" w:eastAsia="zh-CN"/>
                    </w:rPr>
                    <w:t>颗粒物</w:t>
                  </w:r>
                </w:p>
              </w:tc>
              <w:tc>
                <w:tcPr>
                  <w:tcW w:w="556" w:type="pct"/>
                  <w:tcBorders>
                    <w:tl2br w:val="nil"/>
                    <w:tr2bl w:val="nil"/>
                  </w:tcBorders>
                  <w:noWrap w:val="0"/>
                  <w:vAlign w:val="center"/>
                </w:tcPr>
                <w:p w14:paraId="38018042">
                  <w:pPr>
                    <w:pStyle w:val="10"/>
                    <w:spacing w:line="240" w:lineRule="auto"/>
                    <w:ind w:firstLine="0" w:firstLineChars="0"/>
                    <w:jc w:val="center"/>
                    <w:rPr>
                      <w:rFonts w:hint="default" w:ascii="Times New Roman" w:hAnsi="Times New Roman" w:eastAsia="宋体" w:cs="Times New Roman"/>
                      <w:color w:val="auto"/>
                      <w:sz w:val="18"/>
                      <w:lang w:val="en-US" w:eastAsia="zh-CN"/>
                    </w:rPr>
                  </w:pPr>
                  <w:r>
                    <w:rPr>
                      <w:rFonts w:hint="eastAsia" w:ascii="Times New Roman" w:hAnsi="Times New Roman"/>
                      <w:color w:val="auto"/>
                      <w:sz w:val="18"/>
                      <w:szCs w:val="18"/>
                      <w:lang w:val="en-US" w:eastAsia="zh-CN"/>
                    </w:rPr>
                    <w:t>53.25</w:t>
                  </w:r>
                </w:p>
              </w:tc>
              <w:tc>
                <w:tcPr>
                  <w:tcW w:w="464" w:type="pct"/>
                  <w:tcBorders>
                    <w:tl2br w:val="nil"/>
                    <w:tr2bl w:val="nil"/>
                  </w:tcBorders>
                  <w:noWrap w:val="0"/>
                  <w:vAlign w:val="center"/>
                </w:tcPr>
                <w:p w14:paraId="5F3F045E">
                  <w:pPr>
                    <w:pStyle w:val="10"/>
                    <w:spacing w:line="240" w:lineRule="auto"/>
                    <w:ind w:firstLine="0" w:firstLineChars="0"/>
                    <w:jc w:val="center"/>
                    <w:rPr>
                      <w:rFonts w:hint="default" w:ascii="Times New Roman" w:hAnsi="Times New Roman" w:eastAsia="宋体" w:cs="Times New Roman"/>
                      <w:color w:val="auto"/>
                      <w:sz w:val="18"/>
                      <w:lang w:val="en-US" w:eastAsia="zh-CN"/>
                    </w:rPr>
                  </w:pPr>
                  <w:r>
                    <w:rPr>
                      <w:rFonts w:hint="eastAsia" w:ascii="Times New Roman" w:hAnsi="Times New Roman"/>
                      <w:color w:val="auto"/>
                      <w:sz w:val="18"/>
                      <w:szCs w:val="18"/>
                      <w:lang w:val="en-US" w:eastAsia="zh-CN"/>
                    </w:rPr>
                    <w:t>0.4260</w:t>
                  </w:r>
                </w:p>
              </w:tc>
              <w:tc>
                <w:tcPr>
                  <w:tcW w:w="456" w:type="pct"/>
                  <w:vMerge w:val="restart"/>
                  <w:tcBorders>
                    <w:tl2br w:val="nil"/>
                    <w:tr2bl w:val="nil"/>
                  </w:tcBorders>
                  <w:noWrap w:val="0"/>
                  <w:vAlign w:val="center"/>
                </w:tcPr>
                <w:p w14:paraId="26E2DE34">
                  <w:pPr>
                    <w:pStyle w:val="46"/>
                    <w:spacing w:before="94" w:line="240" w:lineRule="auto"/>
                    <w:ind w:left="73" w:right="42"/>
                    <w:jc w:val="center"/>
                    <w:rPr>
                      <w:rFonts w:hint="default" w:ascii="Times New Roman" w:hAnsi="Times New Roman" w:cs="Times New Roman"/>
                      <w:color w:val="auto"/>
                      <w:sz w:val="18"/>
                      <w:lang w:val="en-US" w:eastAsia="zh-CN"/>
                    </w:rPr>
                  </w:pPr>
                  <w:r>
                    <w:rPr>
                      <w:rFonts w:hint="eastAsia" w:ascii="Times New Roman" w:hAnsi="Times New Roman" w:cs="Times New Roman"/>
                      <w:color w:val="auto"/>
                      <w:sz w:val="18"/>
                      <w:lang w:val="en-US" w:eastAsia="zh-CN"/>
                    </w:rPr>
                    <w:t>1</w:t>
                  </w:r>
                </w:p>
              </w:tc>
              <w:tc>
                <w:tcPr>
                  <w:tcW w:w="549" w:type="pct"/>
                  <w:tcBorders>
                    <w:tl2br w:val="nil"/>
                    <w:tr2bl w:val="nil"/>
                  </w:tcBorders>
                  <w:noWrap w:val="0"/>
                  <w:vAlign w:val="center"/>
                </w:tcPr>
                <w:p w14:paraId="1C4C94B2">
                  <w:pPr>
                    <w:pStyle w:val="10"/>
                    <w:spacing w:line="240" w:lineRule="auto"/>
                    <w:ind w:firstLine="0" w:firstLineChars="0"/>
                    <w:jc w:val="center"/>
                    <w:rPr>
                      <w:rFonts w:hint="default" w:ascii="Times New Roman" w:hAnsi="Times New Roman" w:eastAsia="宋体" w:cs="Times New Roman"/>
                      <w:color w:val="auto"/>
                      <w:sz w:val="18"/>
                      <w:lang w:val="en-US" w:eastAsia="zh-CN"/>
                    </w:rPr>
                  </w:pPr>
                  <w:r>
                    <w:rPr>
                      <w:rFonts w:hint="eastAsia" w:ascii="Times New Roman" w:hAnsi="Times New Roman"/>
                      <w:color w:val="auto"/>
                      <w:sz w:val="18"/>
                      <w:szCs w:val="18"/>
                      <w:lang w:val="en-US" w:eastAsia="zh-CN"/>
                    </w:rPr>
                    <w:t>53.25</w:t>
                  </w:r>
                </w:p>
              </w:tc>
              <w:tc>
                <w:tcPr>
                  <w:tcW w:w="417" w:type="pct"/>
                  <w:tcBorders>
                    <w:tl2br w:val="nil"/>
                    <w:tr2bl w:val="nil"/>
                  </w:tcBorders>
                  <w:noWrap w:val="0"/>
                  <w:vAlign w:val="center"/>
                </w:tcPr>
                <w:p w14:paraId="0D4EBF65">
                  <w:pPr>
                    <w:pStyle w:val="10"/>
                    <w:spacing w:line="240" w:lineRule="auto"/>
                    <w:ind w:firstLine="0" w:firstLineChars="0"/>
                    <w:jc w:val="center"/>
                    <w:rPr>
                      <w:rFonts w:hint="default" w:ascii="Times New Roman" w:hAnsi="Times New Roman" w:cs="Times New Roman"/>
                      <w:color w:val="auto"/>
                      <w:sz w:val="18"/>
                    </w:rPr>
                  </w:pPr>
                  <w:r>
                    <w:rPr>
                      <w:rFonts w:hint="eastAsia" w:ascii="Times New Roman" w:hAnsi="Times New Roman"/>
                      <w:color w:val="auto"/>
                      <w:sz w:val="18"/>
                      <w:szCs w:val="18"/>
                      <w:lang w:val="en-US" w:eastAsia="zh-CN"/>
                    </w:rPr>
                    <w:t>0.4260</w:t>
                  </w:r>
                </w:p>
              </w:tc>
              <w:tc>
                <w:tcPr>
                  <w:tcW w:w="495" w:type="pct"/>
                  <w:tcBorders>
                    <w:tl2br w:val="nil"/>
                    <w:tr2bl w:val="nil"/>
                  </w:tcBorders>
                  <w:noWrap w:val="0"/>
                  <w:vAlign w:val="center"/>
                </w:tcPr>
                <w:p w14:paraId="246CF99B">
                  <w:pPr>
                    <w:pStyle w:val="10"/>
                    <w:spacing w:line="240" w:lineRule="auto"/>
                    <w:ind w:firstLine="0" w:firstLineChars="0"/>
                    <w:jc w:val="center"/>
                    <w:rPr>
                      <w:rFonts w:hint="default" w:ascii="Times New Roman" w:hAnsi="Times New Roman" w:cs="Times New Roman"/>
                      <w:color w:val="auto"/>
                      <w:sz w:val="18"/>
                      <w:lang w:val="en-US"/>
                    </w:rPr>
                  </w:pPr>
                  <w:r>
                    <w:rPr>
                      <w:rFonts w:hint="eastAsia" w:ascii="Times New Roman" w:hAnsi="Times New Roman"/>
                      <w:color w:val="auto"/>
                      <w:sz w:val="18"/>
                      <w:szCs w:val="18"/>
                      <w:lang w:val="en-US" w:eastAsia="zh-CN"/>
                    </w:rPr>
                    <w:t>0.4260</w:t>
                  </w:r>
                </w:p>
              </w:tc>
              <w:tc>
                <w:tcPr>
                  <w:tcW w:w="410" w:type="pct"/>
                  <w:tcBorders>
                    <w:tl2br w:val="nil"/>
                    <w:tr2bl w:val="nil"/>
                  </w:tcBorders>
                  <w:noWrap w:val="0"/>
                  <w:vAlign w:val="center"/>
                </w:tcPr>
                <w:p w14:paraId="475B00B8">
                  <w:pPr>
                    <w:pStyle w:val="46"/>
                    <w:spacing w:before="94" w:line="240" w:lineRule="auto"/>
                    <w:ind w:left="75" w:right="51"/>
                    <w:jc w:val="center"/>
                    <w:rPr>
                      <w:rFonts w:hint="default" w:ascii="Times New Roman" w:hAnsi="Times New Roman" w:cs="Times New Roman"/>
                      <w:color w:val="auto"/>
                      <w:sz w:val="18"/>
                      <w:lang w:val="en-US" w:eastAsia="zh-CN"/>
                    </w:rPr>
                  </w:pPr>
                  <w:r>
                    <w:rPr>
                      <w:rFonts w:hint="eastAsia" w:ascii="Times New Roman" w:hAnsi="Times New Roman" w:cs="Times New Roman"/>
                      <w:color w:val="auto"/>
                      <w:sz w:val="18"/>
                      <w:lang w:val="en-US" w:eastAsia="zh-CN"/>
                    </w:rPr>
                    <w:t>0</w:t>
                  </w:r>
                </w:p>
              </w:tc>
              <w:tc>
                <w:tcPr>
                  <w:tcW w:w="348" w:type="pct"/>
                  <w:vMerge w:val="restart"/>
                  <w:tcBorders>
                    <w:tl2br w:val="nil"/>
                    <w:tr2bl w:val="nil"/>
                  </w:tcBorders>
                  <w:noWrap w:val="0"/>
                  <w:vAlign w:val="center"/>
                </w:tcPr>
                <w:p w14:paraId="5E210F8B">
                  <w:pPr>
                    <w:pStyle w:val="46"/>
                    <w:spacing w:before="94" w:line="240" w:lineRule="auto"/>
                    <w:ind w:left="75" w:leftChars="0" w:right="51" w:rightChars="0"/>
                    <w:jc w:val="center"/>
                    <w:rPr>
                      <w:rFonts w:hint="eastAsia" w:ascii="Times New Roman" w:hAnsi="Times New Roman" w:cs="Times New Roman"/>
                      <w:color w:val="auto"/>
                      <w:sz w:val="18"/>
                      <w:lang w:val="en-US" w:eastAsia="zh-CN"/>
                    </w:rPr>
                  </w:pPr>
                  <w:r>
                    <w:rPr>
                      <w:rFonts w:hint="eastAsia" w:ascii="Times New Roman" w:hAnsi="Times New Roman" w:cs="Times New Roman"/>
                      <w:color w:val="auto"/>
                      <w:sz w:val="18"/>
                      <w:highlight w:val="none"/>
                      <w:lang w:val="en-US" w:eastAsia="zh-CN"/>
                    </w:rPr>
                    <w:t>2次/年</w:t>
                  </w:r>
                </w:p>
              </w:tc>
              <w:tc>
                <w:tcPr>
                  <w:tcW w:w="377" w:type="pct"/>
                  <w:vMerge w:val="restart"/>
                  <w:tcBorders>
                    <w:tl2br w:val="nil"/>
                    <w:tr2bl w:val="nil"/>
                  </w:tcBorders>
                  <w:noWrap w:val="0"/>
                  <w:vAlign w:val="center"/>
                </w:tcPr>
                <w:p w14:paraId="31AF3089">
                  <w:pPr>
                    <w:pStyle w:val="46"/>
                    <w:spacing w:before="94" w:line="240" w:lineRule="auto"/>
                    <w:ind w:left="75" w:leftChars="0" w:right="51" w:rightChars="0"/>
                    <w:jc w:val="center"/>
                    <w:rPr>
                      <w:rFonts w:ascii="Times New Roman" w:hAnsi="Times New Roman" w:eastAsia="宋体"/>
                      <w:bCs/>
                      <w:color w:val="auto"/>
                      <w:sz w:val="18"/>
                      <w:szCs w:val="18"/>
                      <w:highlight w:val="none"/>
                    </w:rPr>
                  </w:pPr>
                  <w:r>
                    <w:rPr>
                      <w:rFonts w:hint="default" w:ascii="Times New Roman" w:hAnsi="Times New Roman" w:eastAsia="宋体" w:cs="Times New Roman"/>
                      <w:color w:val="auto"/>
                      <w:sz w:val="18"/>
                      <w:szCs w:val="18"/>
                      <w:highlight w:val="none"/>
                    </w:rPr>
                    <w:t>停工检修</w:t>
                  </w:r>
                </w:p>
              </w:tc>
            </w:tr>
            <w:tr w14:paraId="286B50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519" w:type="pct"/>
                  <w:vMerge w:val="continue"/>
                  <w:tcBorders>
                    <w:tl2br w:val="nil"/>
                    <w:tr2bl w:val="nil"/>
                  </w:tcBorders>
                  <w:noWrap w:val="0"/>
                  <w:vAlign w:val="center"/>
                </w:tcPr>
                <w:p w14:paraId="543D8528">
                  <w:pPr>
                    <w:pStyle w:val="46"/>
                    <w:spacing w:before="94" w:line="240" w:lineRule="auto"/>
                    <w:ind w:left="75" w:leftChars="0" w:right="51" w:rightChars="0"/>
                    <w:jc w:val="center"/>
                    <w:rPr>
                      <w:rFonts w:hint="eastAsia" w:ascii="Times New Roman" w:hAnsi="Times New Roman" w:cs="宋体"/>
                      <w:bCs/>
                      <w:color w:val="auto"/>
                      <w:sz w:val="18"/>
                      <w:szCs w:val="18"/>
                      <w:highlight w:val="none"/>
                      <w:lang w:val="en-US" w:eastAsia="zh-CN"/>
                    </w:rPr>
                  </w:pPr>
                </w:p>
              </w:tc>
              <w:tc>
                <w:tcPr>
                  <w:tcW w:w="404" w:type="pct"/>
                  <w:tcBorders>
                    <w:tl2br w:val="nil"/>
                    <w:tr2bl w:val="nil"/>
                  </w:tcBorders>
                  <w:noWrap w:val="0"/>
                  <w:vAlign w:val="center"/>
                </w:tcPr>
                <w:p w14:paraId="75FD2468">
                  <w:pPr>
                    <w:jc w:val="center"/>
                    <w:rPr>
                      <w:rFonts w:hint="default" w:ascii="Times New Roman" w:hAnsi="Times New Roman" w:eastAsia="宋体" w:cs="Times New Roman"/>
                      <w:color w:val="auto"/>
                      <w:kern w:val="2"/>
                      <w:sz w:val="18"/>
                      <w:szCs w:val="24"/>
                      <w:lang w:val="zh-CN" w:eastAsia="zh-CN" w:bidi="zh-CN"/>
                    </w:rPr>
                  </w:pPr>
                  <w:r>
                    <w:rPr>
                      <w:rFonts w:hint="eastAsia"/>
                      <w:color w:val="auto"/>
                      <w:sz w:val="18"/>
                      <w:szCs w:val="18"/>
                      <w:lang w:val="en-US" w:eastAsia="zh-CN"/>
                    </w:rPr>
                    <w:t>非甲烷总烃</w:t>
                  </w:r>
                </w:p>
              </w:tc>
              <w:tc>
                <w:tcPr>
                  <w:tcW w:w="556" w:type="pct"/>
                  <w:tcBorders>
                    <w:tl2br w:val="nil"/>
                    <w:tr2bl w:val="nil"/>
                  </w:tcBorders>
                  <w:noWrap w:val="0"/>
                  <w:vAlign w:val="center"/>
                </w:tcPr>
                <w:p w14:paraId="5A72A514">
                  <w:pPr>
                    <w:pStyle w:val="10"/>
                    <w:spacing w:line="240" w:lineRule="auto"/>
                    <w:ind w:firstLine="0" w:firstLineChars="0"/>
                    <w:jc w:val="center"/>
                    <w:rPr>
                      <w:rFonts w:hint="default" w:ascii="Times New Roman" w:hAnsi="Times New Roman" w:eastAsia="宋体" w:cs="Times New Roman"/>
                      <w:color w:val="auto"/>
                      <w:sz w:val="18"/>
                      <w:lang w:val="en-US" w:eastAsia="zh-CN"/>
                    </w:rPr>
                  </w:pPr>
                  <w:r>
                    <w:rPr>
                      <w:rFonts w:hint="eastAsia" w:ascii="Times New Roman" w:hAnsi="Times New Roman" w:cs="Times New Roman"/>
                      <w:color w:val="auto"/>
                      <w:kern w:val="2"/>
                      <w:sz w:val="18"/>
                      <w:szCs w:val="18"/>
                      <w:lang w:val="en-US" w:eastAsia="zh-CN" w:bidi="ar-SA"/>
                    </w:rPr>
                    <w:t>172.66</w:t>
                  </w:r>
                </w:p>
              </w:tc>
              <w:tc>
                <w:tcPr>
                  <w:tcW w:w="464" w:type="pct"/>
                  <w:tcBorders>
                    <w:tl2br w:val="nil"/>
                    <w:tr2bl w:val="nil"/>
                  </w:tcBorders>
                  <w:noWrap w:val="0"/>
                  <w:vAlign w:val="center"/>
                </w:tcPr>
                <w:p w14:paraId="13987F8A">
                  <w:pPr>
                    <w:pStyle w:val="10"/>
                    <w:spacing w:line="240" w:lineRule="auto"/>
                    <w:ind w:firstLine="0" w:firstLineChars="0"/>
                    <w:jc w:val="center"/>
                    <w:rPr>
                      <w:rFonts w:hint="default" w:ascii="Times New Roman" w:hAnsi="Times New Roman" w:eastAsia="宋体" w:cs="Times New Roman"/>
                      <w:color w:val="auto"/>
                      <w:sz w:val="18"/>
                      <w:lang w:val="en-US" w:eastAsia="zh-CN"/>
                    </w:rPr>
                  </w:pPr>
                  <w:r>
                    <w:rPr>
                      <w:rFonts w:hint="eastAsia" w:ascii="Times New Roman" w:hAnsi="Times New Roman" w:cs="Times New Roman"/>
                      <w:color w:val="auto"/>
                      <w:kern w:val="2"/>
                      <w:sz w:val="18"/>
                      <w:szCs w:val="18"/>
                      <w:lang w:val="en-US" w:eastAsia="zh-CN" w:bidi="ar-SA"/>
                    </w:rPr>
                    <w:t>1.3813</w:t>
                  </w:r>
                </w:p>
              </w:tc>
              <w:tc>
                <w:tcPr>
                  <w:tcW w:w="456" w:type="pct"/>
                  <w:vMerge w:val="continue"/>
                  <w:tcBorders>
                    <w:tl2br w:val="nil"/>
                    <w:tr2bl w:val="nil"/>
                  </w:tcBorders>
                  <w:noWrap w:val="0"/>
                  <w:vAlign w:val="center"/>
                </w:tcPr>
                <w:p w14:paraId="23611467">
                  <w:pPr>
                    <w:pStyle w:val="46"/>
                    <w:spacing w:before="94" w:line="240" w:lineRule="auto"/>
                    <w:ind w:left="73" w:right="42"/>
                    <w:jc w:val="center"/>
                    <w:rPr>
                      <w:rFonts w:hint="eastAsia" w:ascii="Times New Roman" w:hAnsi="Times New Roman" w:cs="Times New Roman"/>
                      <w:color w:val="auto"/>
                      <w:sz w:val="18"/>
                      <w:lang w:val="en-US" w:eastAsia="zh-CN"/>
                    </w:rPr>
                  </w:pPr>
                </w:p>
              </w:tc>
              <w:tc>
                <w:tcPr>
                  <w:tcW w:w="549" w:type="pct"/>
                  <w:tcBorders>
                    <w:tl2br w:val="nil"/>
                    <w:tr2bl w:val="nil"/>
                  </w:tcBorders>
                  <w:noWrap w:val="0"/>
                  <w:vAlign w:val="center"/>
                </w:tcPr>
                <w:p w14:paraId="19E877ED">
                  <w:pPr>
                    <w:pStyle w:val="10"/>
                    <w:spacing w:line="240" w:lineRule="auto"/>
                    <w:ind w:firstLine="0" w:firstLineChars="0"/>
                    <w:jc w:val="center"/>
                    <w:rPr>
                      <w:rFonts w:hint="default" w:ascii="Times New Roman" w:hAnsi="Times New Roman" w:eastAsia="宋体" w:cs="Times New Roman"/>
                      <w:color w:val="auto"/>
                      <w:sz w:val="18"/>
                      <w:lang w:val="en-US" w:eastAsia="zh-CN"/>
                    </w:rPr>
                  </w:pPr>
                  <w:r>
                    <w:rPr>
                      <w:rFonts w:hint="eastAsia" w:ascii="Times New Roman" w:hAnsi="Times New Roman" w:cs="Times New Roman"/>
                      <w:color w:val="auto"/>
                      <w:kern w:val="2"/>
                      <w:sz w:val="18"/>
                      <w:szCs w:val="18"/>
                      <w:lang w:val="en-US" w:eastAsia="zh-CN" w:bidi="ar-SA"/>
                    </w:rPr>
                    <w:t>172.66</w:t>
                  </w:r>
                </w:p>
              </w:tc>
              <w:tc>
                <w:tcPr>
                  <w:tcW w:w="417" w:type="pct"/>
                  <w:tcBorders>
                    <w:tl2br w:val="nil"/>
                    <w:tr2bl w:val="nil"/>
                  </w:tcBorders>
                  <w:noWrap w:val="0"/>
                  <w:vAlign w:val="center"/>
                </w:tcPr>
                <w:p w14:paraId="70BEF943">
                  <w:pPr>
                    <w:pStyle w:val="10"/>
                    <w:spacing w:line="240" w:lineRule="auto"/>
                    <w:ind w:firstLine="0" w:firstLineChars="0"/>
                    <w:jc w:val="center"/>
                    <w:rPr>
                      <w:rFonts w:hint="default" w:ascii="Times New Roman" w:hAnsi="Times New Roman" w:cs="Times New Roman"/>
                      <w:color w:val="auto"/>
                      <w:sz w:val="18"/>
                    </w:rPr>
                  </w:pPr>
                  <w:r>
                    <w:rPr>
                      <w:rFonts w:hint="eastAsia" w:ascii="Times New Roman" w:hAnsi="Times New Roman" w:cs="Times New Roman"/>
                      <w:color w:val="auto"/>
                      <w:kern w:val="2"/>
                      <w:sz w:val="18"/>
                      <w:szCs w:val="18"/>
                      <w:lang w:val="en-US" w:eastAsia="zh-CN" w:bidi="ar-SA"/>
                    </w:rPr>
                    <w:t>1.3813</w:t>
                  </w:r>
                </w:p>
              </w:tc>
              <w:tc>
                <w:tcPr>
                  <w:tcW w:w="495" w:type="pct"/>
                  <w:tcBorders>
                    <w:tl2br w:val="nil"/>
                    <w:tr2bl w:val="nil"/>
                  </w:tcBorders>
                  <w:noWrap w:val="0"/>
                  <w:vAlign w:val="center"/>
                </w:tcPr>
                <w:p w14:paraId="20DFEADB">
                  <w:pPr>
                    <w:pStyle w:val="10"/>
                    <w:spacing w:line="240" w:lineRule="auto"/>
                    <w:ind w:firstLine="0" w:firstLineChars="0"/>
                    <w:jc w:val="center"/>
                    <w:rPr>
                      <w:rFonts w:hint="default" w:ascii="Times New Roman" w:hAnsi="Times New Roman" w:cs="Times New Roman"/>
                      <w:color w:val="auto"/>
                      <w:sz w:val="18"/>
                      <w:lang w:val="en-US"/>
                    </w:rPr>
                  </w:pPr>
                  <w:r>
                    <w:rPr>
                      <w:rFonts w:hint="eastAsia" w:ascii="Times New Roman" w:hAnsi="Times New Roman" w:cs="Times New Roman"/>
                      <w:color w:val="auto"/>
                      <w:kern w:val="2"/>
                      <w:sz w:val="18"/>
                      <w:szCs w:val="18"/>
                      <w:lang w:val="en-US" w:eastAsia="zh-CN" w:bidi="ar-SA"/>
                    </w:rPr>
                    <w:t>1.3813</w:t>
                  </w:r>
                </w:p>
              </w:tc>
              <w:tc>
                <w:tcPr>
                  <w:tcW w:w="410" w:type="pct"/>
                  <w:tcBorders>
                    <w:tl2br w:val="nil"/>
                    <w:tr2bl w:val="nil"/>
                  </w:tcBorders>
                  <w:noWrap w:val="0"/>
                  <w:vAlign w:val="center"/>
                </w:tcPr>
                <w:p w14:paraId="45249B5C">
                  <w:pPr>
                    <w:pStyle w:val="46"/>
                    <w:spacing w:before="94" w:line="240" w:lineRule="auto"/>
                    <w:ind w:left="75" w:right="51"/>
                    <w:jc w:val="center"/>
                    <w:rPr>
                      <w:rFonts w:hint="default" w:ascii="Times New Roman" w:hAnsi="Times New Roman" w:cs="Times New Roman"/>
                      <w:color w:val="auto"/>
                      <w:sz w:val="18"/>
                      <w:lang w:val="en-US" w:eastAsia="zh-CN"/>
                    </w:rPr>
                  </w:pPr>
                  <w:r>
                    <w:rPr>
                      <w:rFonts w:hint="eastAsia" w:ascii="Times New Roman" w:hAnsi="Times New Roman" w:cs="Times New Roman"/>
                      <w:color w:val="auto"/>
                      <w:sz w:val="18"/>
                      <w:lang w:val="en-US" w:eastAsia="zh-CN"/>
                    </w:rPr>
                    <w:t>0</w:t>
                  </w:r>
                </w:p>
              </w:tc>
              <w:tc>
                <w:tcPr>
                  <w:tcW w:w="348" w:type="pct"/>
                  <w:vMerge w:val="continue"/>
                  <w:tcBorders>
                    <w:tl2br w:val="nil"/>
                    <w:tr2bl w:val="nil"/>
                  </w:tcBorders>
                  <w:noWrap w:val="0"/>
                  <w:vAlign w:val="center"/>
                </w:tcPr>
                <w:p w14:paraId="049F58C6">
                  <w:pPr>
                    <w:pStyle w:val="46"/>
                    <w:spacing w:before="94" w:line="240" w:lineRule="auto"/>
                    <w:ind w:left="75" w:right="51"/>
                    <w:jc w:val="center"/>
                    <w:rPr>
                      <w:rFonts w:hint="eastAsia" w:ascii="Times New Roman" w:hAnsi="Times New Roman" w:cs="Times New Roman"/>
                      <w:color w:val="auto"/>
                      <w:sz w:val="18"/>
                      <w:lang w:val="en-US" w:eastAsia="zh-CN"/>
                    </w:rPr>
                  </w:pPr>
                </w:p>
              </w:tc>
              <w:tc>
                <w:tcPr>
                  <w:tcW w:w="377" w:type="pct"/>
                  <w:vMerge w:val="continue"/>
                  <w:tcBorders>
                    <w:tl2br w:val="nil"/>
                    <w:tr2bl w:val="nil"/>
                  </w:tcBorders>
                  <w:noWrap w:val="0"/>
                  <w:vAlign w:val="center"/>
                </w:tcPr>
                <w:p w14:paraId="3EDC7837">
                  <w:pPr>
                    <w:pStyle w:val="46"/>
                    <w:spacing w:before="94" w:line="240" w:lineRule="auto"/>
                    <w:ind w:left="75" w:right="51"/>
                    <w:jc w:val="center"/>
                    <w:rPr>
                      <w:rFonts w:ascii="Times New Roman" w:hAnsi="Times New Roman" w:eastAsia="宋体"/>
                      <w:bCs/>
                      <w:color w:val="auto"/>
                      <w:sz w:val="18"/>
                      <w:szCs w:val="18"/>
                      <w:highlight w:val="none"/>
                    </w:rPr>
                  </w:pPr>
                </w:p>
              </w:tc>
            </w:tr>
            <w:tr w14:paraId="2B9C3D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519" w:type="pct"/>
                  <w:tcBorders>
                    <w:tl2br w:val="nil"/>
                    <w:tr2bl w:val="nil"/>
                  </w:tcBorders>
                  <w:noWrap w:val="0"/>
                  <w:vAlign w:val="center"/>
                </w:tcPr>
                <w:p w14:paraId="77F82D47">
                  <w:pPr>
                    <w:pStyle w:val="46"/>
                    <w:spacing w:before="94" w:line="240" w:lineRule="auto"/>
                    <w:ind w:left="75" w:leftChars="0" w:right="51" w:rightChars="0"/>
                    <w:jc w:val="center"/>
                    <w:rPr>
                      <w:rFonts w:hint="eastAsia" w:ascii="Times New Roman" w:hAnsi="Times New Roman" w:cs="宋体"/>
                      <w:bCs/>
                      <w:color w:val="auto"/>
                      <w:sz w:val="18"/>
                      <w:szCs w:val="18"/>
                      <w:highlight w:val="none"/>
                      <w:lang w:val="en-US" w:eastAsia="zh-CN"/>
                    </w:rPr>
                  </w:pPr>
                  <w:r>
                    <w:rPr>
                      <w:rFonts w:hint="default" w:ascii="Times New Roman" w:hAnsi="Times New Roman"/>
                      <w:color w:val="auto"/>
                      <w:sz w:val="18"/>
                      <w:szCs w:val="18"/>
                      <w:highlight w:val="none"/>
                      <w:lang w:val="en-US" w:eastAsia="zh-CN"/>
                    </w:rPr>
                    <w:t>吸附装置</w:t>
                  </w:r>
                  <w:r>
                    <w:rPr>
                      <w:rFonts w:hint="default" w:ascii="Times New Roman" w:hAnsi="Times New Roman" w:eastAsia="宋体" w:cs="宋体"/>
                      <w:bCs/>
                      <w:color w:val="auto"/>
                      <w:sz w:val="18"/>
                      <w:szCs w:val="18"/>
                      <w:highlight w:val="none"/>
                    </w:rPr>
                    <w:t>发生故障时发生故障时，故障时间1h</w:t>
                  </w:r>
                </w:p>
              </w:tc>
              <w:tc>
                <w:tcPr>
                  <w:tcW w:w="404" w:type="pct"/>
                  <w:tcBorders>
                    <w:tl2br w:val="nil"/>
                    <w:tr2bl w:val="nil"/>
                  </w:tcBorders>
                  <w:noWrap w:val="0"/>
                  <w:vAlign w:val="center"/>
                </w:tcPr>
                <w:p w14:paraId="00E61963">
                  <w:pPr>
                    <w:jc w:val="center"/>
                    <w:rPr>
                      <w:rFonts w:hint="default"/>
                      <w:color w:val="auto"/>
                      <w:sz w:val="18"/>
                      <w:szCs w:val="18"/>
                      <w:lang w:val="en-US" w:eastAsia="zh-CN"/>
                    </w:rPr>
                  </w:pPr>
                  <w:r>
                    <w:rPr>
                      <w:rFonts w:hint="eastAsia"/>
                      <w:color w:val="auto"/>
                      <w:sz w:val="18"/>
                      <w:szCs w:val="18"/>
                      <w:lang w:val="en-US" w:eastAsia="zh-CN"/>
                    </w:rPr>
                    <w:t>非甲烷总烃</w:t>
                  </w:r>
                </w:p>
              </w:tc>
              <w:tc>
                <w:tcPr>
                  <w:tcW w:w="556" w:type="pct"/>
                  <w:tcBorders>
                    <w:tl2br w:val="nil"/>
                    <w:tr2bl w:val="nil"/>
                  </w:tcBorders>
                  <w:shd w:val="clear" w:color="auto" w:fill="auto"/>
                  <w:noWrap w:val="0"/>
                  <w:vAlign w:val="center"/>
                </w:tcPr>
                <w:p w14:paraId="418FE10C">
                  <w:pPr>
                    <w:pStyle w:val="10"/>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olor w:val="auto"/>
                      <w:sz w:val="18"/>
                      <w:szCs w:val="18"/>
                      <w:lang w:val="en-US" w:eastAsia="zh-CN"/>
                    </w:rPr>
                    <w:t>12</w:t>
                  </w:r>
                </w:p>
              </w:tc>
              <w:tc>
                <w:tcPr>
                  <w:tcW w:w="464" w:type="pct"/>
                  <w:tcBorders>
                    <w:tl2br w:val="nil"/>
                    <w:tr2bl w:val="nil"/>
                  </w:tcBorders>
                  <w:shd w:val="clear" w:color="auto" w:fill="auto"/>
                  <w:noWrap w:val="0"/>
                  <w:vAlign w:val="center"/>
                </w:tcPr>
                <w:p w14:paraId="39F5AB00">
                  <w:pPr>
                    <w:pStyle w:val="10"/>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olor w:val="auto"/>
                      <w:sz w:val="18"/>
                      <w:szCs w:val="18"/>
                      <w:lang w:val="en-US" w:eastAsia="zh-CN"/>
                    </w:rPr>
                    <w:t>0.0060</w:t>
                  </w:r>
                </w:p>
              </w:tc>
              <w:tc>
                <w:tcPr>
                  <w:tcW w:w="456" w:type="pct"/>
                  <w:tcBorders>
                    <w:tl2br w:val="nil"/>
                    <w:tr2bl w:val="nil"/>
                  </w:tcBorders>
                  <w:noWrap w:val="0"/>
                  <w:vAlign w:val="center"/>
                </w:tcPr>
                <w:p w14:paraId="0EBC6D98">
                  <w:pPr>
                    <w:pStyle w:val="46"/>
                    <w:spacing w:before="94" w:line="240" w:lineRule="auto"/>
                    <w:ind w:left="73" w:right="42"/>
                    <w:jc w:val="center"/>
                    <w:rPr>
                      <w:rFonts w:hint="default" w:ascii="Times New Roman" w:hAnsi="Times New Roman" w:cs="Times New Roman"/>
                      <w:color w:val="auto"/>
                      <w:sz w:val="18"/>
                      <w:lang w:val="en-US" w:eastAsia="zh-CN"/>
                    </w:rPr>
                  </w:pPr>
                  <w:r>
                    <w:rPr>
                      <w:rFonts w:hint="eastAsia" w:ascii="Times New Roman" w:hAnsi="Times New Roman" w:cs="Times New Roman"/>
                      <w:color w:val="auto"/>
                      <w:sz w:val="18"/>
                      <w:lang w:val="en-US" w:eastAsia="zh-CN"/>
                    </w:rPr>
                    <w:t>1</w:t>
                  </w:r>
                </w:p>
              </w:tc>
              <w:tc>
                <w:tcPr>
                  <w:tcW w:w="549" w:type="pct"/>
                  <w:tcBorders>
                    <w:tl2br w:val="nil"/>
                    <w:tr2bl w:val="nil"/>
                  </w:tcBorders>
                  <w:noWrap w:val="0"/>
                  <w:vAlign w:val="center"/>
                </w:tcPr>
                <w:p w14:paraId="3D082F8F">
                  <w:pPr>
                    <w:pStyle w:val="10"/>
                    <w:spacing w:line="240" w:lineRule="auto"/>
                    <w:ind w:firstLine="0" w:firstLineChars="0"/>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olor w:val="auto"/>
                      <w:sz w:val="18"/>
                      <w:szCs w:val="18"/>
                      <w:lang w:val="en-US" w:eastAsia="zh-CN"/>
                    </w:rPr>
                    <w:t>12</w:t>
                  </w:r>
                </w:p>
              </w:tc>
              <w:tc>
                <w:tcPr>
                  <w:tcW w:w="417" w:type="pct"/>
                  <w:tcBorders>
                    <w:tl2br w:val="nil"/>
                    <w:tr2bl w:val="nil"/>
                  </w:tcBorders>
                  <w:noWrap w:val="0"/>
                  <w:vAlign w:val="center"/>
                </w:tcPr>
                <w:p w14:paraId="08C9F72D">
                  <w:pPr>
                    <w:pStyle w:val="10"/>
                    <w:spacing w:line="240" w:lineRule="auto"/>
                    <w:ind w:firstLine="0" w:firstLineChars="0"/>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olor w:val="auto"/>
                      <w:sz w:val="18"/>
                      <w:szCs w:val="18"/>
                      <w:lang w:val="en-US" w:eastAsia="zh-CN"/>
                    </w:rPr>
                    <w:t>0.0060</w:t>
                  </w:r>
                </w:p>
              </w:tc>
              <w:tc>
                <w:tcPr>
                  <w:tcW w:w="495" w:type="pct"/>
                  <w:tcBorders>
                    <w:tl2br w:val="nil"/>
                    <w:tr2bl w:val="nil"/>
                  </w:tcBorders>
                  <w:noWrap w:val="0"/>
                  <w:vAlign w:val="center"/>
                </w:tcPr>
                <w:p w14:paraId="28360F19">
                  <w:pPr>
                    <w:pStyle w:val="10"/>
                    <w:spacing w:line="240" w:lineRule="auto"/>
                    <w:ind w:firstLine="0" w:firstLineChars="0"/>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olor w:val="auto"/>
                      <w:sz w:val="18"/>
                      <w:szCs w:val="18"/>
                      <w:lang w:val="en-US" w:eastAsia="zh-CN"/>
                    </w:rPr>
                    <w:t>0.0060</w:t>
                  </w:r>
                </w:p>
              </w:tc>
              <w:tc>
                <w:tcPr>
                  <w:tcW w:w="410" w:type="pct"/>
                  <w:tcBorders>
                    <w:tl2br w:val="nil"/>
                    <w:tr2bl w:val="nil"/>
                  </w:tcBorders>
                  <w:noWrap w:val="0"/>
                  <w:vAlign w:val="center"/>
                </w:tcPr>
                <w:p w14:paraId="3058274F">
                  <w:pPr>
                    <w:pStyle w:val="46"/>
                    <w:spacing w:before="94" w:line="240" w:lineRule="auto"/>
                    <w:ind w:left="75" w:right="51"/>
                    <w:jc w:val="center"/>
                    <w:rPr>
                      <w:rFonts w:hint="default" w:ascii="Times New Roman" w:hAnsi="Times New Roman" w:cs="Times New Roman"/>
                      <w:color w:val="auto"/>
                      <w:sz w:val="18"/>
                      <w:lang w:val="en-US" w:eastAsia="zh-CN"/>
                    </w:rPr>
                  </w:pPr>
                  <w:r>
                    <w:rPr>
                      <w:rFonts w:hint="eastAsia" w:ascii="Times New Roman" w:hAnsi="Times New Roman" w:cs="Times New Roman"/>
                      <w:color w:val="auto"/>
                      <w:sz w:val="18"/>
                      <w:lang w:val="en-US" w:eastAsia="zh-CN"/>
                    </w:rPr>
                    <w:t>0</w:t>
                  </w:r>
                </w:p>
              </w:tc>
              <w:tc>
                <w:tcPr>
                  <w:tcW w:w="348" w:type="pct"/>
                  <w:tcBorders>
                    <w:tl2br w:val="nil"/>
                    <w:tr2bl w:val="nil"/>
                  </w:tcBorders>
                  <w:shd w:val="clear" w:color="auto" w:fill="auto"/>
                  <w:noWrap w:val="0"/>
                  <w:vAlign w:val="center"/>
                </w:tcPr>
                <w:p w14:paraId="3AA221EF">
                  <w:pPr>
                    <w:pStyle w:val="46"/>
                    <w:spacing w:before="94" w:line="240" w:lineRule="auto"/>
                    <w:ind w:left="75" w:leftChars="0" w:right="51" w:rightChars="0"/>
                    <w:jc w:val="center"/>
                    <w:rPr>
                      <w:rFonts w:hint="eastAsia" w:ascii="Times New Roman" w:hAnsi="Times New Roman" w:eastAsia="宋体" w:cs="Times New Roman"/>
                      <w:color w:val="auto"/>
                      <w:kern w:val="2"/>
                      <w:sz w:val="18"/>
                      <w:szCs w:val="24"/>
                      <w:lang w:val="en-US" w:eastAsia="zh-CN" w:bidi="zh-CN"/>
                    </w:rPr>
                  </w:pPr>
                  <w:r>
                    <w:rPr>
                      <w:rFonts w:hint="eastAsia" w:ascii="Times New Roman" w:hAnsi="Times New Roman" w:cs="Times New Roman"/>
                      <w:color w:val="auto"/>
                      <w:sz w:val="18"/>
                      <w:highlight w:val="none"/>
                      <w:lang w:val="en-US" w:eastAsia="zh-CN"/>
                    </w:rPr>
                    <w:t>2次/年</w:t>
                  </w:r>
                </w:p>
              </w:tc>
              <w:tc>
                <w:tcPr>
                  <w:tcW w:w="377" w:type="pct"/>
                  <w:tcBorders>
                    <w:tl2br w:val="nil"/>
                    <w:tr2bl w:val="nil"/>
                  </w:tcBorders>
                  <w:shd w:val="clear" w:color="auto" w:fill="auto"/>
                  <w:noWrap w:val="0"/>
                  <w:vAlign w:val="center"/>
                </w:tcPr>
                <w:p w14:paraId="6C0D9EB4">
                  <w:pPr>
                    <w:pStyle w:val="46"/>
                    <w:spacing w:before="94" w:line="240" w:lineRule="auto"/>
                    <w:ind w:left="75" w:leftChars="0" w:right="51" w:rightChars="0"/>
                    <w:jc w:val="center"/>
                    <w:rPr>
                      <w:rFonts w:ascii="Times New Roman" w:hAnsi="Times New Roman" w:eastAsia="宋体" w:cs="宋体"/>
                      <w:bCs/>
                      <w:color w:val="auto"/>
                      <w:kern w:val="2"/>
                      <w:sz w:val="18"/>
                      <w:szCs w:val="18"/>
                      <w:highlight w:val="none"/>
                      <w:lang w:val="zh-CN" w:eastAsia="zh-CN" w:bidi="zh-CN"/>
                    </w:rPr>
                  </w:pPr>
                  <w:r>
                    <w:rPr>
                      <w:rFonts w:hint="default" w:ascii="Times New Roman" w:hAnsi="Times New Roman" w:eastAsia="宋体" w:cs="Times New Roman"/>
                      <w:color w:val="auto"/>
                      <w:sz w:val="18"/>
                      <w:szCs w:val="18"/>
                      <w:highlight w:val="none"/>
                    </w:rPr>
                    <w:t>停工检修</w:t>
                  </w:r>
                </w:p>
              </w:tc>
            </w:tr>
          </w:tbl>
          <w:p w14:paraId="1D06B038">
            <w:pPr>
              <w:pStyle w:val="4"/>
              <w:rPr>
                <w:rFonts w:hint="default"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3、</w:t>
            </w:r>
            <w:r>
              <w:rPr>
                <w:rFonts w:hint="default" w:ascii="Times New Roman" w:hAnsi="Times New Roman" w:cs="Times New Roman"/>
                <w:color w:val="auto"/>
                <w:sz w:val="21"/>
                <w:lang w:val="en-US" w:eastAsia="zh-CN"/>
              </w:rPr>
              <w:t>废气排气</w:t>
            </w:r>
            <w:r>
              <w:rPr>
                <w:rFonts w:hint="eastAsia" w:ascii="Times New Roman" w:hAnsi="Times New Roman" w:cs="Times New Roman"/>
                <w:color w:val="auto"/>
                <w:sz w:val="21"/>
                <w:lang w:val="en-US" w:eastAsia="zh-CN"/>
              </w:rPr>
              <w:t>口</w:t>
            </w:r>
            <w:r>
              <w:rPr>
                <w:rFonts w:hint="default" w:ascii="Times New Roman" w:hAnsi="Times New Roman" w:cs="Times New Roman"/>
                <w:color w:val="auto"/>
                <w:sz w:val="21"/>
                <w:lang w:val="en-US" w:eastAsia="zh-CN"/>
              </w:rPr>
              <w:t>基本情况</w:t>
            </w:r>
          </w:p>
          <w:p w14:paraId="0F861511">
            <w:pPr>
              <w:pageBreakBefore w:val="0"/>
              <w:widowControl w:val="0"/>
              <w:numPr>
                <w:ilvl w:val="0"/>
                <w:numId w:val="0"/>
              </w:numPr>
              <w:kinsoku/>
              <w:wordWrap/>
              <w:overflowPunct/>
              <w:topLinePunct w:val="0"/>
              <w:autoSpaceDE/>
              <w:autoSpaceDN/>
              <w:bidi w:val="0"/>
              <w:adjustRightInd/>
              <w:snapToGrid w:val="0"/>
              <w:spacing w:line="240" w:lineRule="auto"/>
              <w:ind w:firstLine="2530" w:firstLineChars="1200"/>
              <w:jc w:val="both"/>
              <w:textAlignment w:val="auto"/>
              <w:rPr>
                <w:rFonts w:hint="default" w:ascii="Times New Roman" w:hAnsi="Times New Roman" w:cs="Times New Roman"/>
                <w:b/>
                <w:color w:val="auto"/>
                <w:sz w:val="21"/>
              </w:rPr>
            </w:pPr>
            <w:r>
              <w:rPr>
                <w:rFonts w:hint="default" w:ascii="Times New Roman" w:hAnsi="Times New Roman" w:cs="Times New Roman"/>
                <w:b/>
                <w:color w:val="auto"/>
                <w:sz w:val="21"/>
              </w:rPr>
              <w:t>表</w:t>
            </w:r>
            <w:r>
              <w:rPr>
                <w:rFonts w:hint="default" w:ascii="Times New Roman" w:hAnsi="Times New Roman" w:cs="Times New Roman"/>
                <w:b/>
                <w:color w:val="auto"/>
                <w:spacing w:val="-55"/>
                <w:sz w:val="21"/>
              </w:rPr>
              <w:t xml:space="preserve"> </w:t>
            </w:r>
            <w:r>
              <w:rPr>
                <w:rFonts w:hint="default" w:ascii="Times New Roman" w:hAnsi="Times New Roman" w:eastAsia="Times New Roman" w:cs="Times New Roman"/>
                <w:b/>
                <w:color w:val="auto"/>
                <w:sz w:val="21"/>
              </w:rPr>
              <w:t>4-</w:t>
            </w:r>
            <w:r>
              <w:rPr>
                <w:rFonts w:hint="eastAsia" w:cs="Times New Roman"/>
                <w:b/>
                <w:color w:val="auto"/>
                <w:sz w:val="21"/>
                <w:lang w:val="en-US" w:eastAsia="zh-CN"/>
              </w:rPr>
              <w:t>5</w:t>
            </w:r>
            <w:r>
              <w:rPr>
                <w:rFonts w:hint="default" w:ascii="Times New Roman" w:hAnsi="Times New Roman" w:eastAsia="宋体" w:cs="Times New Roman"/>
                <w:b/>
                <w:color w:val="auto"/>
                <w:sz w:val="21"/>
                <w:lang w:val="en-US" w:eastAsia="zh-CN"/>
              </w:rPr>
              <w:t xml:space="preserve"> </w:t>
            </w:r>
            <w:r>
              <w:rPr>
                <w:rFonts w:hint="eastAsia" w:ascii="Times New Roman" w:hAnsi="Times New Roman" w:eastAsia="宋体" w:cs="Times New Roman"/>
                <w:b/>
                <w:color w:val="auto"/>
                <w:sz w:val="21"/>
                <w:lang w:val="en-US" w:eastAsia="zh-CN"/>
              </w:rPr>
              <w:t>本</w:t>
            </w:r>
            <w:r>
              <w:rPr>
                <w:rFonts w:hint="default" w:ascii="Times New Roman" w:hAnsi="Times New Roman" w:cs="Times New Roman"/>
                <w:b/>
                <w:color w:val="auto"/>
                <w:sz w:val="21"/>
              </w:rPr>
              <w:t>项目废</w:t>
            </w:r>
            <w:r>
              <w:rPr>
                <w:rFonts w:hint="default" w:ascii="Times New Roman" w:hAnsi="Times New Roman" w:cs="Times New Roman"/>
                <w:b/>
                <w:color w:val="auto"/>
                <w:sz w:val="21"/>
                <w:highlight w:val="none"/>
              </w:rPr>
              <w:t>气</w:t>
            </w:r>
            <w:r>
              <w:rPr>
                <w:rFonts w:hint="default" w:ascii="Times New Roman" w:hAnsi="Times New Roman" w:cs="Times New Roman"/>
                <w:b/>
                <w:color w:val="auto"/>
                <w:sz w:val="21"/>
                <w:highlight w:val="none"/>
                <w:lang w:val="en-US" w:eastAsia="zh-CN"/>
              </w:rPr>
              <w:t>排气筒</w:t>
            </w:r>
            <w:r>
              <w:rPr>
                <w:rFonts w:hint="default" w:ascii="Times New Roman" w:hAnsi="Times New Roman" w:cs="Times New Roman"/>
                <w:b/>
                <w:color w:val="auto"/>
                <w:sz w:val="21"/>
              </w:rPr>
              <w:t>基本情况</w:t>
            </w:r>
          </w:p>
          <w:tbl>
            <w:tblPr>
              <w:tblStyle w:val="21"/>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5"/>
              <w:gridCol w:w="842"/>
              <w:gridCol w:w="793"/>
              <w:gridCol w:w="1205"/>
              <w:gridCol w:w="1205"/>
              <w:gridCol w:w="473"/>
              <w:gridCol w:w="515"/>
              <w:gridCol w:w="471"/>
              <w:gridCol w:w="1848"/>
            </w:tblGrid>
            <w:tr w14:paraId="641795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471" w:type="pct"/>
                  <w:vMerge w:val="restart"/>
                  <w:tcBorders>
                    <w:tl2br w:val="nil"/>
                    <w:tr2bl w:val="nil"/>
                  </w:tcBorders>
                  <w:noWrap w:val="0"/>
                  <w:vAlign w:val="center"/>
                </w:tcPr>
                <w:p w14:paraId="53DE0953">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auto"/>
                      <w:sz w:val="18"/>
                      <w:szCs w:val="18"/>
                      <w:vertAlign w:val="baseline"/>
                      <w:lang w:val="en-US" w:eastAsia="zh-CN"/>
                    </w:rPr>
                  </w:pPr>
                  <w:r>
                    <w:rPr>
                      <w:rFonts w:hint="default" w:ascii="Times New Roman" w:hAnsi="Times New Roman" w:cs="Times New Roman"/>
                      <w:b/>
                      <w:bCs/>
                      <w:color w:val="auto"/>
                      <w:sz w:val="18"/>
                      <w:szCs w:val="18"/>
                      <w:vertAlign w:val="baseline"/>
                      <w:lang w:val="en-US" w:eastAsia="zh-CN"/>
                    </w:rPr>
                    <w:t>编号及名称</w:t>
                  </w:r>
                </w:p>
              </w:tc>
              <w:tc>
                <w:tcPr>
                  <w:tcW w:w="518" w:type="pct"/>
                  <w:vMerge w:val="restart"/>
                  <w:tcBorders>
                    <w:tl2br w:val="nil"/>
                    <w:tr2bl w:val="nil"/>
                  </w:tcBorders>
                  <w:noWrap w:val="0"/>
                  <w:vAlign w:val="center"/>
                </w:tcPr>
                <w:p w14:paraId="1DF55A6F">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auto"/>
                      <w:sz w:val="18"/>
                      <w:szCs w:val="18"/>
                      <w:vertAlign w:val="baseline"/>
                      <w:lang w:val="en-US" w:eastAsia="zh-CN"/>
                    </w:rPr>
                  </w:pPr>
                  <w:r>
                    <w:rPr>
                      <w:rFonts w:hint="default" w:ascii="Times New Roman" w:hAnsi="Times New Roman" w:cs="Times New Roman"/>
                      <w:b/>
                      <w:bCs/>
                      <w:color w:val="auto"/>
                      <w:sz w:val="18"/>
                      <w:szCs w:val="18"/>
                      <w:vertAlign w:val="baseline"/>
                      <w:lang w:val="en-US" w:eastAsia="zh-CN"/>
                    </w:rPr>
                    <w:t>污染物</w:t>
                  </w:r>
                </w:p>
              </w:tc>
              <w:tc>
                <w:tcPr>
                  <w:tcW w:w="488" w:type="pct"/>
                  <w:vMerge w:val="restart"/>
                  <w:tcBorders>
                    <w:tl2br w:val="nil"/>
                    <w:tr2bl w:val="nil"/>
                  </w:tcBorders>
                  <w:noWrap w:val="0"/>
                  <w:vAlign w:val="center"/>
                </w:tcPr>
                <w:p w14:paraId="188E07C7">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auto"/>
                      <w:sz w:val="18"/>
                      <w:szCs w:val="18"/>
                      <w:vertAlign w:val="baseline"/>
                      <w:lang w:val="en-US" w:eastAsia="zh-CN"/>
                    </w:rPr>
                  </w:pPr>
                  <w:r>
                    <w:rPr>
                      <w:rFonts w:hint="default" w:ascii="Times New Roman" w:hAnsi="Times New Roman" w:cs="Times New Roman"/>
                      <w:b/>
                      <w:bCs/>
                      <w:color w:val="auto"/>
                      <w:sz w:val="18"/>
                      <w:szCs w:val="18"/>
                      <w:vertAlign w:val="baseline"/>
                      <w:lang w:val="en-US" w:eastAsia="zh-CN"/>
                    </w:rPr>
                    <w:t>类型</w:t>
                  </w:r>
                </w:p>
              </w:tc>
              <w:tc>
                <w:tcPr>
                  <w:tcW w:w="1484" w:type="pct"/>
                  <w:gridSpan w:val="2"/>
                  <w:tcBorders>
                    <w:tl2br w:val="nil"/>
                    <w:tr2bl w:val="nil"/>
                  </w:tcBorders>
                  <w:noWrap w:val="0"/>
                  <w:vAlign w:val="center"/>
                </w:tcPr>
                <w:p w14:paraId="6BD9BB5C">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auto"/>
                      <w:sz w:val="18"/>
                      <w:szCs w:val="18"/>
                      <w:vertAlign w:val="baseline"/>
                      <w:lang w:val="en-US" w:eastAsia="zh-CN"/>
                    </w:rPr>
                  </w:pPr>
                  <w:r>
                    <w:rPr>
                      <w:rFonts w:hint="default" w:ascii="Times New Roman" w:hAnsi="Times New Roman" w:cs="Times New Roman"/>
                      <w:b/>
                      <w:bCs/>
                      <w:color w:val="auto"/>
                      <w:sz w:val="18"/>
                      <w:szCs w:val="18"/>
                      <w:vertAlign w:val="baseline"/>
                      <w:lang w:val="en-US" w:eastAsia="zh-CN"/>
                    </w:rPr>
                    <w:t>地理坐标</w:t>
                  </w:r>
                </w:p>
              </w:tc>
              <w:tc>
                <w:tcPr>
                  <w:tcW w:w="291" w:type="pct"/>
                  <w:vMerge w:val="restart"/>
                  <w:tcBorders>
                    <w:tl2br w:val="nil"/>
                    <w:tr2bl w:val="nil"/>
                  </w:tcBorders>
                  <w:noWrap w:val="0"/>
                  <w:vAlign w:val="center"/>
                </w:tcPr>
                <w:p w14:paraId="5DD4677F">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auto"/>
                      <w:sz w:val="18"/>
                      <w:szCs w:val="18"/>
                      <w:highlight w:val="none"/>
                      <w:vertAlign w:val="baseline"/>
                      <w:lang w:val="en-US" w:eastAsia="zh-CN"/>
                    </w:rPr>
                  </w:pPr>
                  <w:r>
                    <w:rPr>
                      <w:rFonts w:hint="default" w:ascii="Times New Roman" w:hAnsi="Times New Roman" w:cs="Times New Roman"/>
                      <w:b/>
                      <w:bCs/>
                      <w:color w:val="auto"/>
                      <w:sz w:val="18"/>
                      <w:szCs w:val="18"/>
                      <w:vertAlign w:val="baseline"/>
                      <w:lang w:val="en-US" w:eastAsia="zh-CN"/>
                    </w:rPr>
                    <w:t>排气筒高度/m</w:t>
                  </w:r>
                </w:p>
              </w:tc>
              <w:tc>
                <w:tcPr>
                  <w:tcW w:w="317" w:type="pct"/>
                  <w:vMerge w:val="restart"/>
                  <w:tcBorders>
                    <w:tl2br w:val="nil"/>
                    <w:tr2bl w:val="nil"/>
                  </w:tcBorders>
                  <w:noWrap w:val="0"/>
                  <w:vAlign w:val="center"/>
                </w:tcPr>
                <w:p w14:paraId="7FAAB075">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auto"/>
                      <w:sz w:val="18"/>
                      <w:szCs w:val="18"/>
                      <w:highlight w:val="none"/>
                      <w:vertAlign w:val="baseline"/>
                      <w:lang w:val="en-US" w:eastAsia="zh-CN"/>
                    </w:rPr>
                  </w:pPr>
                  <w:r>
                    <w:rPr>
                      <w:rFonts w:hint="default" w:ascii="Times New Roman" w:hAnsi="Times New Roman" w:cs="Times New Roman"/>
                      <w:b/>
                      <w:bCs/>
                      <w:color w:val="auto"/>
                      <w:sz w:val="18"/>
                      <w:szCs w:val="18"/>
                      <w:vertAlign w:val="baseline"/>
                      <w:lang w:val="en-US" w:eastAsia="zh-CN"/>
                    </w:rPr>
                    <w:t>排气筒出口内径/m</w:t>
                  </w:r>
                </w:p>
              </w:tc>
              <w:tc>
                <w:tcPr>
                  <w:tcW w:w="290" w:type="pct"/>
                  <w:vMerge w:val="restart"/>
                  <w:tcBorders>
                    <w:tl2br w:val="nil"/>
                    <w:tr2bl w:val="nil"/>
                  </w:tcBorders>
                  <w:noWrap w:val="0"/>
                  <w:vAlign w:val="center"/>
                </w:tcPr>
                <w:p w14:paraId="79410C88">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b/>
                      <w:bCs/>
                      <w:color w:val="auto"/>
                      <w:sz w:val="18"/>
                      <w:szCs w:val="18"/>
                      <w:highlight w:val="none"/>
                      <w:vertAlign w:val="baseline"/>
                      <w:lang w:val="en-US" w:eastAsia="zh-CN"/>
                    </w:rPr>
                  </w:pPr>
                  <w:r>
                    <w:rPr>
                      <w:rFonts w:hint="default" w:ascii="Times New Roman" w:hAnsi="Times New Roman" w:cs="Times New Roman"/>
                      <w:b/>
                      <w:bCs/>
                      <w:color w:val="auto"/>
                      <w:sz w:val="18"/>
                      <w:szCs w:val="18"/>
                      <w:highlight w:val="none"/>
                      <w:vertAlign w:val="baseline"/>
                      <w:lang w:val="en-US" w:eastAsia="zh-CN"/>
                    </w:rPr>
                    <w:t>烟气温度/</w:t>
                  </w:r>
                  <w:r>
                    <w:rPr>
                      <w:rFonts w:hint="default" w:ascii="Times New Roman" w:hAnsi="Times New Roman" w:eastAsia="宋体" w:cs="Times New Roman"/>
                      <w:b/>
                      <w:bCs/>
                      <w:color w:val="auto"/>
                      <w:sz w:val="18"/>
                      <w:szCs w:val="18"/>
                      <w:highlight w:val="none"/>
                      <w:vertAlign w:val="baseline"/>
                      <w:lang w:val="en-US" w:eastAsia="zh-CN"/>
                    </w:rPr>
                    <w:t>℃</w:t>
                  </w:r>
                </w:p>
              </w:tc>
              <w:tc>
                <w:tcPr>
                  <w:tcW w:w="1137" w:type="pct"/>
                  <w:vMerge w:val="restart"/>
                  <w:tcBorders>
                    <w:tl2br w:val="nil"/>
                    <w:tr2bl w:val="nil"/>
                  </w:tcBorders>
                  <w:noWrap w:val="0"/>
                  <w:vAlign w:val="center"/>
                </w:tcPr>
                <w:p w14:paraId="38911356">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auto"/>
                      <w:sz w:val="18"/>
                      <w:szCs w:val="18"/>
                      <w:highlight w:val="none"/>
                      <w:vertAlign w:val="baseline"/>
                      <w:lang w:val="en-US" w:eastAsia="zh-CN"/>
                    </w:rPr>
                  </w:pPr>
                  <w:r>
                    <w:rPr>
                      <w:rFonts w:hint="default" w:ascii="Times New Roman" w:hAnsi="Times New Roman" w:cs="Times New Roman"/>
                      <w:b/>
                      <w:bCs/>
                      <w:color w:val="auto"/>
                      <w:sz w:val="18"/>
                      <w:szCs w:val="18"/>
                      <w:vertAlign w:val="baseline"/>
                      <w:lang w:val="en-US" w:eastAsia="zh-CN"/>
                    </w:rPr>
                    <w:t>排放标准</w:t>
                  </w:r>
                </w:p>
              </w:tc>
            </w:tr>
            <w:tr w14:paraId="40ACC4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471" w:type="pct"/>
                  <w:vMerge w:val="continue"/>
                  <w:tcBorders>
                    <w:tl2br w:val="nil"/>
                    <w:tr2bl w:val="nil"/>
                  </w:tcBorders>
                  <w:noWrap w:val="0"/>
                  <w:vAlign w:val="center"/>
                </w:tcPr>
                <w:p w14:paraId="164FA551">
                  <w:pPr>
                    <w:pageBreakBefore w:val="0"/>
                    <w:widowControl w:val="0"/>
                    <w:kinsoku/>
                    <w:wordWrap/>
                    <w:overflowPunct/>
                    <w:topLinePunct w:val="0"/>
                    <w:autoSpaceDE/>
                    <w:autoSpaceDN/>
                    <w:bidi w:val="0"/>
                    <w:adjustRightInd/>
                    <w:snapToGrid w:val="0"/>
                    <w:spacing w:line="240" w:lineRule="auto"/>
                    <w:jc w:val="center"/>
                    <w:textAlignment w:val="auto"/>
                    <w:rPr>
                      <w:color w:val="auto"/>
                    </w:rPr>
                  </w:pPr>
                </w:p>
              </w:tc>
              <w:tc>
                <w:tcPr>
                  <w:tcW w:w="518" w:type="pct"/>
                  <w:vMerge w:val="continue"/>
                  <w:tcBorders>
                    <w:tl2br w:val="nil"/>
                    <w:tr2bl w:val="nil"/>
                  </w:tcBorders>
                  <w:noWrap w:val="0"/>
                  <w:vAlign w:val="center"/>
                </w:tcPr>
                <w:p w14:paraId="65D784A8">
                  <w:pPr>
                    <w:pageBreakBefore w:val="0"/>
                    <w:widowControl w:val="0"/>
                    <w:kinsoku/>
                    <w:wordWrap/>
                    <w:overflowPunct/>
                    <w:topLinePunct w:val="0"/>
                    <w:autoSpaceDE/>
                    <w:autoSpaceDN/>
                    <w:bidi w:val="0"/>
                    <w:adjustRightInd/>
                    <w:snapToGrid w:val="0"/>
                    <w:spacing w:line="240" w:lineRule="auto"/>
                    <w:jc w:val="center"/>
                    <w:textAlignment w:val="auto"/>
                    <w:rPr>
                      <w:color w:val="auto"/>
                    </w:rPr>
                  </w:pPr>
                </w:p>
              </w:tc>
              <w:tc>
                <w:tcPr>
                  <w:tcW w:w="488" w:type="pct"/>
                  <w:vMerge w:val="continue"/>
                  <w:tcBorders>
                    <w:tl2br w:val="nil"/>
                    <w:tr2bl w:val="nil"/>
                  </w:tcBorders>
                  <w:noWrap w:val="0"/>
                  <w:vAlign w:val="center"/>
                </w:tcPr>
                <w:p w14:paraId="3F3329AF">
                  <w:pPr>
                    <w:pageBreakBefore w:val="0"/>
                    <w:widowControl w:val="0"/>
                    <w:kinsoku/>
                    <w:wordWrap/>
                    <w:overflowPunct/>
                    <w:topLinePunct w:val="0"/>
                    <w:autoSpaceDE/>
                    <w:autoSpaceDN/>
                    <w:bidi w:val="0"/>
                    <w:adjustRightInd/>
                    <w:snapToGrid w:val="0"/>
                    <w:spacing w:line="240" w:lineRule="auto"/>
                    <w:jc w:val="center"/>
                    <w:textAlignment w:val="auto"/>
                    <w:rPr>
                      <w:color w:val="auto"/>
                    </w:rPr>
                  </w:pPr>
                </w:p>
              </w:tc>
              <w:tc>
                <w:tcPr>
                  <w:tcW w:w="742" w:type="pct"/>
                  <w:tcBorders>
                    <w:tl2br w:val="nil"/>
                    <w:tr2bl w:val="nil"/>
                  </w:tcBorders>
                  <w:noWrap w:val="0"/>
                  <w:vAlign w:val="center"/>
                </w:tcPr>
                <w:p w14:paraId="28D6F254">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b/>
                      <w:bCs/>
                      <w:color w:val="auto"/>
                    </w:rPr>
                  </w:pPr>
                  <w:r>
                    <w:rPr>
                      <w:rFonts w:hint="default" w:ascii="Times New Roman" w:hAnsi="Times New Roman" w:cs="Times New Roman"/>
                      <w:b/>
                      <w:bCs/>
                      <w:color w:val="auto"/>
                      <w:sz w:val="18"/>
                      <w:szCs w:val="18"/>
                      <w:vertAlign w:val="baseline"/>
                      <w:lang w:val="en-US" w:eastAsia="zh-CN"/>
                    </w:rPr>
                    <w:t>东经</w:t>
                  </w:r>
                </w:p>
              </w:tc>
              <w:tc>
                <w:tcPr>
                  <w:tcW w:w="742" w:type="pct"/>
                  <w:tcBorders>
                    <w:tl2br w:val="nil"/>
                    <w:tr2bl w:val="nil"/>
                  </w:tcBorders>
                  <w:noWrap w:val="0"/>
                  <w:vAlign w:val="center"/>
                </w:tcPr>
                <w:p w14:paraId="7FF905B6">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b/>
                      <w:bCs/>
                      <w:color w:val="auto"/>
                    </w:rPr>
                  </w:pPr>
                  <w:r>
                    <w:rPr>
                      <w:rFonts w:hint="default" w:ascii="Times New Roman" w:hAnsi="Times New Roman" w:cs="Times New Roman"/>
                      <w:b/>
                      <w:bCs/>
                      <w:color w:val="auto"/>
                      <w:sz w:val="18"/>
                      <w:szCs w:val="18"/>
                      <w:vertAlign w:val="baseline"/>
                      <w:lang w:val="en-US" w:eastAsia="zh-CN"/>
                    </w:rPr>
                    <w:t>北纬</w:t>
                  </w:r>
                </w:p>
              </w:tc>
              <w:tc>
                <w:tcPr>
                  <w:tcW w:w="291" w:type="pct"/>
                  <w:vMerge w:val="continue"/>
                  <w:tcBorders>
                    <w:tl2br w:val="nil"/>
                    <w:tr2bl w:val="nil"/>
                  </w:tcBorders>
                  <w:noWrap w:val="0"/>
                  <w:vAlign w:val="center"/>
                </w:tcPr>
                <w:p w14:paraId="7B3ECFDA">
                  <w:pPr>
                    <w:pageBreakBefore w:val="0"/>
                    <w:widowControl w:val="0"/>
                    <w:kinsoku/>
                    <w:wordWrap/>
                    <w:overflowPunct/>
                    <w:topLinePunct w:val="0"/>
                    <w:autoSpaceDE/>
                    <w:autoSpaceDN/>
                    <w:bidi w:val="0"/>
                    <w:adjustRightInd/>
                    <w:snapToGrid w:val="0"/>
                    <w:spacing w:line="240" w:lineRule="auto"/>
                    <w:jc w:val="center"/>
                    <w:textAlignment w:val="auto"/>
                    <w:rPr>
                      <w:color w:val="auto"/>
                    </w:rPr>
                  </w:pPr>
                </w:p>
              </w:tc>
              <w:tc>
                <w:tcPr>
                  <w:tcW w:w="317" w:type="pct"/>
                  <w:vMerge w:val="continue"/>
                  <w:tcBorders>
                    <w:tl2br w:val="nil"/>
                    <w:tr2bl w:val="nil"/>
                  </w:tcBorders>
                  <w:noWrap w:val="0"/>
                  <w:vAlign w:val="center"/>
                </w:tcPr>
                <w:p w14:paraId="1F620C7E">
                  <w:pPr>
                    <w:pageBreakBefore w:val="0"/>
                    <w:widowControl w:val="0"/>
                    <w:kinsoku/>
                    <w:wordWrap/>
                    <w:overflowPunct/>
                    <w:topLinePunct w:val="0"/>
                    <w:autoSpaceDE/>
                    <w:autoSpaceDN/>
                    <w:bidi w:val="0"/>
                    <w:adjustRightInd/>
                    <w:snapToGrid w:val="0"/>
                    <w:spacing w:line="240" w:lineRule="auto"/>
                    <w:jc w:val="center"/>
                    <w:textAlignment w:val="auto"/>
                    <w:rPr>
                      <w:color w:val="auto"/>
                    </w:rPr>
                  </w:pPr>
                </w:p>
              </w:tc>
              <w:tc>
                <w:tcPr>
                  <w:tcW w:w="290" w:type="pct"/>
                  <w:vMerge w:val="continue"/>
                  <w:tcBorders>
                    <w:tl2br w:val="nil"/>
                    <w:tr2bl w:val="nil"/>
                  </w:tcBorders>
                  <w:noWrap w:val="0"/>
                  <w:vAlign w:val="center"/>
                </w:tcPr>
                <w:p w14:paraId="42B8AD50">
                  <w:pPr>
                    <w:pageBreakBefore w:val="0"/>
                    <w:widowControl w:val="0"/>
                    <w:kinsoku/>
                    <w:wordWrap/>
                    <w:overflowPunct/>
                    <w:topLinePunct w:val="0"/>
                    <w:autoSpaceDE/>
                    <w:autoSpaceDN/>
                    <w:bidi w:val="0"/>
                    <w:adjustRightInd/>
                    <w:snapToGrid w:val="0"/>
                    <w:spacing w:line="240" w:lineRule="auto"/>
                    <w:jc w:val="center"/>
                    <w:textAlignment w:val="auto"/>
                    <w:rPr>
                      <w:color w:val="auto"/>
                    </w:rPr>
                  </w:pPr>
                </w:p>
              </w:tc>
              <w:tc>
                <w:tcPr>
                  <w:tcW w:w="1137" w:type="pct"/>
                  <w:vMerge w:val="continue"/>
                  <w:tcBorders>
                    <w:tl2br w:val="nil"/>
                    <w:tr2bl w:val="nil"/>
                  </w:tcBorders>
                  <w:noWrap w:val="0"/>
                  <w:vAlign w:val="center"/>
                </w:tcPr>
                <w:p w14:paraId="5D4FC8D5">
                  <w:pPr>
                    <w:pageBreakBefore w:val="0"/>
                    <w:widowControl w:val="0"/>
                    <w:kinsoku/>
                    <w:wordWrap/>
                    <w:overflowPunct/>
                    <w:topLinePunct w:val="0"/>
                    <w:autoSpaceDE/>
                    <w:autoSpaceDN/>
                    <w:bidi w:val="0"/>
                    <w:adjustRightInd/>
                    <w:snapToGrid w:val="0"/>
                    <w:spacing w:line="240" w:lineRule="auto"/>
                    <w:jc w:val="center"/>
                    <w:textAlignment w:val="auto"/>
                    <w:rPr>
                      <w:color w:val="auto"/>
                    </w:rPr>
                  </w:pPr>
                </w:p>
              </w:tc>
            </w:tr>
            <w:tr w14:paraId="76033F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71" w:type="pct"/>
                  <w:tcBorders>
                    <w:tl2br w:val="nil"/>
                    <w:tr2bl w:val="nil"/>
                  </w:tcBorders>
                  <w:noWrap w:val="0"/>
                  <w:vAlign w:val="center"/>
                </w:tcPr>
                <w:p w14:paraId="5123916B">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DA016</w:t>
                  </w:r>
                </w:p>
              </w:tc>
              <w:tc>
                <w:tcPr>
                  <w:tcW w:w="518" w:type="pct"/>
                  <w:tcBorders>
                    <w:tl2br w:val="nil"/>
                    <w:tr2bl w:val="nil"/>
                  </w:tcBorders>
                  <w:noWrap w:val="0"/>
                  <w:vAlign w:val="center"/>
                </w:tcPr>
                <w:p w14:paraId="69C38D7D">
                  <w:pPr>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颗粒物、非甲烷总烃</w:t>
                  </w:r>
                </w:p>
              </w:tc>
              <w:tc>
                <w:tcPr>
                  <w:tcW w:w="488" w:type="pct"/>
                  <w:tcBorders>
                    <w:tl2br w:val="nil"/>
                    <w:tr2bl w:val="nil"/>
                  </w:tcBorders>
                  <w:noWrap w:val="0"/>
                  <w:vAlign w:val="center"/>
                </w:tcPr>
                <w:p w14:paraId="06EDB457">
                  <w:pPr>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废气排气筒</w:t>
                  </w:r>
                </w:p>
              </w:tc>
              <w:tc>
                <w:tcPr>
                  <w:tcW w:w="742" w:type="pct"/>
                  <w:tcBorders>
                    <w:tl2br w:val="nil"/>
                    <w:tr2bl w:val="nil"/>
                  </w:tcBorders>
                  <w:noWrap w:val="0"/>
                  <w:vAlign w:val="center"/>
                </w:tcPr>
                <w:p w14:paraId="3A149EDF">
                  <w:pPr>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b w:val="0"/>
                      <w:bCs w:val="0"/>
                      <w:color w:val="auto"/>
                      <w:sz w:val="18"/>
                      <w:szCs w:val="18"/>
                      <w:vertAlign w:val="baseline"/>
                      <w:lang w:val="en-US" w:eastAsia="zh-CN" w:bidi="zh-CN"/>
                    </w:rPr>
                  </w:pPr>
                  <w:r>
                    <w:rPr>
                      <w:rFonts w:hint="default" w:ascii="Times New Roman" w:hAnsi="Times New Roman" w:eastAsia="宋体" w:cs="Times New Roman"/>
                      <w:b w:val="0"/>
                      <w:bCs w:val="0"/>
                      <w:color w:val="auto"/>
                      <w:sz w:val="18"/>
                      <w:szCs w:val="18"/>
                      <w:vertAlign w:val="baseline"/>
                      <w:lang w:val="en-US" w:eastAsia="zh-CN" w:bidi="zh-CN"/>
                    </w:rPr>
                    <w:t>121.118757</w:t>
                  </w:r>
                </w:p>
              </w:tc>
              <w:tc>
                <w:tcPr>
                  <w:tcW w:w="742" w:type="pct"/>
                  <w:tcBorders>
                    <w:tl2br w:val="nil"/>
                    <w:tr2bl w:val="nil"/>
                  </w:tcBorders>
                  <w:noWrap w:val="0"/>
                  <w:vAlign w:val="center"/>
                </w:tcPr>
                <w:p w14:paraId="2204C274">
                  <w:pPr>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b w:val="0"/>
                      <w:bCs w:val="0"/>
                      <w:color w:val="auto"/>
                      <w:sz w:val="18"/>
                      <w:szCs w:val="18"/>
                      <w:vertAlign w:val="baseline"/>
                      <w:lang w:val="en-US" w:eastAsia="zh-CN" w:bidi="zh-CN"/>
                    </w:rPr>
                  </w:pPr>
                  <w:r>
                    <w:rPr>
                      <w:rFonts w:hint="default" w:ascii="Times New Roman" w:hAnsi="Times New Roman" w:eastAsia="宋体" w:cs="Times New Roman"/>
                      <w:b w:val="0"/>
                      <w:bCs w:val="0"/>
                      <w:color w:val="auto"/>
                      <w:sz w:val="18"/>
                      <w:szCs w:val="18"/>
                      <w:vertAlign w:val="baseline"/>
                      <w:lang w:val="en-US" w:eastAsia="zh-CN" w:bidi="zh-CN"/>
                    </w:rPr>
                    <w:t>31.808143</w:t>
                  </w:r>
                </w:p>
              </w:tc>
              <w:tc>
                <w:tcPr>
                  <w:tcW w:w="291" w:type="pct"/>
                  <w:tcBorders>
                    <w:tl2br w:val="nil"/>
                    <w:tr2bl w:val="nil"/>
                  </w:tcBorders>
                  <w:noWrap w:val="0"/>
                  <w:vAlign w:val="center"/>
                </w:tcPr>
                <w:p w14:paraId="2A310653">
                  <w:pPr>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b w:val="0"/>
                      <w:bCs w:val="0"/>
                      <w:color w:val="auto"/>
                      <w:sz w:val="18"/>
                      <w:szCs w:val="18"/>
                      <w:vertAlign w:val="baseline"/>
                      <w:lang w:val="en-US" w:eastAsia="zh-CN" w:bidi="zh-CN"/>
                    </w:rPr>
                  </w:pPr>
                  <w:r>
                    <w:rPr>
                      <w:rFonts w:hint="eastAsia" w:cs="Times New Roman"/>
                      <w:b w:val="0"/>
                      <w:bCs w:val="0"/>
                      <w:color w:val="auto"/>
                      <w:sz w:val="18"/>
                      <w:szCs w:val="18"/>
                      <w:vertAlign w:val="baseline"/>
                      <w:lang w:val="en-US" w:eastAsia="zh-CN"/>
                    </w:rPr>
                    <w:t>15</w:t>
                  </w:r>
                </w:p>
              </w:tc>
              <w:tc>
                <w:tcPr>
                  <w:tcW w:w="317" w:type="pct"/>
                  <w:tcBorders>
                    <w:tl2br w:val="nil"/>
                    <w:tr2bl w:val="nil"/>
                  </w:tcBorders>
                  <w:noWrap w:val="0"/>
                  <w:vAlign w:val="center"/>
                </w:tcPr>
                <w:p w14:paraId="50CE58C9">
                  <w:pPr>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b w:val="0"/>
                      <w:bCs w:val="0"/>
                      <w:color w:val="auto"/>
                      <w:sz w:val="18"/>
                      <w:szCs w:val="18"/>
                      <w:vertAlign w:val="baseline"/>
                      <w:lang w:val="en-US" w:eastAsia="zh-CN" w:bidi="zh-CN"/>
                    </w:rPr>
                  </w:pPr>
                  <w:r>
                    <w:rPr>
                      <w:rFonts w:hint="eastAsia" w:cs="Times New Roman"/>
                      <w:b w:val="0"/>
                      <w:bCs w:val="0"/>
                      <w:color w:val="auto"/>
                      <w:sz w:val="18"/>
                      <w:szCs w:val="18"/>
                      <w:vertAlign w:val="baseline"/>
                      <w:lang w:val="en-US" w:eastAsia="zh-CN" w:bidi="zh-CN"/>
                    </w:rPr>
                    <w:t>0.4</w:t>
                  </w:r>
                </w:p>
              </w:tc>
              <w:tc>
                <w:tcPr>
                  <w:tcW w:w="290" w:type="pct"/>
                  <w:tcBorders>
                    <w:tl2br w:val="nil"/>
                    <w:tr2bl w:val="nil"/>
                  </w:tcBorders>
                  <w:noWrap w:val="0"/>
                  <w:vAlign w:val="center"/>
                </w:tcPr>
                <w:p w14:paraId="28E2ACA1">
                  <w:pPr>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b w:val="0"/>
                      <w:bCs w:val="0"/>
                      <w:color w:val="auto"/>
                      <w:sz w:val="18"/>
                      <w:szCs w:val="18"/>
                      <w:vertAlign w:val="baseline"/>
                      <w:lang w:val="en-US" w:eastAsia="zh-CN" w:bidi="zh-CN"/>
                    </w:rPr>
                  </w:pPr>
                  <w:r>
                    <w:rPr>
                      <w:rFonts w:hint="eastAsia" w:cs="Times New Roman"/>
                      <w:b w:val="0"/>
                      <w:bCs w:val="0"/>
                      <w:color w:val="auto"/>
                      <w:sz w:val="18"/>
                      <w:szCs w:val="18"/>
                      <w:highlight w:val="none"/>
                      <w:vertAlign w:val="baseline"/>
                      <w:lang w:val="en-US" w:eastAsia="zh-CN" w:bidi="zh-CN"/>
                    </w:rPr>
                    <w:t>25</w:t>
                  </w:r>
                </w:p>
              </w:tc>
              <w:tc>
                <w:tcPr>
                  <w:tcW w:w="1137" w:type="pct"/>
                  <w:vMerge w:val="restart"/>
                  <w:tcBorders>
                    <w:tl2br w:val="nil"/>
                    <w:tr2bl w:val="nil"/>
                  </w:tcBorders>
                  <w:noWrap w:val="0"/>
                  <w:vAlign w:val="center"/>
                </w:tcPr>
                <w:p w14:paraId="405F6829">
                  <w:pPr>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b w:val="0"/>
                      <w:bCs w:val="0"/>
                      <w:color w:val="auto"/>
                      <w:sz w:val="18"/>
                      <w:szCs w:val="18"/>
                      <w:vertAlign w:val="baseline"/>
                      <w:lang w:val="en-US" w:eastAsia="zh-CN" w:bidi="zh-CN"/>
                    </w:rPr>
                  </w:pPr>
                  <w:r>
                    <w:rPr>
                      <w:rFonts w:hint="eastAsia" w:ascii="Times New Roman" w:hAnsi="Times New Roman" w:eastAsia="宋体" w:cs="Times New Roman"/>
                      <w:color w:val="auto"/>
                      <w:sz w:val="18"/>
                      <w:szCs w:val="18"/>
                      <w:lang w:val="en-US" w:eastAsia="zh-CN"/>
                    </w:rPr>
                    <w:t>《表面涂装（汽车零部件）大气污染物排放标准》（DB32/3966-2021）表1中标准</w:t>
                  </w:r>
                </w:p>
              </w:tc>
            </w:tr>
            <w:tr w14:paraId="3A88A7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71" w:type="pct"/>
                  <w:tcBorders>
                    <w:tl2br w:val="nil"/>
                    <w:tr2bl w:val="nil"/>
                  </w:tcBorders>
                  <w:noWrap w:val="0"/>
                  <w:vAlign w:val="center"/>
                </w:tcPr>
                <w:p w14:paraId="07CBFB62">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DA010</w:t>
                  </w:r>
                </w:p>
              </w:tc>
              <w:tc>
                <w:tcPr>
                  <w:tcW w:w="518" w:type="pct"/>
                  <w:tcBorders>
                    <w:tl2br w:val="nil"/>
                    <w:tr2bl w:val="nil"/>
                  </w:tcBorders>
                  <w:noWrap w:val="0"/>
                  <w:vAlign w:val="center"/>
                </w:tcPr>
                <w:p w14:paraId="2740C57F">
                  <w:pPr>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非甲烷总烃</w:t>
                  </w:r>
                </w:p>
              </w:tc>
              <w:tc>
                <w:tcPr>
                  <w:tcW w:w="488" w:type="pct"/>
                  <w:tcBorders>
                    <w:tl2br w:val="nil"/>
                    <w:tr2bl w:val="nil"/>
                  </w:tcBorders>
                  <w:noWrap w:val="0"/>
                  <w:vAlign w:val="center"/>
                </w:tcPr>
                <w:p w14:paraId="57DCE599">
                  <w:pPr>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危废仓库排气筒</w:t>
                  </w:r>
                </w:p>
              </w:tc>
              <w:tc>
                <w:tcPr>
                  <w:tcW w:w="742" w:type="pct"/>
                  <w:tcBorders>
                    <w:tl2br w:val="nil"/>
                    <w:tr2bl w:val="nil"/>
                  </w:tcBorders>
                  <w:shd w:val="clear" w:color="auto" w:fill="auto"/>
                  <w:noWrap w:val="0"/>
                  <w:vAlign w:val="center"/>
                </w:tcPr>
                <w:p w14:paraId="525EE8B4">
                  <w:pPr>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zh-CN"/>
                    </w:rPr>
                  </w:pPr>
                  <w:r>
                    <w:rPr>
                      <w:rFonts w:hint="default" w:ascii="Times New Roman" w:hAnsi="Times New Roman" w:eastAsia="宋体" w:cs="Times New Roman"/>
                      <w:b w:val="0"/>
                      <w:bCs w:val="0"/>
                      <w:color w:val="auto"/>
                      <w:sz w:val="18"/>
                      <w:szCs w:val="18"/>
                      <w:vertAlign w:val="baseline"/>
                      <w:lang w:val="en-US" w:eastAsia="zh-CN" w:bidi="zh-CN"/>
                    </w:rPr>
                    <w:t>121.11</w:t>
                  </w:r>
                  <w:r>
                    <w:rPr>
                      <w:rFonts w:hint="eastAsia" w:ascii="Times New Roman" w:hAnsi="Times New Roman" w:eastAsia="宋体" w:cs="Times New Roman"/>
                      <w:b w:val="0"/>
                      <w:bCs w:val="0"/>
                      <w:color w:val="auto"/>
                      <w:sz w:val="18"/>
                      <w:szCs w:val="18"/>
                      <w:vertAlign w:val="baseline"/>
                      <w:lang w:val="en-US" w:eastAsia="zh-CN" w:bidi="zh-CN"/>
                    </w:rPr>
                    <w:t>6435</w:t>
                  </w:r>
                </w:p>
              </w:tc>
              <w:tc>
                <w:tcPr>
                  <w:tcW w:w="742" w:type="pct"/>
                  <w:tcBorders>
                    <w:tl2br w:val="nil"/>
                    <w:tr2bl w:val="nil"/>
                  </w:tcBorders>
                  <w:shd w:val="clear" w:color="auto" w:fill="auto"/>
                  <w:noWrap w:val="0"/>
                  <w:vAlign w:val="center"/>
                </w:tcPr>
                <w:p w14:paraId="5DEB72AB">
                  <w:pPr>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zh-CN"/>
                    </w:rPr>
                  </w:pPr>
                  <w:r>
                    <w:rPr>
                      <w:rFonts w:hint="default" w:ascii="Times New Roman" w:hAnsi="Times New Roman" w:eastAsia="宋体" w:cs="Times New Roman"/>
                      <w:b w:val="0"/>
                      <w:bCs w:val="0"/>
                      <w:color w:val="auto"/>
                      <w:sz w:val="18"/>
                      <w:szCs w:val="18"/>
                      <w:vertAlign w:val="baseline"/>
                      <w:lang w:val="en-US" w:eastAsia="zh-CN" w:bidi="zh-CN"/>
                    </w:rPr>
                    <w:t>31.8</w:t>
                  </w:r>
                  <w:r>
                    <w:rPr>
                      <w:rFonts w:hint="eastAsia" w:ascii="Times New Roman" w:hAnsi="Times New Roman" w:eastAsia="宋体" w:cs="Times New Roman"/>
                      <w:b w:val="0"/>
                      <w:bCs w:val="0"/>
                      <w:color w:val="auto"/>
                      <w:sz w:val="18"/>
                      <w:szCs w:val="18"/>
                      <w:vertAlign w:val="baseline"/>
                      <w:lang w:val="en-US" w:eastAsia="zh-CN" w:bidi="zh-CN"/>
                    </w:rPr>
                    <w:t>72441</w:t>
                  </w:r>
                </w:p>
              </w:tc>
              <w:tc>
                <w:tcPr>
                  <w:tcW w:w="291" w:type="pct"/>
                  <w:tcBorders>
                    <w:tl2br w:val="nil"/>
                    <w:tr2bl w:val="nil"/>
                  </w:tcBorders>
                  <w:noWrap w:val="0"/>
                  <w:vAlign w:val="center"/>
                </w:tcPr>
                <w:p w14:paraId="4F95172D">
                  <w:pPr>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15</w:t>
                  </w:r>
                </w:p>
              </w:tc>
              <w:tc>
                <w:tcPr>
                  <w:tcW w:w="317" w:type="pct"/>
                  <w:tcBorders>
                    <w:tl2br w:val="nil"/>
                    <w:tr2bl w:val="nil"/>
                  </w:tcBorders>
                  <w:noWrap w:val="0"/>
                  <w:vAlign w:val="center"/>
                </w:tcPr>
                <w:p w14:paraId="5AA99C98">
                  <w:pPr>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cs="Times New Roman"/>
                      <w:b w:val="0"/>
                      <w:bCs w:val="0"/>
                      <w:color w:val="auto"/>
                      <w:sz w:val="18"/>
                      <w:szCs w:val="18"/>
                      <w:vertAlign w:val="baseline"/>
                      <w:lang w:val="en-US" w:eastAsia="zh-CN" w:bidi="zh-CN"/>
                    </w:rPr>
                  </w:pPr>
                  <w:r>
                    <w:rPr>
                      <w:rFonts w:hint="eastAsia" w:cs="Times New Roman"/>
                      <w:b w:val="0"/>
                      <w:bCs w:val="0"/>
                      <w:color w:val="auto"/>
                      <w:sz w:val="18"/>
                      <w:szCs w:val="18"/>
                      <w:vertAlign w:val="baseline"/>
                      <w:lang w:val="en-US" w:eastAsia="zh-CN" w:bidi="zh-CN"/>
                    </w:rPr>
                    <w:t>0.3</w:t>
                  </w:r>
                </w:p>
              </w:tc>
              <w:tc>
                <w:tcPr>
                  <w:tcW w:w="290" w:type="pct"/>
                  <w:tcBorders>
                    <w:tl2br w:val="nil"/>
                    <w:tr2bl w:val="nil"/>
                  </w:tcBorders>
                  <w:noWrap w:val="0"/>
                  <w:vAlign w:val="center"/>
                </w:tcPr>
                <w:p w14:paraId="58030792">
                  <w:pPr>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default" w:cs="Times New Roman"/>
                      <w:b w:val="0"/>
                      <w:bCs w:val="0"/>
                      <w:color w:val="auto"/>
                      <w:sz w:val="18"/>
                      <w:szCs w:val="18"/>
                      <w:highlight w:val="none"/>
                      <w:vertAlign w:val="baseline"/>
                      <w:lang w:val="en-US" w:eastAsia="zh-CN" w:bidi="zh-CN"/>
                    </w:rPr>
                  </w:pPr>
                  <w:r>
                    <w:rPr>
                      <w:rFonts w:hint="eastAsia" w:cs="Times New Roman"/>
                      <w:b w:val="0"/>
                      <w:bCs w:val="0"/>
                      <w:color w:val="auto"/>
                      <w:sz w:val="18"/>
                      <w:szCs w:val="18"/>
                      <w:highlight w:val="none"/>
                      <w:vertAlign w:val="baseline"/>
                      <w:lang w:val="en-US" w:eastAsia="zh-CN" w:bidi="zh-CN"/>
                    </w:rPr>
                    <w:t>25</w:t>
                  </w:r>
                </w:p>
              </w:tc>
              <w:tc>
                <w:tcPr>
                  <w:tcW w:w="1137" w:type="pct"/>
                  <w:vMerge w:val="continue"/>
                  <w:tcBorders>
                    <w:tl2br w:val="nil"/>
                    <w:tr2bl w:val="nil"/>
                  </w:tcBorders>
                  <w:noWrap w:val="0"/>
                  <w:vAlign w:val="center"/>
                </w:tcPr>
                <w:p w14:paraId="1F2DFF51">
                  <w:pPr>
                    <w:pageBreakBefore w:val="0"/>
                    <w:widowControl w:val="0"/>
                    <w:kinsoku/>
                    <w:wordWrap/>
                    <w:overflowPunct/>
                    <w:topLinePunct w:val="0"/>
                    <w:autoSpaceDE/>
                    <w:autoSpaceDN/>
                    <w:bidi w:val="0"/>
                    <w:adjustRightInd/>
                    <w:snapToGrid w:val="0"/>
                    <w:spacing w:line="240" w:lineRule="auto"/>
                    <w:ind w:left="0" w:leftChars="0" w:right="0" w:rightChars="0"/>
                    <w:jc w:val="center"/>
                    <w:textAlignment w:val="auto"/>
                    <w:rPr>
                      <w:rFonts w:hint="eastAsia" w:ascii="Times New Roman" w:hAnsi="Times New Roman" w:eastAsia="宋体" w:cs="Times New Roman"/>
                      <w:color w:val="auto"/>
                      <w:sz w:val="18"/>
                      <w:szCs w:val="18"/>
                      <w:lang w:val="en-US" w:eastAsia="zh-CN"/>
                    </w:rPr>
                  </w:pPr>
                </w:p>
              </w:tc>
            </w:tr>
          </w:tbl>
          <w:p w14:paraId="454E1DBC">
            <w:pPr>
              <w:pStyle w:val="4"/>
              <w:bidi w:val="0"/>
              <w:spacing w:line="360" w:lineRule="auto"/>
              <w:rPr>
                <w:rFonts w:hint="default"/>
                <w:color w:val="auto"/>
                <w:lang w:val="en-US" w:eastAsia="zh-CN"/>
              </w:rPr>
            </w:pPr>
            <w:r>
              <w:rPr>
                <w:rFonts w:hint="eastAsia"/>
                <w:color w:val="auto"/>
                <w:lang w:val="en-US" w:eastAsia="zh-CN"/>
              </w:rPr>
              <w:t>4</w:t>
            </w:r>
            <w:r>
              <w:rPr>
                <w:rFonts w:hint="default"/>
                <w:color w:val="auto"/>
                <w:lang w:val="en-US" w:eastAsia="zh-CN"/>
              </w:rPr>
              <w:t>、</w:t>
            </w:r>
            <w:r>
              <w:rPr>
                <w:rFonts w:hint="eastAsia"/>
                <w:color w:val="auto"/>
                <w:lang w:eastAsia="zh-CN"/>
              </w:rPr>
              <w:t>废气污染防治措施可行性分析</w:t>
            </w:r>
          </w:p>
          <w:p w14:paraId="458A98E2">
            <w:pPr>
              <w:pStyle w:val="5"/>
              <w:bidi w:val="0"/>
              <w:ind w:left="0" w:leftChars="0" w:firstLine="420" w:firstLineChars="2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本项目废气收集、拟采取的防治措施情况如下：</w:t>
            </w:r>
          </w:p>
          <w:p w14:paraId="55239C03">
            <w:pPr>
              <w:jc w:val="center"/>
              <w:rPr>
                <w:rFonts w:hint="default"/>
                <w:color w:val="auto"/>
                <w:lang w:val="en-US" w:eastAsia="zh-CN"/>
              </w:rPr>
            </w:pPr>
            <w:r>
              <w:rPr>
                <w:rFonts w:hint="default"/>
                <w:color w:val="auto"/>
                <w:lang w:val="en-US" w:eastAsia="zh-CN"/>
              </w:rPr>
              <w:drawing>
                <wp:inline distT="0" distB="0" distL="114300" distR="114300">
                  <wp:extent cx="5144135" cy="1800225"/>
                  <wp:effectExtent l="0" t="0" r="18415" b="9525"/>
                  <wp:docPr id="4" name="图片 4" descr="冠东废气处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冠东废气处置"/>
                          <pic:cNvPicPr>
                            <a:picLocks noChangeAspect="1"/>
                          </pic:cNvPicPr>
                        </pic:nvPicPr>
                        <pic:blipFill>
                          <a:blip r:embed="rId14"/>
                          <a:stretch>
                            <a:fillRect/>
                          </a:stretch>
                        </pic:blipFill>
                        <pic:spPr>
                          <a:xfrm>
                            <a:off x="0" y="0"/>
                            <a:ext cx="5144135" cy="1800225"/>
                          </a:xfrm>
                          <a:prstGeom prst="rect">
                            <a:avLst/>
                          </a:prstGeom>
                        </pic:spPr>
                      </pic:pic>
                    </a:graphicData>
                  </a:graphic>
                </wp:inline>
              </w:drawing>
            </w:r>
          </w:p>
          <w:p w14:paraId="7654A9BA">
            <w:pPr>
              <w:adjustRightInd w:val="0"/>
              <w:snapToGrid w:val="0"/>
              <w:spacing w:line="360" w:lineRule="auto"/>
              <w:ind w:firstLine="422" w:firstLineChars="20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图4-1</w:t>
            </w:r>
            <w:r>
              <w:rPr>
                <w:rFonts w:hint="eastAsia" w:ascii="Times New Roman" w:hAnsi="Times New Roman" w:cs="Times New Roman"/>
                <w:b/>
                <w:bCs/>
                <w:color w:val="auto"/>
                <w:lang w:val="en-US" w:eastAsia="zh-CN"/>
              </w:rPr>
              <w:t xml:space="preserve"> 废气治理措施示意图</w:t>
            </w:r>
          </w:p>
          <w:p w14:paraId="1432F764">
            <w:pPr>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eastAsia" w:ascii="Calibri" w:hAnsi="Calibri" w:eastAsia="宋体" w:cs="Calibri"/>
                <w:color w:val="auto"/>
                <w:highlight w:val="none"/>
                <w:lang w:eastAsia="zh-CN"/>
              </w:rPr>
            </w:pPr>
            <w:r>
              <w:rPr>
                <w:rFonts w:hint="default" w:ascii="Calibri" w:hAnsi="Calibri" w:cs="Calibri"/>
                <w:b/>
                <w:bCs/>
                <w:color w:val="auto"/>
                <w:highlight w:val="none"/>
              </w:rPr>
              <w:t>干式漆雾过滤器</w:t>
            </w:r>
            <w:r>
              <w:rPr>
                <w:rFonts w:hint="eastAsia" w:ascii="Calibri" w:hAnsi="Calibri" w:cs="Calibri"/>
                <w:color w:val="auto"/>
                <w:highlight w:val="none"/>
                <w:lang w:eastAsia="zh-CN"/>
              </w:rPr>
              <w:t>：</w:t>
            </w:r>
          </w:p>
          <w:p w14:paraId="39C32087">
            <w:pPr>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干式漆雾过滤器是干式过滤净化方式，喷漆室在漆雾净化系统引风机抽吸作用下形成负压，漆雾在负压作用下，被引入漆雾过滤器，漆雾粒子在拦截、碰撞、吸收等作用下容纳在材料中，并逐步风化成粉末状，从而达到净化漆雾的目的，从而保证漆雾去除率达</w:t>
            </w:r>
            <w:r>
              <w:rPr>
                <w:rFonts w:hint="default" w:ascii="Times New Roman" w:hAnsi="Times New Roman" w:cs="Times New Roman"/>
                <w:color w:val="auto"/>
                <w:highlight w:val="none"/>
                <w:lang w:val="en-US" w:eastAsia="zh-CN"/>
              </w:rPr>
              <w:t>9</w:t>
            </w:r>
            <w:r>
              <w:rPr>
                <w:rFonts w:hint="eastAsia" w:cs="Times New Roman"/>
                <w:color w:val="auto"/>
                <w:highlight w:val="none"/>
                <w:lang w:val="en-US" w:eastAsia="zh-CN"/>
              </w:rPr>
              <w:t>9</w:t>
            </w:r>
            <w:r>
              <w:rPr>
                <w:rFonts w:hint="default" w:ascii="Times New Roman" w:hAnsi="Times New Roman" w:cs="Times New Roman"/>
                <w:color w:val="auto"/>
                <w:highlight w:val="none"/>
              </w:rPr>
              <w:t>%以上，使用的填充材料价格便宜，容易获取，待滤层漆膜饱和后，可及时更换。干式漆雾过滤器结构简单，净化效率高，设备投资低，通风量和风压均匀，涂料损耗小，涂覆效率高。缺点是产生含有漆雾的废</w:t>
            </w:r>
            <w:r>
              <w:rPr>
                <w:rFonts w:hint="default" w:ascii="Times New Roman" w:hAnsi="Times New Roman" w:cs="Times New Roman"/>
                <w:color w:val="auto"/>
                <w:highlight w:val="none"/>
                <w:lang w:eastAsia="zh-CN"/>
              </w:rPr>
              <w:t>干式漆雾过滤器</w:t>
            </w:r>
            <w:r>
              <w:rPr>
                <w:rFonts w:hint="default" w:ascii="Times New Roman" w:hAnsi="Times New Roman" w:cs="Times New Roman"/>
                <w:color w:val="auto"/>
                <w:highlight w:val="none"/>
              </w:rPr>
              <w:t>，属于危险固废，处置费用相对较高。工作原理：本项目油漆喷涂在喷漆房内进行，新鲜空气通过送风装置送入室体顶部的均压室，经均流调节器和过</w:t>
            </w:r>
            <w:r>
              <w:rPr>
                <w:rFonts w:hint="default" w:ascii="Calibri" w:hAnsi="Calibri" w:cs="Calibri"/>
                <w:color w:val="auto"/>
                <w:highlight w:val="none"/>
              </w:rPr>
              <w:t>滤层后，以满载</w:t>
            </w:r>
            <w:r>
              <w:rPr>
                <w:rFonts w:hint="default" w:ascii="Times New Roman" w:hAnsi="Times New Roman" w:cs="Times New Roman"/>
                <w:color w:val="auto"/>
                <w:highlight w:val="none"/>
              </w:rPr>
              <w:t>0.4~0.6m/s</w:t>
            </w:r>
            <w:r>
              <w:rPr>
                <w:rFonts w:hint="default" w:ascii="Calibri" w:hAnsi="Calibri" w:cs="Calibri"/>
                <w:color w:val="auto"/>
                <w:highlight w:val="none"/>
              </w:rPr>
              <w:t>的端面风速均匀地送入室体内，自上而下，将工件置入具有一定风速的均流层中，使飞溅的废漆雾压入室体下部，这样既改善了工作环境，又保证了涂层质量</w:t>
            </w:r>
            <w:r>
              <w:rPr>
                <w:rFonts w:hint="default" w:ascii="Times New Roman" w:hAnsi="Times New Roman" w:cs="Times New Roman"/>
                <w:color w:val="auto"/>
                <w:highlight w:val="none"/>
              </w:rPr>
              <w:t>。</w:t>
            </w:r>
            <w:r>
              <w:rPr>
                <w:rFonts w:hint="default" w:ascii="Times New Roman" w:hAnsi="Times New Roman" w:cs="Times New Roman"/>
                <w:color w:val="auto"/>
                <w:highlight w:val="none"/>
              </w:rPr>
              <w:t>根据《汽车工业污染防治可行技术指南》（HJ 1181—2021）6.1.3.2漆雾高效过滤技术</w:t>
            </w:r>
            <w:r>
              <w:rPr>
                <w:rFonts w:hint="default" w:ascii="Times New Roman" w:hAnsi="Times New Roman" w:cs="Times New Roman"/>
                <w:color w:val="auto"/>
                <w:highlight w:val="none"/>
                <w:lang w:val="en-US" w:eastAsia="zh-CN"/>
              </w:rPr>
              <w:t>可知，</w:t>
            </w:r>
            <w:r>
              <w:rPr>
                <w:rFonts w:hint="default" w:ascii="Times New Roman" w:hAnsi="Times New Roman" w:cs="Times New Roman"/>
                <w:color w:val="auto"/>
                <w:highlight w:val="none"/>
              </w:rPr>
              <w:t>该技术可用作吸附法VOCs末端治理的预处理技术。经净化去除漆雾的VOCs废气，采用由粗效、中效、高效过滤材料组成的高效过滤装置，进一步滤除废气中的漆雾和细微颗粒物，防止吸附剂因漆雾堵塞而失效。该技术可使气体中颗粒物浓度降低至1m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以下，满足HJ2026的要求。</w:t>
            </w:r>
          </w:p>
          <w:p w14:paraId="4A723531">
            <w:pPr>
              <w:pStyle w:val="5"/>
              <w:bidi w:val="0"/>
              <w:spacing w:line="240" w:lineRule="auto"/>
              <w:jc w:val="center"/>
              <w:rPr>
                <w:rFonts w:hint="default" w:ascii="Times New Roman" w:hAnsi="Times New Roman" w:cs="Times New Roman"/>
                <w:b/>
                <w:bCs w:val="0"/>
                <w:color w:val="auto"/>
                <w:highlight w:val="none"/>
                <w:lang w:val="en-US" w:eastAsia="zh-CN"/>
              </w:rPr>
            </w:pPr>
            <w:r>
              <w:rPr>
                <w:rFonts w:hint="eastAsia" w:cs="Times New Roman"/>
                <w:b/>
                <w:bCs w:val="0"/>
                <w:color w:val="auto"/>
                <w:highlight w:val="none"/>
                <w:lang w:val="en-US" w:eastAsia="zh-CN"/>
              </w:rPr>
              <w:t>表4-6 干式漆雾过滤器装置参数</w:t>
            </w:r>
          </w:p>
          <w:tbl>
            <w:tblPr>
              <w:tblStyle w:val="21"/>
              <w:tblW w:w="8123"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985"/>
              <w:gridCol w:w="2985"/>
              <w:gridCol w:w="3153"/>
            </w:tblGrid>
            <w:tr w14:paraId="337174A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985" w:type="dxa"/>
                  <w:tcBorders>
                    <w:tl2br w:val="nil"/>
                    <w:tr2bl w:val="nil"/>
                  </w:tcBorders>
                  <w:vAlign w:val="center"/>
                </w:tcPr>
                <w:p w14:paraId="31A37F6E">
                  <w:pPr>
                    <w:pStyle w:val="5"/>
                    <w:bidi w:val="0"/>
                    <w:spacing w:line="240" w:lineRule="auto"/>
                    <w:jc w:val="center"/>
                    <w:rPr>
                      <w:rFonts w:hint="default" w:ascii="Times New Roman" w:hAnsi="Times New Roman" w:cs="Times New Roman"/>
                      <w:b/>
                      <w:bCs w:val="0"/>
                      <w:color w:val="auto"/>
                      <w:sz w:val="18"/>
                      <w:szCs w:val="18"/>
                      <w:highlight w:val="none"/>
                      <w:vertAlign w:val="baseline"/>
                      <w:lang w:val="en-US" w:eastAsia="zh-CN"/>
                    </w:rPr>
                  </w:pPr>
                  <w:r>
                    <w:rPr>
                      <w:rFonts w:hint="eastAsia" w:cs="Times New Roman"/>
                      <w:b/>
                      <w:bCs w:val="0"/>
                      <w:color w:val="auto"/>
                      <w:sz w:val="18"/>
                      <w:szCs w:val="18"/>
                      <w:highlight w:val="none"/>
                      <w:vertAlign w:val="baseline"/>
                      <w:lang w:val="en-US" w:eastAsia="zh-CN"/>
                    </w:rPr>
                    <w:t>项目</w:t>
                  </w:r>
                </w:p>
              </w:tc>
              <w:tc>
                <w:tcPr>
                  <w:tcW w:w="2985" w:type="dxa"/>
                  <w:tcBorders>
                    <w:tl2br w:val="nil"/>
                    <w:tr2bl w:val="nil"/>
                  </w:tcBorders>
                  <w:vAlign w:val="center"/>
                </w:tcPr>
                <w:p w14:paraId="75BFB92F">
                  <w:pPr>
                    <w:pStyle w:val="5"/>
                    <w:bidi w:val="0"/>
                    <w:spacing w:line="240" w:lineRule="auto"/>
                    <w:jc w:val="center"/>
                    <w:rPr>
                      <w:rFonts w:hint="default" w:ascii="Times New Roman" w:hAnsi="Times New Roman" w:cs="Times New Roman"/>
                      <w:b/>
                      <w:bCs w:val="0"/>
                      <w:color w:val="auto"/>
                      <w:sz w:val="18"/>
                      <w:szCs w:val="18"/>
                      <w:highlight w:val="none"/>
                      <w:vertAlign w:val="baseline"/>
                      <w:lang w:val="en-US" w:eastAsia="zh-CN"/>
                    </w:rPr>
                  </w:pPr>
                  <w:r>
                    <w:rPr>
                      <w:rFonts w:hint="eastAsia" w:cs="Times New Roman"/>
                      <w:b/>
                      <w:bCs w:val="0"/>
                      <w:color w:val="auto"/>
                      <w:sz w:val="18"/>
                      <w:szCs w:val="18"/>
                      <w:highlight w:val="none"/>
                      <w:vertAlign w:val="baseline"/>
                      <w:lang w:val="en-US" w:eastAsia="zh-CN"/>
                    </w:rPr>
                    <w:t>参数</w:t>
                  </w:r>
                </w:p>
              </w:tc>
              <w:tc>
                <w:tcPr>
                  <w:tcW w:w="3153" w:type="dxa"/>
                  <w:tcBorders>
                    <w:tl2br w:val="nil"/>
                    <w:tr2bl w:val="nil"/>
                  </w:tcBorders>
                  <w:vAlign w:val="center"/>
                </w:tcPr>
                <w:p w14:paraId="1D070387">
                  <w:pPr>
                    <w:pStyle w:val="5"/>
                    <w:bidi w:val="0"/>
                    <w:spacing w:line="240" w:lineRule="auto"/>
                    <w:jc w:val="center"/>
                    <w:rPr>
                      <w:rFonts w:hint="default" w:ascii="Times New Roman" w:hAnsi="Times New Roman" w:cs="Times New Roman"/>
                      <w:b/>
                      <w:bCs w:val="0"/>
                      <w:color w:val="auto"/>
                      <w:sz w:val="18"/>
                      <w:szCs w:val="18"/>
                      <w:highlight w:val="none"/>
                      <w:vertAlign w:val="baseline"/>
                      <w:lang w:val="en-US" w:eastAsia="zh-CN"/>
                    </w:rPr>
                  </w:pPr>
                  <w:r>
                    <w:rPr>
                      <w:rFonts w:hint="eastAsia" w:cs="Times New Roman"/>
                      <w:b/>
                      <w:bCs w:val="0"/>
                      <w:color w:val="auto"/>
                      <w:sz w:val="18"/>
                      <w:szCs w:val="18"/>
                      <w:highlight w:val="none"/>
                      <w:vertAlign w:val="baseline"/>
                      <w:lang w:val="en-US" w:eastAsia="zh-CN"/>
                    </w:rPr>
                    <w:t>备注</w:t>
                  </w:r>
                </w:p>
              </w:tc>
            </w:tr>
            <w:tr w14:paraId="537ACBA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985" w:type="dxa"/>
                  <w:tcBorders>
                    <w:tl2br w:val="nil"/>
                    <w:tr2bl w:val="nil"/>
                  </w:tcBorders>
                  <w:vAlign w:val="center"/>
                </w:tcPr>
                <w:p w14:paraId="16EEBBF2">
                  <w:pPr>
                    <w:pStyle w:val="5"/>
                    <w:bidi w:val="0"/>
                    <w:spacing w:line="240" w:lineRule="auto"/>
                    <w:jc w:val="center"/>
                    <w:rPr>
                      <w:rFonts w:hint="default" w:ascii="Times New Roman" w:hAnsi="Times New Roman" w:cs="Times New Roman"/>
                      <w:b/>
                      <w:bCs w:val="0"/>
                      <w:color w:val="auto"/>
                      <w:sz w:val="18"/>
                      <w:szCs w:val="18"/>
                      <w:highlight w:val="none"/>
                      <w:vertAlign w:val="baseline"/>
                      <w:lang w:val="en-US" w:eastAsia="zh-CN"/>
                    </w:rPr>
                  </w:pPr>
                  <w:r>
                    <w:rPr>
                      <w:rFonts w:hint="eastAsia" w:cs="Times New Roman"/>
                      <w:b/>
                      <w:bCs w:val="0"/>
                      <w:color w:val="auto"/>
                      <w:sz w:val="18"/>
                      <w:szCs w:val="18"/>
                      <w:highlight w:val="none"/>
                      <w:vertAlign w:val="baseline"/>
                      <w:lang w:val="en-US" w:eastAsia="zh-CN"/>
                    </w:rPr>
                    <w:t>风量</w:t>
                  </w:r>
                </w:p>
              </w:tc>
              <w:tc>
                <w:tcPr>
                  <w:tcW w:w="2985" w:type="dxa"/>
                  <w:tcBorders>
                    <w:tl2br w:val="nil"/>
                    <w:tr2bl w:val="nil"/>
                  </w:tcBorders>
                  <w:vAlign w:val="center"/>
                </w:tcPr>
                <w:p w14:paraId="6AF467D3">
                  <w:pPr>
                    <w:pStyle w:val="5"/>
                    <w:bidi w:val="0"/>
                    <w:spacing w:line="240" w:lineRule="auto"/>
                    <w:jc w:val="center"/>
                    <w:rPr>
                      <w:rFonts w:hint="default" w:ascii="Times New Roman" w:hAnsi="Times New Roman" w:cs="Times New Roman"/>
                      <w:b w:val="0"/>
                      <w:bCs/>
                      <w:color w:val="auto"/>
                      <w:sz w:val="18"/>
                      <w:szCs w:val="18"/>
                      <w:highlight w:val="none"/>
                      <w:vertAlign w:val="baseline"/>
                      <w:lang w:val="en-US" w:eastAsia="zh-CN"/>
                    </w:rPr>
                  </w:pPr>
                  <w:r>
                    <w:rPr>
                      <w:rFonts w:hint="eastAsia" w:cs="Times New Roman"/>
                      <w:b w:val="0"/>
                      <w:bCs/>
                      <w:color w:val="auto"/>
                      <w:sz w:val="18"/>
                      <w:szCs w:val="18"/>
                      <w:highlight w:val="none"/>
                      <w:vertAlign w:val="baseline"/>
                      <w:lang w:val="en-US" w:eastAsia="zh-CN"/>
                    </w:rPr>
                    <w:t>8000m</w:t>
                  </w:r>
                  <w:r>
                    <w:rPr>
                      <w:rFonts w:hint="eastAsia" w:cs="Times New Roman"/>
                      <w:b w:val="0"/>
                      <w:bCs/>
                      <w:color w:val="auto"/>
                      <w:sz w:val="18"/>
                      <w:szCs w:val="18"/>
                      <w:highlight w:val="none"/>
                      <w:vertAlign w:val="superscript"/>
                      <w:lang w:val="en-US" w:eastAsia="zh-CN"/>
                    </w:rPr>
                    <w:t>3</w:t>
                  </w:r>
                  <w:r>
                    <w:rPr>
                      <w:rFonts w:hint="eastAsia" w:cs="Times New Roman"/>
                      <w:b w:val="0"/>
                      <w:bCs/>
                      <w:color w:val="auto"/>
                      <w:sz w:val="18"/>
                      <w:szCs w:val="18"/>
                      <w:highlight w:val="none"/>
                      <w:vertAlign w:val="baseline"/>
                      <w:lang w:val="en-US" w:eastAsia="zh-CN"/>
                    </w:rPr>
                    <w:t>/h</w:t>
                  </w:r>
                </w:p>
              </w:tc>
              <w:tc>
                <w:tcPr>
                  <w:tcW w:w="3153" w:type="dxa"/>
                  <w:tcBorders>
                    <w:tl2br w:val="nil"/>
                    <w:tr2bl w:val="nil"/>
                  </w:tcBorders>
                  <w:vAlign w:val="center"/>
                </w:tcPr>
                <w:p w14:paraId="7AC109D0">
                  <w:pPr>
                    <w:pStyle w:val="5"/>
                    <w:bidi w:val="0"/>
                    <w:spacing w:line="240" w:lineRule="auto"/>
                    <w:jc w:val="center"/>
                    <w:rPr>
                      <w:rFonts w:hint="default" w:ascii="Times New Roman" w:hAnsi="Times New Roman" w:cs="Times New Roman"/>
                      <w:b w:val="0"/>
                      <w:bCs/>
                      <w:color w:val="auto"/>
                      <w:sz w:val="18"/>
                      <w:szCs w:val="18"/>
                      <w:highlight w:val="none"/>
                      <w:vertAlign w:val="baseline"/>
                      <w:lang w:val="en-US" w:eastAsia="zh-CN"/>
                    </w:rPr>
                  </w:pPr>
                  <w:r>
                    <w:rPr>
                      <w:rFonts w:hint="eastAsia" w:cs="Times New Roman"/>
                      <w:b w:val="0"/>
                      <w:bCs/>
                      <w:color w:val="auto"/>
                      <w:sz w:val="18"/>
                      <w:szCs w:val="18"/>
                      <w:highlight w:val="none"/>
                      <w:vertAlign w:val="baseline"/>
                      <w:lang w:val="en-US" w:eastAsia="zh-CN"/>
                    </w:rPr>
                    <w:t>/</w:t>
                  </w:r>
                </w:p>
              </w:tc>
            </w:tr>
            <w:tr w14:paraId="6C45DE3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985" w:type="dxa"/>
                  <w:tcBorders>
                    <w:tl2br w:val="nil"/>
                    <w:tr2bl w:val="nil"/>
                  </w:tcBorders>
                  <w:vAlign w:val="center"/>
                </w:tcPr>
                <w:p w14:paraId="00701776">
                  <w:pPr>
                    <w:pStyle w:val="5"/>
                    <w:bidi w:val="0"/>
                    <w:spacing w:line="240" w:lineRule="auto"/>
                    <w:jc w:val="center"/>
                    <w:rPr>
                      <w:rFonts w:hint="default" w:ascii="Times New Roman" w:hAnsi="Times New Roman" w:cs="Times New Roman"/>
                      <w:b/>
                      <w:bCs w:val="0"/>
                      <w:color w:val="auto"/>
                      <w:sz w:val="18"/>
                      <w:szCs w:val="18"/>
                      <w:highlight w:val="none"/>
                      <w:vertAlign w:val="baseline"/>
                      <w:lang w:val="en-US" w:eastAsia="zh-CN"/>
                    </w:rPr>
                  </w:pPr>
                  <w:r>
                    <w:rPr>
                      <w:rFonts w:hint="eastAsia" w:cs="Times New Roman"/>
                      <w:b/>
                      <w:bCs w:val="0"/>
                      <w:color w:val="auto"/>
                      <w:sz w:val="18"/>
                      <w:szCs w:val="18"/>
                      <w:highlight w:val="none"/>
                      <w:vertAlign w:val="baseline"/>
                      <w:lang w:val="en-US" w:eastAsia="zh-CN"/>
                    </w:rPr>
                    <w:t>控制风速</w:t>
                  </w:r>
                </w:p>
              </w:tc>
              <w:tc>
                <w:tcPr>
                  <w:tcW w:w="2985" w:type="dxa"/>
                  <w:tcBorders>
                    <w:tl2br w:val="nil"/>
                    <w:tr2bl w:val="nil"/>
                  </w:tcBorders>
                  <w:vAlign w:val="center"/>
                </w:tcPr>
                <w:p w14:paraId="7354ED13">
                  <w:pPr>
                    <w:pStyle w:val="5"/>
                    <w:bidi w:val="0"/>
                    <w:spacing w:line="240" w:lineRule="auto"/>
                    <w:jc w:val="center"/>
                    <w:rPr>
                      <w:rFonts w:hint="default" w:ascii="Times New Roman" w:hAnsi="Times New Roman" w:cs="Times New Roman"/>
                      <w:b w:val="0"/>
                      <w:bCs/>
                      <w:color w:val="auto"/>
                      <w:sz w:val="18"/>
                      <w:szCs w:val="18"/>
                      <w:highlight w:val="none"/>
                      <w:vertAlign w:val="baseline"/>
                      <w:lang w:val="en-US" w:eastAsia="zh-CN"/>
                    </w:rPr>
                  </w:pPr>
                  <w:r>
                    <w:rPr>
                      <w:rFonts w:hint="eastAsia" w:cs="Times New Roman"/>
                      <w:b w:val="0"/>
                      <w:bCs/>
                      <w:color w:val="auto"/>
                      <w:sz w:val="18"/>
                      <w:szCs w:val="18"/>
                      <w:highlight w:val="none"/>
                      <w:vertAlign w:val="baseline"/>
                      <w:lang w:val="en-US" w:eastAsia="zh-CN"/>
                    </w:rPr>
                    <w:t>0.5m/s</w:t>
                  </w:r>
                </w:p>
              </w:tc>
              <w:tc>
                <w:tcPr>
                  <w:tcW w:w="3153" w:type="dxa"/>
                  <w:tcBorders>
                    <w:tl2br w:val="nil"/>
                    <w:tr2bl w:val="nil"/>
                  </w:tcBorders>
                  <w:vAlign w:val="center"/>
                </w:tcPr>
                <w:p w14:paraId="359F5E55">
                  <w:pPr>
                    <w:pStyle w:val="5"/>
                    <w:bidi w:val="0"/>
                    <w:spacing w:line="240" w:lineRule="auto"/>
                    <w:jc w:val="center"/>
                    <w:rPr>
                      <w:rFonts w:hint="default" w:ascii="Times New Roman" w:hAnsi="Times New Roman" w:cs="Times New Roman"/>
                      <w:b w:val="0"/>
                      <w:bCs/>
                      <w:color w:val="auto"/>
                      <w:sz w:val="18"/>
                      <w:szCs w:val="18"/>
                      <w:highlight w:val="none"/>
                      <w:vertAlign w:val="baseline"/>
                      <w:lang w:val="en-US" w:eastAsia="zh-CN"/>
                    </w:rPr>
                  </w:pPr>
                  <w:r>
                    <w:rPr>
                      <w:rFonts w:hint="eastAsia" w:cs="Times New Roman"/>
                      <w:b w:val="0"/>
                      <w:bCs/>
                      <w:color w:val="auto"/>
                      <w:sz w:val="18"/>
                      <w:szCs w:val="18"/>
                      <w:highlight w:val="none"/>
                      <w:vertAlign w:val="baseline"/>
                      <w:lang w:val="en-US" w:eastAsia="zh-CN"/>
                    </w:rPr>
                    <w:t>/</w:t>
                  </w:r>
                </w:p>
              </w:tc>
            </w:tr>
            <w:tr w14:paraId="5CD55D5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985" w:type="dxa"/>
                  <w:tcBorders>
                    <w:tl2br w:val="nil"/>
                    <w:tr2bl w:val="nil"/>
                  </w:tcBorders>
                  <w:vAlign w:val="center"/>
                </w:tcPr>
                <w:p w14:paraId="680C4CD3">
                  <w:pPr>
                    <w:pStyle w:val="5"/>
                    <w:bidi w:val="0"/>
                    <w:spacing w:line="240" w:lineRule="auto"/>
                    <w:jc w:val="center"/>
                    <w:rPr>
                      <w:rFonts w:hint="default" w:ascii="Times New Roman" w:hAnsi="Times New Roman" w:cs="Times New Roman"/>
                      <w:b/>
                      <w:bCs w:val="0"/>
                      <w:color w:val="auto"/>
                      <w:sz w:val="18"/>
                      <w:szCs w:val="18"/>
                      <w:highlight w:val="none"/>
                      <w:vertAlign w:val="baseline"/>
                      <w:lang w:val="en-US" w:eastAsia="zh-CN"/>
                    </w:rPr>
                  </w:pPr>
                  <w:r>
                    <w:rPr>
                      <w:rFonts w:hint="eastAsia" w:cs="Times New Roman"/>
                      <w:b/>
                      <w:bCs w:val="0"/>
                      <w:color w:val="auto"/>
                      <w:sz w:val="18"/>
                      <w:szCs w:val="18"/>
                      <w:highlight w:val="none"/>
                      <w:vertAlign w:val="baseline"/>
                      <w:lang w:val="en-US" w:eastAsia="zh-CN"/>
                    </w:rPr>
                    <w:t>过滤风速</w:t>
                  </w:r>
                </w:p>
              </w:tc>
              <w:tc>
                <w:tcPr>
                  <w:tcW w:w="2985" w:type="dxa"/>
                  <w:tcBorders>
                    <w:tl2br w:val="nil"/>
                    <w:tr2bl w:val="nil"/>
                  </w:tcBorders>
                  <w:vAlign w:val="center"/>
                </w:tcPr>
                <w:p w14:paraId="3557214E">
                  <w:pPr>
                    <w:pStyle w:val="5"/>
                    <w:bidi w:val="0"/>
                    <w:spacing w:line="240" w:lineRule="auto"/>
                    <w:jc w:val="center"/>
                    <w:rPr>
                      <w:rFonts w:hint="default" w:ascii="Times New Roman" w:hAnsi="Times New Roman" w:cs="Times New Roman"/>
                      <w:b w:val="0"/>
                      <w:bCs/>
                      <w:color w:val="auto"/>
                      <w:sz w:val="18"/>
                      <w:szCs w:val="18"/>
                      <w:highlight w:val="none"/>
                      <w:vertAlign w:val="baseline"/>
                      <w:lang w:val="en-US" w:eastAsia="zh-CN"/>
                    </w:rPr>
                  </w:pPr>
                  <w:r>
                    <w:rPr>
                      <w:rFonts w:hint="eastAsia" w:cs="Times New Roman"/>
                      <w:b w:val="0"/>
                      <w:bCs/>
                      <w:color w:val="auto"/>
                      <w:sz w:val="18"/>
                      <w:szCs w:val="18"/>
                      <w:highlight w:val="none"/>
                      <w:vertAlign w:val="baseline"/>
                      <w:lang w:val="en-US" w:eastAsia="zh-CN"/>
                    </w:rPr>
                    <w:t>1m/s</w:t>
                  </w:r>
                </w:p>
              </w:tc>
              <w:tc>
                <w:tcPr>
                  <w:tcW w:w="3153" w:type="dxa"/>
                  <w:tcBorders>
                    <w:tl2br w:val="nil"/>
                    <w:tr2bl w:val="nil"/>
                  </w:tcBorders>
                  <w:vAlign w:val="center"/>
                </w:tcPr>
                <w:p w14:paraId="51C598B9">
                  <w:pPr>
                    <w:pStyle w:val="5"/>
                    <w:bidi w:val="0"/>
                    <w:spacing w:line="240" w:lineRule="auto"/>
                    <w:jc w:val="center"/>
                    <w:rPr>
                      <w:rFonts w:hint="default" w:ascii="Times New Roman" w:hAnsi="Times New Roman" w:cs="Times New Roman"/>
                      <w:b w:val="0"/>
                      <w:bCs/>
                      <w:color w:val="auto"/>
                      <w:sz w:val="18"/>
                      <w:szCs w:val="18"/>
                      <w:highlight w:val="none"/>
                      <w:vertAlign w:val="baseline"/>
                      <w:lang w:val="en-US" w:eastAsia="zh-CN"/>
                    </w:rPr>
                  </w:pPr>
                  <w:r>
                    <w:rPr>
                      <w:rFonts w:hint="eastAsia" w:cs="Times New Roman"/>
                      <w:b w:val="0"/>
                      <w:bCs/>
                      <w:color w:val="auto"/>
                      <w:sz w:val="18"/>
                      <w:szCs w:val="18"/>
                      <w:highlight w:val="none"/>
                      <w:vertAlign w:val="baseline"/>
                      <w:lang w:val="en-US" w:eastAsia="zh-CN"/>
                    </w:rPr>
                    <w:t>/</w:t>
                  </w:r>
                </w:p>
              </w:tc>
            </w:tr>
            <w:tr w14:paraId="715462C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985" w:type="dxa"/>
                  <w:tcBorders>
                    <w:tl2br w:val="nil"/>
                    <w:tr2bl w:val="nil"/>
                  </w:tcBorders>
                  <w:vAlign w:val="center"/>
                </w:tcPr>
                <w:p w14:paraId="20886C98">
                  <w:pPr>
                    <w:pStyle w:val="5"/>
                    <w:bidi w:val="0"/>
                    <w:spacing w:line="240" w:lineRule="auto"/>
                    <w:jc w:val="center"/>
                    <w:rPr>
                      <w:rFonts w:hint="default" w:ascii="Times New Roman" w:hAnsi="Times New Roman" w:cs="Times New Roman"/>
                      <w:b/>
                      <w:bCs w:val="0"/>
                      <w:color w:val="auto"/>
                      <w:sz w:val="18"/>
                      <w:szCs w:val="18"/>
                      <w:highlight w:val="none"/>
                      <w:vertAlign w:val="baseline"/>
                      <w:lang w:val="en-US" w:eastAsia="zh-CN"/>
                    </w:rPr>
                  </w:pPr>
                  <w:r>
                    <w:rPr>
                      <w:rFonts w:hint="eastAsia" w:cs="Times New Roman"/>
                      <w:b/>
                      <w:bCs w:val="0"/>
                      <w:color w:val="auto"/>
                      <w:sz w:val="18"/>
                      <w:szCs w:val="18"/>
                      <w:highlight w:val="none"/>
                      <w:vertAlign w:val="baseline"/>
                      <w:lang w:val="en-US" w:eastAsia="zh-CN"/>
                    </w:rPr>
                    <w:t>过滤效率与精度</w:t>
                  </w:r>
                </w:p>
              </w:tc>
              <w:tc>
                <w:tcPr>
                  <w:tcW w:w="2985" w:type="dxa"/>
                  <w:tcBorders>
                    <w:tl2br w:val="nil"/>
                    <w:tr2bl w:val="nil"/>
                  </w:tcBorders>
                  <w:vAlign w:val="center"/>
                </w:tcPr>
                <w:p w14:paraId="08D40E59">
                  <w:pPr>
                    <w:pStyle w:val="5"/>
                    <w:bidi w:val="0"/>
                    <w:spacing w:line="240" w:lineRule="auto"/>
                    <w:ind w:left="0" w:leftChars="0" w:firstLine="0" w:firstLineChars="0"/>
                    <w:jc w:val="both"/>
                    <w:rPr>
                      <w:rFonts w:hint="default" w:ascii="Times New Roman" w:hAnsi="Times New Roman" w:cs="Times New Roman"/>
                      <w:b w:val="0"/>
                      <w:bCs/>
                      <w:color w:val="auto"/>
                      <w:sz w:val="18"/>
                      <w:szCs w:val="18"/>
                      <w:highlight w:val="none"/>
                      <w:vertAlign w:val="baseline"/>
                      <w:lang w:val="en-US" w:eastAsia="zh-CN"/>
                    </w:rPr>
                  </w:pPr>
                  <w:r>
                    <w:rPr>
                      <w:rFonts w:hint="eastAsia" w:cs="Times New Roman"/>
                      <w:b w:val="0"/>
                      <w:bCs/>
                      <w:color w:val="auto"/>
                      <w:sz w:val="18"/>
                      <w:szCs w:val="18"/>
                      <w:highlight w:val="none"/>
                      <w:vertAlign w:val="baseline"/>
                      <w:lang w:val="en-US" w:eastAsia="zh-CN"/>
                    </w:rPr>
                    <w:t>≥1um，效率99%-99.8%，原始阻力30-50Pa，终阻300-400Pa</w:t>
                  </w:r>
                </w:p>
              </w:tc>
              <w:tc>
                <w:tcPr>
                  <w:tcW w:w="3153" w:type="dxa"/>
                  <w:tcBorders>
                    <w:tl2br w:val="nil"/>
                    <w:tr2bl w:val="nil"/>
                  </w:tcBorders>
                  <w:vAlign w:val="center"/>
                </w:tcPr>
                <w:p w14:paraId="6F8FC48E">
                  <w:pPr>
                    <w:pStyle w:val="5"/>
                    <w:bidi w:val="0"/>
                    <w:spacing w:line="240" w:lineRule="auto"/>
                    <w:ind w:left="0" w:leftChars="0" w:firstLine="0" w:firstLineChars="0"/>
                    <w:jc w:val="both"/>
                    <w:rPr>
                      <w:rFonts w:hint="default" w:ascii="Times New Roman" w:hAnsi="Times New Roman" w:cs="Times New Roman"/>
                      <w:b w:val="0"/>
                      <w:bCs/>
                      <w:color w:val="auto"/>
                      <w:sz w:val="18"/>
                      <w:szCs w:val="18"/>
                      <w:highlight w:val="none"/>
                      <w:vertAlign w:val="baseline"/>
                      <w:lang w:val="en-US" w:eastAsia="zh-CN"/>
                    </w:rPr>
                  </w:pPr>
                  <w:r>
                    <w:rPr>
                      <w:rFonts w:hint="eastAsia" w:cs="Times New Roman"/>
                      <w:b w:val="0"/>
                      <w:bCs/>
                      <w:color w:val="auto"/>
                      <w:sz w:val="18"/>
                      <w:szCs w:val="18"/>
                      <w:highlight w:val="none"/>
                      <w:vertAlign w:val="baseline"/>
                      <w:lang w:val="en-US" w:eastAsia="zh-CN"/>
                    </w:rPr>
                    <w:t>出口要求：颗粒物浓度≤10mg/m</w:t>
                  </w:r>
                  <w:r>
                    <w:rPr>
                      <w:rFonts w:hint="eastAsia" w:cs="Times New Roman"/>
                      <w:b w:val="0"/>
                      <w:bCs/>
                      <w:color w:val="auto"/>
                      <w:sz w:val="18"/>
                      <w:szCs w:val="18"/>
                      <w:highlight w:val="none"/>
                      <w:vertAlign w:val="superscript"/>
                      <w:lang w:val="en-US" w:eastAsia="zh-CN"/>
                    </w:rPr>
                    <w:t>3</w:t>
                  </w:r>
                  <w:r>
                    <w:rPr>
                      <w:rFonts w:hint="eastAsia" w:cs="Times New Roman"/>
                      <w:b w:val="0"/>
                      <w:bCs/>
                      <w:color w:val="auto"/>
                      <w:sz w:val="18"/>
                      <w:szCs w:val="18"/>
                      <w:highlight w:val="none"/>
                      <w:vertAlign w:val="baseline"/>
                      <w:lang w:val="en-US" w:eastAsia="zh-CN"/>
                    </w:rPr>
                    <w:t>，漆雾去除率≥99%，本项目去除效率选取99%</w:t>
                  </w:r>
                </w:p>
              </w:tc>
            </w:tr>
            <w:tr w14:paraId="1336575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985" w:type="dxa"/>
                  <w:tcBorders>
                    <w:tl2br w:val="nil"/>
                    <w:tr2bl w:val="nil"/>
                  </w:tcBorders>
                  <w:vAlign w:val="center"/>
                </w:tcPr>
                <w:p w14:paraId="17B71EC5">
                  <w:pPr>
                    <w:pStyle w:val="5"/>
                    <w:bidi w:val="0"/>
                    <w:spacing w:line="240" w:lineRule="auto"/>
                    <w:jc w:val="center"/>
                    <w:rPr>
                      <w:rFonts w:hint="default" w:ascii="Times New Roman" w:hAnsi="Times New Roman" w:cs="Times New Roman"/>
                      <w:b/>
                      <w:bCs w:val="0"/>
                      <w:color w:val="auto"/>
                      <w:sz w:val="18"/>
                      <w:szCs w:val="18"/>
                      <w:highlight w:val="none"/>
                      <w:vertAlign w:val="baseline"/>
                      <w:lang w:val="en-US" w:eastAsia="zh-CN"/>
                    </w:rPr>
                  </w:pPr>
                  <w:r>
                    <w:rPr>
                      <w:rFonts w:hint="eastAsia" w:cs="Times New Roman"/>
                      <w:b/>
                      <w:bCs w:val="0"/>
                      <w:color w:val="auto"/>
                      <w:sz w:val="18"/>
                      <w:szCs w:val="18"/>
                      <w:highlight w:val="none"/>
                      <w:vertAlign w:val="baseline"/>
                      <w:lang w:val="en-US" w:eastAsia="zh-CN"/>
                    </w:rPr>
                    <w:t>滤棉容尘量</w:t>
                  </w:r>
                </w:p>
              </w:tc>
              <w:tc>
                <w:tcPr>
                  <w:tcW w:w="2985" w:type="dxa"/>
                  <w:tcBorders>
                    <w:tl2br w:val="nil"/>
                    <w:tr2bl w:val="nil"/>
                  </w:tcBorders>
                  <w:vAlign w:val="center"/>
                </w:tcPr>
                <w:p w14:paraId="391699EC">
                  <w:pPr>
                    <w:pStyle w:val="5"/>
                    <w:bidi w:val="0"/>
                    <w:spacing w:line="240" w:lineRule="auto"/>
                    <w:jc w:val="center"/>
                    <w:rPr>
                      <w:rFonts w:hint="default" w:ascii="Times New Roman" w:hAnsi="Times New Roman" w:cs="Times New Roman"/>
                      <w:b w:val="0"/>
                      <w:bCs/>
                      <w:color w:val="auto"/>
                      <w:sz w:val="18"/>
                      <w:szCs w:val="18"/>
                      <w:highlight w:val="none"/>
                      <w:vertAlign w:val="baseline"/>
                      <w:lang w:val="en-US" w:eastAsia="zh-CN"/>
                    </w:rPr>
                  </w:pPr>
                  <w:r>
                    <w:rPr>
                      <w:rFonts w:hint="eastAsia" w:cs="Times New Roman"/>
                      <w:b w:val="0"/>
                      <w:bCs/>
                      <w:color w:val="auto"/>
                      <w:sz w:val="18"/>
                      <w:szCs w:val="18"/>
                      <w:highlight w:val="none"/>
                      <w:vertAlign w:val="baseline"/>
                      <w:lang w:val="en-US" w:eastAsia="zh-CN"/>
                    </w:rPr>
                    <w:t>20-27kg/m</w:t>
                  </w:r>
                  <w:r>
                    <w:rPr>
                      <w:rFonts w:hint="eastAsia" w:cs="Times New Roman"/>
                      <w:b w:val="0"/>
                      <w:bCs/>
                      <w:color w:val="auto"/>
                      <w:sz w:val="18"/>
                      <w:szCs w:val="18"/>
                      <w:highlight w:val="none"/>
                      <w:vertAlign w:val="superscript"/>
                      <w:lang w:val="en-US" w:eastAsia="zh-CN"/>
                    </w:rPr>
                    <w:t>2</w:t>
                  </w:r>
                </w:p>
              </w:tc>
              <w:tc>
                <w:tcPr>
                  <w:tcW w:w="3153" w:type="dxa"/>
                  <w:tcBorders>
                    <w:tl2br w:val="nil"/>
                    <w:tr2bl w:val="nil"/>
                  </w:tcBorders>
                  <w:vAlign w:val="center"/>
                </w:tcPr>
                <w:p w14:paraId="371A5640">
                  <w:pPr>
                    <w:pStyle w:val="5"/>
                    <w:bidi w:val="0"/>
                    <w:spacing w:line="240" w:lineRule="auto"/>
                    <w:jc w:val="center"/>
                    <w:rPr>
                      <w:rFonts w:hint="default" w:ascii="Times New Roman" w:hAnsi="Times New Roman" w:cs="Times New Roman"/>
                      <w:b w:val="0"/>
                      <w:bCs/>
                      <w:color w:val="auto"/>
                      <w:sz w:val="18"/>
                      <w:szCs w:val="18"/>
                      <w:highlight w:val="none"/>
                      <w:vertAlign w:val="baseline"/>
                      <w:lang w:val="en-US" w:eastAsia="zh-CN"/>
                    </w:rPr>
                  </w:pPr>
                  <w:r>
                    <w:rPr>
                      <w:rFonts w:hint="eastAsia" w:cs="Times New Roman"/>
                      <w:b w:val="0"/>
                      <w:bCs/>
                      <w:color w:val="auto"/>
                      <w:sz w:val="18"/>
                      <w:szCs w:val="18"/>
                      <w:highlight w:val="none"/>
                      <w:vertAlign w:val="baseline"/>
                      <w:lang w:val="en-US" w:eastAsia="zh-CN"/>
                    </w:rPr>
                    <w:t>/</w:t>
                  </w:r>
                </w:p>
              </w:tc>
            </w:tr>
            <w:tr w14:paraId="7AFD673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985" w:type="dxa"/>
                  <w:tcBorders>
                    <w:tl2br w:val="nil"/>
                    <w:tr2bl w:val="nil"/>
                  </w:tcBorders>
                  <w:vAlign w:val="center"/>
                </w:tcPr>
                <w:p w14:paraId="55543E8B">
                  <w:pPr>
                    <w:pStyle w:val="5"/>
                    <w:bidi w:val="0"/>
                    <w:spacing w:line="240" w:lineRule="auto"/>
                    <w:jc w:val="center"/>
                    <w:rPr>
                      <w:rFonts w:hint="eastAsia" w:cs="Times New Roman"/>
                      <w:b/>
                      <w:bCs w:val="0"/>
                      <w:color w:val="auto"/>
                      <w:sz w:val="18"/>
                      <w:szCs w:val="18"/>
                      <w:highlight w:val="none"/>
                      <w:vertAlign w:val="baseline"/>
                      <w:lang w:val="en-US" w:eastAsia="zh-CN"/>
                    </w:rPr>
                  </w:pPr>
                  <w:r>
                    <w:rPr>
                      <w:rFonts w:hint="eastAsia" w:cs="Times New Roman"/>
                      <w:b/>
                      <w:bCs w:val="0"/>
                      <w:color w:val="auto"/>
                      <w:sz w:val="18"/>
                      <w:szCs w:val="18"/>
                      <w:highlight w:val="none"/>
                      <w:vertAlign w:val="baseline"/>
                      <w:lang w:val="en-US" w:eastAsia="zh-CN"/>
                    </w:rPr>
                    <w:t>滤棉更换周期</w:t>
                  </w:r>
                </w:p>
              </w:tc>
              <w:tc>
                <w:tcPr>
                  <w:tcW w:w="2985" w:type="dxa"/>
                  <w:tcBorders>
                    <w:tl2br w:val="nil"/>
                    <w:tr2bl w:val="nil"/>
                  </w:tcBorders>
                  <w:vAlign w:val="center"/>
                </w:tcPr>
                <w:p w14:paraId="3437F27A">
                  <w:pPr>
                    <w:pStyle w:val="5"/>
                    <w:bidi w:val="0"/>
                    <w:spacing w:line="240" w:lineRule="auto"/>
                    <w:jc w:val="center"/>
                    <w:rPr>
                      <w:rFonts w:hint="default" w:cs="Times New Roman"/>
                      <w:b w:val="0"/>
                      <w:bCs/>
                      <w:color w:val="auto"/>
                      <w:sz w:val="18"/>
                      <w:szCs w:val="18"/>
                      <w:highlight w:val="none"/>
                      <w:vertAlign w:val="baseline"/>
                      <w:lang w:val="en-US" w:eastAsia="zh-CN"/>
                    </w:rPr>
                  </w:pPr>
                  <w:r>
                    <w:rPr>
                      <w:rFonts w:hint="eastAsia" w:cs="Times New Roman"/>
                      <w:b w:val="0"/>
                      <w:bCs/>
                      <w:color w:val="auto"/>
                      <w:sz w:val="18"/>
                      <w:szCs w:val="18"/>
                      <w:highlight w:val="none"/>
                      <w:vertAlign w:val="baseline"/>
                      <w:lang w:val="en-US" w:eastAsia="zh-CN"/>
                    </w:rPr>
                    <w:t>500-1000h</w:t>
                  </w:r>
                </w:p>
              </w:tc>
              <w:tc>
                <w:tcPr>
                  <w:tcW w:w="3153" w:type="dxa"/>
                  <w:tcBorders>
                    <w:tl2br w:val="nil"/>
                    <w:tr2bl w:val="nil"/>
                  </w:tcBorders>
                  <w:vAlign w:val="center"/>
                </w:tcPr>
                <w:p w14:paraId="4B31E3F8">
                  <w:pPr>
                    <w:pStyle w:val="5"/>
                    <w:bidi w:val="0"/>
                    <w:spacing w:line="240" w:lineRule="auto"/>
                    <w:jc w:val="center"/>
                    <w:rPr>
                      <w:rFonts w:hint="default" w:ascii="Times New Roman" w:hAnsi="Times New Roman" w:cs="Times New Roman"/>
                      <w:b w:val="0"/>
                      <w:bCs/>
                      <w:color w:val="auto"/>
                      <w:sz w:val="18"/>
                      <w:szCs w:val="18"/>
                      <w:highlight w:val="none"/>
                      <w:vertAlign w:val="baseline"/>
                      <w:lang w:val="en-US" w:eastAsia="zh-CN"/>
                    </w:rPr>
                  </w:pPr>
                  <w:r>
                    <w:rPr>
                      <w:rFonts w:hint="eastAsia" w:cs="Times New Roman"/>
                      <w:b w:val="0"/>
                      <w:bCs/>
                      <w:color w:val="auto"/>
                      <w:sz w:val="18"/>
                      <w:szCs w:val="18"/>
                      <w:highlight w:val="none"/>
                      <w:vertAlign w:val="baseline"/>
                      <w:lang w:val="en-US" w:eastAsia="zh-CN"/>
                    </w:rPr>
                    <w:t>/</w:t>
                  </w:r>
                </w:p>
              </w:tc>
            </w:tr>
          </w:tbl>
          <w:p w14:paraId="38A7EE93">
            <w:pPr>
              <w:pStyle w:val="7"/>
              <w:rPr>
                <w:color w:val="auto"/>
              </w:rPr>
            </w:pPr>
          </w:p>
          <w:p w14:paraId="095F3AA7">
            <w:pPr>
              <w:pStyle w:val="5"/>
              <w:bidi w:val="0"/>
              <w:spacing w:line="240" w:lineRule="auto"/>
              <w:rPr>
                <w:rFonts w:hint="default" w:ascii="Times New Roman" w:hAnsi="Times New Roman" w:cs="Times New Roman"/>
                <w:b/>
                <w:bCs w:val="0"/>
                <w:color w:val="auto"/>
                <w:highlight w:val="none"/>
                <w:lang w:val="en-US" w:eastAsia="zh-CN"/>
              </w:rPr>
            </w:pPr>
            <w:r>
              <w:rPr>
                <w:rFonts w:hint="default" w:ascii="Times New Roman" w:hAnsi="Times New Roman" w:cs="Times New Roman"/>
                <w:b/>
                <w:bCs w:val="0"/>
                <w:color w:val="auto"/>
                <w:highlight w:val="none"/>
                <w:lang w:val="en-US" w:eastAsia="zh-CN"/>
              </w:rPr>
              <w:t>二级活性炭吸附装置</w:t>
            </w:r>
            <w:r>
              <w:rPr>
                <w:rFonts w:hint="eastAsia" w:cs="Times New Roman"/>
                <w:b/>
                <w:bCs w:val="0"/>
                <w:color w:val="auto"/>
                <w:highlight w:val="none"/>
                <w:lang w:val="en-US" w:eastAsia="zh-CN"/>
              </w:rPr>
              <w:t>：</w:t>
            </w:r>
          </w:p>
          <w:p w14:paraId="1803CB2D">
            <w:pPr>
              <w:adjustRightInd w:val="0"/>
              <w:snapToGrid w:val="0"/>
              <w:spacing w:line="360" w:lineRule="auto"/>
              <w:ind w:firstLine="420" w:firstLineChars="200"/>
              <w:rPr>
                <w:rStyle w:val="27"/>
                <w:rFonts w:hint="default" w:ascii="Times New Roman" w:hAnsi="Times New Roman" w:cs="Times New Roman"/>
                <w:color w:val="auto"/>
                <w:highlight w:val="none"/>
                <w:lang w:eastAsia="zh-CN"/>
              </w:rPr>
            </w:pPr>
            <w:r>
              <w:rPr>
                <w:rFonts w:hint="default" w:ascii="Times New Roman" w:hAnsi="Times New Roman" w:cs="Times New Roman"/>
                <w:color w:val="auto"/>
                <w:kern w:val="0"/>
                <w:sz w:val="21"/>
                <w:szCs w:val="21"/>
                <w:highlight w:val="none"/>
                <w:lang w:val="en-US" w:eastAsia="zh-CN"/>
              </w:rPr>
              <w:t>对照《吸附法工业有机废气治理工程技术规范》（HJ2026-2013），</w:t>
            </w:r>
            <w:r>
              <w:rPr>
                <w:rFonts w:hint="eastAsia" w:cs="Times New Roman"/>
                <w:color w:val="auto"/>
                <w:kern w:val="0"/>
                <w:sz w:val="21"/>
                <w:szCs w:val="21"/>
                <w:highlight w:val="none"/>
                <w:lang w:val="en-US" w:eastAsia="zh-CN"/>
              </w:rPr>
              <w:t>此工段</w:t>
            </w:r>
            <w:r>
              <w:rPr>
                <w:rFonts w:hint="default" w:ascii="Times New Roman" w:hAnsi="Times New Roman" w:cs="Times New Roman"/>
                <w:color w:val="auto"/>
                <w:kern w:val="0"/>
                <w:sz w:val="21"/>
                <w:szCs w:val="21"/>
                <w:highlight w:val="none"/>
                <w:lang w:val="en-US" w:eastAsia="zh-CN"/>
              </w:rPr>
              <w:t>废气</w:t>
            </w:r>
            <w:r>
              <w:rPr>
                <w:rFonts w:hint="eastAsia" w:cs="Times New Roman"/>
                <w:color w:val="auto"/>
                <w:kern w:val="0"/>
                <w:sz w:val="21"/>
                <w:szCs w:val="21"/>
                <w:highlight w:val="none"/>
                <w:lang w:val="en-US" w:eastAsia="zh-CN"/>
              </w:rPr>
              <w:t>为涂装废气，废气中含颗粒物，经</w:t>
            </w:r>
            <w:r>
              <w:rPr>
                <w:rStyle w:val="27"/>
                <w:rFonts w:hint="default" w:ascii="Times New Roman" w:hAnsi="Times New Roman" w:eastAsia="宋体" w:cs="Times New Roman"/>
                <w:b w:val="0"/>
                <w:bCs/>
                <w:color w:val="auto"/>
                <w:highlight w:val="none"/>
                <w:lang w:eastAsia="zh-CN"/>
              </w:rPr>
              <w:t>干式漆雾过滤器</w:t>
            </w:r>
            <w:r>
              <w:rPr>
                <w:rStyle w:val="27"/>
                <w:rFonts w:hint="eastAsia" w:ascii="Times New Roman" w:hAnsi="Times New Roman" w:eastAsia="宋体" w:cs="Times New Roman"/>
                <w:b w:val="0"/>
                <w:bCs/>
                <w:color w:val="auto"/>
                <w:highlight w:val="none"/>
                <w:lang w:val="en-US" w:eastAsia="zh-CN"/>
              </w:rPr>
              <w:t>处理，</w:t>
            </w:r>
            <w:r>
              <w:rPr>
                <w:rFonts w:hint="eastAsia" w:cs="Times New Roman"/>
                <w:color w:val="auto"/>
                <w:kern w:val="0"/>
                <w:sz w:val="21"/>
                <w:szCs w:val="21"/>
                <w:highlight w:val="none"/>
                <w:lang w:val="en-US" w:eastAsia="zh-CN"/>
              </w:rPr>
              <w:t>对废气中颗粒物进行预除尘，能够满足活性炭吸附装置对废气中颗粒物含量低于1mg/m</w:t>
            </w:r>
            <w:r>
              <w:rPr>
                <w:rFonts w:hint="eastAsia" w:cs="Times New Roman"/>
                <w:color w:val="auto"/>
                <w:kern w:val="0"/>
                <w:sz w:val="21"/>
                <w:szCs w:val="21"/>
                <w:highlight w:val="none"/>
                <w:vertAlign w:val="superscript"/>
                <w:lang w:val="en-US" w:eastAsia="zh-CN"/>
              </w:rPr>
              <w:t>3</w:t>
            </w:r>
            <w:r>
              <w:rPr>
                <w:rFonts w:hint="eastAsia" w:cs="Times New Roman"/>
                <w:color w:val="auto"/>
                <w:kern w:val="0"/>
                <w:sz w:val="21"/>
                <w:szCs w:val="21"/>
                <w:highlight w:val="none"/>
                <w:lang w:val="en-US" w:eastAsia="zh-CN"/>
              </w:rPr>
              <w:t>的浓度要求，</w:t>
            </w:r>
            <w:r>
              <w:rPr>
                <w:rFonts w:hint="default" w:ascii="Times New Roman" w:hAnsi="Times New Roman" w:cs="Times New Roman"/>
                <w:color w:val="auto"/>
                <w:kern w:val="0"/>
                <w:sz w:val="21"/>
                <w:szCs w:val="21"/>
                <w:highlight w:val="none"/>
                <w:lang w:val="en-US" w:eastAsia="zh-CN"/>
              </w:rPr>
              <w:t>废气</w:t>
            </w:r>
            <w:r>
              <w:rPr>
                <w:rFonts w:hint="eastAsia" w:cs="Times New Roman"/>
                <w:color w:val="auto"/>
                <w:kern w:val="0"/>
                <w:sz w:val="21"/>
                <w:szCs w:val="21"/>
                <w:highlight w:val="none"/>
                <w:lang w:val="en-US" w:eastAsia="zh-CN"/>
              </w:rPr>
              <w:t>到达活性炭吸附装置时</w:t>
            </w:r>
            <w:r>
              <w:rPr>
                <w:rFonts w:hint="default" w:ascii="Times New Roman" w:hAnsi="Times New Roman" w:cs="Times New Roman"/>
                <w:color w:val="auto"/>
                <w:kern w:val="0"/>
                <w:sz w:val="21"/>
                <w:szCs w:val="21"/>
                <w:highlight w:val="none"/>
                <w:lang w:val="en-US" w:eastAsia="zh-CN"/>
              </w:rPr>
              <w:t>温度低于40℃，满足要求，故项目废气经“二级活性炭吸附装置”处理可行。</w:t>
            </w:r>
          </w:p>
          <w:p w14:paraId="62731F74">
            <w:pPr>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活性炭是用木材、煤、果壳等含碳物质在高温缺氧条件下活化制成，它具有巨大的比表面积（500-1700m</w:t>
            </w:r>
            <w:r>
              <w:rPr>
                <w:rFonts w:hint="default" w:ascii="Times New Roman" w:hAnsi="Times New Roman" w:cs="Times New Roman"/>
                <w:color w:val="auto"/>
                <w:kern w:val="0"/>
                <w:sz w:val="21"/>
                <w:szCs w:val="21"/>
                <w:highlight w:val="none"/>
                <w:vertAlign w:val="superscript"/>
                <w:lang w:val="en-US" w:eastAsia="zh-CN"/>
              </w:rPr>
              <w:t>2</w:t>
            </w:r>
            <w:r>
              <w:rPr>
                <w:rFonts w:hint="default" w:ascii="Times New Roman" w:hAnsi="Times New Roman" w:cs="Times New Roman"/>
                <w:color w:val="auto"/>
                <w:kern w:val="0"/>
                <w:sz w:val="21"/>
                <w:szCs w:val="21"/>
                <w:highlight w:val="none"/>
                <w:lang w:val="en-US" w:eastAsia="zh-CN"/>
              </w:rPr>
              <w:t>/g）。活性炭固定床是一种高效率经济实用型有机废气的净化与治理装置，具有吸附效率高、适用面广、维护方便，能同时处理多种混合废气等优点。当有机废气由风机提供动力，正压或负压进入塔体，由于活性炭固体表面上存在着未平衡和未饱和的分子引力或化学健力，因此当此固体表面与气体接触时，就能吸引气体分子，使其浓聚并保持在固体表面，污染物质及气味从而被吸附，废气经活性炭固定床后，净化气体高空达标排放。本项目拟设置二级活性炭吸附装置，二级活性炭吸附效率取90%。</w:t>
            </w:r>
          </w:p>
          <w:p w14:paraId="0F2223F6">
            <w:pPr>
              <w:adjustRightInd w:val="0"/>
              <w:snapToGrid w:val="0"/>
              <w:spacing w:line="240" w:lineRule="auto"/>
              <w:jc w:val="center"/>
              <w:rPr>
                <w:rFonts w:hint="default" w:ascii="Times New Roman" w:hAnsi="Times New Roman" w:cs="Times New Roman"/>
                <w:b/>
                <w:bCs w:val="0"/>
                <w:color w:val="auto"/>
                <w:spacing w:val="-10"/>
                <w:szCs w:val="21"/>
                <w:u w:val="none"/>
                <w:lang w:val="en-US" w:eastAsia="zh-CN"/>
              </w:rPr>
            </w:pPr>
            <w:r>
              <w:rPr>
                <w:rFonts w:hint="eastAsia" w:cs="Times New Roman"/>
                <w:b/>
                <w:bCs w:val="0"/>
                <w:color w:val="auto"/>
                <w:spacing w:val="-10"/>
                <w:szCs w:val="21"/>
                <w:u w:val="none"/>
                <w:lang w:val="en-US" w:eastAsia="zh-CN"/>
              </w:rPr>
              <w:t>表4-7 活性炭吸附装置参数</w:t>
            </w:r>
          </w:p>
          <w:tbl>
            <w:tblPr>
              <w:tblStyle w:val="2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64"/>
              <w:gridCol w:w="1115"/>
              <w:gridCol w:w="1318"/>
              <w:gridCol w:w="2705"/>
              <w:gridCol w:w="551"/>
              <w:gridCol w:w="2070"/>
            </w:tblGrid>
            <w:tr w14:paraId="5CA331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78" w:hRule="atLeast"/>
                <w:jc w:val="center"/>
              </w:trPr>
              <w:tc>
                <w:tcPr>
                  <w:tcW w:w="224" w:type="pct"/>
                  <w:noWrap/>
                  <w:vAlign w:val="center"/>
                </w:tcPr>
                <w:p w14:paraId="4316DD74">
                  <w:pPr>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序号</w:t>
                  </w:r>
                </w:p>
              </w:tc>
              <w:tc>
                <w:tcPr>
                  <w:tcW w:w="686" w:type="pct"/>
                  <w:noWrap/>
                  <w:vAlign w:val="center"/>
                </w:tcPr>
                <w:p w14:paraId="76D6E624">
                  <w:pPr>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项目</w:t>
                  </w:r>
                </w:p>
              </w:tc>
              <w:tc>
                <w:tcPr>
                  <w:tcW w:w="811" w:type="pct"/>
                  <w:noWrap/>
                  <w:vAlign w:val="center"/>
                </w:tcPr>
                <w:p w14:paraId="3CA524B9">
                  <w:pPr>
                    <w:jc w:val="center"/>
                    <w:rPr>
                      <w:rFonts w:hint="default" w:cs="Times New Roman"/>
                      <w:b/>
                      <w:bCs/>
                      <w:color w:val="auto"/>
                      <w:sz w:val="18"/>
                      <w:szCs w:val="18"/>
                      <w:highlight w:val="yellow"/>
                      <w:lang w:val="en-US" w:eastAsia="zh-CN"/>
                    </w:rPr>
                  </w:pPr>
                  <w:r>
                    <w:rPr>
                      <w:rFonts w:hint="eastAsia" w:cs="Times New Roman"/>
                      <w:b/>
                      <w:bCs/>
                      <w:color w:val="auto"/>
                      <w:sz w:val="18"/>
                      <w:szCs w:val="18"/>
                      <w:highlight w:val="none"/>
                      <w:lang w:val="en-US" w:eastAsia="zh-CN"/>
                    </w:rPr>
                    <w:t>配置、涂装废气</w:t>
                  </w:r>
                </w:p>
              </w:tc>
              <w:tc>
                <w:tcPr>
                  <w:tcW w:w="1664" w:type="pct"/>
                  <w:noWrap/>
                  <w:vAlign w:val="center"/>
                </w:tcPr>
                <w:p w14:paraId="0E5577E7">
                  <w:pPr>
                    <w:jc w:val="center"/>
                    <w:rPr>
                      <w:rFonts w:hint="eastAsia" w:cs="Times New Roman"/>
                      <w:b/>
                      <w:bCs/>
                      <w:color w:val="auto"/>
                      <w:sz w:val="18"/>
                      <w:szCs w:val="18"/>
                      <w:highlight w:val="none"/>
                      <w:lang w:val="en-US" w:eastAsia="zh-CN"/>
                    </w:rPr>
                  </w:pPr>
                  <w:r>
                    <w:rPr>
                      <w:rFonts w:hint="eastAsia" w:cs="Times New Roman"/>
                      <w:b/>
                      <w:bCs/>
                      <w:color w:val="auto"/>
                      <w:sz w:val="18"/>
                      <w:szCs w:val="18"/>
                      <w:highlight w:val="none"/>
                      <w:lang w:val="en-US" w:eastAsia="zh-CN"/>
                    </w:rPr>
                    <w:t>南通市生态环境局关于印发《南通市废气活性炭吸附设施专项整治实施方案》的通知要求</w:t>
                  </w:r>
                </w:p>
              </w:tc>
              <w:tc>
                <w:tcPr>
                  <w:tcW w:w="339" w:type="pct"/>
                  <w:noWrap/>
                  <w:vAlign w:val="center"/>
                </w:tcPr>
                <w:p w14:paraId="604AB9FC">
                  <w:pPr>
                    <w:jc w:val="center"/>
                    <w:rPr>
                      <w:rFonts w:hint="eastAsia" w:cs="Times New Roman"/>
                      <w:b/>
                      <w:bCs/>
                      <w:color w:val="auto"/>
                      <w:sz w:val="18"/>
                      <w:szCs w:val="18"/>
                      <w:highlight w:val="none"/>
                      <w:lang w:val="en-US" w:eastAsia="zh-CN"/>
                    </w:rPr>
                  </w:pPr>
                  <w:r>
                    <w:rPr>
                      <w:rFonts w:hint="default" w:ascii="Times New Roman" w:hAnsi="Times New Roman" w:cs="Times New Roman"/>
                      <w:b/>
                      <w:bCs/>
                      <w:color w:val="auto"/>
                      <w:sz w:val="18"/>
                      <w:szCs w:val="18"/>
                      <w:lang w:val="en-US"/>
                    </w:rPr>
                    <w:t>HJ2026-2013要求</w:t>
                  </w:r>
                </w:p>
              </w:tc>
              <w:tc>
                <w:tcPr>
                  <w:tcW w:w="1273" w:type="pct"/>
                  <w:noWrap/>
                  <w:vAlign w:val="center"/>
                </w:tcPr>
                <w:p w14:paraId="6BF25B5B">
                  <w:pPr>
                    <w:jc w:val="center"/>
                    <w:rPr>
                      <w:rFonts w:hint="default" w:ascii="Times New Roman" w:hAnsi="Times New Roman" w:cs="Times New Roman"/>
                      <w:b/>
                      <w:bCs/>
                      <w:color w:val="auto"/>
                      <w:sz w:val="18"/>
                      <w:szCs w:val="18"/>
                      <w:lang w:val="en-US"/>
                    </w:rPr>
                  </w:pPr>
                  <w:r>
                    <w:rPr>
                      <w:rFonts w:hint="default" w:ascii="Times New Roman" w:hAnsi="Times New Roman" w:cs="Times New Roman"/>
                      <w:b/>
                      <w:bCs/>
                      <w:color w:val="auto"/>
                      <w:sz w:val="18"/>
                      <w:szCs w:val="18"/>
                      <w:lang w:val="en-US"/>
                    </w:rPr>
                    <w:t>《工业有机废气治理用活性炭通用技术要求》（DB32/T 5030-2025）</w:t>
                  </w:r>
                </w:p>
              </w:tc>
            </w:tr>
            <w:tr w14:paraId="7CCD58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224" w:type="pct"/>
                  <w:noWrap/>
                  <w:vAlign w:val="center"/>
                </w:tcPr>
                <w:p w14:paraId="08F535E1">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86" w:type="pct"/>
                  <w:noWrap/>
                  <w:vAlign w:val="center"/>
                </w:tcPr>
                <w:p w14:paraId="2E2462C6">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有机废气净化方式</w:t>
                  </w:r>
                </w:p>
              </w:tc>
              <w:tc>
                <w:tcPr>
                  <w:tcW w:w="811" w:type="pct"/>
                  <w:noWrap/>
                  <w:vAlign w:val="center"/>
                </w:tcPr>
                <w:p w14:paraId="3006347D">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rPr>
                    <w:t>活性炭吸附处理</w:t>
                  </w:r>
                </w:p>
              </w:tc>
              <w:tc>
                <w:tcPr>
                  <w:tcW w:w="1664" w:type="pct"/>
                  <w:noWrap/>
                  <w:vAlign w:val="center"/>
                </w:tcPr>
                <w:p w14:paraId="4416A574">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339" w:type="pct"/>
                  <w:noWrap/>
                  <w:vAlign w:val="center"/>
                </w:tcPr>
                <w:p w14:paraId="12D0D846">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1273" w:type="pct"/>
                  <w:noWrap/>
                  <w:vAlign w:val="center"/>
                </w:tcPr>
                <w:p w14:paraId="70DEAF37">
                  <w:pPr>
                    <w:widowControl/>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14:paraId="17FB0B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8" w:hRule="atLeast"/>
                <w:jc w:val="center"/>
              </w:trPr>
              <w:tc>
                <w:tcPr>
                  <w:tcW w:w="224" w:type="pct"/>
                  <w:noWrap/>
                  <w:vAlign w:val="center"/>
                </w:tcPr>
                <w:p w14:paraId="578DF606">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w:t>
                  </w:r>
                </w:p>
              </w:tc>
              <w:tc>
                <w:tcPr>
                  <w:tcW w:w="686" w:type="pct"/>
                  <w:noWrap/>
                  <w:vAlign w:val="center"/>
                </w:tcPr>
                <w:p w14:paraId="580621B5">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风量</w:t>
                  </w:r>
                </w:p>
              </w:tc>
              <w:tc>
                <w:tcPr>
                  <w:tcW w:w="811" w:type="pct"/>
                  <w:noWrap/>
                  <w:vAlign w:val="center"/>
                </w:tcPr>
                <w:p w14:paraId="65B9ED95">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u w:val="none"/>
                      <w:lang w:val="en-US" w:eastAsia="zh-CN"/>
                    </w:rPr>
                    <w:t>8000</w:t>
                  </w:r>
                  <w:r>
                    <w:rPr>
                      <w:rFonts w:hint="default" w:ascii="Times New Roman" w:hAnsi="Times New Roman" w:cs="Times New Roman"/>
                      <w:color w:val="auto"/>
                      <w:sz w:val="18"/>
                      <w:szCs w:val="18"/>
                    </w:rPr>
                    <w:t>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/h</w:t>
                  </w:r>
                </w:p>
              </w:tc>
              <w:tc>
                <w:tcPr>
                  <w:tcW w:w="1664" w:type="pct"/>
                  <w:noWrap/>
                  <w:vAlign w:val="center"/>
                </w:tcPr>
                <w:p w14:paraId="4BB6482A">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339" w:type="pct"/>
                  <w:noWrap/>
                  <w:vAlign w:val="center"/>
                </w:tcPr>
                <w:p w14:paraId="47127361">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1273" w:type="pct"/>
                  <w:noWrap/>
                  <w:vAlign w:val="center"/>
                </w:tcPr>
                <w:p w14:paraId="684588F7">
                  <w:pPr>
                    <w:widowControl/>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14:paraId="531006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224" w:type="pct"/>
                  <w:noWrap/>
                  <w:vAlign w:val="center"/>
                </w:tcPr>
                <w:p w14:paraId="3C1497E2">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w:t>
                  </w:r>
                </w:p>
              </w:tc>
              <w:tc>
                <w:tcPr>
                  <w:tcW w:w="686" w:type="pct"/>
                  <w:noWrap/>
                  <w:vAlign w:val="center"/>
                </w:tcPr>
                <w:p w14:paraId="33F1AE75">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废气温度</w:t>
                  </w:r>
                </w:p>
              </w:tc>
              <w:tc>
                <w:tcPr>
                  <w:tcW w:w="811" w:type="pct"/>
                  <w:noWrap/>
                  <w:vAlign w:val="center"/>
                </w:tcPr>
                <w:p w14:paraId="03912C41">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≤40℃</w:t>
                  </w:r>
                </w:p>
              </w:tc>
              <w:tc>
                <w:tcPr>
                  <w:tcW w:w="1664" w:type="pct"/>
                  <w:noWrap/>
                  <w:vAlign w:val="center"/>
                </w:tcPr>
                <w:p w14:paraId="38110D39">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≤40℃</w:t>
                  </w:r>
                </w:p>
              </w:tc>
              <w:tc>
                <w:tcPr>
                  <w:tcW w:w="339" w:type="pct"/>
                  <w:noWrap/>
                  <w:vAlign w:val="center"/>
                </w:tcPr>
                <w:p w14:paraId="52BE6854">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1273" w:type="pct"/>
                  <w:noWrap/>
                  <w:vAlign w:val="center"/>
                </w:tcPr>
                <w:p w14:paraId="59E88DC9">
                  <w:pPr>
                    <w:widowControl/>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14:paraId="6E2936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224" w:type="pct"/>
                  <w:noWrap/>
                  <w:vAlign w:val="center"/>
                </w:tcPr>
                <w:p w14:paraId="244FD6BB">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4</w:t>
                  </w:r>
                </w:p>
              </w:tc>
              <w:tc>
                <w:tcPr>
                  <w:tcW w:w="686" w:type="pct"/>
                  <w:noWrap/>
                  <w:vAlign w:val="center"/>
                </w:tcPr>
                <w:p w14:paraId="189B43D8">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活性炭安装方式</w:t>
                  </w:r>
                </w:p>
              </w:tc>
              <w:tc>
                <w:tcPr>
                  <w:tcW w:w="811" w:type="pct"/>
                  <w:noWrap/>
                  <w:vAlign w:val="center"/>
                </w:tcPr>
                <w:p w14:paraId="00875F75">
                  <w:pPr>
                    <w:widowControl/>
                    <w:adjustRightInd w:val="0"/>
                    <w:snapToGrid w:val="0"/>
                    <w:jc w:val="center"/>
                    <w:rPr>
                      <w:rFonts w:hint="default" w:ascii="Times New Roman" w:hAnsi="Times New Roman" w:eastAsia="宋体" w:cs="Times New Roman"/>
                      <w:color w:val="auto"/>
                      <w:kern w:val="2"/>
                      <w:sz w:val="18"/>
                      <w:szCs w:val="18"/>
                      <w:u w:val="single"/>
                      <w:lang w:val="en-US" w:eastAsia="zh-CN" w:bidi="ar-SA"/>
                    </w:rPr>
                  </w:pPr>
                  <w:r>
                    <w:rPr>
                      <w:rFonts w:hint="default" w:ascii="Times New Roman" w:hAnsi="Times New Roman" w:cs="Times New Roman"/>
                      <w:color w:val="auto"/>
                      <w:sz w:val="18"/>
                      <w:szCs w:val="18"/>
                      <w:highlight w:val="none"/>
                      <w:u w:val="none"/>
                    </w:rPr>
                    <w:t>上装式，由活性炭、活性炭托盘、箱体组成</w:t>
                  </w:r>
                </w:p>
              </w:tc>
              <w:tc>
                <w:tcPr>
                  <w:tcW w:w="1664" w:type="pct"/>
                  <w:noWrap/>
                  <w:vAlign w:val="center"/>
                </w:tcPr>
                <w:p w14:paraId="3F163E18">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rPr>
                    <w:t>/</w:t>
                  </w:r>
                </w:p>
              </w:tc>
              <w:tc>
                <w:tcPr>
                  <w:tcW w:w="339" w:type="pct"/>
                  <w:noWrap/>
                  <w:vAlign w:val="center"/>
                </w:tcPr>
                <w:p w14:paraId="67833B75">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rPr>
                    <w:t>/</w:t>
                  </w:r>
                </w:p>
              </w:tc>
              <w:tc>
                <w:tcPr>
                  <w:tcW w:w="1273" w:type="pct"/>
                  <w:noWrap/>
                  <w:vAlign w:val="center"/>
                </w:tcPr>
                <w:p w14:paraId="2019F3A1">
                  <w:pPr>
                    <w:widowControl/>
                    <w:adjustRightInd w:val="0"/>
                    <w:snapToGrid w:val="0"/>
                    <w:jc w:val="center"/>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rPr>
                    <w:t>/</w:t>
                  </w:r>
                </w:p>
              </w:tc>
            </w:tr>
            <w:tr w14:paraId="0BAECB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224" w:type="pct"/>
                  <w:noWrap/>
                  <w:vAlign w:val="center"/>
                </w:tcPr>
                <w:p w14:paraId="675EBCF3">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5</w:t>
                  </w:r>
                </w:p>
              </w:tc>
              <w:tc>
                <w:tcPr>
                  <w:tcW w:w="686" w:type="pct"/>
                  <w:noWrap/>
                  <w:vAlign w:val="center"/>
                </w:tcPr>
                <w:p w14:paraId="3B51E845">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炭层规格</w:t>
                  </w:r>
                </w:p>
              </w:tc>
              <w:tc>
                <w:tcPr>
                  <w:tcW w:w="811" w:type="pct"/>
                  <w:noWrap/>
                  <w:vAlign w:val="center"/>
                </w:tcPr>
                <w:p w14:paraId="2308A183">
                  <w:pPr>
                    <w:autoSpaceDE/>
                    <w:autoSpaceDN/>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highlight w:val="none"/>
                      <w:lang w:val="en-US" w:eastAsia="zh-CN" w:bidi="ar-SA"/>
                    </w:rPr>
                    <w:t>2</w:t>
                  </w:r>
                  <w:r>
                    <w:rPr>
                      <w:rFonts w:hint="default" w:ascii="Times New Roman" w:hAnsi="Times New Roman" w:eastAsia="宋体" w:cs="Times New Roman"/>
                      <w:color w:val="auto"/>
                      <w:kern w:val="2"/>
                      <w:sz w:val="18"/>
                      <w:szCs w:val="18"/>
                      <w:highlight w:val="none"/>
                      <w:lang w:val="en-US" w:eastAsia="zh-CN" w:bidi="ar-SA"/>
                    </w:rPr>
                    <w:t>m×</w:t>
                  </w:r>
                  <w:r>
                    <w:rPr>
                      <w:rFonts w:hint="eastAsia" w:cs="Times New Roman"/>
                      <w:color w:val="auto"/>
                      <w:kern w:val="2"/>
                      <w:sz w:val="18"/>
                      <w:szCs w:val="18"/>
                      <w:highlight w:val="none"/>
                      <w:lang w:val="en-US" w:eastAsia="zh-CN" w:bidi="ar-SA"/>
                    </w:rPr>
                    <w:t>2</w:t>
                  </w:r>
                  <w:r>
                    <w:rPr>
                      <w:rFonts w:hint="default" w:ascii="Times New Roman" w:hAnsi="Times New Roman" w:eastAsia="宋体" w:cs="Times New Roman"/>
                      <w:color w:val="auto"/>
                      <w:kern w:val="2"/>
                      <w:sz w:val="18"/>
                      <w:szCs w:val="18"/>
                      <w:highlight w:val="none"/>
                      <w:lang w:val="en-US" w:eastAsia="zh-CN" w:bidi="ar-SA"/>
                    </w:rPr>
                    <w:t>×0.3m</w:t>
                  </w:r>
                </w:p>
              </w:tc>
              <w:tc>
                <w:tcPr>
                  <w:tcW w:w="1664" w:type="pct"/>
                  <w:noWrap/>
                  <w:vAlign w:val="center"/>
                </w:tcPr>
                <w:p w14:paraId="347D3022">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rPr>
                    <w:t>/</w:t>
                  </w:r>
                </w:p>
              </w:tc>
              <w:tc>
                <w:tcPr>
                  <w:tcW w:w="339" w:type="pct"/>
                  <w:noWrap/>
                  <w:vAlign w:val="center"/>
                </w:tcPr>
                <w:p w14:paraId="09825B2D">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rPr>
                    <w:t>/</w:t>
                  </w:r>
                </w:p>
              </w:tc>
              <w:tc>
                <w:tcPr>
                  <w:tcW w:w="1273" w:type="pct"/>
                  <w:noWrap/>
                  <w:vAlign w:val="center"/>
                </w:tcPr>
                <w:p w14:paraId="5ABE1FB7">
                  <w:pPr>
                    <w:widowControl/>
                    <w:adjustRightInd w:val="0"/>
                    <w:snapToGrid w:val="0"/>
                    <w:jc w:val="center"/>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rPr>
                    <w:t>/</w:t>
                  </w:r>
                </w:p>
              </w:tc>
            </w:tr>
            <w:tr w14:paraId="52E7C4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224" w:type="pct"/>
                  <w:noWrap/>
                  <w:vAlign w:val="center"/>
                </w:tcPr>
                <w:p w14:paraId="598E76C9">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6</w:t>
                  </w:r>
                </w:p>
              </w:tc>
              <w:tc>
                <w:tcPr>
                  <w:tcW w:w="686" w:type="pct"/>
                  <w:noWrap/>
                  <w:vAlign w:val="center"/>
                </w:tcPr>
                <w:p w14:paraId="349FD057">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层数</w:t>
                  </w:r>
                </w:p>
              </w:tc>
              <w:tc>
                <w:tcPr>
                  <w:tcW w:w="811" w:type="pct"/>
                  <w:noWrap/>
                  <w:vAlign w:val="center"/>
                </w:tcPr>
                <w:p w14:paraId="4FBFC8E0">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highlight w:val="none"/>
                      <w:lang w:val="en-US" w:eastAsia="zh-CN"/>
                    </w:rPr>
                    <w:t>3</w:t>
                  </w:r>
                  <w:r>
                    <w:rPr>
                      <w:rFonts w:hint="default" w:ascii="Times New Roman" w:hAnsi="Times New Roman" w:cs="Times New Roman"/>
                      <w:color w:val="auto"/>
                      <w:sz w:val="18"/>
                      <w:szCs w:val="18"/>
                      <w:highlight w:val="none"/>
                      <w:lang w:val="en-US"/>
                    </w:rPr>
                    <w:t>层</w:t>
                  </w:r>
                </w:p>
              </w:tc>
              <w:tc>
                <w:tcPr>
                  <w:tcW w:w="1664" w:type="pct"/>
                  <w:noWrap/>
                  <w:vAlign w:val="center"/>
                </w:tcPr>
                <w:p w14:paraId="41DDB8B5">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rPr>
                    <w:t>/</w:t>
                  </w:r>
                </w:p>
              </w:tc>
              <w:tc>
                <w:tcPr>
                  <w:tcW w:w="339" w:type="pct"/>
                  <w:noWrap/>
                  <w:vAlign w:val="center"/>
                </w:tcPr>
                <w:p w14:paraId="4D7019B2">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rPr>
                    <w:t>/</w:t>
                  </w:r>
                </w:p>
              </w:tc>
              <w:tc>
                <w:tcPr>
                  <w:tcW w:w="1273" w:type="pct"/>
                  <w:noWrap/>
                  <w:vAlign w:val="center"/>
                </w:tcPr>
                <w:p w14:paraId="2DC06731">
                  <w:pPr>
                    <w:widowControl/>
                    <w:adjustRightInd w:val="0"/>
                    <w:snapToGrid w:val="0"/>
                    <w:jc w:val="center"/>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rPr>
                    <w:t>/</w:t>
                  </w:r>
                </w:p>
              </w:tc>
            </w:tr>
            <w:tr w14:paraId="0E5EC5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224" w:type="pct"/>
                  <w:noWrap/>
                  <w:vAlign w:val="center"/>
                </w:tcPr>
                <w:p w14:paraId="02B75AEE">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7</w:t>
                  </w:r>
                </w:p>
              </w:tc>
              <w:tc>
                <w:tcPr>
                  <w:tcW w:w="686" w:type="pct"/>
                  <w:noWrap/>
                  <w:vAlign w:val="center"/>
                </w:tcPr>
                <w:p w14:paraId="2324C365">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活性炭类型</w:t>
                  </w:r>
                </w:p>
              </w:tc>
              <w:tc>
                <w:tcPr>
                  <w:tcW w:w="811" w:type="pct"/>
                  <w:noWrap/>
                  <w:vAlign w:val="center"/>
                </w:tcPr>
                <w:p w14:paraId="7616774C">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颗粒活性</w:t>
                  </w:r>
                  <w:r>
                    <w:rPr>
                      <w:rFonts w:hint="default" w:ascii="Times New Roman" w:hAnsi="Times New Roman" w:cs="Times New Roman"/>
                      <w:color w:val="auto"/>
                      <w:sz w:val="18"/>
                      <w:szCs w:val="18"/>
                    </w:rPr>
                    <w:t>炭</w:t>
                  </w:r>
                </w:p>
              </w:tc>
              <w:tc>
                <w:tcPr>
                  <w:tcW w:w="1664" w:type="pct"/>
                  <w:noWrap/>
                  <w:vAlign w:val="center"/>
                </w:tcPr>
                <w:p w14:paraId="5E0EB293">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339" w:type="pct"/>
                  <w:noWrap/>
                  <w:vAlign w:val="center"/>
                </w:tcPr>
                <w:p w14:paraId="0B532980">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1273" w:type="pct"/>
                  <w:noWrap/>
                  <w:vAlign w:val="center"/>
                </w:tcPr>
                <w:p w14:paraId="11F87283">
                  <w:pPr>
                    <w:widowControl/>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14:paraId="18F12C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0" w:hRule="atLeast"/>
                <w:jc w:val="center"/>
              </w:trPr>
              <w:tc>
                <w:tcPr>
                  <w:tcW w:w="224" w:type="pct"/>
                  <w:noWrap/>
                  <w:vAlign w:val="center"/>
                </w:tcPr>
                <w:p w14:paraId="5E61DC25">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8</w:t>
                  </w:r>
                </w:p>
              </w:tc>
              <w:tc>
                <w:tcPr>
                  <w:tcW w:w="686" w:type="pct"/>
                  <w:noWrap/>
                  <w:vAlign w:val="center"/>
                </w:tcPr>
                <w:p w14:paraId="6062EFCF">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比表面积（m</w:t>
                  </w:r>
                  <w:r>
                    <w:rPr>
                      <w:rFonts w:hint="default" w:ascii="Times New Roman" w:hAnsi="Times New Roman" w:cs="Times New Roman"/>
                      <w:color w:val="auto"/>
                      <w:sz w:val="18"/>
                      <w:szCs w:val="18"/>
                      <w:vertAlign w:val="superscript"/>
                    </w:rPr>
                    <w:t>2</w:t>
                  </w:r>
                  <w:r>
                    <w:rPr>
                      <w:rFonts w:hint="default" w:ascii="Times New Roman" w:hAnsi="Times New Roman" w:cs="Times New Roman"/>
                      <w:color w:val="auto"/>
                      <w:sz w:val="18"/>
                      <w:szCs w:val="18"/>
                    </w:rPr>
                    <w:t>/g）</w:t>
                  </w:r>
                </w:p>
              </w:tc>
              <w:tc>
                <w:tcPr>
                  <w:tcW w:w="811" w:type="pct"/>
                  <w:noWrap/>
                  <w:vAlign w:val="center"/>
                </w:tcPr>
                <w:p w14:paraId="3FFA4BBB">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900~1600</w:t>
                  </w:r>
                </w:p>
              </w:tc>
              <w:tc>
                <w:tcPr>
                  <w:tcW w:w="1664" w:type="pct"/>
                  <w:noWrap/>
                  <w:vAlign w:val="center"/>
                </w:tcPr>
                <w:p w14:paraId="4932EA0A">
                  <w:pPr>
                    <w:autoSpaceDE/>
                    <w:autoSpaceDN/>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w:t>
                  </w:r>
                </w:p>
              </w:tc>
              <w:tc>
                <w:tcPr>
                  <w:tcW w:w="339" w:type="pct"/>
                  <w:noWrap/>
                  <w:vAlign w:val="center"/>
                </w:tcPr>
                <w:p w14:paraId="74C874B7">
                  <w:pPr>
                    <w:autoSpaceDE/>
                    <w:autoSpaceDN/>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w:t>
                  </w:r>
                </w:p>
              </w:tc>
              <w:tc>
                <w:tcPr>
                  <w:tcW w:w="1273" w:type="pct"/>
                  <w:noWrap/>
                  <w:vAlign w:val="center"/>
                </w:tcPr>
                <w:p w14:paraId="2ACE87F3">
                  <w:pPr>
                    <w:autoSpaceDE/>
                    <w:autoSpaceDN/>
                    <w:adjustRightInd w:val="0"/>
                    <w:snapToGrid w:val="0"/>
                    <w:jc w:val="center"/>
                    <w:rPr>
                      <w:rFonts w:hint="eastAsia" w:cs="Times New Roman"/>
                      <w:color w:val="auto"/>
                      <w:sz w:val="18"/>
                      <w:szCs w:val="18"/>
                      <w:lang w:val="en-US" w:eastAsia="zh-CN"/>
                    </w:rPr>
                  </w:pPr>
                  <w:r>
                    <w:rPr>
                      <w:rFonts w:hint="default" w:ascii="Times New Roman" w:hAnsi="Times New Roman" w:cs="Times New Roman"/>
                      <w:color w:val="auto"/>
                      <w:sz w:val="18"/>
                      <w:szCs w:val="18"/>
                    </w:rPr>
                    <w:t>/</w:t>
                  </w:r>
                </w:p>
              </w:tc>
            </w:tr>
            <w:tr w14:paraId="40B16E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224" w:type="pct"/>
                  <w:noWrap/>
                  <w:vAlign w:val="center"/>
                </w:tcPr>
                <w:p w14:paraId="6DC4BC48">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9</w:t>
                  </w:r>
                </w:p>
              </w:tc>
              <w:tc>
                <w:tcPr>
                  <w:tcW w:w="686" w:type="pct"/>
                  <w:noWrap/>
                  <w:vAlign w:val="center"/>
                </w:tcPr>
                <w:p w14:paraId="48F66096">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孔体积（cm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/g）</w:t>
                  </w:r>
                </w:p>
              </w:tc>
              <w:tc>
                <w:tcPr>
                  <w:tcW w:w="811" w:type="pct"/>
                  <w:noWrap/>
                  <w:vAlign w:val="center"/>
                </w:tcPr>
                <w:p w14:paraId="54D2B6FA">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0.63</w:t>
                  </w:r>
                </w:p>
              </w:tc>
              <w:tc>
                <w:tcPr>
                  <w:tcW w:w="1664" w:type="pct"/>
                  <w:noWrap/>
                  <w:vAlign w:val="center"/>
                </w:tcPr>
                <w:p w14:paraId="25C5BDF0">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339" w:type="pct"/>
                  <w:noWrap/>
                  <w:vAlign w:val="center"/>
                </w:tcPr>
                <w:p w14:paraId="042C0F32">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1273" w:type="pct"/>
                  <w:noWrap/>
                  <w:vAlign w:val="center"/>
                </w:tcPr>
                <w:p w14:paraId="5A67049F">
                  <w:pPr>
                    <w:widowControl/>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14:paraId="2748F2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5" w:hRule="atLeast"/>
                <w:jc w:val="center"/>
              </w:trPr>
              <w:tc>
                <w:tcPr>
                  <w:tcW w:w="224" w:type="pct"/>
                  <w:noWrap/>
                  <w:vAlign w:val="center"/>
                </w:tcPr>
                <w:p w14:paraId="246A4D09">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10</w:t>
                  </w:r>
                </w:p>
              </w:tc>
              <w:tc>
                <w:tcPr>
                  <w:tcW w:w="686" w:type="pct"/>
                  <w:noWrap/>
                  <w:vAlign w:val="center"/>
                </w:tcPr>
                <w:p w14:paraId="21FFD081">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rPr>
                    <w:t>活性炭密度（g/cm</w:t>
                  </w:r>
                  <w:r>
                    <w:rPr>
                      <w:rFonts w:hint="default" w:ascii="Times New Roman" w:hAnsi="Times New Roman" w:cs="Times New Roman"/>
                      <w:color w:val="auto"/>
                      <w:sz w:val="18"/>
                      <w:szCs w:val="18"/>
                      <w:vertAlign w:val="superscript"/>
                      <w:lang w:val="en-US"/>
                    </w:rPr>
                    <w:t>3</w:t>
                  </w:r>
                  <w:r>
                    <w:rPr>
                      <w:rFonts w:hint="default" w:ascii="Times New Roman" w:hAnsi="Times New Roman" w:cs="Times New Roman"/>
                      <w:color w:val="auto"/>
                      <w:sz w:val="18"/>
                      <w:szCs w:val="18"/>
                      <w:lang w:val="en-US"/>
                    </w:rPr>
                    <w:t>）</w:t>
                  </w:r>
                </w:p>
              </w:tc>
              <w:tc>
                <w:tcPr>
                  <w:tcW w:w="811" w:type="pct"/>
                  <w:noWrap/>
                  <w:vAlign w:val="center"/>
                </w:tcPr>
                <w:p w14:paraId="35BB69BD">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0.</w:t>
                  </w:r>
                  <w:r>
                    <w:rPr>
                      <w:rFonts w:hint="eastAsia" w:cs="Times New Roman"/>
                      <w:color w:val="auto"/>
                      <w:sz w:val="18"/>
                      <w:szCs w:val="18"/>
                      <w:lang w:val="en-US" w:eastAsia="zh-CN"/>
                    </w:rPr>
                    <w:t>5</w:t>
                  </w:r>
                  <w:r>
                    <w:rPr>
                      <w:rFonts w:hint="default" w:ascii="Times New Roman" w:hAnsi="Times New Roman" w:cs="Times New Roman"/>
                      <w:color w:val="auto"/>
                      <w:sz w:val="18"/>
                      <w:szCs w:val="18"/>
                      <w:lang w:val="en-US"/>
                    </w:rPr>
                    <w:t>5</w:t>
                  </w:r>
                </w:p>
              </w:tc>
              <w:tc>
                <w:tcPr>
                  <w:tcW w:w="1664" w:type="pct"/>
                  <w:noWrap/>
                  <w:vAlign w:val="center"/>
                </w:tcPr>
                <w:p w14:paraId="20AB7390">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rPr>
                    <w:t>/</w:t>
                  </w:r>
                </w:p>
              </w:tc>
              <w:tc>
                <w:tcPr>
                  <w:tcW w:w="339" w:type="pct"/>
                  <w:noWrap/>
                  <w:vAlign w:val="center"/>
                </w:tcPr>
                <w:p w14:paraId="0CE4C4F1">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rPr>
                    <w:t>/</w:t>
                  </w:r>
                </w:p>
              </w:tc>
              <w:tc>
                <w:tcPr>
                  <w:tcW w:w="1273" w:type="pct"/>
                  <w:noWrap/>
                  <w:vAlign w:val="center"/>
                </w:tcPr>
                <w:p w14:paraId="17F7FD1A">
                  <w:pPr>
                    <w:widowControl/>
                    <w:adjustRightInd w:val="0"/>
                    <w:snapToGrid w:val="0"/>
                    <w:jc w:val="center"/>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rPr>
                    <w:t>/</w:t>
                  </w:r>
                </w:p>
              </w:tc>
            </w:tr>
            <w:tr w14:paraId="7D3020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224" w:type="pct"/>
                  <w:noWrap/>
                  <w:vAlign w:val="center"/>
                </w:tcPr>
                <w:p w14:paraId="60191079">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11</w:t>
                  </w:r>
                </w:p>
              </w:tc>
              <w:tc>
                <w:tcPr>
                  <w:tcW w:w="686" w:type="pct"/>
                  <w:noWrap/>
                  <w:vAlign w:val="center"/>
                </w:tcPr>
                <w:p w14:paraId="41F68210">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rPr>
                    <w:t>碘值</w:t>
                  </w:r>
                  <w:r>
                    <w:rPr>
                      <w:rFonts w:hint="eastAsia" w:cs="Times New Roman"/>
                      <w:color w:val="auto"/>
                      <w:sz w:val="18"/>
                      <w:szCs w:val="18"/>
                      <w:lang w:val="en-US" w:eastAsia="zh-CN"/>
                    </w:rPr>
                    <w:t>（mg/g）</w:t>
                  </w:r>
                </w:p>
              </w:tc>
              <w:tc>
                <w:tcPr>
                  <w:tcW w:w="811" w:type="pct"/>
                  <w:noWrap/>
                  <w:vAlign w:val="center"/>
                </w:tcPr>
                <w:p w14:paraId="2F912A45">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rPr>
                    <w:t>800</w:t>
                  </w:r>
                </w:p>
              </w:tc>
              <w:tc>
                <w:tcPr>
                  <w:tcW w:w="1664" w:type="pct"/>
                  <w:noWrap/>
                  <w:vAlign w:val="center"/>
                </w:tcPr>
                <w:p w14:paraId="24212E38">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rPr>
                    <w:t>800</w:t>
                  </w:r>
                </w:p>
              </w:tc>
              <w:tc>
                <w:tcPr>
                  <w:tcW w:w="339" w:type="pct"/>
                  <w:noWrap/>
                  <w:vAlign w:val="center"/>
                </w:tcPr>
                <w:p w14:paraId="4F2D95D2">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rPr>
                    <w:t>/</w:t>
                  </w:r>
                </w:p>
              </w:tc>
              <w:tc>
                <w:tcPr>
                  <w:tcW w:w="1273" w:type="pct"/>
                  <w:noWrap/>
                  <w:vAlign w:val="center"/>
                </w:tcPr>
                <w:p w14:paraId="018D21AE">
                  <w:pPr>
                    <w:widowControl/>
                    <w:adjustRightInd w:val="0"/>
                    <w:snapToGrid w:val="0"/>
                    <w:jc w:val="center"/>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rPr>
                    <w:t>≥</w:t>
                  </w:r>
                  <w:r>
                    <w:rPr>
                      <w:rFonts w:hint="default" w:ascii="Times New Roman" w:hAnsi="Times New Roman" w:cs="Times New Roman"/>
                      <w:color w:val="auto"/>
                      <w:sz w:val="18"/>
                      <w:szCs w:val="18"/>
                      <w:lang w:val="en-US"/>
                    </w:rPr>
                    <w:t>800</w:t>
                  </w:r>
                </w:p>
              </w:tc>
            </w:tr>
            <w:tr w14:paraId="1CB396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224" w:type="pct"/>
                  <w:noWrap/>
                  <w:vAlign w:val="center"/>
                </w:tcPr>
                <w:p w14:paraId="0FE50A0A">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12</w:t>
                  </w:r>
                </w:p>
              </w:tc>
              <w:tc>
                <w:tcPr>
                  <w:tcW w:w="686" w:type="pct"/>
                  <w:noWrap/>
                  <w:vAlign w:val="center"/>
                </w:tcPr>
                <w:p w14:paraId="14ABC447">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灰分</w:t>
                  </w:r>
                </w:p>
              </w:tc>
              <w:tc>
                <w:tcPr>
                  <w:tcW w:w="811" w:type="pct"/>
                  <w:noWrap/>
                  <w:vAlign w:val="center"/>
                </w:tcPr>
                <w:p w14:paraId="605DC0F5">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5%-8%</w:t>
                  </w:r>
                </w:p>
              </w:tc>
              <w:tc>
                <w:tcPr>
                  <w:tcW w:w="1664" w:type="pct"/>
                  <w:noWrap/>
                  <w:vAlign w:val="center"/>
                </w:tcPr>
                <w:p w14:paraId="39017A0D">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rPr>
                    <w:t>≤</w:t>
                  </w:r>
                  <w:r>
                    <w:rPr>
                      <w:rFonts w:hint="eastAsia" w:ascii="Times New Roman" w:hAnsi="Times New Roman" w:cs="Times New Roman"/>
                      <w:color w:val="auto"/>
                      <w:sz w:val="18"/>
                      <w:szCs w:val="18"/>
                      <w:lang w:val="en-US" w:eastAsia="zh-CN"/>
                    </w:rPr>
                    <w:t>15%</w:t>
                  </w:r>
                </w:p>
              </w:tc>
              <w:tc>
                <w:tcPr>
                  <w:tcW w:w="339" w:type="pct"/>
                  <w:noWrap/>
                  <w:vAlign w:val="center"/>
                </w:tcPr>
                <w:p w14:paraId="47EB01AC">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w:t>
                  </w:r>
                </w:p>
              </w:tc>
              <w:tc>
                <w:tcPr>
                  <w:tcW w:w="1273" w:type="pct"/>
                  <w:noWrap/>
                  <w:vAlign w:val="center"/>
                </w:tcPr>
                <w:p w14:paraId="29C480B9">
                  <w:pPr>
                    <w:widowControl/>
                    <w:adjustRightInd w:val="0"/>
                    <w:snapToGrid w:val="0"/>
                    <w:jc w:val="center"/>
                    <w:rPr>
                      <w:rFonts w:hint="eastAsia" w:cs="Times New Roman"/>
                      <w:color w:val="auto"/>
                      <w:sz w:val="18"/>
                      <w:szCs w:val="18"/>
                      <w:lang w:val="en-US" w:eastAsia="zh-CN"/>
                    </w:rPr>
                  </w:pPr>
                  <w:r>
                    <w:rPr>
                      <w:rFonts w:hint="default" w:ascii="Times New Roman" w:hAnsi="Times New Roman" w:cs="Times New Roman"/>
                      <w:color w:val="auto"/>
                      <w:sz w:val="18"/>
                      <w:szCs w:val="18"/>
                    </w:rPr>
                    <w:t>/</w:t>
                  </w:r>
                </w:p>
              </w:tc>
            </w:tr>
            <w:tr w14:paraId="4817B8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224" w:type="pct"/>
                  <w:noWrap/>
                  <w:vAlign w:val="center"/>
                </w:tcPr>
                <w:p w14:paraId="2100EC24">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13</w:t>
                  </w:r>
                </w:p>
              </w:tc>
              <w:tc>
                <w:tcPr>
                  <w:tcW w:w="686" w:type="pct"/>
                  <w:noWrap/>
                  <w:vAlign w:val="center"/>
                </w:tcPr>
                <w:p w14:paraId="011E5860">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停留时间（s）</w:t>
                  </w:r>
                </w:p>
              </w:tc>
              <w:tc>
                <w:tcPr>
                  <w:tcW w:w="811" w:type="pct"/>
                  <w:noWrap/>
                  <w:vAlign w:val="center"/>
                </w:tcPr>
                <w:p w14:paraId="663D64D2">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1.61</w:t>
                  </w:r>
                </w:p>
              </w:tc>
              <w:tc>
                <w:tcPr>
                  <w:tcW w:w="1664" w:type="pct"/>
                  <w:noWrap/>
                  <w:vAlign w:val="center"/>
                </w:tcPr>
                <w:p w14:paraId="00680D3A">
                  <w:pPr>
                    <w:autoSpaceDE/>
                    <w:autoSpaceDN/>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w:t>
                  </w:r>
                </w:p>
              </w:tc>
              <w:tc>
                <w:tcPr>
                  <w:tcW w:w="339" w:type="pct"/>
                  <w:noWrap/>
                  <w:vAlign w:val="center"/>
                </w:tcPr>
                <w:p w14:paraId="0314849A">
                  <w:pPr>
                    <w:autoSpaceDE/>
                    <w:autoSpaceDN/>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w:t>
                  </w:r>
                </w:p>
              </w:tc>
              <w:tc>
                <w:tcPr>
                  <w:tcW w:w="1273" w:type="pct"/>
                  <w:noWrap/>
                  <w:vAlign w:val="center"/>
                </w:tcPr>
                <w:p w14:paraId="344F85EE">
                  <w:pPr>
                    <w:autoSpaceDE/>
                    <w:autoSpaceDN/>
                    <w:adjustRightInd w:val="0"/>
                    <w:snapToGrid w:val="0"/>
                    <w:jc w:val="center"/>
                    <w:rPr>
                      <w:rFonts w:hint="eastAsia" w:cs="Times New Roman"/>
                      <w:color w:val="auto"/>
                      <w:sz w:val="18"/>
                      <w:szCs w:val="18"/>
                      <w:lang w:val="en-US" w:eastAsia="zh-CN"/>
                    </w:rPr>
                  </w:pPr>
                  <w:r>
                    <w:rPr>
                      <w:rFonts w:hint="default" w:ascii="Times New Roman" w:hAnsi="Times New Roman" w:cs="Times New Roman"/>
                      <w:color w:val="auto"/>
                      <w:sz w:val="18"/>
                      <w:szCs w:val="18"/>
                    </w:rPr>
                    <w:t>/</w:t>
                  </w:r>
                </w:p>
              </w:tc>
            </w:tr>
            <w:tr w14:paraId="1C98BB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224" w:type="pct"/>
                  <w:noWrap/>
                  <w:vAlign w:val="center"/>
                </w:tcPr>
                <w:p w14:paraId="2794C747">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14</w:t>
                  </w:r>
                </w:p>
              </w:tc>
              <w:tc>
                <w:tcPr>
                  <w:tcW w:w="686" w:type="pct"/>
                  <w:noWrap/>
                  <w:vAlign w:val="center"/>
                </w:tcPr>
                <w:p w14:paraId="1F3A0BF1">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气流速度（m/s）</w:t>
                  </w:r>
                </w:p>
              </w:tc>
              <w:tc>
                <w:tcPr>
                  <w:tcW w:w="811" w:type="pct"/>
                  <w:noWrap/>
                  <w:vAlign w:val="center"/>
                </w:tcPr>
                <w:p w14:paraId="39699EE4">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0.56</w:t>
                  </w:r>
                </w:p>
              </w:tc>
              <w:tc>
                <w:tcPr>
                  <w:tcW w:w="1664" w:type="pct"/>
                  <w:noWrap/>
                  <w:vAlign w:val="center"/>
                </w:tcPr>
                <w:p w14:paraId="1968F84F">
                  <w:pPr>
                    <w:autoSpaceDE/>
                    <w:autoSpaceDN/>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＜0.6</w:t>
                  </w:r>
                </w:p>
              </w:tc>
              <w:tc>
                <w:tcPr>
                  <w:tcW w:w="339" w:type="pct"/>
                  <w:noWrap/>
                  <w:vAlign w:val="center"/>
                </w:tcPr>
                <w:p w14:paraId="55D37263">
                  <w:pPr>
                    <w:autoSpaceDE/>
                    <w:autoSpaceDN/>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rPr>
                    <w:t>≤</w:t>
                  </w:r>
                  <w:r>
                    <w:rPr>
                      <w:rFonts w:hint="eastAsia" w:cs="Times New Roman"/>
                      <w:color w:val="auto"/>
                      <w:sz w:val="18"/>
                      <w:szCs w:val="18"/>
                      <w:lang w:val="en-US" w:eastAsia="zh-CN"/>
                    </w:rPr>
                    <w:t>0.6</w:t>
                  </w:r>
                  <w:r>
                    <w:rPr>
                      <w:rFonts w:hint="default" w:ascii="Times New Roman" w:hAnsi="Times New Roman" w:cs="Times New Roman"/>
                      <w:color w:val="auto"/>
                      <w:sz w:val="18"/>
                      <w:szCs w:val="18"/>
                      <w:lang w:val="en-US"/>
                    </w:rPr>
                    <w:t xml:space="preserve"> </w:t>
                  </w:r>
                </w:p>
              </w:tc>
              <w:tc>
                <w:tcPr>
                  <w:tcW w:w="1273" w:type="pct"/>
                  <w:noWrap/>
                  <w:vAlign w:val="center"/>
                </w:tcPr>
                <w:p w14:paraId="19C5F9B2">
                  <w:pPr>
                    <w:autoSpaceDE/>
                    <w:autoSpaceDN/>
                    <w:adjustRightInd w:val="0"/>
                    <w:snapToGrid w:val="0"/>
                    <w:jc w:val="center"/>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rPr>
                    <w:t>/</w:t>
                  </w:r>
                </w:p>
              </w:tc>
            </w:tr>
            <w:tr w14:paraId="644A25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224" w:type="pct"/>
                  <w:noWrap/>
                  <w:vAlign w:val="center"/>
                </w:tcPr>
                <w:p w14:paraId="1A41F74C">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15</w:t>
                  </w:r>
                </w:p>
              </w:tc>
              <w:tc>
                <w:tcPr>
                  <w:tcW w:w="686" w:type="pct"/>
                  <w:noWrap/>
                  <w:vAlign w:val="center"/>
                </w:tcPr>
                <w:p w14:paraId="618A1D72">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填充量</w:t>
                  </w:r>
                  <w:r>
                    <w:rPr>
                      <w:rFonts w:hint="eastAsia" w:cs="Times New Roman"/>
                      <w:color w:val="auto"/>
                      <w:sz w:val="18"/>
                      <w:szCs w:val="18"/>
                      <w:lang w:eastAsia="zh-CN"/>
                    </w:rPr>
                    <w:t>（</w:t>
                  </w:r>
                  <w:r>
                    <w:rPr>
                      <w:rFonts w:hint="eastAsia" w:cs="Times New Roman"/>
                      <w:color w:val="auto"/>
                      <w:sz w:val="18"/>
                      <w:szCs w:val="18"/>
                      <w:lang w:val="en-US" w:eastAsia="zh-CN"/>
                    </w:rPr>
                    <w:t>t</w:t>
                  </w:r>
                  <w:r>
                    <w:rPr>
                      <w:rFonts w:hint="eastAsia" w:cs="Times New Roman"/>
                      <w:color w:val="auto"/>
                      <w:sz w:val="18"/>
                      <w:szCs w:val="18"/>
                      <w:lang w:eastAsia="zh-CN"/>
                    </w:rPr>
                    <w:t>）</w:t>
                  </w:r>
                </w:p>
              </w:tc>
              <w:tc>
                <w:tcPr>
                  <w:tcW w:w="811" w:type="pct"/>
                  <w:noWrap/>
                  <w:vAlign w:val="center"/>
                </w:tcPr>
                <w:p w14:paraId="21172A00">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3.24‬（单级1.62‬）</w:t>
                  </w:r>
                </w:p>
              </w:tc>
              <w:tc>
                <w:tcPr>
                  <w:tcW w:w="1664" w:type="pct"/>
                  <w:noWrap/>
                  <w:vAlign w:val="center"/>
                </w:tcPr>
                <w:p w14:paraId="590BB983">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rPr>
                    <w:t>≥</w:t>
                  </w:r>
                  <w:r>
                    <w:rPr>
                      <w:rFonts w:hint="eastAsia" w:ascii="Times New Roman" w:hAnsi="Times New Roman" w:cs="Times New Roman"/>
                      <w:color w:val="auto"/>
                      <w:sz w:val="18"/>
                      <w:szCs w:val="18"/>
                      <w:lang w:val="en-US" w:eastAsia="zh-CN"/>
                    </w:rPr>
                    <w:t>1000kg</w:t>
                  </w:r>
                </w:p>
              </w:tc>
              <w:tc>
                <w:tcPr>
                  <w:tcW w:w="339" w:type="pct"/>
                  <w:noWrap/>
                  <w:vAlign w:val="center"/>
                </w:tcPr>
                <w:p w14:paraId="438B5CFE">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1273" w:type="pct"/>
                  <w:noWrap/>
                  <w:vAlign w:val="center"/>
                </w:tcPr>
                <w:p w14:paraId="3BCCCB37">
                  <w:pPr>
                    <w:widowControl/>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14:paraId="1FBDD2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09" w:hRule="atLeast"/>
                <w:jc w:val="center"/>
              </w:trPr>
              <w:tc>
                <w:tcPr>
                  <w:tcW w:w="224" w:type="pct"/>
                  <w:noWrap/>
                  <w:vAlign w:val="center"/>
                </w:tcPr>
                <w:p w14:paraId="64EEB36A">
                  <w:pPr>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16</w:t>
                  </w:r>
                </w:p>
              </w:tc>
              <w:tc>
                <w:tcPr>
                  <w:tcW w:w="686" w:type="pct"/>
                  <w:noWrap/>
                  <w:vAlign w:val="center"/>
                </w:tcPr>
                <w:p w14:paraId="19CAB9C9">
                  <w:pPr>
                    <w:widowControl/>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年更换量（包含吸附的有机废气质量）</w:t>
                  </w:r>
                  <w:r>
                    <w:rPr>
                      <w:rFonts w:hint="eastAsia" w:cs="Times New Roman"/>
                      <w:color w:val="auto"/>
                      <w:sz w:val="18"/>
                      <w:szCs w:val="18"/>
                      <w:lang w:eastAsia="zh-CN"/>
                    </w:rPr>
                    <w:t>（</w:t>
                  </w:r>
                  <w:r>
                    <w:rPr>
                      <w:rFonts w:hint="eastAsia" w:cs="Times New Roman"/>
                      <w:color w:val="auto"/>
                      <w:sz w:val="18"/>
                      <w:szCs w:val="18"/>
                      <w:lang w:val="en-US" w:eastAsia="zh-CN"/>
                    </w:rPr>
                    <w:t>t</w:t>
                  </w:r>
                  <w:r>
                    <w:rPr>
                      <w:rFonts w:hint="eastAsia" w:cs="Times New Roman"/>
                      <w:color w:val="auto"/>
                      <w:sz w:val="18"/>
                      <w:szCs w:val="18"/>
                      <w:lang w:eastAsia="zh-CN"/>
                    </w:rPr>
                    <w:t>）</w:t>
                  </w:r>
                </w:p>
              </w:tc>
              <w:tc>
                <w:tcPr>
                  <w:tcW w:w="811" w:type="pct"/>
                  <w:noWrap/>
                  <w:vAlign w:val="center"/>
                </w:tcPr>
                <w:p w14:paraId="6823A68C">
                  <w:pPr>
                    <w:widowControl/>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kern w:val="2"/>
                      <w:sz w:val="18"/>
                      <w:szCs w:val="18"/>
                      <w:lang w:val="en-US" w:eastAsia="zh-CN" w:bidi="ar-SA"/>
                    </w:rPr>
                    <w:t>31.7856</w:t>
                  </w:r>
                </w:p>
              </w:tc>
              <w:tc>
                <w:tcPr>
                  <w:tcW w:w="1664" w:type="pct"/>
                  <w:noWrap/>
                  <w:vAlign w:val="center"/>
                </w:tcPr>
                <w:p w14:paraId="3C442FAA">
                  <w:pPr>
                    <w:widowControl/>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339" w:type="pct"/>
                  <w:noWrap/>
                  <w:vAlign w:val="center"/>
                </w:tcPr>
                <w:p w14:paraId="0B6A7E45">
                  <w:pPr>
                    <w:widowControl/>
                    <w:adjustRightInd w:val="0"/>
                    <w:snapToGrid w:val="0"/>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273" w:type="pct"/>
                  <w:noWrap/>
                  <w:vAlign w:val="center"/>
                </w:tcPr>
                <w:p w14:paraId="0D83EB09">
                  <w:pPr>
                    <w:widowControl/>
                    <w:adjustRightInd w:val="0"/>
                    <w:snapToGrid w:val="0"/>
                    <w:jc w:val="center"/>
                    <w:rPr>
                      <w:rFonts w:hint="eastAsia"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w:t>
                  </w:r>
                </w:p>
              </w:tc>
            </w:tr>
            <w:tr w14:paraId="2E70DD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6" w:hRule="atLeast"/>
                <w:jc w:val="center"/>
              </w:trPr>
              <w:tc>
                <w:tcPr>
                  <w:tcW w:w="224" w:type="pct"/>
                  <w:noWrap/>
                  <w:vAlign w:val="center"/>
                </w:tcPr>
                <w:p w14:paraId="2CFEA7D8">
                  <w:pPr>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17</w:t>
                  </w:r>
                </w:p>
              </w:tc>
              <w:tc>
                <w:tcPr>
                  <w:tcW w:w="686" w:type="pct"/>
                  <w:noWrap/>
                  <w:vAlign w:val="center"/>
                </w:tcPr>
                <w:p w14:paraId="486CA381">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活性炭风阻力</w:t>
                  </w:r>
                </w:p>
              </w:tc>
              <w:tc>
                <w:tcPr>
                  <w:tcW w:w="811" w:type="pct"/>
                  <w:noWrap/>
                  <w:vAlign w:val="center"/>
                </w:tcPr>
                <w:p w14:paraId="458703DB">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500pa</w:t>
                  </w:r>
                </w:p>
              </w:tc>
              <w:tc>
                <w:tcPr>
                  <w:tcW w:w="1664" w:type="pct"/>
                  <w:noWrap/>
                  <w:vAlign w:val="center"/>
                </w:tcPr>
                <w:p w14:paraId="4DDF4AC2">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339" w:type="pct"/>
                  <w:noWrap/>
                  <w:vAlign w:val="center"/>
                </w:tcPr>
                <w:p w14:paraId="754D41F6">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rPr>
                    <w:t>/</w:t>
                  </w:r>
                </w:p>
              </w:tc>
              <w:tc>
                <w:tcPr>
                  <w:tcW w:w="1273" w:type="pct"/>
                  <w:noWrap/>
                  <w:vAlign w:val="center"/>
                </w:tcPr>
                <w:p w14:paraId="3F0279BA">
                  <w:pPr>
                    <w:widowControl/>
                    <w:adjustRightInd w:val="0"/>
                    <w:snapToGrid w:val="0"/>
                    <w:jc w:val="center"/>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rPr>
                    <w:t>/</w:t>
                  </w:r>
                </w:p>
              </w:tc>
            </w:tr>
            <w:tr w14:paraId="771D49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0" w:hRule="atLeast"/>
                <w:jc w:val="center"/>
              </w:trPr>
              <w:tc>
                <w:tcPr>
                  <w:tcW w:w="224" w:type="pct"/>
                  <w:noWrap/>
                  <w:vAlign w:val="center"/>
                </w:tcPr>
                <w:p w14:paraId="659611A4">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18</w:t>
                  </w:r>
                </w:p>
              </w:tc>
              <w:tc>
                <w:tcPr>
                  <w:tcW w:w="686" w:type="pct"/>
                  <w:noWrap/>
                  <w:vAlign w:val="center"/>
                </w:tcPr>
                <w:p w14:paraId="42A52497">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设计处理效率</w:t>
                  </w:r>
                </w:p>
              </w:tc>
              <w:tc>
                <w:tcPr>
                  <w:tcW w:w="811" w:type="pct"/>
                  <w:noWrap/>
                  <w:vAlign w:val="center"/>
                </w:tcPr>
                <w:p w14:paraId="023CB940">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90%</w:t>
                  </w:r>
                </w:p>
              </w:tc>
              <w:tc>
                <w:tcPr>
                  <w:tcW w:w="1664" w:type="pct"/>
                  <w:noWrap/>
                  <w:vAlign w:val="center"/>
                </w:tcPr>
                <w:p w14:paraId="2A428FDC">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339" w:type="pct"/>
                  <w:noWrap/>
                  <w:vAlign w:val="center"/>
                </w:tcPr>
                <w:p w14:paraId="4EF0245C">
                  <w:pPr>
                    <w:widowControl/>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1273" w:type="pct"/>
                  <w:noWrap/>
                  <w:vAlign w:val="center"/>
                </w:tcPr>
                <w:p w14:paraId="79A5A7B4">
                  <w:pPr>
                    <w:widowControl/>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14:paraId="79537F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0" w:hRule="atLeast"/>
                <w:jc w:val="center"/>
              </w:trPr>
              <w:tc>
                <w:tcPr>
                  <w:tcW w:w="224" w:type="pct"/>
                  <w:noWrap/>
                  <w:vAlign w:val="center"/>
                </w:tcPr>
                <w:p w14:paraId="54D66B0B">
                  <w:pPr>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19</w:t>
                  </w:r>
                </w:p>
              </w:tc>
              <w:tc>
                <w:tcPr>
                  <w:tcW w:w="686" w:type="pct"/>
                  <w:noWrap/>
                  <w:vAlign w:val="center"/>
                </w:tcPr>
                <w:p w14:paraId="68447E15">
                  <w:pPr>
                    <w:widowControl/>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水分含量/%</w:t>
                  </w:r>
                </w:p>
              </w:tc>
              <w:tc>
                <w:tcPr>
                  <w:tcW w:w="811" w:type="pct"/>
                  <w:noWrap/>
                  <w:vAlign w:val="center"/>
                </w:tcPr>
                <w:p w14:paraId="4399BB21">
                  <w:pPr>
                    <w:widowControl/>
                    <w:adjustRightInd w:val="0"/>
                    <w:snapToGrid w:val="0"/>
                    <w:jc w:val="center"/>
                    <w:rPr>
                      <w:rFonts w:hint="eastAsia" w:cs="Times New Roman"/>
                      <w:color w:val="auto"/>
                      <w:sz w:val="18"/>
                      <w:szCs w:val="18"/>
                      <w:lang w:val="en-US" w:eastAsia="zh-CN"/>
                    </w:rPr>
                  </w:pPr>
                  <w:r>
                    <w:rPr>
                      <w:rFonts w:hint="default" w:ascii="Times New Roman" w:hAnsi="Times New Roman" w:cs="Times New Roman"/>
                      <w:color w:val="auto"/>
                      <w:sz w:val="18"/>
                      <w:szCs w:val="18"/>
                      <w:lang w:val="en-US"/>
                    </w:rPr>
                    <w:t>≤</w:t>
                  </w:r>
                  <w:r>
                    <w:rPr>
                      <w:rFonts w:hint="eastAsia" w:cs="Times New Roman"/>
                      <w:color w:val="auto"/>
                      <w:sz w:val="18"/>
                      <w:szCs w:val="18"/>
                      <w:lang w:val="en-US" w:eastAsia="zh-CN"/>
                    </w:rPr>
                    <w:t>10</w:t>
                  </w:r>
                </w:p>
              </w:tc>
              <w:tc>
                <w:tcPr>
                  <w:tcW w:w="1664" w:type="pct"/>
                  <w:noWrap/>
                  <w:vAlign w:val="center"/>
                </w:tcPr>
                <w:p w14:paraId="4D7B5202">
                  <w:pPr>
                    <w:widowControl/>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339" w:type="pct"/>
                  <w:noWrap/>
                  <w:vAlign w:val="center"/>
                </w:tcPr>
                <w:p w14:paraId="42B4206E">
                  <w:pPr>
                    <w:widowControl/>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273" w:type="pct"/>
                  <w:noWrap/>
                  <w:vAlign w:val="center"/>
                </w:tcPr>
                <w:p w14:paraId="02A25AAB">
                  <w:pPr>
                    <w:widowControl/>
                    <w:adjustRightInd w:val="0"/>
                    <w:snapToGrid w:val="0"/>
                    <w:jc w:val="center"/>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rPr>
                    <w:t>≤</w:t>
                  </w:r>
                  <w:r>
                    <w:rPr>
                      <w:rFonts w:hint="eastAsia" w:cs="Times New Roman"/>
                      <w:color w:val="auto"/>
                      <w:sz w:val="18"/>
                      <w:szCs w:val="18"/>
                      <w:lang w:val="en-US" w:eastAsia="zh-CN"/>
                    </w:rPr>
                    <w:t>10</w:t>
                  </w:r>
                </w:p>
              </w:tc>
            </w:tr>
            <w:tr w14:paraId="65E6B9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0" w:hRule="atLeast"/>
                <w:jc w:val="center"/>
              </w:trPr>
              <w:tc>
                <w:tcPr>
                  <w:tcW w:w="224" w:type="pct"/>
                  <w:noWrap/>
                  <w:vAlign w:val="center"/>
                </w:tcPr>
                <w:p w14:paraId="0930C1B2">
                  <w:pPr>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20</w:t>
                  </w:r>
                </w:p>
              </w:tc>
              <w:tc>
                <w:tcPr>
                  <w:tcW w:w="686" w:type="pct"/>
                  <w:noWrap/>
                  <w:vAlign w:val="center"/>
                </w:tcPr>
                <w:p w14:paraId="39C42CDB">
                  <w:pPr>
                    <w:widowControl/>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耐磨强度/%</w:t>
                  </w:r>
                </w:p>
              </w:tc>
              <w:tc>
                <w:tcPr>
                  <w:tcW w:w="811" w:type="pct"/>
                  <w:noWrap/>
                  <w:vAlign w:val="center"/>
                </w:tcPr>
                <w:p w14:paraId="4896DCCB">
                  <w:pPr>
                    <w:widowControl/>
                    <w:adjustRightInd w:val="0"/>
                    <w:snapToGrid w:val="0"/>
                    <w:jc w:val="center"/>
                    <w:rPr>
                      <w:rFonts w:hint="eastAsia" w:cs="Times New Roman"/>
                      <w:color w:val="auto"/>
                      <w:sz w:val="18"/>
                      <w:szCs w:val="18"/>
                      <w:lang w:val="en-US" w:eastAsia="zh-CN"/>
                    </w:rPr>
                  </w:pPr>
                  <w:r>
                    <w:rPr>
                      <w:rFonts w:hint="default" w:ascii="Times New Roman" w:hAnsi="Times New Roman" w:cs="Times New Roman"/>
                      <w:color w:val="auto"/>
                      <w:sz w:val="18"/>
                      <w:szCs w:val="18"/>
                    </w:rPr>
                    <w:t>≥</w:t>
                  </w:r>
                  <w:r>
                    <w:rPr>
                      <w:rFonts w:hint="eastAsia" w:cs="Times New Roman"/>
                      <w:color w:val="auto"/>
                      <w:sz w:val="18"/>
                      <w:szCs w:val="18"/>
                      <w:lang w:val="en-US" w:eastAsia="zh-CN"/>
                    </w:rPr>
                    <w:t>90</w:t>
                  </w:r>
                </w:p>
              </w:tc>
              <w:tc>
                <w:tcPr>
                  <w:tcW w:w="1664" w:type="pct"/>
                  <w:noWrap/>
                  <w:vAlign w:val="center"/>
                </w:tcPr>
                <w:p w14:paraId="294689D7">
                  <w:pPr>
                    <w:widowControl/>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339" w:type="pct"/>
                  <w:noWrap/>
                  <w:vAlign w:val="center"/>
                </w:tcPr>
                <w:p w14:paraId="16BB93A8">
                  <w:pPr>
                    <w:widowControl/>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273" w:type="pct"/>
                  <w:noWrap/>
                  <w:vAlign w:val="center"/>
                </w:tcPr>
                <w:p w14:paraId="00E9D8D8">
                  <w:pPr>
                    <w:widowControl/>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w:t>
                  </w:r>
                  <w:r>
                    <w:rPr>
                      <w:rFonts w:hint="eastAsia" w:cs="Times New Roman"/>
                      <w:color w:val="auto"/>
                      <w:sz w:val="18"/>
                      <w:szCs w:val="18"/>
                      <w:lang w:val="en-US" w:eastAsia="zh-CN"/>
                    </w:rPr>
                    <w:t>90</w:t>
                  </w:r>
                </w:p>
              </w:tc>
            </w:tr>
            <w:tr w14:paraId="58B33F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0" w:hRule="atLeast"/>
                <w:jc w:val="center"/>
              </w:trPr>
              <w:tc>
                <w:tcPr>
                  <w:tcW w:w="224" w:type="pct"/>
                  <w:noWrap/>
                  <w:vAlign w:val="center"/>
                </w:tcPr>
                <w:p w14:paraId="3B9BB9A3">
                  <w:pPr>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21</w:t>
                  </w:r>
                </w:p>
              </w:tc>
              <w:tc>
                <w:tcPr>
                  <w:tcW w:w="686" w:type="pct"/>
                  <w:noWrap/>
                  <w:vAlign w:val="center"/>
                </w:tcPr>
                <w:p w14:paraId="7F72F94B">
                  <w:pPr>
                    <w:widowControl/>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着火点/℃</w:t>
                  </w:r>
                </w:p>
              </w:tc>
              <w:tc>
                <w:tcPr>
                  <w:tcW w:w="811" w:type="pct"/>
                  <w:noWrap/>
                  <w:vAlign w:val="center"/>
                </w:tcPr>
                <w:p w14:paraId="71D68E4B">
                  <w:pPr>
                    <w:widowControl/>
                    <w:adjustRightInd w:val="0"/>
                    <w:snapToGrid w:val="0"/>
                    <w:jc w:val="center"/>
                    <w:rPr>
                      <w:rFonts w:hint="eastAsia" w:cs="Times New Roman"/>
                      <w:color w:val="auto"/>
                      <w:sz w:val="18"/>
                      <w:szCs w:val="18"/>
                      <w:lang w:val="en-US" w:eastAsia="zh-CN"/>
                    </w:rPr>
                  </w:pPr>
                  <w:r>
                    <w:rPr>
                      <w:rFonts w:hint="default" w:ascii="Times New Roman" w:hAnsi="Times New Roman" w:cs="Times New Roman"/>
                      <w:color w:val="auto"/>
                      <w:sz w:val="18"/>
                      <w:szCs w:val="18"/>
                    </w:rPr>
                    <w:t>≥</w:t>
                  </w:r>
                  <w:r>
                    <w:rPr>
                      <w:rFonts w:hint="eastAsia" w:cs="Times New Roman"/>
                      <w:color w:val="auto"/>
                      <w:sz w:val="18"/>
                      <w:szCs w:val="18"/>
                      <w:lang w:val="en-US" w:eastAsia="zh-CN"/>
                    </w:rPr>
                    <w:t>350</w:t>
                  </w:r>
                </w:p>
              </w:tc>
              <w:tc>
                <w:tcPr>
                  <w:tcW w:w="1664" w:type="pct"/>
                  <w:noWrap/>
                  <w:vAlign w:val="center"/>
                </w:tcPr>
                <w:p w14:paraId="59DD2A26">
                  <w:pPr>
                    <w:widowControl/>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339" w:type="pct"/>
                  <w:noWrap/>
                  <w:vAlign w:val="center"/>
                </w:tcPr>
                <w:p w14:paraId="2D2A834F">
                  <w:pPr>
                    <w:widowControl/>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273" w:type="pct"/>
                  <w:noWrap/>
                  <w:vAlign w:val="center"/>
                </w:tcPr>
                <w:p w14:paraId="2C3AB09D">
                  <w:pPr>
                    <w:widowControl/>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w:t>
                  </w:r>
                  <w:r>
                    <w:rPr>
                      <w:rFonts w:hint="eastAsia" w:cs="Times New Roman"/>
                      <w:color w:val="auto"/>
                      <w:sz w:val="18"/>
                      <w:szCs w:val="18"/>
                      <w:lang w:val="en-US" w:eastAsia="zh-CN"/>
                    </w:rPr>
                    <w:t>350</w:t>
                  </w:r>
                </w:p>
              </w:tc>
            </w:tr>
            <w:tr w14:paraId="146EF3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0" w:hRule="atLeast"/>
                <w:jc w:val="center"/>
              </w:trPr>
              <w:tc>
                <w:tcPr>
                  <w:tcW w:w="224" w:type="pct"/>
                  <w:noWrap/>
                  <w:vAlign w:val="center"/>
                </w:tcPr>
                <w:p w14:paraId="4D8AB4E7">
                  <w:pPr>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22</w:t>
                  </w:r>
                </w:p>
              </w:tc>
              <w:tc>
                <w:tcPr>
                  <w:tcW w:w="686" w:type="pct"/>
                  <w:noWrap/>
                  <w:vAlign w:val="center"/>
                </w:tcPr>
                <w:p w14:paraId="46EA6035">
                  <w:pPr>
                    <w:widowControl/>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四氯化碳吸附率</w:t>
                  </w:r>
                </w:p>
              </w:tc>
              <w:tc>
                <w:tcPr>
                  <w:tcW w:w="811" w:type="pct"/>
                  <w:noWrap/>
                  <w:vAlign w:val="center"/>
                </w:tcPr>
                <w:p w14:paraId="2FAC3B8F">
                  <w:pPr>
                    <w:widowControl/>
                    <w:adjustRightInd w:val="0"/>
                    <w:snapToGrid w:val="0"/>
                    <w:jc w:val="center"/>
                    <w:rPr>
                      <w:rFonts w:hint="eastAsia" w:cs="Times New Roman"/>
                      <w:color w:val="auto"/>
                      <w:sz w:val="18"/>
                      <w:szCs w:val="18"/>
                      <w:lang w:val="en-US" w:eastAsia="zh-CN"/>
                    </w:rPr>
                  </w:pPr>
                  <w:r>
                    <w:rPr>
                      <w:rFonts w:hint="default" w:ascii="Times New Roman" w:hAnsi="Times New Roman" w:cs="Times New Roman"/>
                      <w:color w:val="auto"/>
                      <w:sz w:val="18"/>
                      <w:szCs w:val="18"/>
                    </w:rPr>
                    <w:t>≥</w:t>
                  </w:r>
                  <w:r>
                    <w:rPr>
                      <w:rFonts w:hint="eastAsia" w:cs="Times New Roman"/>
                      <w:color w:val="auto"/>
                      <w:sz w:val="18"/>
                      <w:szCs w:val="18"/>
                      <w:lang w:val="en-US" w:eastAsia="zh-CN"/>
                    </w:rPr>
                    <w:t>40</w:t>
                  </w:r>
                </w:p>
              </w:tc>
              <w:tc>
                <w:tcPr>
                  <w:tcW w:w="1664" w:type="pct"/>
                  <w:noWrap/>
                  <w:vAlign w:val="center"/>
                </w:tcPr>
                <w:p w14:paraId="1052C248">
                  <w:pPr>
                    <w:widowControl/>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339" w:type="pct"/>
                  <w:noWrap/>
                  <w:vAlign w:val="center"/>
                </w:tcPr>
                <w:p w14:paraId="1D4F27C8">
                  <w:pPr>
                    <w:widowControl/>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1273" w:type="pct"/>
                  <w:noWrap/>
                  <w:vAlign w:val="center"/>
                </w:tcPr>
                <w:p w14:paraId="6C91C1AB">
                  <w:pPr>
                    <w:widowControl/>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w:t>
                  </w:r>
                  <w:r>
                    <w:rPr>
                      <w:rFonts w:hint="eastAsia" w:cs="Times New Roman"/>
                      <w:color w:val="auto"/>
                      <w:sz w:val="18"/>
                      <w:szCs w:val="18"/>
                      <w:lang w:val="en-US" w:eastAsia="zh-CN"/>
                    </w:rPr>
                    <w:t>40</w:t>
                  </w:r>
                </w:p>
              </w:tc>
            </w:tr>
          </w:tbl>
          <w:p w14:paraId="7592CD9B">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eastAsia="宋体" w:cs="宋体"/>
                <w:b/>
                <w:bCs/>
                <w:color w:val="auto"/>
                <w:spacing w:val="0"/>
                <w:w w:val="100"/>
                <w:sz w:val="21"/>
                <w:lang w:val="en-US" w:eastAsia="zh-CN"/>
              </w:rPr>
            </w:pPr>
            <w:r>
              <w:rPr>
                <w:rFonts w:hint="eastAsia" w:cs="宋体"/>
                <w:b/>
                <w:bCs/>
                <w:color w:val="auto"/>
                <w:spacing w:val="0"/>
                <w:w w:val="100"/>
                <w:sz w:val="21"/>
                <w:lang w:val="en-US" w:eastAsia="zh-CN"/>
              </w:rPr>
              <w:t>涂装</w:t>
            </w:r>
            <w:r>
              <w:rPr>
                <w:rFonts w:hint="eastAsia" w:ascii="Times New Roman" w:hAnsi="Times New Roman" w:eastAsia="宋体" w:cs="宋体"/>
                <w:b/>
                <w:bCs/>
                <w:color w:val="auto"/>
                <w:spacing w:val="0"/>
                <w:w w:val="100"/>
                <w:sz w:val="21"/>
                <w:lang w:val="en-US" w:eastAsia="zh-CN"/>
              </w:rPr>
              <w:t>废气活性炭参数计算：</w:t>
            </w:r>
          </w:p>
          <w:p w14:paraId="5317E11E">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b/>
                <w:bCs/>
                <w:color w:val="auto"/>
                <w:lang w:val="en-US" w:eastAsia="zh-CN"/>
              </w:rPr>
            </w:pPr>
            <w:r>
              <w:rPr>
                <w:rFonts w:hint="default"/>
                <w:b/>
                <w:bCs/>
                <w:color w:val="auto"/>
                <w:lang w:val="en-US" w:eastAsia="zh-CN"/>
              </w:rPr>
              <w:t>气流速度计算：</w:t>
            </w:r>
          </w:p>
          <w:p w14:paraId="616E645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olor w:val="auto"/>
                <w:u w:val="none"/>
                <w:lang w:val="en-US" w:eastAsia="zh-CN"/>
              </w:rPr>
            </w:pPr>
            <w:r>
              <w:rPr>
                <w:rFonts w:hint="default"/>
                <w:color w:val="auto"/>
                <w:u w:val="none"/>
                <w:lang w:val="en-US" w:eastAsia="zh-CN"/>
              </w:rPr>
              <w:t>气流速度=风量/炭层横截面积=</w:t>
            </w:r>
            <w:r>
              <w:rPr>
                <w:rFonts w:hint="default" w:ascii="Times New Roman" w:hAnsi="Times New Roman" w:cs="Times New Roman"/>
                <w:color w:val="auto"/>
                <w:u w:val="none"/>
                <w:lang w:val="en-US" w:eastAsia="zh-CN"/>
              </w:rPr>
              <w:t>（</w:t>
            </w:r>
            <w:r>
              <w:rPr>
                <w:rFonts w:hint="eastAsia" w:cs="Times New Roman"/>
                <w:color w:val="auto"/>
                <w:u w:val="none"/>
                <w:lang w:val="en-US" w:eastAsia="zh-CN"/>
              </w:rPr>
              <w:t>8000</w:t>
            </w:r>
            <w:r>
              <w:rPr>
                <w:rFonts w:hint="default" w:ascii="Times New Roman" w:hAnsi="Times New Roman" w:cs="Times New Roman"/>
                <w:color w:val="auto"/>
                <w:u w:val="none"/>
                <w:lang w:val="en-US" w:eastAsia="zh-CN"/>
              </w:rPr>
              <w:t>/3600）</w:t>
            </w:r>
            <w:r>
              <w:rPr>
                <w:rFonts w:hint="eastAsia" w:ascii="Times New Roman" w:hAnsi="Times New Roman" w:cs="Times New Roman"/>
                <w:color w:val="auto"/>
                <w:u w:val="none"/>
                <w:lang w:val="en-US" w:eastAsia="zh-CN"/>
              </w:rPr>
              <w:t>÷（</w:t>
            </w:r>
            <w:r>
              <w:rPr>
                <w:rFonts w:hint="eastAsia" w:cs="Times New Roman"/>
                <w:color w:val="auto"/>
                <w:u w:val="none"/>
                <w:lang w:val="en-US" w:eastAsia="zh-CN"/>
              </w:rPr>
              <w:t>2</w:t>
            </w:r>
            <w:r>
              <w:rPr>
                <w:rFonts w:hint="default" w:ascii="Times New Roman" w:hAnsi="Times New Roman" w:cs="Times New Roman"/>
                <w:color w:val="auto"/>
                <w:u w:val="none"/>
                <w:lang w:val="en-US" w:eastAsia="zh-CN"/>
              </w:rPr>
              <w:t>×</w:t>
            </w:r>
            <w:r>
              <w:rPr>
                <w:rFonts w:hint="eastAsia" w:cs="Times New Roman"/>
                <w:color w:val="auto"/>
                <w:u w:val="none"/>
                <w:lang w:val="en-US" w:eastAsia="zh-CN"/>
              </w:rPr>
              <w:t>2</w:t>
            </w:r>
            <w:r>
              <w:rPr>
                <w:rFonts w:hint="eastAsia" w:ascii="Times New Roman" w:hAnsi="Times New Roman" w:cs="Times New Roman"/>
                <w:color w:val="auto"/>
                <w:u w:val="none"/>
                <w:lang w:val="en-US" w:eastAsia="zh-CN"/>
              </w:rPr>
              <w:t>）</w:t>
            </w:r>
            <w:r>
              <w:rPr>
                <w:rFonts w:hint="default" w:ascii="Times New Roman" w:hAnsi="Times New Roman" w:cs="Times New Roman"/>
                <w:color w:val="auto"/>
                <w:u w:val="none"/>
                <w:lang w:val="en-US" w:eastAsia="zh-CN"/>
              </w:rPr>
              <w:t>=</w:t>
            </w:r>
            <w:r>
              <w:rPr>
                <w:rFonts w:hint="eastAsia" w:cs="Times New Roman"/>
                <w:color w:val="auto"/>
                <w:u w:val="none"/>
                <w:lang w:val="en-US" w:eastAsia="zh-CN"/>
              </w:rPr>
              <w:t>0.56</w:t>
            </w:r>
            <w:r>
              <w:rPr>
                <w:rFonts w:hint="default" w:ascii="Times New Roman" w:hAnsi="Times New Roman" w:cs="Times New Roman"/>
                <w:color w:val="auto"/>
                <w:u w:val="none"/>
                <w:lang w:val="en-US" w:eastAsia="zh-CN"/>
              </w:rPr>
              <w:t>m/s</w:t>
            </w:r>
          </w:p>
          <w:p w14:paraId="1652BBCC">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b/>
                <w:bCs/>
                <w:color w:val="auto"/>
                <w:u w:val="none"/>
                <w:lang w:val="en-US" w:eastAsia="zh-CN"/>
              </w:rPr>
            </w:pPr>
            <w:r>
              <w:rPr>
                <w:rFonts w:hint="default"/>
                <w:b/>
                <w:bCs/>
                <w:color w:val="auto"/>
                <w:u w:val="none"/>
                <w:lang w:val="en-US" w:eastAsia="zh-CN"/>
              </w:rPr>
              <w:t>停留时间计算：</w:t>
            </w:r>
          </w:p>
          <w:p w14:paraId="47183F4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olor w:val="auto"/>
                <w:u w:val="none"/>
                <w:lang w:val="en-US" w:eastAsia="zh-CN"/>
              </w:rPr>
            </w:pPr>
            <w:r>
              <w:rPr>
                <w:rFonts w:hint="default"/>
                <w:color w:val="auto"/>
                <w:u w:val="none"/>
                <w:lang w:val="en-US" w:eastAsia="zh-CN"/>
              </w:rPr>
              <w:t>活性炭吸附停留时间=炭层厚度/（</w:t>
            </w:r>
            <w:r>
              <w:rPr>
                <w:rFonts w:hint="eastAsia"/>
                <w:color w:val="auto"/>
                <w:u w:val="none"/>
                <w:lang w:val="en-US" w:eastAsia="zh-CN"/>
              </w:rPr>
              <w:t>气流速度</w:t>
            </w:r>
            <w:r>
              <w:rPr>
                <w:rFonts w:hint="default"/>
                <w:color w:val="auto"/>
                <w:u w:val="none"/>
                <w:lang w:val="en-US" w:eastAsia="zh-CN"/>
              </w:rPr>
              <w:t>）=</w:t>
            </w:r>
            <w:r>
              <w:rPr>
                <w:rFonts w:hint="eastAsia" w:ascii="Times New Roman" w:hAnsi="Times New Roman" w:cs="Times New Roman"/>
                <w:color w:val="auto"/>
                <w:u w:val="none"/>
                <w:lang w:val="en-US" w:eastAsia="zh-CN"/>
              </w:rPr>
              <w:t>（</w:t>
            </w:r>
            <w:r>
              <w:rPr>
                <w:rFonts w:hint="eastAsia" w:cs="Times New Roman"/>
                <w:color w:val="auto"/>
                <w:u w:val="none"/>
                <w:lang w:val="en-US" w:eastAsia="zh-CN"/>
              </w:rPr>
              <w:t>0.3</w:t>
            </w:r>
            <w:r>
              <w:rPr>
                <w:rFonts w:hint="default" w:ascii="Times New Roman" w:hAnsi="Times New Roman" w:cs="Times New Roman"/>
                <w:color w:val="auto"/>
                <w:u w:val="none"/>
                <w:lang w:val="en-US" w:eastAsia="zh-CN"/>
              </w:rPr>
              <w:t>×</w:t>
            </w:r>
            <w:r>
              <w:rPr>
                <w:rFonts w:hint="eastAsia" w:cs="Times New Roman"/>
                <w:color w:val="auto"/>
                <w:u w:val="none"/>
                <w:lang w:val="en-US" w:eastAsia="zh-CN"/>
              </w:rPr>
              <w:t>3</w:t>
            </w:r>
            <w:r>
              <w:rPr>
                <w:rFonts w:hint="eastAsia" w:ascii="Times New Roman" w:hAnsi="Times New Roman" w:cs="Times New Roman"/>
                <w:color w:val="auto"/>
                <w:u w:val="none"/>
                <w:lang w:val="en-US" w:eastAsia="zh-CN"/>
              </w:rPr>
              <w:t>）</w:t>
            </w:r>
            <w:r>
              <w:rPr>
                <w:rFonts w:hint="eastAsia"/>
                <w:color w:val="auto"/>
                <w:u w:val="none"/>
                <w:lang w:val="en-US" w:eastAsia="zh-CN"/>
              </w:rPr>
              <w:t>/0.56</w:t>
            </w:r>
            <w:r>
              <w:rPr>
                <w:rFonts w:hint="default"/>
                <w:color w:val="auto"/>
                <w:u w:val="none"/>
                <w:lang w:val="en-US" w:eastAsia="zh-CN"/>
              </w:rPr>
              <w:t>=</w:t>
            </w:r>
            <w:r>
              <w:rPr>
                <w:rFonts w:hint="eastAsia"/>
                <w:color w:val="auto"/>
                <w:u w:val="none"/>
                <w:lang w:val="en-US" w:eastAsia="zh-CN"/>
              </w:rPr>
              <w:t>1.61</w:t>
            </w:r>
            <w:r>
              <w:rPr>
                <w:rFonts w:hint="default"/>
                <w:color w:val="auto"/>
                <w:u w:val="none"/>
                <w:lang w:val="en-US" w:eastAsia="zh-CN"/>
              </w:rPr>
              <w:t>s</w:t>
            </w:r>
          </w:p>
          <w:p w14:paraId="06800C46">
            <w:pPr>
              <w:pStyle w:val="61"/>
              <w:keepNext w:val="0"/>
              <w:keepLines w:val="0"/>
              <w:pageBreakBefore w:val="0"/>
              <w:widowControl/>
              <w:kinsoku/>
              <w:wordWrap/>
              <w:overflowPunct/>
              <w:topLinePunct w:val="0"/>
              <w:autoSpaceDE/>
              <w:autoSpaceDN/>
              <w:bidi w:val="0"/>
              <w:adjustRightInd/>
              <w:snapToGrid/>
              <w:spacing w:before="0" w:beforeAutospacing="0" w:after="0" w:afterAutospacing="0"/>
              <w:ind w:firstLine="422" w:firstLineChars="200"/>
              <w:textAlignment w:val="auto"/>
              <w:rPr>
                <w:rFonts w:ascii="Times New Roman" w:hAnsi="Times New Roman"/>
                <w:b/>
                <w:bCs/>
                <w:smallCaps w:val="0"/>
                <w:color w:val="auto"/>
                <w:sz w:val="21"/>
                <w:szCs w:val="21"/>
                <w:u w:val="none"/>
                <w:lang w:bidi="zh-CN"/>
              </w:rPr>
            </w:pPr>
            <w:r>
              <w:rPr>
                <w:rFonts w:hint="eastAsia" w:ascii="Times New Roman" w:hAnsi="Times New Roman"/>
                <w:b/>
                <w:bCs/>
                <w:smallCaps w:val="0"/>
                <w:color w:val="auto"/>
                <w:sz w:val="21"/>
                <w:szCs w:val="21"/>
                <w:u w:val="none"/>
                <w:lang w:bidi="zh-CN"/>
              </w:rPr>
              <w:t>活性炭填充量计算：</w:t>
            </w:r>
          </w:p>
          <w:p w14:paraId="4A82326D">
            <w:pPr>
              <w:pStyle w:val="61"/>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textAlignment w:val="auto"/>
              <w:rPr>
                <w:rFonts w:ascii="Times New Roman" w:hAnsi="Times New Roman"/>
                <w:bCs/>
                <w:smallCaps w:val="0"/>
                <w:color w:val="auto"/>
                <w:sz w:val="21"/>
                <w:szCs w:val="21"/>
                <w:u w:val="none"/>
                <w:lang w:bidi="zh-CN"/>
              </w:rPr>
            </w:pPr>
            <w:r>
              <w:rPr>
                <w:rFonts w:hint="eastAsia" w:ascii="Times New Roman" w:hAnsi="Times New Roman"/>
                <w:bCs/>
                <w:smallCaps w:val="0"/>
                <w:color w:val="auto"/>
                <w:sz w:val="21"/>
                <w:szCs w:val="21"/>
                <w:u w:val="none"/>
                <w:lang w:bidi="zh-CN"/>
              </w:rPr>
              <w:t>单级</w:t>
            </w:r>
            <w:r>
              <w:rPr>
                <w:rFonts w:ascii="Times New Roman" w:hAnsi="Times New Roman"/>
                <w:bCs/>
                <w:smallCaps w:val="0"/>
                <w:color w:val="auto"/>
                <w:sz w:val="21"/>
                <w:szCs w:val="21"/>
                <w:u w:val="none"/>
                <w:lang w:bidi="zh-CN"/>
              </w:rPr>
              <w:t>活性炭吸附装置其</w:t>
            </w:r>
            <w:r>
              <w:rPr>
                <w:rFonts w:hint="eastAsia" w:ascii="Times New Roman" w:hAnsi="Times New Roman"/>
                <w:bCs/>
                <w:smallCaps w:val="0"/>
                <w:color w:val="auto"/>
                <w:sz w:val="21"/>
                <w:szCs w:val="21"/>
                <w:u w:val="none"/>
                <w:lang w:bidi="zh-CN"/>
              </w:rPr>
              <w:t>炭层</w:t>
            </w:r>
            <w:r>
              <w:rPr>
                <w:rFonts w:ascii="Times New Roman" w:hAnsi="Times New Roman"/>
                <w:bCs/>
                <w:smallCaps w:val="0"/>
                <w:color w:val="auto"/>
                <w:sz w:val="21"/>
                <w:szCs w:val="21"/>
                <w:u w:val="none"/>
                <w:lang w:bidi="zh-CN"/>
              </w:rPr>
              <w:t>规格为长度×宽度×厚度</w:t>
            </w:r>
            <w:r>
              <w:rPr>
                <w:rFonts w:hint="eastAsia" w:ascii="Times New Roman" w:hAnsi="Times New Roman"/>
                <w:bCs/>
                <w:smallCaps w:val="0"/>
                <w:color w:val="auto"/>
                <w:sz w:val="21"/>
                <w:szCs w:val="21"/>
                <w:u w:val="none"/>
                <w:lang w:bidi="zh-CN"/>
              </w:rPr>
              <w:t>=</w:t>
            </w:r>
            <w:r>
              <w:rPr>
                <w:rFonts w:hint="eastAsia" w:ascii="Times New Roman" w:hAnsi="Times New Roman"/>
                <w:bCs/>
                <w:smallCaps w:val="0"/>
                <w:color w:val="auto"/>
                <w:sz w:val="21"/>
                <w:szCs w:val="21"/>
                <w:highlight w:val="none"/>
                <w:u w:val="none"/>
                <w:lang w:val="en-US" w:bidi="zh-CN"/>
              </w:rPr>
              <w:t>2</w:t>
            </w:r>
            <w:r>
              <w:rPr>
                <w:rFonts w:ascii="Times New Roman" w:hAnsi="Times New Roman"/>
                <w:bCs/>
                <w:smallCaps w:val="0"/>
                <w:color w:val="auto"/>
                <w:sz w:val="21"/>
                <w:szCs w:val="21"/>
                <w:highlight w:val="none"/>
                <w:u w:val="none"/>
                <w:lang w:bidi="zh-CN"/>
              </w:rPr>
              <w:t>m×</w:t>
            </w:r>
            <w:r>
              <w:rPr>
                <w:rFonts w:hint="eastAsia" w:ascii="Times New Roman" w:hAnsi="Times New Roman"/>
                <w:bCs/>
                <w:smallCaps w:val="0"/>
                <w:color w:val="auto"/>
                <w:sz w:val="21"/>
                <w:szCs w:val="21"/>
                <w:highlight w:val="none"/>
                <w:u w:val="none"/>
                <w:lang w:val="en-US" w:bidi="zh-CN"/>
              </w:rPr>
              <w:t>2m</w:t>
            </w:r>
            <w:r>
              <w:rPr>
                <w:rFonts w:ascii="Times New Roman" w:hAnsi="Times New Roman"/>
                <w:bCs/>
                <w:smallCaps w:val="0"/>
                <w:color w:val="auto"/>
                <w:sz w:val="21"/>
                <w:szCs w:val="21"/>
                <w:highlight w:val="none"/>
                <w:u w:val="none"/>
                <w:lang w:bidi="zh-CN"/>
              </w:rPr>
              <w:t>×</w:t>
            </w:r>
            <w:r>
              <w:rPr>
                <w:rFonts w:hint="eastAsia" w:ascii="Times New Roman" w:hAnsi="Times New Roman"/>
                <w:bCs/>
                <w:smallCaps w:val="0"/>
                <w:color w:val="auto"/>
                <w:sz w:val="21"/>
                <w:szCs w:val="21"/>
                <w:highlight w:val="none"/>
                <w:u w:val="none"/>
                <w:lang w:val="en-US" w:bidi="zh-CN"/>
              </w:rPr>
              <w:t>0.3</w:t>
            </w:r>
            <w:r>
              <w:rPr>
                <w:rFonts w:ascii="Times New Roman" w:hAnsi="Times New Roman"/>
                <w:bCs/>
                <w:smallCaps w:val="0"/>
                <w:color w:val="auto"/>
                <w:sz w:val="21"/>
                <w:szCs w:val="21"/>
                <w:u w:val="none"/>
                <w:lang w:bidi="zh-CN"/>
              </w:rPr>
              <w:t>m，装置内放</w:t>
            </w:r>
            <w:r>
              <w:rPr>
                <w:rFonts w:hint="eastAsia" w:ascii="Times New Roman" w:hAnsi="Times New Roman"/>
                <w:bCs/>
                <w:smallCaps w:val="0"/>
                <w:color w:val="auto"/>
                <w:sz w:val="21"/>
                <w:szCs w:val="21"/>
                <w:u w:val="none"/>
                <w:lang w:val="en-US" w:bidi="zh-CN"/>
              </w:rPr>
              <w:t>3</w:t>
            </w:r>
            <w:r>
              <w:rPr>
                <w:rFonts w:ascii="Times New Roman" w:hAnsi="Times New Roman"/>
                <w:bCs/>
                <w:smallCaps w:val="0"/>
                <w:color w:val="auto"/>
                <w:sz w:val="21"/>
                <w:szCs w:val="21"/>
                <w:u w:val="none"/>
                <w:lang w:bidi="zh-CN"/>
              </w:rPr>
              <w:t>层，活性炭密度为0.</w:t>
            </w:r>
            <w:r>
              <w:rPr>
                <w:rFonts w:hint="eastAsia" w:ascii="Times New Roman" w:hAnsi="Times New Roman"/>
                <w:bCs/>
                <w:smallCaps w:val="0"/>
                <w:color w:val="auto"/>
                <w:sz w:val="21"/>
                <w:szCs w:val="21"/>
                <w:u w:val="none"/>
                <w:lang w:val="en-US" w:bidi="zh-CN"/>
              </w:rPr>
              <w:t>45</w:t>
            </w:r>
            <w:r>
              <w:rPr>
                <w:rFonts w:ascii="Times New Roman" w:hAnsi="Times New Roman"/>
                <w:bCs/>
                <w:smallCaps w:val="0"/>
                <w:color w:val="auto"/>
                <w:sz w:val="21"/>
                <w:szCs w:val="21"/>
                <w:u w:val="none"/>
                <w:lang w:bidi="zh-CN"/>
              </w:rPr>
              <w:t>g/cm</w:t>
            </w:r>
            <w:r>
              <w:rPr>
                <w:rFonts w:ascii="Times New Roman" w:hAnsi="Times New Roman"/>
                <w:bCs/>
                <w:smallCaps w:val="0"/>
                <w:color w:val="auto"/>
                <w:sz w:val="21"/>
                <w:szCs w:val="21"/>
                <w:u w:val="none"/>
                <w:vertAlign w:val="superscript"/>
                <w:lang w:bidi="zh-CN"/>
              </w:rPr>
              <w:t>3</w:t>
            </w:r>
            <w:r>
              <w:rPr>
                <w:rFonts w:ascii="Times New Roman" w:hAnsi="Times New Roman"/>
                <w:bCs/>
                <w:smallCaps w:val="0"/>
                <w:color w:val="auto"/>
                <w:sz w:val="21"/>
                <w:szCs w:val="21"/>
                <w:u w:val="none"/>
                <w:lang w:bidi="zh-CN"/>
              </w:rPr>
              <w:t>。</w:t>
            </w:r>
          </w:p>
          <w:p w14:paraId="75E08969">
            <w:pPr>
              <w:pStyle w:val="61"/>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textAlignment w:val="auto"/>
              <w:rPr>
                <w:rFonts w:ascii="Times New Roman" w:hAnsi="Times New Roman"/>
                <w:bCs/>
                <w:smallCaps w:val="0"/>
                <w:color w:val="auto"/>
                <w:sz w:val="21"/>
                <w:szCs w:val="21"/>
                <w:u w:val="none"/>
                <w:lang w:bidi="zh-CN"/>
              </w:rPr>
            </w:pPr>
            <w:r>
              <w:rPr>
                <w:rFonts w:hint="eastAsia" w:ascii="Times New Roman" w:hAnsi="Times New Roman"/>
                <w:bCs/>
                <w:smallCaps w:val="0"/>
                <w:color w:val="auto"/>
                <w:sz w:val="21"/>
                <w:szCs w:val="21"/>
                <w:u w:val="none"/>
                <w:lang w:bidi="zh-CN"/>
              </w:rPr>
              <w:t>单级</w:t>
            </w:r>
            <w:r>
              <w:rPr>
                <w:rFonts w:ascii="Times New Roman" w:hAnsi="Times New Roman"/>
                <w:bCs/>
                <w:smallCaps w:val="0"/>
                <w:color w:val="auto"/>
                <w:sz w:val="21"/>
                <w:szCs w:val="21"/>
                <w:u w:val="none"/>
                <w:lang w:bidi="zh-CN"/>
              </w:rPr>
              <w:t>活性炭吸附装置有效容积=</w:t>
            </w:r>
            <w:r>
              <w:rPr>
                <w:rFonts w:hint="eastAsia" w:ascii="Times New Roman" w:hAnsi="Times New Roman"/>
                <w:bCs/>
                <w:smallCaps w:val="0"/>
                <w:color w:val="auto"/>
                <w:sz w:val="21"/>
                <w:szCs w:val="21"/>
                <w:u w:val="none"/>
                <w:lang w:bidi="zh-CN"/>
              </w:rPr>
              <w:t>炭层</w:t>
            </w:r>
            <w:r>
              <w:rPr>
                <w:rFonts w:ascii="Times New Roman" w:hAnsi="Times New Roman"/>
                <w:bCs/>
                <w:smallCaps w:val="0"/>
                <w:color w:val="auto"/>
                <w:sz w:val="21"/>
                <w:szCs w:val="21"/>
                <w:u w:val="none"/>
                <w:lang w:bidi="zh-CN"/>
              </w:rPr>
              <w:t>长度×</w:t>
            </w:r>
            <w:r>
              <w:rPr>
                <w:rFonts w:hint="eastAsia" w:ascii="Times New Roman" w:hAnsi="Times New Roman"/>
                <w:bCs/>
                <w:smallCaps w:val="0"/>
                <w:color w:val="auto"/>
                <w:sz w:val="21"/>
                <w:szCs w:val="21"/>
                <w:u w:val="none"/>
                <w:lang w:bidi="zh-CN"/>
              </w:rPr>
              <w:t>炭层</w:t>
            </w:r>
            <w:r>
              <w:rPr>
                <w:rFonts w:ascii="Times New Roman" w:hAnsi="Times New Roman"/>
                <w:bCs/>
                <w:smallCaps w:val="0"/>
                <w:color w:val="auto"/>
                <w:sz w:val="21"/>
                <w:szCs w:val="21"/>
                <w:u w:val="none"/>
                <w:lang w:bidi="zh-CN"/>
              </w:rPr>
              <w:t>宽度×</w:t>
            </w:r>
            <w:r>
              <w:rPr>
                <w:rFonts w:hint="eastAsia" w:ascii="Times New Roman" w:hAnsi="Times New Roman"/>
                <w:bCs/>
                <w:smallCaps w:val="0"/>
                <w:color w:val="auto"/>
                <w:sz w:val="21"/>
                <w:szCs w:val="21"/>
                <w:u w:val="none"/>
                <w:lang w:bidi="zh-CN"/>
              </w:rPr>
              <w:t>炭层厚</w:t>
            </w:r>
            <w:r>
              <w:rPr>
                <w:rFonts w:ascii="Times New Roman" w:hAnsi="Times New Roman"/>
                <w:bCs/>
                <w:smallCaps w:val="0"/>
                <w:color w:val="auto"/>
                <w:sz w:val="21"/>
                <w:szCs w:val="21"/>
                <w:u w:val="none"/>
                <w:lang w:bidi="zh-CN"/>
              </w:rPr>
              <w:t>度</w:t>
            </w:r>
          </w:p>
          <w:p w14:paraId="16290ED1">
            <w:pPr>
              <w:pStyle w:val="61"/>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jc w:val="center"/>
              <w:textAlignment w:val="auto"/>
              <w:rPr>
                <w:rFonts w:ascii="Times New Roman" w:hAnsi="Times New Roman"/>
                <w:bCs/>
                <w:smallCaps w:val="0"/>
                <w:color w:val="auto"/>
                <w:sz w:val="21"/>
                <w:szCs w:val="21"/>
                <w:u w:val="none"/>
                <w:lang w:bidi="zh-CN"/>
              </w:rPr>
            </w:pPr>
            <w:r>
              <w:rPr>
                <w:rFonts w:ascii="Times New Roman" w:hAnsi="Times New Roman"/>
                <w:bCs/>
                <w:smallCaps w:val="0"/>
                <w:color w:val="auto"/>
                <w:sz w:val="21"/>
                <w:szCs w:val="21"/>
                <w:u w:val="none"/>
                <w:lang w:bidi="zh-CN"/>
              </w:rPr>
              <w:t>=</w:t>
            </w:r>
            <w:r>
              <w:rPr>
                <w:rFonts w:hint="eastAsia" w:ascii="Times New Roman" w:hAnsi="Times New Roman"/>
                <w:bCs/>
                <w:smallCaps w:val="0"/>
                <w:color w:val="auto"/>
                <w:sz w:val="21"/>
                <w:szCs w:val="21"/>
                <w:u w:val="none"/>
                <w:lang w:val="en-US" w:bidi="zh-CN"/>
              </w:rPr>
              <w:t>2</w:t>
            </w:r>
            <w:r>
              <w:rPr>
                <w:rFonts w:ascii="Times New Roman" w:hAnsi="Times New Roman"/>
                <w:bCs/>
                <w:smallCaps w:val="0"/>
                <w:color w:val="auto"/>
                <w:sz w:val="21"/>
                <w:szCs w:val="21"/>
                <w:u w:val="none"/>
                <w:lang w:bidi="zh-CN"/>
              </w:rPr>
              <w:t>×</w:t>
            </w:r>
            <w:r>
              <w:rPr>
                <w:rFonts w:hint="eastAsia" w:ascii="Times New Roman" w:hAnsi="Times New Roman"/>
                <w:bCs/>
                <w:smallCaps w:val="0"/>
                <w:color w:val="auto"/>
                <w:sz w:val="21"/>
                <w:szCs w:val="21"/>
                <w:u w:val="none"/>
                <w:lang w:val="en-US" w:bidi="zh-CN"/>
              </w:rPr>
              <w:t>2</w:t>
            </w:r>
            <w:r>
              <w:rPr>
                <w:rFonts w:ascii="Times New Roman" w:hAnsi="Times New Roman"/>
                <w:bCs/>
                <w:smallCaps w:val="0"/>
                <w:color w:val="auto"/>
                <w:sz w:val="21"/>
                <w:szCs w:val="21"/>
                <w:u w:val="none"/>
                <w:lang w:bidi="zh-CN"/>
              </w:rPr>
              <w:t>×</w:t>
            </w:r>
            <w:r>
              <w:rPr>
                <w:rFonts w:hint="eastAsia" w:ascii="Times New Roman" w:hAnsi="Times New Roman"/>
                <w:bCs/>
                <w:smallCaps w:val="0"/>
                <w:color w:val="auto"/>
                <w:sz w:val="21"/>
                <w:szCs w:val="21"/>
                <w:u w:val="none"/>
                <w:lang w:bidi="zh-CN"/>
              </w:rPr>
              <w:t>（0.</w:t>
            </w:r>
            <w:r>
              <w:rPr>
                <w:rFonts w:hint="eastAsia" w:ascii="Times New Roman" w:hAnsi="Times New Roman"/>
                <w:bCs/>
                <w:smallCaps w:val="0"/>
                <w:color w:val="auto"/>
                <w:sz w:val="21"/>
                <w:szCs w:val="21"/>
                <w:u w:val="none"/>
                <w:lang w:val="en-US" w:bidi="zh-CN"/>
              </w:rPr>
              <w:t>3</w:t>
            </w:r>
            <w:r>
              <w:rPr>
                <w:rFonts w:hint="eastAsia" w:ascii="Times New Roman" w:hAnsi="Times New Roman"/>
                <w:bCs/>
                <w:smallCaps w:val="0"/>
                <w:color w:val="auto"/>
                <w:sz w:val="21"/>
                <w:szCs w:val="21"/>
                <w:u w:val="none"/>
                <w:lang w:bidi="zh-CN"/>
              </w:rPr>
              <w:t>*</w:t>
            </w:r>
            <w:r>
              <w:rPr>
                <w:rFonts w:hint="eastAsia" w:ascii="Times New Roman" w:hAnsi="Times New Roman"/>
                <w:bCs/>
                <w:smallCaps w:val="0"/>
                <w:color w:val="auto"/>
                <w:sz w:val="21"/>
                <w:szCs w:val="21"/>
                <w:u w:val="none"/>
                <w:lang w:val="en-US" w:bidi="zh-CN"/>
              </w:rPr>
              <w:t>3</w:t>
            </w:r>
            <w:r>
              <w:rPr>
                <w:rFonts w:hint="eastAsia" w:ascii="Times New Roman" w:hAnsi="Times New Roman"/>
                <w:bCs/>
                <w:smallCaps w:val="0"/>
                <w:color w:val="auto"/>
                <w:sz w:val="21"/>
                <w:szCs w:val="21"/>
                <w:u w:val="none"/>
                <w:lang w:bidi="zh-CN"/>
              </w:rPr>
              <w:t>）</w:t>
            </w:r>
            <w:r>
              <w:rPr>
                <w:rFonts w:ascii="Times New Roman" w:hAnsi="Times New Roman"/>
                <w:bCs/>
                <w:smallCaps w:val="0"/>
                <w:color w:val="auto"/>
                <w:sz w:val="21"/>
                <w:szCs w:val="21"/>
                <w:u w:val="none"/>
                <w:lang w:bidi="zh-CN"/>
              </w:rPr>
              <w:t>=</w:t>
            </w:r>
            <w:r>
              <w:rPr>
                <w:rFonts w:hint="eastAsia" w:ascii="Times New Roman" w:hAnsi="Times New Roman"/>
                <w:bCs/>
                <w:smallCaps w:val="0"/>
                <w:color w:val="auto"/>
                <w:sz w:val="21"/>
                <w:szCs w:val="21"/>
                <w:u w:val="none"/>
                <w:lang w:val="en-US" w:bidi="zh-CN"/>
              </w:rPr>
              <w:t>3.6</w:t>
            </w:r>
            <w:r>
              <w:rPr>
                <w:rFonts w:ascii="Times New Roman" w:hAnsi="Times New Roman"/>
                <w:bCs/>
                <w:smallCaps w:val="0"/>
                <w:color w:val="auto"/>
                <w:sz w:val="21"/>
                <w:szCs w:val="21"/>
                <w:u w:val="none"/>
                <w:lang w:bidi="zh-CN"/>
              </w:rPr>
              <w:t>m</w:t>
            </w:r>
            <w:r>
              <w:rPr>
                <w:rFonts w:ascii="Times New Roman" w:hAnsi="Times New Roman"/>
                <w:bCs/>
                <w:smallCaps w:val="0"/>
                <w:color w:val="auto"/>
                <w:sz w:val="21"/>
                <w:szCs w:val="21"/>
                <w:u w:val="none"/>
                <w:vertAlign w:val="superscript"/>
                <w:lang w:bidi="zh-CN"/>
              </w:rPr>
              <w:t>3</w:t>
            </w:r>
          </w:p>
          <w:p w14:paraId="5BABF56E">
            <w:pPr>
              <w:pStyle w:val="61"/>
              <w:keepNext w:val="0"/>
              <w:keepLines w:val="0"/>
              <w:pageBreakBefore w:val="0"/>
              <w:widowControl/>
              <w:kinsoku/>
              <w:wordWrap/>
              <w:overflowPunct/>
              <w:topLinePunct w:val="0"/>
              <w:autoSpaceDE/>
              <w:autoSpaceDN/>
              <w:bidi w:val="0"/>
              <w:adjustRightInd/>
              <w:snapToGrid/>
              <w:spacing w:before="0" w:beforeAutospacing="0" w:after="0" w:afterAutospacing="0"/>
              <w:ind w:firstLine="420" w:firstLineChars="200"/>
              <w:textAlignment w:val="auto"/>
              <w:rPr>
                <w:rFonts w:ascii="Times New Roman" w:hAnsi="Times New Roman"/>
                <w:bCs/>
                <w:smallCaps w:val="0"/>
                <w:color w:val="auto"/>
                <w:sz w:val="21"/>
                <w:szCs w:val="21"/>
                <w:u w:val="none"/>
                <w:lang w:bidi="zh-CN"/>
              </w:rPr>
            </w:pPr>
            <w:r>
              <w:rPr>
                <w:rFonts w:ascii="Times New Roman" w:hAnsi="Times New Roman"/>
                <w:bCs/>
                <w:smallCaps w:val="0"/>
                <w:color w:val="auto"/>
                <w:sz w:val="21"/>
                <w:szCs w:val="21"/>
                <w:u w:val="none"/>
                <w:lang w:bidi="zh-CN"/>
              </w:rPr>
              <w:t>经计算</w:t>
            </w:r>
            <w:r>
              <w:rPr>
                <w:rFonts w:hint="eastAsia" w:ascii="Times New Roman" w:hAnsi="Times New Roman"/>
                <w:bCs/>
                <w:smallCaps w:val="0"/>
                <w:color w:val="auto"/>
                <w:sz w:val="21"/>
                <w:szCs w:val="21"/>
                <w:u w:val="none"/>
                <w:lang w:bidi="zh-CN"/>
              </w:rPr>
              <w:t>，单级</w:t>
            </w:r>
            <w:r>
              <w:rPr>
                <w:rFonts w:ascii="Times New Roman" w:hAnsi="Times New Roman"/>
                <w:bCs/>
                <w:smallCaps w:val="0"/>
                <w:color w:val="auto"/>
                <w:sz w:val="21"/>
                <w:szCs w:val="21"/>
                <w:u w:val="none"/>
                <w:lang w:bidi="zh-CN"/>
              </w:rPr>
              <w:t>活性炭填充量=</w:t>
            </w:r>
            <w:r>
              <w:rPr>
                <w:rFonts w:hint="eastAsia" w:ascii="Times New Roman" w:hAnsi="Times New Roman"/>
                <w:bCs/>
                <w:smallCaps w:val="0"/>
                <w:color w:val="auto"/>
                <w:sz w:val="21"/>
                <w:szCs w:val="21"/>
                <w:u w:val="none"/>
                <w:lang w:bidi="zh-CN"/>
              </w:rPr>
              <w:t>密度</w:t>
            </w:r>
            <w:r>
              <w:rPr>
                <w:rFonts w:ascii="Times New Roman" w:hAnsi="Times New Roman"/>
                <w:bCs/>
                <w:smallCaps w:val="0"/>
                <w:color w:val="auto"/>
                <w:sz w:val="21"/>
                <w:szCs w:val="21"/>
                <w:u w:val="none"/>
                <w:lang w:bidi="zh-CN"/>
              </w:rPr>
              <w:t>×</w:t>
            </w:r>
            <w:r>
              <w:rPr>
                <w:rFonts w:hint="eastAsia" w:ascii="Times New Roman" w:hAnsi="Times New Roman"/>
                <w:bCs/>
                <w:smallCaps w:val="0"/>
                <w:color w:val="auto"/>
                <w:sz w:val="21"/>
                <w:szCs w:val="21"/>
                <w:u w:val="none"/>
                <w:lang w:bidi="zh-CN"/>
              </w:rPr>
              <w:t>有效容积=</w:t>
            </w:r>
            <w:r>
              <w:rPr>
                <w:rFonts w:hint="eastAsia" w:ascii="Times New Roman" w:hAnsi="Times New Roman"/>
                <w:bCs/>
                <w:smallCaps w:val="0"/>
                <w:color w:val="auto"/>
                <w:sz w:val="21"/>
                <w:szCs w:val="21"/>
                <w:u w:val="none"/>
                <w:lang w:val="en-US" w:bidi="zh-CN"/>
              </w:rPr>
              <w:t>0.45</w:t>
            </w:r>
            <w:r>
              <w:rPr>
                <w:rFonts w:ascii="Times New Roman" w:hAnsi="Times New Roman"/>
                <w:bCs/>
                <w:smallCaps w:val="0"/>
                <w:color w:val="auto"/>
                <w:sz w:val="21"/>
                <w:szCs w:val="21"/>
                <w:u w:val="none"/>
                <w:lang w:bidi="zh-CN"/>
              </w:rPr>
              <w:t>×</w:t>
            </w:r>
            <w:r>
              <w:rPr>
                <w:rFonts w:hint="eastAsia" w:ascii="Times New Roman" w:hAnsi="Times New Roman"/>
                <w:bCs/>
                <w:smallCaps w:val="0"/>
                <w:color w:val="auto"/>
                <w:sz w:val="21"/>
                <w:szCs w:val="21"/>
                <w:u w:val="none"/>
                <w:lang w:val="en-US" w:bidi="zh-CN"/>
              </w:rPr>
              <w:t>3.6</w:t>
            </w:r>
            <w:r>
              <w:rPr>
                <w:rFonts w:ascii="Times New Roman" w:hAnsi="Times New Roman"/>
                <w:bCs/>
                <w:smallCaps w:val="0"/>
                <w:color w:val="auto"/>
                <w:sz w:val="21"/>
                <w:szCs w:val="21"/>
                <w:u w:val="none"/>
                <w:lang w:bidi="zh-CN"/>
              </w:rPr>
              <w:t>=</w:t>
            </w:r>
            <w:r>
              <w:rPr>
                <w:rFonts w:hint="eastAsia" w:ascii="Times New Roman" w:hAnsi="Times New Roman"/>
                <w:bCs/>
                <w:smallCaps w:val="0"/>
                <w:color w:val="auto"/>
                <w:sz w:val="21"/>
                <w:szCs w:val="21"/>
                <w:u w:val="none"/>
                <w:lang w:val="en-US" w:bidi="zh-CN"/>
              </w:rPr>
              <w:t>1.62‬</w:t>
            </w:r>
            <w:r>
              <w:rPr>
                <w:rFonts w:ascii="Times New Roman" w:hAnsi="Times New Roman"/>
                <w:bCs/>
                <w:smallCaps w:val="0"/>
                <w:color w:val="auto"/>
                <w:sz w:val="21"/>
                <w:szCs w:val="21"/>
                <w:u w:val="none"/>
                <w:lang w:bidi="zh-CN"/>
              </w:rPr>
              <w:t>t</w:t>
            </w:r>
          </w:p>
          <w:p w14:paraId="26ED98EA">
            <w:pPr>
              <w:keepNext w:val="0"/>
              <w:keepLines w:val="0"/>
              <w:pageBreakBefore w:val="0"/>
              <w:widowControl w:val="0"/>
              <w:kinsoku/>
              <w:wordWrap/>
              <w:overflowPunct/>
              <w:topLinePunct w:val="0"/>
              <w:autoSpaceDE/>
              <w:autoSpaceDN/>
              <w:bidi w:val="0"/>
              <w:spacing w:line="360" w:lineRule="auto"/>
              <w:ind w:left="0" w:leftChars="0" w:firstLine="420" w:firstLineChars="200"/>
              <w:jc w:val="left"/>
              <w:textAlignment w:val="auto"/>
              <w:rPr>
                <w:rFonts w:hint="default"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则二级活性炭填充量为</w:t>
            </w:r>
            <w:r>
              <w:rPr>
                <w:rFonts w:hint="eastAsia" w:cs="Times New Roman"/>
                <w:color w:val="auto"/>
                <w:u w:val="none"/>
                <w:lang w:val="en-US" w:eastAsia="zh-CN"/>
              </w:rPr>
              <w:t>3.24‬</w:t>
            </w:r>
            <w:r>
              <w:rPr>
                <w:rFonts w:hint="eastAsia" w:ascii="Times New Roman" w:hAnsi="Times New Roman" w:eastAsia="宋体" w:cs="Times New Roman"/>
                <w:color w:val="auto"/>
                <w:u w:val="none"/>
                <w:lang w:val="en-US" w:eastAsia="zh-CN"/>
              </w:rPr>
              <w:t>t。</w:t>
            </w:r>
          </w:p>
          <w:p w14:paraId="2ECFE604">
            <w:pPr>
              <w:keepNext w:val="0"/>
              <w:keepLines w:val="0"/>
              <w:pageBreakBefore w:val="0"/>
              <w:widowControl w:val="0"/>
              <w:kinsoku/>
              <w:wordWrap/>
              <w:overflowPunct/>
              <w:topLinePunct w:val="0"/>
              <w:autoSpaceDE/>
              <w:autoSpaceDN/>
              <w:bidi w:val="0"/>
              <w:spacing w:line="360" w:lineRule="auto"/>
              <w:ind w:left="0" w:leftChars="0" w:firstLine="422" w:firstLineChars="200"/>
              <w:jc w:val="left"/>
              <w:textAlignment w:val="auto"/>
              <w:rPr>
                <w:rFonts w:hint="eastAsia" w:ascii="Times New Roman" w:hAnsi="Times New Roman" w:eastAsia="宋体" w:cs="Times New Roman"/>
                <w:b/>
                <w:bCs/>
                <w:color w:val="auto"/>
                <w:lang w:eastAsia="zh-CN"/>
              </w:rPr>
            </w:pPr>
            <w:r>
              <w:rPr>
                <w:rFonts w:hint="eastAsia" w:ascii="Times New Roman" w:hAnsi="Times New Roman" w:eastAsia="宋体" w:cs="Times New Roman"/>
                <w:b/>
                <w:bCs/>
                <w:color w:val="auto"/>
              </w:rPr>
              <w:t>活性炭更换周期</w:t>
            </w:r>
            <w:r>
              <w:rPr>
                <w:rFonts w:hint="eastAsia" w:ascii="Times New Roman" w:hAnsi="Times New Roman" w:eastAsia="宋体" w:cs="Times New Roman"/>
                <w:b/>
                <w:bCs/>
                <w:color w:val="auto"/>
                <w:lang w:eastAsia="zh-CN"/>
              </w:rPr>
              <w:t>：</w:t>
            </w:r>
          </w:p>
          <w:p w14:paraId="0FDAF17E">
            <w:pPr>
              <w:keepNext w:val="0"/>
              <w:keepLines w:val="0"/>
              <w:pageBreakBefore w:val="0"/>
              <w:widowControl w:val="0"/>
              <w:kinsoku/>
              <w:wordWrap/>
              <w:overflowPunct/>
              <w:topLinePunct w:val="0"/>
              <w:autoSpaceDE/>
              <w:autoSpaceDN/>
              <w:bidi w:val="0"/>
              <w:spacing w:line="360" w:lineRule="auto"/>
              <w:ind w:left="0" w:leftChars="0" w:firstLine="420" w:firstLineChars="200"/>
              <w:jc w:val="left"/>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根据《省生态环境厅关于将排污单位活性炭使用更换纳入排污许可管理的通知》进行计算，计算公式如下：</w:t>
            </w:r>
          </w:p>
          <w:p w14:paraId="4C7FA2CB">
            <w:pPr>
              <w:keepNext w:val="0"/>
              <w:keepLines w:val="0"/>
              <w:pageBreakBefore w:val="0"/>
              <w:widowControl w:val="0"/>
              <w:kinsoku/>
              <w:wordWrap/>
              <w:overflowPunct/>
              <w:topLinePunct w:val="0"/>
              <w:autoSpaceDE/>
              <w:autoSpaceDN/>
              <w:bidi w:val="0"/>
              <w:spacing w:line="360" w:lineRule="auto"/>
              <w:ind w:left="0" w:leftChars="0" w:firstLine="420" w:firstLineChars="200"/>
              <w:jc w:val="left"/>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T=m×s÷（c×10</w:t>
            </w:r>
            <w:r>
              <w:rPr>
                <w:rFonts w:hint="eastAsia" w:ascii="Times New Roman" w:hAnsi="Times New Roman" w:eastAsia="宋体" w:cs="Times New Roman"/>
                <w:color w:val="auto"/>
                <w:vertAlign w:val="superscript"/>
              </w:rPr>
              <w:t>-6</w:t>
            </w:r>
            <w:r>
              <w:rPr>
                <w:rFonts w:hint="eastAsia" w:ascii="Times New Roman" w:hAnsi="Times New Roman" w:eastAsia="宋体" w:cs="Times New Roman"/>
                <w:color w:val="auto"/>
              </w:rPr>
              <w:t>×Q×t）</w:t>
            </w:r>
          </w:p>
          <w:p w14:paraId="62A70B41">
            <w:pPr>
              <w:keepNext w:val="0"/>
              <w:keepLines w:val="0"/>
              <w:pageBreakBefore w:val="0"/>
              <w:widowControl w:val="0"/>
              <w:kinsoku/>
              <w:wordWrap/>
              <w:overflowPunct/>
              <w:topLinePunct w:val="0"/>
              <w:autoSpaceDE/>
              <w:autoSpaceDN/>
              <w:bidi w:val="0"/>
              <w:spacing w:line="360" w:lineRule="auto"/>
              <w:ind w:left="0" w:leftChars="0" w:firstLine="420" w:firstLineChars="200"/>
              <w:jc w:val="left"/>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式中：</w:t>
            </w:r>
          </w:p>
          <w:p w14:paraId="62E17FF7">
            <w:pPr>
              <w:keepNext w:val="0"/>
              <w:keepLines w:val="0"/>
              <w:pageBreakBefore w:val="0"/>
              <w:widowControl w:val="0"/>
              <w:kinsoku/>
              <w:wordWrap/>
              <w:overflowPunct/>
              <w:topLinePunct w:val="0"/>
              <w:autoSpaceDE/>
              <w:autoSpaceDN/>
              <w:bidi w:val="0"/>
              <w:spacing w:line="360" w:lineRule="auto"/>
              <w:ind w:left="0" w:leftChars="0" w:firstLine="420" w:firstLineChars="200"/>
              <w:jc w:val="left"/>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T—更换周期，天；</w:t>
            </w:r>
          </w:p>
          <w:p w14:paraId="551122D2">
            <w:pPr>
              <w:keepNext w:val="0"/>
              <w:keepLines w:val="0"/>
              <w:pageBreakBefore w:val="0"/>
              <w:widowControl w:val="0"/>
              <w:kinsoku/>
              <w:wordWrap/>
              <w:overflowPunct/>
              <w:topLinePunct w:val="0"/>
              <w:autoSpaceDE/>
              <w:autoSpaceDN/>
              <w:bidi w:val="0"/>
              <w:spacing w:line="360" w:lineRule="auto"/>
              <w:ind w:left="0" w:leftChars="0" w:firstLine="420" w:firstLineChars="200"/>
              <w:jc w:val="left"/>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m—活性炭的用量，kg；</w:t>
            </w:r>
          </w:p>
          <w:p w14:paraId="28D51A88">
            <w:pPr>
              <w:keepNext w:val="0"/>
              <w:keepLines w:val="0"/>
              <w:pageBreakBefore w:val="0"/>
              <w:widowControl w:val="0"/>
              <w:kinsoku/>
              <w:wordWrap/>
              <w:overflowPunct/>
              <w:topLinePunct w:val="0"/>
              <w:autoSpaceDE/>
              <w:autoSpaceDN/>
              <w:bidi w:val="0"/>
              <w:spacing w:line="360" w:lineRule="auto"/>
              <w:ind w:left="0" w:leftChars="0" w:firstLine="420" w:firstLineChars="200"/>
              <w:jc w:val="left"/>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s—动态吸附量，%；（一般取值10%）</w:t>
            </w:r>
          </w:p>
          <w:p w14:paraId="5E0B4D85">
            <w:pPr>
              <w:keepNext w:val="0"/>
              <w:keepLines w:val="0"/>
              <w:pageBreakBefore w:val="0"/>
              <w:widowControl w:val="0"/>
              <w:kinsoku/>
              <w:wordWrap/>
              <w:overflowPunct/>
              <w:topLinePunct w:val="0"/>
              <w:autoSpaceDE/>
              <w:autoSpaceDN/>
              <w:bidi w:val="0"/>
              <w:spacing w:line="360" w:lineRule="auto"/>
              <w:ind w:left="0" w:leftChars="0" w:firstLine="420" w:firstLineChars="200"/>
              <w:jc w:val="left"/>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c—活性炭削减的VOCs浓度，mg/m</w:t>
            </w:r>
            <w:r>
              <w:rPr>
                <w:rFonts w:hint="eastAsia" w:ascii="Times New Roman" w:hAnsi="Times New Roman" w:eastAsia="宋体" w:cs="Times New Roman"/>
                <w:color w:val="auto"/>
                <w:vertAlign w:val="superscript"/>
              </w:rPr>
              <w:t>3</w:t>
            </w:r>
            <w:r>
              <w:rPr>
                <w:rFonts w:hint="eastAsia" w:ascii="Times New Roman" w:hAnsi="Times New Roman" w:eastAsia="宋体" w:cs="Times New Roman"/>
                <w:color w:val="auto"/>
              </w:rPr>
              <w:t>；</w:t>
            </w:r>
          </w:p>
          <w:p w14:paraId="17CAA95A">
            <w:pPr>
              <w:keepNext w:val="0"/>
              <w:keepLines w:val="0"/>
              <w:pageBreakBefore w:val="0"/>
              <w:widowControl w:val="0"/>
              <w:kinsoku/>
              <w:wordWrap/>
              <w:overflowPunct/>
              <w:topLinePunct w:val="0"/>
              <w:autoSpaceDE/>
              <w:autoSpaceDN/>
              <w:bidi w:val="0"/>
              <w:spacing w:line="360" w:lineRule="auto"/>
              <w:ind w:left="0" w:leftChars="0" w:firstLine="420" w:firstLineChars="200"/>
              <w:jc w:val="left"/>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Q—风量，单位m</w:t>
            </w:r>
            <w:r>
              <w:rPr>
                <w:rFonts w:hint="eastAsia" w:ascii="Times New Roman" w:hAnsi="Times New Roman" w:eastAsia="宋体" w:cs="Times New Roman"/>
                <w:color w:val="auto"/>
                <w:vertAlign w:val="superscript"/>
              </w:rPr>
              <w:t>3</w:t>
            </w:r>
            <w:r>
              <w:rPr>
                <w:rFonts w:hint="eastAsia" w:ascii="Times New Roman" w:hAnsi="Times New Roman" w:eastAsia="宋体" w:cs="Times New Roman"/>
                <w:color w:val="auto"/>
              </w:rPr>
              <w:t>/h；</w:t>
            </w:r>
          </w:p>
          <w:p w14:paraId="4C621B4F">
            <w:pPr>
              <w:keepNext w:val="0"/>
              <w:keepLines w:val="0"/>
              <w:pageBreakBefore w:val="0"/>
              <w:widowControl w:val="0"/>
              <w:kinsoku/>
              <w:wordWrap/>
              <w:overflowPunct/>
              <w:topLinePunct w:val="0"/>
              <w:autoSpaceDE/>
              <w:autoSpaceDN/>
              <w:bidi w:val="0"/>
              <w:spacing w:line="360" w:lineRule="auto"/>
              <w:ind w:left="0" w:leftChars="0" w:firstLine="420" w:firstLineChars="200"/>
              <w:jc w:val="left"/>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t—运行时间，单位h/d。</w:t>
            </w:r>
          </w:p>
          <w:p w14:paraId="7E78913D">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宋体" w:cs="Times New Roman"/>
                <w:color w:val="auto"/>
                <w:spacing w:val="0"/>
                <w:w w:val="100"/>
                <w:sz w:val="21"/>
                <w:u w:val="none"/>
                <w:lang w:val="en-US" w:eastAsia="zh-CN"/>
              </w:rPr>
            </w:pPr>
            <w:r>
              <w:rPr>
                <w:rFonts w:hint="default" w:ascii="Times New Roman" w:hAnsi="Times New Roman" w:cs="Times New Roman"/>
                <w:color w:val="auto"/>
                <w:u w:val="none"/>
                <w:lang w:val="en-US" w:eastAsia="zh-CN"/>
              </w:rPr>
              <w:t>本项目</w:t>
            </w:r>
            <w:r>
              <w:rPr>
                <w:rFonts w:hint="eastAsia" w:cs="Times New Roman"/>
                <w:color w:val="auto"/>
                <w:u w:val="none"/>
                <w:lang w:val="en-US" w:eastAsia="zh-CN"/>
              </w:rPr>
              <w:t>喷涂</w:t>
            </w:r>
            <w:r>
              <w:rPr>
                <w:rFonts w:hint="default" w:ascii="Times New Roman" w:hAnsi="Times New Roman" w:cs="Times New Roman"/>
                <w:color w:val="auto"/>
                <w:u w:val="none"/>
                <w:lang w:val="en-US" w:eastAsia="zh-CN"/>
              </w:rPr>
              <w:t>废气</w:t>
            </w:r>
            <w:r>
              <w:rPr>
                <w:rFonts w:hint="eastAsia" w:cs="Times New Roman"/>
                <w:color w:val="auto"/>
                <w:u w:val="none"/>
                <w:lang w:val="en-US" w:eastAsia="zh-CN"/>
              </w:rPr>
              <w:t>、清洗废气</w:t>
            </w:r>
            <w:r>
              <w:rPr>
                <w:rFonts w:hint="default" w:ascii="Times New Roman" w:hAnsi="Times New Roman" w:cs="Times New Roman"/>
                <w:color w:val="auto"/>
                <w:u w:val="none"/>
                <w:lang w:val="en-US" w:eastAsia="zh-CN"/>
              </w:rPr>
              <w:t>经集气罩收集后再进入</w:t>
            </w:r>
            <w:r>
              <w:rPr>
                <w:rFonts w:hint="eastAsia" w:ascii="Times New Roman" w:hAnsi="Times New Roman" w:cs="Times New Roman"/>
                <w:color w:val="auto"/>
                <w:u w:val="none"/>
                <w:lang w:val="en-US" w:eastAsia="zh-CN"/>
              </w:rPr>
              <w:t>二级活性炭</w:t>
            </w:r>
            <w:r>
              <w:rPr>
                <w:rFonts w:hint="default" w:ascii="Times New Roman" w:hAnsi="Times New Roman" w:cs="Times New Roman"/>
                <w:color w:val="auto"/>
                <w:u w:val="none"/>
                <w:lang w:val="en-US" w:eastAsia="zh-CN"/>
              </w:rPr>
              <w:t>装置，活性炭吸附的有机废气量为</w:t>
            </w:r>
            <w:r>
              <w:rPr>
                <w:rFonts w:hint="eastAsia" w:cs="Times New Roman"/>
                <w:color w:val="auto"/>
                <w:u w:val="none"/>
                <w:lang w:val="en-US" w:eastAsia="zh-CN"/>
              </w:rPr>
              <w:t>2.6256‬</w:t>
            </w:r>
            <w:r>
              <w:rPr>
                <w:rFonts w:hint="default" w:ascii="Times New Roman" w:hAnsi="Times New Roman" w:cs="Times New Roman"/>
                <w:color w:val="auto"/>
                <w:u w:val="none"/>
                <w:lang w:val="en-US" w:eastAsia="zh-CN"/>
              </w:rPr>
              <w:t>t/a，</w:t>
            </w:r>
            <w:r>
              <w:rPr>
                <w:rFonts w:hint="eastAsia" w:cs="Times New Roman"/>
                <w:color w:val="auto"/>
                <w:u w:val="none"/>
                <w:lang w:val="en-US" w:eastAsia="zh-CN"/>
              </w:rPr>
              <w:t>DA016</w:t>
            </w:r>
            <w:r>
              <w:rPr>
                <w:rFonts w:hint="default" w:ascii="Times New Roman" w:hAnsi="Times New Roman" w:eastAsia="宋体" w:cs="Times New Roman"/>
                <w:color w:val="auto"/>
                <w:u w:val="none"/>
                <w:lang w:val="en-US" w:eastAsia="zh-CN"/>
              </w:rPr>
              <w:t>排气筒</w:t>
            </w:r>
            <w:r>
              <w:rPr>
                <w:rFonts w:hint="default" w:ascii="Times New Roman" w:hAnsi="Times New Roman" w:eastAsia="宋体" w:cs="Times New Roman"/>
                <w:color w:val="auto"/>
                <w:u w:val="none"/>
              </w:rPr>
              <w:t>活性炭吸附装置活性炭总装填量约</w:t>
            </w:r>
            <w:r>
              <w:rPr>
                <w:rFonts w:hint="eastAsia" w:cs="Times New Roman"/>
                <w:color w:val="auto"/>
                <w:u w:val="none"/>
                <w:lang w:val="en-US" w:eastAsia="zh-CN"/>
              </w:rPr>
              <w:t>3.24‬</w:t>
            </w:r>
            <w:r>
              <w:rPr>
                <w:rFonts w:hint="eastAsia" w:ascii="Times New Roman" w:hAnsi="Times New Roman" w:cs="Times New Roman"/>
                <w:color w:val="auto"/>
                <w:u w:val="none"/>
                <w:lang w:val="en-US" w:eastAsia="zh-CN"/>
              </w:rPr>
              <w:t>t</w:t>
            </w:r>
            <w:r>
              <w:rPr>
                <w:rFonts w:hint="default" w:ascii="Times New Roman" w:hAnsi="Times New Roman" w:eastAsia="宋体" w:cs="Times New Roman"/>
                <w:color w:val="auto"/>
                <w:u w:val="none"/>
              </w:rPr>
              <w:t>，活性炭削减的VOCs</w:t>
            </w:r>
            <w:r>
              <w:rPr>
                <w:rFonts w:hint="default" w:ascii="Times New Roman" w:hAnsi="Times New Roman" w:eastAsia="宋体" w:cs="Times New Roman"/>
                <w:color w:val="auto"/>
                <w:u w:val="none"/>
                <w:lang w:val="en-US" w:eastAsia="zh-CN"/>
              </w:rPr>
              <w:t>浓度</w:t>
            </w:r>
            <w:r>
              <w:rPr>
                <w:rFonts w:hint="eastAsia" w:cs="Times New Roman"/>
                <w:color w:val="auto"/>
                <w:u w:val="none"/>
                <w:lang w:val="en-US" w:eastAsia="zh-CN"/>
              </w:rPr>
              <w:t>155.4</w:t>
            </w:r>
            <w:r>
              <w:rPr>
                <w:rFonts w:hint="default" w:ascii="Times New Roman" w:hAnsi="Times New Roman" w:eastAsia="宋体" w:cs="Times New Roman"/>
                <w:color w:val="auto"/>
                <w:u w:val="none"/>
              </w:rPr>
              <w:t>mg/m</w:t>
            </w:r>
            <w:r>
              <w:rPr>
                <w:rFonts w:hint="default" w:ascii="Times New Roman" w:hAnsi="Times New Roman" w:eastAsia="宋体" w:cs="Times New Roman"/>
                <w:color w:val="auto"/>
                <w:u w:val="none"/>
                <w:vertAlign w:val="superscript"/>
              </w:rPr>
              <w:t>3</w:t>
            </w:r>
            <w:r>
              <w:rPr>
                <w:rFonts w:hint="default" w:ascii="Times New Roman" w:hAnsi="Times New Roman" w:eastAsia="宋体" w:cs="Times New Roman"/>
                <w:color w:val="auto"/>
                <w:u w:val="none"/>
              </w:rPr>
              <w:t>，动态吸附量10%，</w:t>
            </w:r>
            <w:r>
              <w:rPr>
                <w:rFonts w:hint="default" w:ascii="Times New Roman" w:hAnsi="Times New Roman" w:eastAsia="宋体" w:cs="Times New Roman"/>
                <w:color w:val="auto"/>
                <w:u w:val="none"/>
                <w:lang w:val="en-US" w:eastAsia="zh-CN"/>
              </w:rPr>
              <w:t>风</w:t>
            </w:r>
            <w:r>
              <w:rPr>
                <w:rFonts w:hint="eastAsia" w:cs="Times New Roman"/>
                <w:color w:val="auto"/>
                <w:u w:val="none"/>
                <w:lang w:val="en-US" w:eastAsia="zh-CN"/>
              </w:rPr>
              <w:t>80</w:t>
            </w:r>
            <w:r>
              <w:rPr>
                <w:rFonts w:hint="default" w:ascii="Times New Roman" w:hAnsi="Times New Roman" w:eastAsia="宋体" w:cs="Times New Roman"/>
                <w:color w:val="auto"/>
                <w:u w:val="none"/>
                <w:lang w:val="en-US" w:eastAsia="zh-CN"/>
              </w:rPr>
              <w:t>00</w:t>
            </w:r>
            <w:r>
              <w:rPr>
                <w:rFonts w:hint="default" w:ascii="Times New Roman" w:hAnsi="Times New Roman" w:eastAsia="宋体" w:cs="Times New Roman"/>
                <w:color w:val="auto"/>
                <w:u w:val="none"/>
              </w:rPr>
              <w:t>m</w:t>
            </w:r>
            <w:r>
              <w:rPr>
                <w:rFonts w:hint="default" w:ascii="Times New Roman" w:hAnsi="Times New Roman" w:eastAsia="宋体" w:cs="Times New Roman"/>
                <w:color w:val="auto"/>
                <w:u w:val="none"/>
                <w:vertAlign w:val="superscript"/>
              </w:rPr>
              <w:t>3</w:t>
            </w:r>
            <w:r>
              <w:rPr>
                <w:rFonts w:hint="default" w:ascii="Times New Roman" w:hAnsi="Times New Roman" w:eastAsia="宋体" w:cs="Times New Roman"/>
                <w:color w:val="auto"/>
                <w:u w:val="none"/>
              </w:rPr>
              <w:t>/h</w:t>
            </w:r>
            <w:r>
              <w:rPr>
                <w:rFonts w:hint="default" w:ascii="Times New Roman" w:hAnsi="Times New Roman" w:eastAsia="宋体" w:cs="Times New Roman"/>
                <w:color w:val="auto"/>
                <w:u w:val="none"/>
                <w:lang w:eastAsia="zh-CN"/>
              </w:rPr>
              <w:t>，</w:t>
            </w:r>
            <w:r>
              <w:rPr>
                <w:rFonts w:hint="default" w:ascii="Times New Roman" w:hAnsi="Times New Roman" w:eastAsia="宋体" w:cs="Times New Roman"/>
                <w:color w:val="auto"/>
                <w:u w:val="none"/>
                <w:lang w:val="en-US" w:eastAsia="zh-CN"/>
              </w:rPr>
              <w:t>运行时间</w:t>
            </w:r>
            <w:r>
              <w:rPr>
                <w:rFonts w:hint="eastAsia" w:cs="Times New Roman"/>
                <w:color w:val="auto"/>
                <w:u w:val="none"/>
                <w:lang w:val="en-US" w:eastAsia="zh-CN"/>
              </w:rPr>
              <w:t>8</w:t>
            </w:r>
            <w:r>
              <w:rPr>
                <w:rFonts w:hint="default" w:ascii="Times New Roman" w:hAnsi="Times New Roman" w:eastAsia="宋体" w:cs="Times New Roman"/>
                <w:color w:val="auto"/>
                <w:u w:val="none"/>
              </w:rPr>
              <w:t>h/d</w:t>
            </w:r>
            <w:r>
              <w:rPr>
                <w:rFonts w:hint="default" w:ascii="Times New Roman" w:hAnsi="Times New Roman" w:eastAsia="宋体" w:cs="Times New Roman"/>
                <w:color w:val="auto"/>
                <w:u w:val="none"/>
                <w:lang w:eastAsia="zh-CN"/>
              </w:rPr>
              <w:t>，</w:t>
            </w:r>
            <w:r>
              <w:rPr>
                <w:rFonts w:hint="default" w:ascii="Times New Roman" w:hAnsi="Times New Roman" w:eastAsia="宋体" w:cs="Times New Roman"/>
                <w:color w:val="auto"/>
                <w:u w:val="none"/>
                <w:lang w:val="en-US" w:eastAsia="zh-CN"/>
              </w:rPr>
              <w:t>则</w:t>
            </w:r>
            <w:r>
              <w:rPr>
                <w:rFonts w:hint="default" w:ascii="Times New Roman" w:hAnsi="Times New Roman" w:eastAsia="宋体" w:cs="Times New Roman"/>
                <w:color w:val="auto"/>
                <w:u w:val="none"/>
              </w:rPr>
              <w:t>更换废活性炭周期</w:t>
            </w:r>
            <w:r>
              <w:rPr>
                <w:rFonts w:hint="default" w:ascii="Times New Roman" w:hAnsi="Times New Roman" w:cs="Times New Roman"/>
                <w:color w:val="auto"/>
                <w:u w:val="none"/>
                <w:lang w:eastAsia="zh-CN"/>
              </w:rPr>
              <w:t>约</w:t>
            </w:r>
            <w:r>
              <w:rPr>
                <w:rFonts w:hint="eastAsia" w:ascii="Times New Roman" w:hAnsi="Times New Roman" w:cs="Times New Roman"/>
                <w:color w:val="auto"/>
                <w:u w:val="none"/>
                <w:lang w:val="en-US" w:eastAsia="zh-CN"/>
              </w:rPr>
              <w:t>约</w:t>
            </w:r>
            <w:r>
              <w:rPr>
                <w:rFonts w:hint="default" w:ascii="Times New Roman" w:hAnsi="Times New Roman" w:cs="Times New Roman"/>
                <w:color w:val="auto"/>
                <w:u w:val="none"/>
                <w:lang w:eastAsia="zh-CN"/>
              </w:rPr>
              <w:t>为</w:t>
            </w:r>
            <w:r>
              <w:rPr>
                <w:rFonts w:hint="eastAsia" w:cs="Times New Roman"/>
                <w:color w:val="auto"/>
                <w:u w:val="none"/>
                <w:lang w:val="en-US" w:eastAsia="zh-CN"/>
              </w:rPr>
              <w:t>32.6</w:t>
            </w:r>
            <w:r>
              <w:rPr>
                <w:rFonts w:hint="default" w:ascii="Times New Roman" w:hAnsi="Times New Roman" w:eastAsia="宋体" w:cs="Times New Roman"/>
                <w:color w:val="auto"/>
                <w:u w:val="none"/>
                <w:lang w:val="en-US" w:eastAsia="zh-CN"/>
              </w:rPr>
              <w:t>d</w:t>
            </w:r>
            <w:r>
              <w:rPr>
                <w:rFonts w:hint="eastAsia" w:ascii="Times New Roman" w:hAnsi="Times New Roman" w:eastAsia="宋体" w:cs="Times New Roman"/>
                <w:color w:val="auto"/>
                <w:u w:val="none"/>
                <w:lang w:val="en-US" w:eastAsia="zh-CN"/>
              </w:rPr>
              <w:t>，根据</w:t>
            </w:r>
            <w:r>
              <w:rPr>
                <w:rFonts w:hint="eastAsia" w:ascii="Times New Roman" w:hAnsi="Times New Roman" w:eastAsia="宋体" w:cs="宋体"/>
                <w:color w:val="auto"/>
                <w:spacing w:val="0"/>
                <w:w w:val="100"/>
                <w:sz w:val="21"/>
                <w:u w:val="none"/>
                <w:lang w:val="en-US" w:eastAsia="zh-CN"/>
              </w:rPr>
              <w:t>南通市废气活性炭吸附设施专项整治实施方案相关要求，活性炭更换周期不超过三个月，故活性炭更换周期为</w:t>
            </w:r>
            <w:r>
              <w:rPr>
                <w:rFonts w:hint="eastAsia" w:cs="宋体"/>
                <w:color w:val="auto"/>
                <w:spacing w:val="0"/>
                <w:w w:val="100"/>
                <w:sz w:val="21"/>
                <w:u w:val="none"/>
                <w:lang w:val="en-US" w:eastAsia="zh-CN"/>
              </w:rPr>
              <w:t>32天，年更换9次</w:t>
            </w:r>
            <w:r>
              <w:rPr>
                <w:rFonts w:hint="default" w:ascii="Times New Roman" w:hAnsi="Times New Roman" w:cs="Times New Roman"/>
                <w:color w:val="auto"/>
                <w:u w:val="none"/>
                <w:lang w:val="en-US" w:eastAsia="zh-CN"/>
              </w:rPr>
              <w:t>。</w:t>
            </w:r>
          </w:p>
          <w:p w14:paraId="133CEB31">
            <w:pPr>
              <w:pStyle w:val="46"/>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jc w:val="left"/>
              <w:textAlignment w:val="auto"/>
              <w:rPr>
                <w:rFonts w:hint="default" w:ascii="Times New Roman" w:hAnsi="Times New Roman" w:eastAsia="宋体" w:cs="宋体"/>
                <w:color w:val="auto"/>
                <w:spacing w:val="0"/>
                <w:w w:val="100"/>
                <w:sz w:val="21"/>
                <w:lang w:val="en-US" w:eastAsia="zh-CN"/>
              </w:rPr>
            </w:pPr>
            <w:r>
              <w:rPr>
                <w:rFonts w:hint="eastAsia" w:ascii="Times New Roman" w:hAnsi="Times New Roman" w:eastAsia="宋体" w:cs="宋体"/>
                <w:color w:val="auto"/>
                <w:spacing w:val="0"/>
                <w:w w:val="100"/>
                <w:sz w:val="21"/>
                <w:lang w:val="en-US" w:eastAsia="zh-CN"/>
              </w:rPr>
              <w:t>根据分析，满足《吸附法工业有机废气治理工程技术规范（HJ2026-2013）》中“采用</w:t>
            </w:r>
            <w:r>
              <w:rPr>
                <w:rFonts w:hint="eastAsia" w:ascii="Times New Roman" w:hAnsi="Times New Roman" w:cs="宋体"/>
                <w:color w:val="auto"/>
                <w:spacing w:val="0"/>
                <w:w w:val="100"/>
                <w:sz w:val="21"/>
                <w:lang w:val="en-US" w:eastAsia="zh-CN"/>
              </w:rPr>
              <w:t>颗粒</w:t>
            </w:r>
            <w:r>
              <w:rPr>
                <w:rFonts w:hint="eastAsia" w:ascii="Times New Roman" w:hAnsi="Times New Roman" w:eastAsia="宋体" w:cs="宋体"/>
                <w:color w:val="auto"/>
                <w:spacing w:val="0"/>
                <w:w w:val="100"/>
                <w:sz w:val="21"/>
                <w:lang w:val="en-US" w:eastAsia="zh-CN"/>
              </w:rPr>
              <w:t>状吸附剂时，气流速度宜低于</w:t>
            </w:r>
            <w:r>
              <w:rPr>
                <w:rFonts w:hint="eastAsia" w:ascii="Times New Roman" w:hAnsi="Times New Roman" w:cs="宋体"/>
                <w:color w:val="auto"/>
                <w:spacing w:val="0"/>
                <w:w w:val="100"/>
                <w:sz w:val="21"/>
                <w:lang w:val="en-US" w:eastAsia="zh-CN"/>
              </w:rPr>
              <w:t>0.6</w:t>
            </w:r>
            <w:r>
              <w:rPr>
                <w:rFonts w:hint="eastAsia" w:ascii="Times New Roman" w:hAnsi="Times New Roman" w:eastAsia="宋体" w:cs="宋体"/>
                <w:color w:val="auto"/>
                <w:spacing w:val="0"/>
                <w:w w:val="100"/>
                <w:sz w:val="21"/>
                <w:lang w:val="en-US" w:eastAsia="zh-CN"/>
              </w:rPr>
              <w:t>m/s”的要求，活性炭过滤停留时间一般为0.5s-2s，符合吸附工程设计要求；满足《南通市废气活性炭吸附设施专项整治实施方案》中“采用颗粒状活性炭时，气体流速应低于0.6m/s；气体停留时间大于1s；选用活性炭主要指标不得低于相关要求(碘值不低于800mg/g，</w:t>
            </w:r>
            <w:r>
              <w:rPr>
                <w:rFonts w:hint="eastAsia" w:ascii="Times New Roman" w:hAnsi="Times New Roman" w:cs="宋体"/>
                <w:color w:val="auto"/>
                <w:spacing w:val="0"/>
                <w:w w:val="100"/>
                <w:sz w:val="21"/>
                <w:lang w:val="en-US" w:eastAsia="zh-CN"/>
              </w:rPr>
              <w:t>灰分</w:t>
            </w:r>
            <w:r>
              <w:rPr>
                <w:rFonts w:hint="eastAsia" w:ascii="Times New Roman" w:hAnsi="Times New Roman" w:eastAsia="宋体" w:cs="宋体"/>
                <w:color w:val="auto"/>
                <w:spacing w:val="0"/>
                <w:w w:val="100"/>
                <w:sz w:val="21"/>
                <w:lang w:val="en-US" w:eastAsia="zh-CN"/>
              </w:rPr>
              <w:t>不高于15%，比表面积不低于750m</w:t>
            </w:r>
            <w:r>
              <w:rPr>
                <w:rFonts w:hint="eastAsia" w:ascii="Times New Roman" w:hAnsi="Times New Roman" w:eastAsia="宋体" w:cs="宋体"/>
                <w:color w:val="auto"/>
                <w:spacing w:val="0"/>
                <w:w w:val="100"/>
                <w:sz w:val="21"/>
                <w:vertAlign w:val="superscript"/>
                <w:lang w:val="en-US" w:eastAsia="zh-CN"/>
              </w:rPr>
              <w:t>2</w:t>
            </w:r>
            <w:r>
              <w:rPr>
                <w:rFonts w:hint="eastAsia" w:ascii="Times New Roman" w:hAnsi="Times New Roman" w:eastAsia="宋体" w:cs="宋体"/>
                <w:color w:val="auto"/>
                <w:spacing w:val="0"/>
                <w:w w:val="100"/>
                <w:sz w:val="21"/>
                <w:lang w:val="en-US" w:eastAsia="zh-CN"/>
              </w:rPr>
              <w:t xml:space="preserve"> /g，四氯化碳吸附率不低于40%，堆积密度不高于0.6g/cm</w:t>
            </w:r>
            <w:r>
              <w:rPr>
                <w:rFonts w:hint="eastAsia" w:ascii="Times New Roman" w:hAnsi="Times New Roman" w:eastAsia="宋体" w:cs="宋体"/>
                <w:color w:val="auto"/>
                <w:spacing w:val="0"/>
                <w:w w:val="100"/>
                <w:sz w:val="21"/>
                <w:vertAlign w:val="superscript"/>
                <w:lang w:val="en-US" w:eastAsia="zh-CN"/>
              </w:rPr>
              <w:t>3</w:t>
            </w:r>
            <w:r>
              <w:rPr>
                <w:rFonts w:hint="eastAsia" w:ascii="Times New Roman" w:hAnsi="Times New Roman" w:eastAsia="宋体" w:cs="宋体"/>
                <w:color w:val="auto"/>
                <w:spacing w:val="0"/>
                <w:w w:val="100"/>
                <w:sz w:val="21"/>
                <w:lang w:val="en-US" w:eastAsia="zh-CN"/>
              </w:rPr>
              <w:t>)”，更换周期不超过3个月</w:t>
            </w:r>
            <w:r>
              <w:rPr>
                <w:rFonts w:hint="eastAsia" w:ascii="Times New Roman" w:hAnsi="Times New Roman" w:cs="宋体"/>
                <w:color w:val="auto"/>
                <w:spacing w:val="0"/>
                <w:w w:val="100"/>
                <w:sz w:val="21"/>
                <w:lang w:val="en-US" w:eastAsia="zh-CN"/>
              </w:rPr>
              <w:t>；</w:t>
            </w:r>
            <w:r>
              <w:rPr>
                <w:rFonts w:hint="eastAsia" w:ascii="Times New Roman" w:hAnsi="Times New Roman" w:cs="宋体"/>
                <w:color w:val="auto"/>
                <w:spacing w:val="0"/>
                <w:w w:val="100"/>
                <w:sz w:val="21"/>
                <w:lang w:val="en-US" w:eastAsia="zh-CN"/>
              </w:rPr>
              <w:t>由于集气管道足够长，所以废气在进入活性炭之前可以进行自然冷却到40℃以下</w:t>
            </w:r>
            <w:r>
              <w:rPr>
                <w:rFonts w:hint="eastAsia" w:ascii="Times New Roman" w:hAnsi="Times New Roman" w:cs="宋体"/>
                <w:color w:val="auto"/>
                <w:spacing w:val="0"/>
                <w:w w:val="100"/>
                <w:sz w:val="21"/>
                <w:lang w:val="en-US" w:eastAsia="zh-CN"/>
              </w:rPr>
              <w:t>。</w:t>
            </w:r>
            <w:r>
              <w:rPr>
                <w:rFonts w:hint="eastAsia" w:ascii="Times New Roman" w:hAnsi="Times New Roman" w:eastAsia="宋体" w:cs="宋体"/>
                <w:color w:val="auto"/>
                <w:spacing w:val="0"/>
                <w:w w:val="100"/>
                <w:sz w:val="21"/>
                <w:lang w:val="en-US" w:eastAsia="zh-CN"/>
              </w:rPr>
              <w:t>符合南通市废气活性炭吸附设施专项整治实施方案相关要求。</w:t>
            </w:r>
          </w:p>
          <w:p w14:paraId="4323B456">
            <w:pPr>
              <w:adjustRightInd w:val="0"/>
              <w:snapToGrid w:val="0"/>
              <w:spacing w:line="360" w:lineRule="auto"/>
              <w:ind w:firstLine="420" w:firstLineChars="200"/>
              <w:rPr>
                <w:rStyle w:val="27"/>
                <w:rFonts w:hint="default" w:ascii="Times New Roman" w:hAnsi="Times New Roman" w:cs="Times New Roman"/>
                <w:color w:val="auto"/>
                <w:lang w:val="en-US" w:eastAsia="zh-CN"/>
              </w:rPr>
            </w:pPr>
            <w:r>
              <w:rPr>
                <w:rStyle w:val="27"/>
                <w:rFonts w:hint="eastAsia" w:cs="Times New Roman"/>
                <w:color w:val="auto"/>
                <w:lang w:val="en-US" w:eastAsia="zh-CN"/>
              </w:rPr>
              <w:t>（</w:t>
            </w:r>
            <w:r>
              <w:rPr>
                <w:rStyle w:val="27"/>
                <w:rFonts w:hint="eastAsia" w:ascii="Times New Roman" w:hAnsi="Times New Roman" w:eastAsia="宋体" w:cs="Times New Roman"/>
                <w:color w:val="auto"/>
                <w:lang w:val="en-US" w:eastAsia="zh-CN"/>
              </w:rPr>
              <w:t>4</w:t>
            </w:r>
            <w:r>
              <w:rPr>
                <w:rStyle w:val="27"/>
                <w:rFonts w:hint="eastAsia" w:cs="Times New Roman"/>
                <w:color w:val="auto"/>
                <w:lang w:val="en-US" w:eastAsia="zh-CN"/>
              </w:rPr>
              <w:t>）</w:t>
            </w:r>
            <w:r>
              <w:rPr>
                <w:rStyle w:val="27"/>
                <w:rFonts w:hint="default" w:ascii="Times New Roman" w:hAnsi="Times New Roman" w:cs="Times New Roman"/>
                <w:color w:val="auto"/>
                <w:lang w:val="en-US" w:eastAsia="zh-CN"/>
              </w:rPr>
              <w:t>无组织废气治理措施</w:t>
            </w:r>
          </w:p>
          <w:p w14:paraId="5D8C6EA2">
            <w:pPr>
              <w:tabs>
                <w:tab w:val="left" w:pos="2348"/>
              </w:tabs>
              <w:spacing w:line="360" w:lineRule="auto"/>
              <w:ind w:firstLine="420" w:firstLineChars="200"/>
              <w:rPr>
                <w:rFonts w:hint="default" w:ascii="Times New Roman" w:hAnsi="Times New Roman" w:cs="Times New Roman"/>
                <w:color w:val="auto"/>
                <w:sz w:val="21"/>
                <w:szCs w:val="21"/>
                <w:highlight w:val="none"/>
                <w:lang w:val="en-US" w:eastAsia="zh-CN"/>
              </w:rPr>
            </w:pPr>
            <w:r>
              <w:rPr>
                <w:rFonts w:hint="default" w:ascii="Times New Roman" w:hAnsi="Times New Roman" w:eastAsia="微软雅黑" w:cs="Times New Roman"/>
                <w:color w:val="auto"/>
                <w:sz w:val="21"/>
                <w:szCs w:val="21"/>
                <w:highlight w:val="none"/>
                <w:lang w:val="en-US" w:eastAsia="zh-CN"/>
              </w:rPr>
              <w:t>①</w:t>
            </w:r>
            <w:r>
              <w:rPr>
                <w:rFonts w:hint="default" w:ascii="Times New Roman" w:hAnsi="Times New Roman" w:cs="Times New Roman"/>
                <w:color w:val="auto"/>
                <w:sz w:val="21"/>
                <w:szCs w:val="21"/>
                <w:highlight w:val="none"/>
                <w:lang w:val="en-US" w:eastAsia="zh-CN"/>
              </w:rPr>
              <w:t>尽量保持废气产生车间的密闭，合理设计送排风系统，提高废气捕集率，尽量将废气收集集中处理；</w:t>
            </w:r>
          </w:p>
          <w:p w14:paraId="50DD1B15">
            <w:pPr>
              <w:tabs>
                <w:tab w:val="left" w:pos="2348"/>
              </w:tabs>
              <w:spacing w:line="360" w:lineRule="auto"/>
              <w:ind w:firstLine="420" w:firstLineChars="200"/>
              <w:rPr>
                <w:rFonts w:hint="default" w:ascii="Times New Roman" w:hAnsi="Times New Roman" w:cs="Times New Roman"/>
                <w:color w:val="auto"/>
                <w:sz w:val="21"/>
                <w:szCs w:val="21"/>
                <w:highlight w:val="none"/>
                <w:lang w:val="en-US" w:eastAsia="zh-CN"/>
              </w:rPr>
            </w:pPr>
            <w:r>
              <w:rPr>
                <w:rFonts w:hint="default" w:ascii="Times New Roman" w:hAnsi="Times New Roman" w:eastAsia="微软雅黑" w:cs="Times New Roman"/>
                <w:color w:val="auto"/>
                <w:sz w:val="21"/>
                <w:szCs w:val="21"/>
                <w:highlight w:val="none"/>
                <w:lang w:val="en-US" w:eastAsia="zh-CN"/>
              </w:rPr>
              <w:t>②</w:t>
            </w:r>
            <w:r>
              <w:rPr>
                <w:rFonts w:hint="default" w:ascii="Times New Roman" w:hAnsi="Times New Roman" w:cs="Times New Roman"/>
                <w:color w:val="auto"/>
                <w:sz w:val="21"/>
                <w:szCs w:val="21"/>
                <w:highlight w:val="none"/>
                <w:lang w:val="en-US" w:eastAsia="zh-CN"/>
              </w:rPr>
              <w:t>加强生产管理，规范操作，使设备设施处于正常工作状态，减少生产、控制、输送等过程中的废气散发；</w:t>
            </w:r>
          </w:p>
          <w:p w14:paraId="12CB687F">
            <w:pPr>
              <w:tabs>
                <w:tab w:val="left" w:pos="2348"/>
              </w:tabs>
              <w:spacing w:line="360" w:lineRule="auto"/>
              <w:ind w:firstLine="420" w:firstLineChars="200"/>
              <w:rPr>
                <w:rFonts w:hint="default" w:ascii="Times New Roman" w:hAnsi="Times New Roman" w:cs="Times New Roman"/>
                <w:color w:val="auto"/>
                <w:sz w:val="21"/>
                <w:szCs w:val="21"/>
                <w:highlight w:val="none"/>
                <w:lang w:val="en-US" w:eastAsia="zh-CN"/>
              </w:rPr>
            </w:pPr>
            <w:r>
              <w:rPr>
                <w:rFonts w:hint="default" w:ascii="Times New Roman" w:hAnsi="Times New Roman" w:eastAsia="微软雅黑" w:cs="Times New Roman"/>
                <w:color w:val="auto"/>
                <w:sz w:val="21"/>
                <w:szCs w:val="21"/>
                <w:highlight w:val="none"/>
                <w:lang w:val="en-US" w:eastAsia="zh-CN"/>
              </w:rPr>
              <w:t>③</w:t>
            </w:r>
            <w:r>
              <w:rPr>
                <w:rFonts w:hint="default" w:ascii="Times New Roman" w:hAnsi="Times New Roman" w:cs="Times New Roman"/>
                <w:color w:val="auto"/>
                <w:sz w:val="21"/>
                <w:szCs w:val="21"/>
                <w:highlight w:val="none"/>
                <w:lang w:val="en-US" w:eastAsia="zh-CN"/>
              </w:rPr>
              <w:t>要求企业加强操作工人的自我防范、配备必要的劳保用品（口罩、眼镜等）以及按照规范操作等措施，减少对车间操作工人的影响；</w:t>
            </w:r>
          </w:p>
          <w:p w14:paraId="7589A514">
            <w:pPr>
              <w:pStyle w:val="8"/>
              <w:keepNext w:val="0"/>
              <w:keepLines w:val="0"/>
              <w:pageBreakBefore w:val="0"/>
              <w:widowControl/>
              <w:kinsoku/>
              <w:wordWrap/>
              <w:overflowPunct/>
              <w:topLinePunct w:val="0"/>
              <w:autoSpaceDE/>
              <w:autoSpaceDN/>
              <w:bidi w:val="0"/>
              <w:adjustRightInd/>
              <w:snapToGrid w:val="0"/>
              <w:spacing w:line="360" w:lineRule="auto"/>
              <w:ind w:right="0" w:firstLine="420" w:firstLineChars="20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微软雅黑" w:cs="Times New Roman"/>
                <w:color w:val="auto"/>
                <w:sz w:val="21"/>
                <w:szCs w:val="21"/>
                <w:highlight w:val="none"/>
                <w:lang w:val="en-US" w:eastAsia="zh-CN"/>
              </w:rPr>
              <w:t>④</w:t>
            </w:r>
            <w:r>
              <w:rPr>
                <w:rFonts w:hint="default" w:ascii="Times New Roman" w:hAnsi="Times New Roman" w:cs="Times New Roman"/>
                <w:color w:val="auto"/>
                <w:sz w:val="21"/>
                <w:szCs w:val="21"/>
                <w:highlight w:val="none"/>
                <w:lang w:val="en-US" w:eastAsia="zh-CN"/>
              </w:rPr>
              <w:t>在厂区外侧设置绿化带，种植对废气具有良好吸附效果的植被以降低无组织排放的影响。</w:t>
            </w:r>
          </w:p>
          <w:p w14:paraId="4CC01A21">
            <w:pPr>
              <w:pStyle w:val="8"/>
              <w:keepNext w:val="0"/>
              <w:keepLines w:val="0"/>
              <w:pageBreakBefore w:val="0"/>
              <w:widowControl/>
              <w:kinsoku/>
              <w:wordWrap/>
              <w:overflowPunct/>
              <w:topLinePunct w:val="0"/>
              <w:autoSpaceDE/>
              <w:autoSpaceDN/>
              <w:bidi w:val="0"/>
              <w:adjustRightInd/>
              <w:snapToGrid w:val="0"/>
              <w:spacing w:line="360" w:lineRule="auto"/>
              <w:ind w:right="0" w:firstLine="420" w:firstLineChars="200"/>
              <w:textAlignment w:val="auto"/>
              <w:rPr>
                <w:rFonts w:hint="eastAsia"/>
                <w:color w:val="auto"/>
                <w:lang w:eastAsia="zh-CN"/>
              </w:rPr>
            </w:pPr>
            <w:r>
              <w:rPr>
                <w:rFonts w:hint="default" w:ascii="Times New Roman" w:hAnsi="Times New Roman" w:cs="Times New Roman"/>
                <w:color w:val="auto"/>
                <w:sz w:val="21"/>
                <w:szCs w:val="21"/>
                <w:highlight w:val="none"/>
                <w:lang w:val="en-US" w:eastAsia="zh-CN"/>
              </w:rPr>
              <w:t>实践证明，通过采取以上无组织排放控制措施，可减少本项目的无组织气体的排放，污染物无组织排放量降低到较低的水平。通过预测，本项目无组织排放对大气环境及周边敏感目标的影响较小，无组织废气的控制措施可行。</w:t>
            </w:r>
          </w:p>
          <w:p w14:paraId="23947323">
            <w:pPr>
              <w:pStyle w:val="4"/>
              <w:bidi w:val="0"/>
              <w:rPr>
                <w:rFonts w:hint="default"/>
                <w:color w:val="auto"/>
                <w:lang w:val="en-US" w:eastAsia="zh-CN"/>
              </w:rPr>
            </w:pPr>
            <w:r>
              <w:rPr>
                <w:rFonts w:hint="eastAsia"/>
                <w:color w:val="auto"/>
                <w:lang w:val="en-US" w:eastAsia="zh-CN"/>
              </w:rPr>
              <w:t>5、废气达标分析</w:t>
            </w:r>
          </w:p>
          <w:p w14:paraId="5A3EE8F9">
            <w:pPr>
              <w:pageBreakBefore w:val="0"/>
              <w:widowControl w:val="0"/>
              <w:numPr>
                <w:ilvl w:val="0"/>
                <w:numId w:val="0"/>
              </w:numPr>
              <w:kinsoku/>
              <w:wordWrap/>
              <w:overflowPunct/>
              <w:topLinePunct w:val="0"/>
              <w:autoSpaceDE/>
              <w:autoSpaceDN/>
              <w:bidi w:val="0"/>
              <w:adjustRightInd/>
              <w:snapToGrid w:val="0"/>
              <w:spacing w:line="240" w:lineRule="auto"/>
              <w:ind w:firstLine="422" w:firstLineChars="200"/>
              <w:jc w:val="center"/>
              <w:textAlignment w:val="auto"/>
              <w:rPr>
                <w:rFonts w:hint="eastAsia"/>
                <w:b/>
                <w:color w:val="auto"/>
                <w:sz w:val="21"/>
                <w:szCs w:val="21"/>
                <w:highlight w:val="none"/>
              </w:rPr>
            </w:pPr>
            <w:r>
              <w:rPr>
                <w:b/>
                <w:color w:val="auto"/>
                <w:sz w:val="21"/>
                <w:szCs w:val="21"/>
                <w:highlight w:val="none"/>
              </w:rPr>
              <w:t>表</w:t>
            </w:r>
            <w:r>
              <w:rPr>
                <w:rFonts w:hint="default" w:ascii="Times New Roman" w:hAnsi="Times New Roman" w:cs="Times New Roman"/>
                <w:b/>
                <w:color w:val="auto"/>
                <w:sz w:val="21"/>
                <w:szCs w:val="21"/>
                <w:highlight w:val="none"/>
              </w:rPr>
              <w:t>4-</w:t>
            </w:r>
            <w:r>
              <w:rPr>
                <w:rFonts w:hint="eastAsia" w:cs="Times New Roman"/>
                <w:b/>
                <w:color w:val="auto"/>
                <w:sz w:val="21"/>
                <w:szCs w:val="21"/>
                <w:highlight w:val="none"/>
                <w:lang w:val="en-US" w:eastAsia="zh-CN"/>
              </w:rPr>
              <w:t>8</w:t>
            </w:r>
            <w:r>
              <w:rPr>
                <w:b/>
                <w:color w:val="auto"/>
                <w:sz w:val="21"/>
                <w:szCs w:val="21"/>
                <w:highlight w:val="none"/>
              </w:rPr>
              <w:t xml:space="preserve"> </w:t>
            </w:r>
            <w:r>
              <w:rPr>
                <w:rFonts w:hint="eastAsia"/>
                <w:b/>
                <w:color w:val="auto"/>
                <w:sz w:val="21"/>
                <w:szCs w:val="21"/>
                <w:highlight w:val="none"/>
                <w:lang w:val="en-US" w:eastAsia="zh-CN"/>
              </w:rPr>
              <w:t>本</w:t>
            </w:r>
            <w:r>
              <w:rPr>
                <w:b/>
                <w:color w:val="auto"/>
                <w:sz w:val="21"/>
                <w:szCs w:val="21"/>
                <w:highlight w:val="none"/>
              </w:rPr>
              <w:t>项目有组织废气</w:t>
            </w:r>
            <w:r>
              <w:rPr>
                <w:rFonts w:hint="eastAsia"/>
                <w:b/>
                <w:color w:val="auto"/>
                <w:sz w:val="21"/>
                <w:szCs w:val="21"/>
                <w:highlight w:val="none"/>
              </w:rPr>
              <w:t>达标情况一览表</w:t>
            </w:r>
          </w:p>
          <w:tbl>
            <w:tblPr>
              <w:tblStyle w:val="20"/>
              <w:tblpPr w:leftFromText="180" w:rightFromText="180" w:vertAnchor="text" w:tblpXSpec="center" w:tblpY="1"/>
              <w:tblOverlap w:val="never"/>
              <w:tblW w:w="4999"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656"/>
              <w:gridCol w:w="1157"/>
              <w:gridCol w:w="1288"/>
              <w:gridCol w:w="1414"/>
              <w:gridCol w:w="1337"/>
              <w:gridCol w:w="1613"/>
              <w:gridCol w:w="656"/>
            </w:tblGrid>
            <w:tr w14:paraId="32FAA06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404" w:type="pct"/>
                  <w:vMerge w:val="restart"/>
                  <w:noWrap w:val="0"/>
                  <w:vAlign w:val="center"/>
                </w:tcPr>
                <w:p w14:paraId="2E034569">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排气筒</w:t>
                  </w:r>
                </w:p>
              </w:tc>
              <w:tc>
                <w:tcPr>
                  <w:tcW w:w="712" w:type="pct"/>
                  <w:vMerge w:val="restart"/>
                  <w:noWrap w:val="0"/>
                  <w:vAlign w:val="center"/>
                </w:tcPr>
                <w:p w14:paraId="36E2E6F1">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污染物名称</w:t>
                  </w:r>
                </w:p>
              </w:tc>
              <w:tc>
                <w:tcPr>
                  <w:tcW w:w="1662" w:type="pct"/>
                  <w:gridSpan w:val="2"/>
                  <w:noWrap/>
                  <w:vAlign w:val="center"/>
                </w:tcPr>
                <w:p w14:paraId="537C4A0C">
                  <w:pPr>
                    <w:jc w:val="center"/>
                    <w:rPr>
                      <w:rFonts w:hint="default" w:ascii="Times New Roman" w:hAnsi="Times New Roman" w:cs="Times New Roman"/>
                      <w:color w:val="auto"/>
                      <w:sz w:val="18"/>
                      <w:szCs w:val="18"/>
                      <w:highlight w:val="none"/>
                    </w:rPr>
                  </w:pPr>
                  <w:r>
                    <w:rPr>
                      <w:rFonts w:hint="default" w:ascii="Times New Roman" w:hAnsi="Times New Roman" w:cs="Times New Roman"/>
                      <w:b/>
                      <w:bCs/>
                      <w:color w:val="auto"/>
                      <w:sz w:val="18"/>
                      <w:szCs w:val="18"/>
                      <w:highlight w:val="none"/>
                    </w:rPr>
                    <w:t>排放情况</w:t>
                  </w:r>
                </w:p>
              </w:tc>
              <w:tc>
                <w:tcPr>
                  <w:tcW w:w="1816" w:type="pct"/>
                  <w:gridSpan w:val="2"/>
                  <w:noWrap w:val="0"/>
                  <w:vAlign w:val="center"/>
                </w:tcPr>
                <w:p w14:paraId="0AD765DE">
                  <w:pPr>
                    <w:jc w:val="center"/>
                    <w:rPr>
                      <w:rFonts w:hint="default" w:ascii="Times New Roman" w:hAnsi="Times New Roman" w:cs="Times New Roman"/>
                      <w:color w:val="auto"/>
                      <w:sz w:val="18"/>
                      <w:szCs w:val="18"/>
                      <w:highlight w:val="none"/>
                    </w:rPr>
                  </w:pPr>
                  <w:r>
                    <w:rPr>
                      <w:rFonts w:hint="default" w:ascii="Times New Roman" w:hAnsi="Times New Roman" w:cs="Times New Roman"/>
                      <w:b/>
                      <w:bCs/>
                      <w:color w:val="auto"/>
                      <w:sz w:val="18"/>
                      <w:szCs w:val="18"/>
                      <w:highlight w:val="none"/>
                    </w:rPr>
                    <w:t>排放标准</w:t>
                  </w:r>
                </w:p>
              </w:tc>
              <w:tc>
                <w:tcPr>
                  <w:tcW w:w="404" w:type="pct"/>
                  <w:vMerge w:val="restart"/>
                  <w:noWrap w:val="0"/>
                  <w:vAlign w:val="center"/>
                </w:tcPr>
                <w:p w14:paraId="738A6C54">
                  <w:pPr>
                    <w:jc w:val="center"/>
                    <w:rPr>
                      <w:rFonts w:hint="default" w:ascii="Times New Roman" w:hAnsi="Times New Roman" w:cs="Times New Roman"/>
                      <w:color w:val="auto"/>
                      <w:sz w:val="18"/>
                      <w:szCs w:val="18"/>
                      <w:highlight w:val="none"/>
                    </w:rPr>
                  </w:pPr>
                  <w:r>
                    <w:rPr>
                      <w:rFonts w:hint="default" w:ascii="Times New Roman" w:hAnsi="Times New Roman" w:cs="Times New Roman"/>
                      <w:b/>
                      <w:bCs/>
                      <w:color w:val="auto"/>
                      <w:sz w:val="18"/>
                      <w:szCs w:val="18"/>
                      <w:highlight w:val="none"/>
                    </w:rPr>
                    <w:t>达标情况</w:t>
                  </w:r>
                </w:p>
              </w:tc>
            </w:tr>
            <w:tr w14:paraId="4D79D75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404" w:type="pct"/>
                  <w:vMerge w:val="continue"/>
                  <w:noWrap w:val="0"/>
                  <w:vAlign w:val="center"/>
                </w:tcPr>
                <w:p w14:paraId="401E4BCE">
                  <w:pPr>
                    <w:jc w:val="center"/>
                    <w:rPr>
                      <w:rFonts w:hint="default" w:ascii="Times New Roman" w:hAnsi="Times New Roman" w:cs="Times New Roman"/>
                      <w:color w:val="auto"/>
                      <w:sz w:val="18"/>
                      <w:szCs w:val="18"/>
                      <w:highlight w:val="none"/>
                    </w:rPr>
                  </w:pPr>
                </w:p>
              </w:tc>
              <w:tc>
                <w:tcPr>
                  <w:tcW w:w="712" w:type="pct"/>
                  <w:vMerge w:val="continue"/>
                  <w:noWrap w:val="0"/>
                  <w:vAlign w:val="center"/>
                </w:tcPr>
                <w:p w14:paraId="39278080">
                  <w:pPr>
                    <w:jc w:val="center"/>
                    <w:rPr>
                      <w:rFonts w:hint="default" w:ascii="Times New Roman" w:hAnsi="Times New Roman" w:cs="Times New Roman"/>
                      <w:color w:val="auto"/>
                      <w:sz w:val="18"/>
                      <w:szCs w:val="18"/>
                      <w:highlight w:val="none"/>
                    </w:rPr>
                  </w:pPr>
                </w:p>
              </w:tc>
              <w:tc>
                <w:tcPr>
                  <w:tcW w:w="792" w:type="pct"/>
                  <w:noWrap/>
                  <w:vAlign w:val="center"/>
                </w:tcPr>
                <w:p w14:paraId="1960CCD9">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浓度mg/m</w:t>
                  </w:r>
                  <w:r>
                    <w:rPr>
                      <w:rFonts w:hint="default" w:ascii="Times New Roman" w:hAnsi="Times New Roman" w:cs="Times New Roman"/>
                      <w:b/>
                      <w:bCs/>
                      <w:color w:val="auto"/>
                      <w:sz w:val="18"/>
                      <w:szCs w:val="18"/>
                      <w:highlight w:val="none"/>
                      <w:vertAlign w:val="superscript"/>
                    </w:rPr>
                    <w:t>3</w:t>
                  </w:r>
                </w:p>
              </w:tc>
              <w:tc>
                <w:tcPr>
                  <w:tcW w:w="869" w:type="pct"/>
                  <w:noWrap/>
                  <w:vAlign w:val="center"/>
                </w:tcPr>
                <w:p w14:paraId="24237F05">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排放速率kg/h</w:t>
                  </w:r>
                </w:p>
              </w:tc>
              <w:tc>
                <w:tcPr>
                  <w:tcW w:w="823" w:type="pct"/>
                  <w:noWrap w:val="0"/>
                  <w:vAlign w:val="center"/>
                </w:tcPr>
                <w:p w14:paraId="7DE48F4F">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浓度mg/m</w:t>
                  </w:r>
                  <w:r>
                    <w:rPr>
                      <w:rFonts w:hint="default" w:ascii="Times New Roman" w:hAnsi="Times New Roman" w:cs="Times New Roman"/>
                      <w:b/>
                      <w:bCs/>
                      <w:color w:val="auto"/>
                      <w:sz w:val="18"/>
                      <w:szCs w:val="18"/>
                      <w:highlight w:val="none"/>
                      <w:vertAlign w:val="superscript"/>
                    </w:rPr>
                    <w:t>3</w:t>
                  </w:r>
                </w:p>
              </w:tc>
              <w:tc>
                <w:tcPr>
                  <w:tcW w:w="992" w:type="pct"/>
                  <w:noWrap w:val="0"/>
                  <w:vAlign w:val="center"/>
                </w:tcPr>
                <w:p w14:paraId="49D80455">
                  <w:pPr>
                    <w:jc w:val="center"/>
                    <w:rPr>
                      <w:rFonts w:hint="default" w:ascii="Times New Roman" w:hAnsi="Times New Roman" w:cs="Times New Roman"/>
                      <w:b/>
                      <w:bCs/>
                      <w:color w:val="auto"/>
                      <w:sz w:val="18"/>
                      <w:szCs w:val="18"/>
                      <w:highlight w:val="none"/>
                    </w:rPr>
                  </w:pPr>
                  <w:r>
                    <w:rPr>
                      <w:rFonts w:hint="default" w:ascii="Times New Roman" w:hAnsi="Times New Roman" w:cs="Times New Roman"/>
                      <w:b/>
                      <w:bCs/>
                      <w:color w:val="auto"/>
                      <w:sz w:val="18"/>
                      <w:szCs w:val="18"/>
                      <w:highlight w:val="none"/>
                    </w:rPr>
                    <w:t>排放速率kg/h</w:t>
                  </w:r>
                </w:p>
              </w:tc>
              <w:tc>
                <w:tcPr>
                  <w:tcW w:w="404" w:type="pct"/>
                  <w:vMerge w:val="continue"/>
                  <w:noWrap w:val="0"/>
                  <w:vAlign w:val="center"/>
                </w:tcPr>
                <w:p w14:paraId="62192E73">
                  <w:pPr>
                    <w:jc w:val="center"/>
                    <w:rPr>
                      <w:rFonts w:hint="default" w:ascii="Times New Roman" w:hAnsi="Times New Roman" w:cs="Times New Roman"/>
                      <w:color w:val="auto"/>
                      <w:sz w:val="18"/>
                      <w:szCs w:val="18"/>
                      <w:highlight w:val="none"/>
                    </w:rPr>
                  </w:pPr>
                </w:p>
              </w:tc>
            </w:tr>
            <w:tr w14:paraId="4961153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404" w:type="pct"/>
                  <w:vMerge w:val="restart"/>
                  <w:noWrap w:val="0"/>
                  <w:vAlign w:val="center"/>
                </w:tcPr>
                <w:p w14:paraId="0E035158">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DA016</w:t>
                  </w:r>
                </w:p>
              </w:tc>
              <w:tc>
                <w:tcPr>
                  <w:tcW w:w="712" w:type="pct"/>
                  <w:shd w:val="clear" w:color="auto" w:fill="auto"/>
                  <w:noWrap w:val="0"/>
                  <w:vAlign w:val="center"/>
                </w:tcPr>
                <w:p w14:paraId="24903021">
                  <w:pPr>
                    <w:jc w:val="center"/>
                    <w:rPr>
                      <w:rFonts w:hint="default" w:ascii="Times New Roman" w:hAnsi="Times New Roman" w:eastAsia="宋体" w:cs="Times New Roman"/>
                      <w:color w:val="auto"/>
                      <w:kern w:val="2"/>
                      <w:sz w:val="18"/>
                      <w:szCs w:val="24"/>
                      <w:lang w:val="zh-CN" w:eastAsia="zh-CN" w:bidi="zh-CN"/>
                    </w:rPr>
                  </w:pPr>
                  <w:r>
                    <w:rPr>
                      <w:rFonts w:hint="eastAsia"/>
                      <w:color w:val="auto"/>
                      <w:sz w:val="18"/>
                      <w:szCs w:val="18"/>
                      <w:lang w:val="en-US" w:eastAsia="zh-CN"/>
                    </w:rPr>
                    <w:t>颗粒物</w:t>
                  </w:r>
                </w:p>
              </w:tc>
              <w:tc>
                <w:tcPr>
                  <w:tcW w:w="1288" w:type="dxa"/>
                  <w:shd w:val="clear" w:color="auto" w:fill="auto"/>
                  <w:noWrap/>
                  <w:vAlign w:val="center"/>
                </w:tcPr>
                <w:p w14:paraId="2C15FDB0">
                  <w:pPr>
                    <w:pStyle w:val="1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0.54</w:t>
                  </w:r>
                </w:p>
              </w:tc>
              <w:tc>
                <w:tcPr>
                  <w:tcW w:w="1412" w:type="dxa"/>
                  <w:shd w:val="clear" w:color="auto" w:fill="auto"/>
                  <w:noWrap/>
                  <w:vAlign w:val="center"/>
                </w:tcPr>
                <w:p w14:paraId="1CB7FC65">
                  <w:pPr>
                    <w:pStyle w:val="1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0.0043</w:t>
                  </w:r>
                </w:p>
              </w:tc>
              <w:tc>
                <w:tcPr>
                  <w:tcW w:w="823" w:type="pct"/>
                  <w:noWrap w:val="0"/>
                  <w:vAlign w:val="center"/>
                </w:tcPr>
                <w:p w14:paraId="479D7E63">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10</w:t>
                  </w:r>
                </w:p>
              </w:tc>
              <w:tc>
                <w:tcPr>
                  <w:tcW w:w="992" w:type="pct"/>
                  <w:noWrap w:val="0"/>
                  <w:vAlign w:val="center"/>
                </w:tcPr>
                <w:p w14:paraId="456FF5F2">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0.6</w:t>
                  </w:r>
                </w:p>
              </w:tc>
              <w:tc>
                <w:tcPr>
                  <w:tcW w:w="404" w:type="pct"/>
                  <w:noWrap w:val="0"/>
                  <w:vAlign w:val="center"/>
                </w:tcPr>
                <w:p w14:paraId="697B6437">
                  <w:pPr>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达标</w:t>
                  </w:r>
                </w:p>
              </w:tc>
            </w:tr>
            <w:tr w14:paraId="6AB36FF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404" w:type="pct"/>
                  <w:vMerge w:val="continue"/>
                  <w:noWrap w:val="0"/>
                  <w:vAlign w:val="center"/>
                </w:tcPr>
                <w:p w14:paraId="5C89045E">
                  <w:pPr>
                    <w:jc w:val="center"/>
                    <w:rPr>
                      <w:rFonts w:hint="default" w:ascii="Times New Roman" w:hAnsi="Times New Roman" w:cs="Times New Roman"/>
                      <w:color w:val="auto"/>
                      <w:sz w:val="18"/>
                      <w:szCs w:val="18"/>
                      <w:highlight w:val="none"/>
                      <w:lang w:val="en-US" w:eastAsia="zh-CN"/>
                    </w:rPr>
                  </w:pPr>
                </w:p>
              </w:tc>
              <w:tc>
                <w:tcPr>
                  <w:tcW w:w="712" w:type="pct"/>
                  <w:shd w:val="clear" w:color="auto" w:fill="auto"/>
                  <w:noWrap w:val="0"/>
                  <w:vAlign w:val="center"/>
                </w:tcPr>
                <w:p w14:paraId="3D39DBAA">
                  <w:pPr>
                    <w:jc w:val="center"/>
                    <w:rPr>
                      <w:rFonts w:hint="eastAsia" w:ascii="Times New Roman" w:hAnsi="Times New Roman" w:eastAsia="宋体" w:cs="Times New Roman"/>
                      <w:color w:val="auto"/>
                      <w:kern w:val="2"/>
                      <w:sz w:val="18"/>
                      <w:szCs w:val="24"/>
                      <w:lang w:val="en-US" w:eastAsia="zh-CN" w:bidi="zh-CN"/>
                    </w:rPr>
                  </w:pPr>
                  <w:r>
                    <w:rPr>
                      <w:rFonts w:hint="eastAsia"/>
                      <w:color w:val="auto"/>
                      <w:sz w:val="18"/>
                      <w:szCs w:val="18"/>
                      <w:lang w:val="en-US" w:eastAsia="zh-CN"/>
                    </w:rPr>
                    <w:t>非甲烷总烃</w:t>
                  </w:r>
                </w:p>
              </w:tc>
              <w:tc>
                <w:tcPr>
                  <w:tcW w:w="1288" w:type="dxa"/>
                  <w:shd w:val="clear" w:color="auto" w:fill="auto"/>
                  <w:noWrap/>
                  <w:vAlign w:val="center"/>
                </w:tcPr>
                <w:p w14:paraId="1CB41BC4">
                  <w:pPr>
                    <w:pStyle w:val="1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17.26</w:t>
                  </w:r>
                </w:p>
              </w:tc>
              <w:tc>
                <w:tcPr>
                  <w:tcW w:w="1412" w:type="dxa"/>
                  <w:shd w:val="clear" w:color="auto" w:fill="auto"/>
                  <w:noWrap/>
                  <w:vAlign w:val="center"/>
                </w:tcPr>
                <w:p w14:paraId="5E568451">
                  <w:pPr>
                    <w:pStyle w:val="1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0.1381</w:t>
                  </w:r>
                </w:p>
              </w:tc>
              <w:tc>
                <w:tcPr>
                  <w:tcW w:w="823" w:type="pct"/>
                  <w:shd w:val="clear" w:color="auto" w:fill="auto"/>
                  <w:noWrap w:val="0"/>
                  <w:vAlign w:val="center"/>
                </w:tcPr>
                <w:p w14:paraId="1B37A05A">
                  <w:pPr>
                    <w:pStyle w:val="51"/>
                    <w:spacing w:line="320" w:lineRule="exact"/>
                    <w:ind w:firstLine="0" w:firstLineChars="0"/>
                    <w:rPr>
                      <w:rFonts w:hint="default" w:ascii="Times New Roman" w:hAnsi="Times New Roman" w:eastAsia="宋体" w:cs="Times New Roman"/>
                      <w:color w:val="auto"/>
                      <w:kern w:val="0"/>
                      <w:sz w:val="18"/>
                      <w:szCs w:val="18"/>
                      <w:lang w:val="en-US" w:eastAsia="zh-CN" w:bidi="ar-SA"/>
                    </w:rPr>
                  </w:pPr>
                  <w:r>
                    <w:rPr>
                      <w:rFonts w:hint="eastAsia" w:cs="Times New Roman"/>
                      <w:color w:val="auto"/>
                      <w:sz w:val="18"/>
                      <w:szCs w:val="18"/>
                      <w:lang w:val="en-US" w:eastAsia="zh-CN"/>
                    </w:rPr>
                    <w:t>40</w:t>
                  </w:r>
                </w:p>
              </w:tc>
              <w:tc>
                <w:tcPr>
                  <w:tcW w:w="992" w:type="pct"/>
                  <w:shd w:val="clear" w:color="auto" w:fill="auto"/>
                  <w:noWrap w:val="0"/>
                  <w:vAlign w:val="center"/>
                </w:tcPr>
                <w:p w14:paraId="7F788EE6">
                  <w:pPr>
                    <w:pStyle w:val="51"/>
                    <w:spacing w:line="320" w:lineRule="exact"/>
                    <w:ind w:firstLine="0" w:firstLineChars="0"/>
                    <w:rPr>
                      <w:rFonts w:hint="eastAsia" w:ascii="Times New Roman" w:hAnsi="Times New Roman" w:eastAsia="宋体" w:cs="Times New Roman"/>
                      <w:color w:val="auto"/>
                      <w:kern w:val="0"/>
                      <w:sz w:val="18"/>
                      <w:szCs w:val="18"/>
                      <w:lang w:val="en-US" w:eastAsia="zh-CN" w:bidi="ar-SA"/>
                    </w:rPr>
                  </w:pPr>
                  <w:r>
                    <w:rPr>
                      <w:rFonts w:hint="eastAsia" w:cs="Times New Roman"/>
                      <w:color w:val="auto"/>
                      <w:sz w:val="18"/>
                      <w:szCs w:val="18"/>
                      <w:lang w:val="en-US" w:eastAsia="zh-CN"/>
                    </w:rPr>
                    <w:t>1.8</w:t>
                  </w:r>
                </w:p>
              </w:tc>
              <w:tc>
                <w:tcPr>
                  <w:tcW w:w="404" w:type="pct"/>
                  <w:noWrap w:val="0"/>
                  <w:vAlign w:val="center"/>
                </w:tcPr>
                <w:p w14:paraId="22354006">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达标</w:t>
                  </w:r>
                </w:p>
              </w:tc>
            </w:tr>
            <w:tr w14:paraId="3A30EAA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404" w:type="pct"/>
                  <w:noWrap w:val="0"/>
                  <w:vAlign w:val="center"/>
                </w:tcPr>
                <w:p w14:paraId="1E88E43F">
                  <w:pPr>
                    <w:jc w:val="center"/>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DA010</w:t>
                  </w:r>
                </w:p>
              </w:tc>
              <w:tc>
                <w:tcPr>
                  <w:tcW w:w="712" w:type="pct"/>
                  <w:shd w:val="clear" w:color="auto" w:fill="auto"/>
                  <w:noWrap w:val="0"/>
                  <w:vAlign w:val="center"/>
                </w:tcPr>
                <w:p w14:paraId="74B5BF82">
                  <w:pPr>
                    <w:jc w:val="center"/>
                    <w:rPr>
                      <w:rFonts w:hint="eastAsia"/>
                      <w:color w:val="auto"/>
                      <w:sz w:val="18"/>
                      <w:szCs w:val="18"/>
                      <w:lang w:val="en-US" w:eastAsia="zh-CN"/>
                    </w:rPr>
                  </w:pPr>
                  <w:r>
                    <w:rPr>
                      <w:rFonts w:hint="eastAsia"/>
                      <w:color w:val="auto"/>
                      <w:sz w:val="18"/>
                      <w:szCs w:val="18"/>
                      <w:lang w:val="en-US" w:eastAsia="zh-CN"/>
                    </w:rPr>
                    <w:t>非甲烷总烃</w:t>
                  </w:r>
                </w:p>
              </w:tc>
              <w:tc>
                <w:tcPr>
                  <w:tcW w:w="1288" w:type="dxa"/>
                  <w:shd w:val="clear" w:color="auto" w:fill="auto"/>
                  <w:noWrap/>
                  <w:vAlign w:val="center"/>
                </w:tcPr>
                <w:p w14:paraId="6D089A23">
                  <w:pPr>
                    <w:pStyle w:val="1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1</w:t>
                  </w:r>
                </w:p>
              </w:tc>
              <w:tc>
                <w:tcPr>
                  <w:tcW w:w="1412" w:type="dxa"/>
                  <w:shd w:val="clear" w:color="auto" w:fill="auto"/>
                  <w:noWrap/>
                  <w:vAlign w:val="center"/>
                </w:tcPr>
                <w:p w14:paraId="787F5E31">
                  <w:pPr>
                    <w:pStyle w:val="10"/>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0.0005</w:t>
                  </w:r>
                </w:p>
              </w:tc>
              <w:tc>
                <w:tcPr>
                  <w:tcW w:w="1412" w:type="dxa"/>
                  <w:shd w:val="clear" w:color="auto" w:fill="auto"/>
                  <w:noWrap w:val="0"/>
                  <w:vAlign w:val="center"/>
                </w:tcPr>
                <w:p w14:paraId="74A15168">
                  <w:pPr>
                    <w:pStyle w:val="51"/>
                    <w:spacing w:line="320" w:lineRule="exact"/>
                    <w:ind w:firstLine="0" w:firstLineChars="0"/>
                    <w:rPr>
                      <w:rFonts w:hint="eastAsia" w:cs="Times New Roman"/>
                      <w:color w:val="auto"/>
                      <w:sz w:val="18"/>
                      <w:szCs w:val="18"/>
                      <w:lang w:val="en-US" w:eastAsia="zh-CN"/>
                    </w:rPr>
                  </w:pPr>
                  <w:r>
                    <w:rPr>
                      <w:rFonts w:hint="eastAsia" w:cs="Times New Roman"/>
                      <w:color w:val="auto"/>
                      <w:sz w:val="18"/>
                      <w:szCs w:val="18"/>
                      <w:lang w:val="en-US" w:eastAsia="zh-CN"/>
                    </w:rPr>
                    <w:t>40</w:t>
                  </w:r>
                </w:p>
              </w:tc>
              <w:tc>
                <w:tcPr>
                  <w:tcW w:w="1705" w:type="dxa"/>
                  <w:shd w:val="clear" w:color="auto" w:fill="auto"/>
                  <w:noWrap w:val="0"/>
                  <w:vAlign w:val="center"/>
                </w:tcPr>
                <w:p w14:paraId="5AC61172">
                  <w:pPr>
                    <w:pStyle w:val="51"/>
                    <w:spacing w:line="320" w:lineRule="exact"/>
                    <w:ind w:firstLine="0" w:firstLineChars="0"/>
                    <w:rPr>
                      <w:rFonts w:hint="eastAsia" w:cs="Times New Roman"/>
                      <w:color w:val="auto"/>
                      <w:sz w:val="18"/>
                      <w:szCs w:val="18"/>
                      <w:lang w:val="en-US" w:eastAsia="zh-CN"/>
                    </w:rPr>
                  </w:pPr>
                  <w:r>
                    <w:rPr>
                      <w:rFonts w:hint="eastAsia" w:cs="Times New Roman"/>
                      <w:color w:val="auto"/>
                      <w:sz w:val="18"/>
                      <w:szCs w:val="18"/>
                      <w:lang w:val="en-US" w:eastAsia="zh-CN"/>
                    </w:rPr>
                    <w:t>1.8</w:t>
                  </w:r>
                </w:p>
              </w:tc>
              <w:tc>
                <w:tcPr>
                  <w:tcW w:w="689" w:type="dxa"/>
                  <w:noWrap w:val="0"/>
                  <w:vAlign w:val="center"/>
                </w:tcPr>
                <w:p w14:paraId="50414B84">
                  <w:pPr>
                    <w:jc w:val="center"/>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达标</w:t>
                  </w:r>
                </w:p>
              </w:tc>
            </w:tr>
          </w:tbl>
          <w:p w14:paraId="64635E24">
            <w:pPr>
              <w:pageBreakBefore w:val="0"/>
              <w:widowControl w:val="0"/>
              <w:numPr>
                <w:ilvl w:val="0"/>
                <w:numId w:val="0"/>
              </w:numPr>
              <w:kinsoku/>
              <w:wordWrap/>
              <w:overflowPunct/>
              <w:topLinePunct w:val="0"/>
              <w:autoSpaceDE/>
              <w:autoSpaceDN/>
              <w:bidi w:val="0"/>
              <w:adjustRightInd/>
              <w:snapToGrid w:val="0"/>
              <w:spacing w:line="360" w:lineRule="auto"/>
              <w:ind w:firstLine="380" w:firstLineChars="200"/>
              <w:jc w:val="left"/>
              <w:textAlignment w:val="auto"/>
              <w:rPr>
                <w:rFonts w:hint="default" w:ascii="Times New Roman" w:hAnsi="Times New Roman" w:cs="Times New Roman"/>
                <w:color w:val="auto"/>
                <w:lang w:val="en-US" w:eastAsia="zh-CN"/>
              </w:rPr>
            </w:pPr>
            <w:r>
              <w:rPr>
                <w:rFonts w:hint="default" w:ascii="Times New Roman" w:hAnsi="Times New Roman" w:cs="Times New Roman"/>
                <w:bCs/>
                <w:color w:val="auto"/>
                <w:spacing w:val="-10"/>
                <w:sz w:val="21"/>
                <w:szCs w:val="21"/>
                <w:highlight w:val="none"/>
              </w:rPr>
              <w:t>由上表可知，</w:t>
            </w:r>
            <w:r>
              <w:rPr>
                <w:rFonts w:hint="eastAsia" w:cs="Times New Roman"/>
                <w:bCs/>
                <w:color w:val="auto"/>
                <w:spacing w:val="-10"/>
                <w:sz w:val="21"/>
                <w:szCs w:val="21"/>
                <w:highlight w:val="none"/>
                <w:lang w:val="en-US" w:eastAsia="zh-CN"/>
              </w:rPr>
              <w:t>采取措施后，全厂废气可</w:t>
            </w:r>
            <w:r>
              <w:rPr>
                <w:rFonts w:hint="default" w:ascii="Times New Roman" w:hAnsi="Times New Roman" w:cs="Times New Roman"/>
                <w:color w:val="auto"/>
                <w:sz w:val="21"/>
                <w:szCs w:val="21"/>
                <w:highlight w:val="none"/>
              </w:rPr>
              <w:t>达标排放。</w:t>
            </w:r>
          </w:p>
          <w:p w14:paraId="77916781">
            <w:pPr>
              <w:pStyle w:val="4"/>
              <w:bidi w:val="0"/>
              <w:rPr>
                <w:rFonts w:hint="default"/>
                <w:color w:val="auto"/>
                <w:lang w:val="en-US" w:eastAsia="zh-CN"/>
              </w:rPr>
            </w:pPr>
            <w:r>
              <w:rPr>
                <w:rFonts w:hint="eastAsia"/>
                <w:color w:val="auto"/>
                <w:lang w:val="en-US" w:eastAsia="zh-CN"/>
              </w:rPr>
              <w:t>6、监测计划</w:t>
            </w:r>
          </w:p>
          <w:p w14:paraId="1F3A966A">
            <w:pPr>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left"/>
              <w:textAlignment w:val="auto"/>
              <w:rPr>
                <w:rFonts w:hint="default" w:ascii="Times New Roman" w:hAnsi="Times New Roman" w:cs="Times New Roman"/>
                <w:color w:val="auto"/>
                <w:spacing w:val="0"/>
                <w:sz w:val="21"/>
              </w:rPr>
            </w:pPr>
            <w:r>
              <w:rPr>
                <w:rFonts w:hint="default" w:ascii="Times New Roman" w:hAnsi="Times New Roman" w:cs="Times New Roman"/>
                <w:color w:val="auto"/>
                <w:spacing w:val="0"/>
                <w:sz w:val="21"/>
              </w:rPr>
              <w:t>排污单位可根据《</w:t>
            </w:r>
            <w:r>
              <w:rPr>
                <w:rFonts w:hint="eastAsia" w:cs="Times New Roman"/>
                <w:color w:val="auto"/>
                <w:spacing w:val="0"/>
                <w:sz w:val="21"/>
                <w:lang w:eastAsia="zh-CN"/>
              </w:rPr>
              <w:t>排污单位自行监测技术指南 涂装</w:t>
            </w:r>
            <w:r>
              <w:rPr>
                <w:rFonts w:hint="default" w:ascii="Times New Roman" w:hAnsi="Times New Roman" w:cs="Times New Roman"/>
                <w:color w:val="auto"/>
                <w:spacing w:val="0"/>
                <w:sz w:val="21"/>
              </w:rPr>
              <w:t>》</w:t>
            </w:r>
            <w:r>
              <w:rPr>
                <w:rFonts w:hint="eastAsia" w:cs="Times New Roman"/>
                <w:color w:val="auto"/>
                <w:spacing w:val="0"/>
                <w:sz w:val="21"/>
                <w:lang w:eastAsia="zh-CN"/>
              </w:rPr>
              <w:t>（HJ 1086-2020）</w:t>
            </w:r>
            <w:r>
              <w:rPr>
                <w:rFonts w:hint="default" w:ascii="Times New Roman" w:hAnsi="Times New Roman" w:cs="Times New Roman"/>
                <w:color w:val="auto"/>
                <w:spacing w:val="0"/>
                <w:sz w:val="21"/>
              </w:rPr>
              <w:t>在生产运行阶段开展监测。本项目废气监测计划具体见表</w:t>
            </w:r>
            <w:r>
              <w:rPr>
                <w:rFonts w:hint="eastAsia" w:cs="Times New Roman"/>
                <w:color w:val="auto"/>
                <w:spacing w:val="0"/>
                <w:sz w:val="21"/>
                <w:lang w:val="en-US" w:eastAsia="zh-CN"/>
              </w:rPr>
              <w:t>4-9</w:t>
            </w:r>
            <w:r>
              <w:rPr>
                <w:rFonts w:hint="default" w:ascii="Times New Roman" w:hAnsi="Times New Roman" w:cs="Times New Roman"/>
                <w:color w:val="auto"/>
                <w:spacing w:val="0"/>
                <w:sz w:val="21"/>
              </w:rPr>
              <w:t>。根据《建设项目竣工环境保护验收技术指南 污染影响类》，建设项目需针对大气污染源制定验收监测计划，</w:t>
            </w:r>
            <w:r>
              <w:rPr>
                <w:rFonts w:hint="eastAsia" w:ascii="Times New Roman" w:hAnsi="Times New Roman" w:cs="Times New Roman"/>
                <w:color w:val="auto"/>
                <w:spacing w:val="0"/>
                <w:sz w:val="21"/>
                <w:lang w:val="en-US" w:eastAsia="zh-CN"/>
              </w:rPr>
              <w:t>具体</w:t>
            </w:r>
            <w:r>
              <w:rPr>
                <w:rFonts w:hint="default" w:ascii="Times New Roman" w:hAnsi="Times New Roman" w:cs="Times New Roman"/>
                <w:color w:val="auto"/>
                <w:spacing w:val="0"/>
                <w:sz w:val="21"/>
              </w:rPr>
              <w:t>见下表 4-</w:t>
            </w:r>
            <w:r>
              <w:rPr>
                <w:rFonts w:hint="eastAsia" w:cs="Times New Roman"/>
                <w:color w:val="auto"/>
                <w:spacing w:val="0"/>
                <w:sz w:val="21"/>
                <w:lang w:val="en-US" w:eastAsia="zh-CN"/>
              </w:rPr>
              <w:t>10</w:t>
            </w:r>
            <w:r>
              <w:rPr>
                <w:rFonts w:hint="default" w:ascii="Times New Roman" w:hAnsi="Times New Roman" w:cs="Times New Roman"/>
                <w:color w:val="auto"/>
                <w:spacing w:val="0"/>
                <w:sz w:val="21"/>
              </w:rPr>
              <w:t>。</w:t>
            </w:r>
          </w:p>
          <w:p w14:paraId="5902287D">
            <w:pPr>
              <w:pStyle w:val="46"/>
              <w:tabs>
                <w:tab w:val="left" w:pos="3433"/>
              </w:tabs>
              <w:spacing w:before="139" w:line="240" w:lineRule="auto"/>
              <w:ind w:left="2682"/>
              <w:rPr>
                <w:rFonts w:hint="default" w:ascii="Times New Roman" w:hAnsi="Times New Roman" w:cs="Times New Roman"/>
                <w:color w:val="auto"/>
              </w:rPr>
            </w:pPr>
            <w:r>
              <w:rPr>
                <w:rFonts w:hint="default" w:ascii="Times New Roman" w:hAnsi="Times New Roman" w:cs="Times New Roman"/>
                <w:b/>
                <w:color w:val="auto"/>
                <w:sz w:val="21"/>
              </w:rPr>
              <w:t>表</w:t>
            </w:r>
            <w:r>
              <w:rPr>
                <w:rFonts w:hint="default" w:ascii="Times New Roman" w:hAnsi="Times New Roman" w:cs="Times New Roman"/>
                <w:b/>
                <w:color w:val="auto"/>
                <w:spacing w:val="-55"/>
                <w:sz w:val="21"/>
              </w:rPr>
              <w:t xml:space="preserve"> </w:t>
            </w:r>
            <w:r>
              <w:rPr>
                <w:rFonts w:hint="default" w:ascii="Times New Roman" w:hAnsi="Times New Roman" w:eastAsia="Times New Roman" w:cs="Times New Roman"/>
                <w:b/>
                <w:color w:val="auto"/>
                <w:sz w:val="21"/>
              </w:rPr>
              <w:t>4-</w:t>
            </w:r>
            <w:r>
              <w:rPr>
                <w:rFonts w:hint="eastAsia" w:ascii="Times New Roman" w:hAnsi="Times New Roman" w:cs="Times New Roman"/>
                <w:b/>
                <w:color w:val="auto"/>
                <w:sz w:val="21"/>
                <w:lang w:val="en-US" w:eastAsia="zh-CN"/>
              </w:rPr>
              <w:t xml:space="preserve">9 </w:t>
            </w:r>
            <w:r>
              <w:rPr>
                <w:rFonts w:hint="eastAsia"/>
                <w:b/>
                <w:color w:val="auto"/>
                <w:sz w:val="21"/>
                <w:szCs w:val="21"/>
                <w:highlight w:val="none"/>
                <w:lang w:val="en-US" w:eastAsia="zh-CN"/>
              </w:rPr>
              <w:t>本</w:t>
            </w:r>
            <w:r>
              <w:rPr>
                <w:b/>
                <w:color w:val="auto"/>
                <w:sz w:val="21"/>
                <w:szCs w:val="21"/>
                <w:highlight w:val="none"/>
              </w:rPr>
              <w:t>项目</w:t>
            </w:r>
            <w:r>
              <w:rPr>
                <w:rFonts w:hint="default" w:ascii="Times New Roman" w:hAnsi="Times New Roman" w:cs="Times New Roman"/>
                <w:b/>
                <w:color w:val="auto"/>
                <w:sz w:val="21"/>
              </w:rPr>
              <w:t>废气监测计划</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67"/>
              <w:gridCol w:w="761"/>
              <w:gridCol w:w="1256"/>
              <w:gridCol w:w="2452"/>
              <w:gridCol w:w="1554"/>
              <w:gridCol w:w="1430"/>
            </w:tblGrid>
            <w:tr w14:paraId="7F596D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879" w:type="pct"/>
                  <w:gridSpan w:val="2"/>
                  <w:tcBorders>
                    <w:tl2br w:val="nil"/>
                    <w:tr2bl w:val="nil"/>
                  </w:tcBorders>
                  <w:noWrap w:val="0"/>
                  <w:vAlign w:val="center"/>
                </w:tcPr>
                <w:p w14:paraId="41473715">
                  <w:pPr>
                    <w:snapToGrid w:val="0"/>
                    <w:jc w:val="center"/>
                    <w:textAlignment w:val="baseline"/>
                    <w:rPr>
                      <w:b/>
                      <w:bCs/>
                      <w:color w:val="auto"/>
                      <w:sz w:val="18"/>
                      <w:szCs w:val="18"/>
                      <w:highlight w:val="none"/>
                    </w:rPr>
                  </w:pPr>
                  <w:r>
                    <w:rPr>
                      <w:rFonts w:hint="eastAsia"/>
                      <w:b/>
                      <w:bCs/>
                      <w:color w:val="auto"/>
                      <w:sz w:val="18"/>
                      <w:szCs w:val="18"/>
                      <w:highlight w:val="none"/>
                    </w:rPr>
                    <w:t>项目</w:t>
                  </w:r>
                </w:p>
              </w:tc>
              <w:tc>
                <w:tcPr>
                  <w:tcW w:w="773" w:type="pct"/>
                  <w:tcBorders>
                    <w:tl2br w:val="nil"/>
                    <w:tr2bl w:val="nil"/>
                  </w:tcBorders>
                  <w:noWrap w:val="0"/>
                  <w:vAlign w:val="center"/>
                </w:tcPr>
                <w:p w14:paraId="2AAD124D">
                  <w:pPr>
                    <w:snapToGrid w:val="0"/>
                    <w:jc w:val="center"/>
                    <w:textAlignment w:val="baseline"/>
                    <w:rPr>
                      <w:b/>
                      <w:bCs/>
                      <w:color w:val="auto"/>
                      <w:sz w:val="18"/>
                      <w:szCs w:val="18"/>
                      <w:highlight w:val="none"/>
                    </w:rPr>
                  </w:pPr>
                  <w:r>
                    <w:rPr>
                      <w:rFonts w:hint="eastAsia"/>
                      <w:b/>
                      <w:bCs/>
                      <w:color w:val="auto"/>
                      <w:sz w:val="18"/>
                      <w:szCs w:val="18"/>
                      <w:highlight w:val="none"/>
                    </w:rPr>
                    <w:t>监测点位</w:t>
                  </w:r>
                </w:p>
              </w:tc>
              <w:tc>
                <w:tcPr>
                  <w:tcW w:w="1509" w:type="pct"/>
                  <w:tcBorders>
                    <w:tl2br w:val="nil"/>
                    <w:tr2bl w:val="nil"/>
                  </w:tcBorders>
                  <w:noWrap w:val="0"/>
                  <w:vAlign w:val="center"/>
                </w:tcPr>
                <w:p w14:paraId="7090FD6E">
                  <w:pPr>
                    <w:snapToGrid w:val="0"/>
                    <w:jc w:val="center"/>
                    <w:textAlignment w:val="baseline"/>
                    <w:rPr>
                      <w:b/>
                      <w:bCs/>
                      <w:color w:val="auto"/>
                      <w:sz w:val="18"/>
                      <w:szCs w:val="18"/>
                      <w:highlight w:val="none"/>
                    </w:rPr>
                  </w:pPr>
                  <w:r>
                    <w:rPr>
                      <w:rFonts w:hint="eastAsia"/>
                      <w:b/>
                      <w:bCs/>
                      <w:color w:val="auto"/>
                      <w:sz w:val="18"/>
                      <w:szCs w:val="18"/>
                      <w:highlight w:val="none"/>
                    </w:rPr>
                    <w:t>监测指标</w:t>
                  </w:r>
                </w:p>
              </w:tc>
              <w:tc>
                <w:tcPr>
                  <w:tcW w:w="956" w:type="pct"/>
                  <w:tcBorders>
                    <w:tl2br w:val="nil"/>
                    <w:tr2bl w:val="nil"/>
                  </w:tcBorders>
                  <w:noWrap w:val="0"/>
                  <w:vAlign w:val="center"/>
                </w:tcPr>
                <w:p w14:paraId="0F1373C9">
                  <w:pPr>
                    <w:snapToGrid w:val="0"/>
                    <w:jc w:val="center"/>
                    <w:textAlignment w:val="baseline"/>
                    <w:rPr>
                      <w:b/>
                      <w:bCs/>
                      <w:color w:val="auto"/>
                      <w:sz w:val="18"/>
                      <w:szCs w:val="18"/>
                      <w:highlight w:val="none"/>
                    </w:rPr>
                  </w:pPr>
                  <w:r>
                    <w:rPr>
                      <w:rFonts w:hint="eastAsia"/>
                      <w:b/>
                      <w:bCs/>
                      <w:color w:val="auto"/>
                      <w:sz w:val="18"/>
                      <w:szCs w:val="18"/>
                      <w:highlight w:val="none"/>
                    </w:rPr>
                    <w:t>监测频次</w:t>
                  </w:r>
                </w:p>
              </w:tc>
              <w:tc>
                <w:tcPr>
                  <w:tcW w:w="880" w:type="pct"/>
                  <w:tcBorders>
                    <w:tl2br w:val="nil"/>
                    <w:tr2bl w:val="nil"/>
                  </w:tcBorders>
                  <w:noWrap w:val="0"/>
                  <w:vAlign w:val="center"/>
                </w:tcPr>
                <w:p w14:paraId="5946B598">
                  <w:pPr>
                    <w:snapToGrid w:val="0"/>
                    <w:jc w:val="center"/>
                    <w:textAlignment w:val="baseline"/>
                    <w:rPr>
                      <w:b/>
                      <w:bCs/>
                      <w:color w:val="auto"/>
                      <w:sz w:val="18"/>
                      <w:szCs w:val="18"/>
                      <w:highlight w:val="none"/>
                    </w:rPr>
                  </w:pPr>
                  <w:r>
                    <w:rPr>
                      <w:rFonts w:hint="eastAsia"/>
                      <w:b/>
                      <w:bCs/>
                      <w:color w:val="auto"/>
                      <w:sz w:val="18"/>
                      <w:szCs w:val="18"/>
                      <w:highlight w:val="none"/>
                    </w:rPr>
                    <w:t>执行标准</w:t>
                  </w:r>
                </w:p>
              </w:tc>
            </w:tr>
            <w:tr w14:paraId="6DC369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411" w:type="pct"/>
                  <w:vMerge w:val="restart"/>
                  <w:tcBorders>
                    <w:tl2br w:val="nil"/>
                    <w:tr2bl w:val="nil"/>
                  </w:tcBorders>
                  <w:noWrap w:val="0"/>
                  <w:vAlign w:val="center"/>
                </w:tcPr>
                <w:p w14:paraId="2A47A13D">
                  <w:pPr>
                    <w:snapToGrid w:val="0"/>
                    <w:jc w:val="center"/>
                    <w:textAlignment w:val="baseline"/>
                    <w:rPr>
                      <w:color w:val="auto"/>
                      <w:sz w:val="18"/>
                      <w:szCs w:val="18"/>
                      <w:highlight w:val="none"/>
                    </w:rPr>
                  </w:pPr>
                  <w:r>
                    <w:rPr>
                      <w:rFonts w:hint="eastAsia" w:ascii="Times New Roman" w:hAnsi="Times New Roman" w:cs="Times New Roman"/>
                      <w:b w:val="0"/>
                      <w:bCs w:val="0"/>
                      <w:color w:val="auto"/>
                      <w:sz w:val="18"/>
                      <w:szCs w:val="18"/>
                      <w:vertAlign w:val="baseline"/>
                      <w:lang w:val="en-US" w:eastAsia="zh-CN"/>
                    </w:rPr>
                    <w:t>大</w:t>
                  </w:r>
                  <w:r>
                    <w:rPr>
                      <w:rFonts w:hint="default" w:ascii="Times New Roman" w:hAnsi="Times New Roman" w:cs="Times New Roman"/>
                      <w:b w:val="0"/>
                      <w:bCs w:val="0"/>
                      <w:color w:val="auto"/>
                      <w:sz w:val="18"/>
                      <w:szCs w:val="18"/>
                      <w:vertAlign w:val="baseline"/>
                      <w:lang w:val="en-US" w:eastAsia="zh-CN"/>
                    </w:rPr>
                    <w:t>气</w:t>
                  </w:r>
                </w:p>
              </w:tc>
              <w:tc>
                <w:tcPr>
                  <w:tcW w:w="468" w:type="pct"/>
                  <w:vMerge w:val="restart"/>
                  <w:tcBorders>
                    <w:tl2br w:val="nil"/>
                    <w:tr2bl w:val="nil"/>
                  </w:tcBorders>
                  <w:noWrap w:val="0"/>
                  <w:vAlign w:val="center"/>
                </w:tcPr>
                <w:p w14:paraId="6F030A74">
                  <w:pPr>
                    <w:snapToGrid w:val="0"/>
                    <w:jc w:val="center"/>
                    <w:textAlignment w:val="baseline"/>
                    <w:rPr>
                      <w:color w:val="auto"/>
                      <w:sz w:val="18"/>
                      <w:szCs w:val="18"/>
                      <w:highlight w:val="none"/>
                    </w:rPr>
                  </w:pPr>
                  <w:r>
                    <w:rPr>
                      <w:rFonts w:hint="eastAsia"/>
                      <w:color w:val="auto"/>
                      <w:sz w:val="18"/>
                      <w:szCs w:val="18"/>
                      <w:highlight w:val="none"/>
                    </w:rPr>
                    <w:t>有组织</w:t>
                  </w:r>
                </w:p>
              </w:tc>
              <w:tc>
                <w:tcPr>
                  <w:tcW w:w="773" w:type="pct"/>
                  <w:vMerge w:val="restart"/>
                  <w:tcBorders>
                    <w:tl2br w:val="nil"/>
                    <w:tr2bl w:val="nil"/>
                  </w:tcBorders>
                  <w:noWrap w:val="0"/>
                  <w:vAlign w:val="center"/>
                </w:tcPr>
                <w:p w14:paraId="76B743BA">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DA016</w:t>
                  </w:r>
                </w:p>
              </w:tc>
              <w:tc>
                <w:tcPr>
                  <w:tcW w:w="1509" w:type="pct"/>
                  <w:tcBorders>
                    <w:tl2br w:val="nil"/>
                    <w:tr2bl w:val="nil"/>
                  </w:tcBorders>
                  <w:noWrap w:val="0"/>
                  <w:vAlign w:val="center"/>
                </w:tcPr>
                <w:p w14:paraId="7DD2A34D">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颗粒物</w:t>
                  </w:r>
                </w:p>
              </w:tc>
              <w:tc>
                <w:tcPr>
                  <w:tcW w:w="956" w:type="pct"/>
                  <w:tcBorders>
                    <w:tl2br w:val="nil"/>
                    <w:tr2bl w:val="nil"/>
                  </w:tcBorders>
                  <w:noWrap w:val="0"/>
                  <w:vAlign w:val="center"/>
                </w:tcPr>
                <w:p w14:paraId="227927E3">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sz w:val="18"/>
                      <w:szCs w:val="18"/>
                      <w:highlight w:val="none"/>
                      <w:vertAlign w:val="baseline"/>
                      <w:lang w:val="en-US" w:eastAsia="zh-CN"/>
                    </w:rPr>
                    <w:t>1次/年</w:t>
                  </w:r>
                </w:p>
              </w:tc>
              <w:tc>
                <w:tcPr>
                  <w:tcW w:w="880" w:type="pct"/>
                  <w:vMerge w:val="restart"/>
                  <w:tcBorders>
                    <w:tl2br w:val="nil"/>
                    <w:tr2bl w:val="nil"/>
                  </w:tcBorders>
                  <w:noWrap w:val="0"/>
                  <w:vAlign w:val="center"/>
                </w:tcPr>
                <w:p w14:paraId="598F4AC0">
                  <w:pPr>
                    <w:wordWrap w:val="0"/>
                    <w:spacing w:line="240" w:lineRule="exact"/>
                    <w:jc w:val="center"/>
                    <w:rPr>
                      <w:rFonts w:hint="eastAsia"/>
                      <w:color w:val="auto"/>
                      <w:sz w:val="18"/>
                      <w:szCs w:val="18"/>
                      <w:highlight w:val="none"/>
                    </w:rPr>
                  </w:pPr>
                  <w:r>
                    <w:rPr>
                      <w:rFonts w:hint="eastAsia"/>
                      <w:color w:val="auto"/>
                      <w:sz w:val="18"/>
                      <w:szCs w:val="18"/>
                      <w:highlight w:val="none"/>
                    </w:rPr>
                    <w:t>《表面涂装（汽车零部件）大气污染物排放标准》（DB32/3966-2021）表1中标准</w:t>
                  </w:r>
                </w:p>
              </w:tc>
            </w:tr>
            <w:tr w14:paraId="69E9E9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411" w:type="pct"/>
                  <w:vMerge w:val="continue"/>
                  <w:tcBorders>
                    <w:tl2br w:val="nil"/>
                    <w:tr2bl w:val="nil"/>
                  </w:tcBorders>
                  <w:noWrap w:val="0"/>
                  <w:vAlign w:val="center"/>
                </w:tcPr>
                <w:p w14:paraId="1CF2207F">
                  <w:pPr>
                    <w:snapToGrid w:val="0"/>
                    <w:jc w:val="center"/>
                    <w:textAlignment w:val="baseline"/>
                    <w:rPr>
                      <w:rFonts w:hint="eastAsia"/>
                      <w:color w:val="auto"/>
                      <w:sz w:val="18"/>
                      <w:szCs w:val="18"/>
                      <w:highlight w:val="none"/>
                    </w:rPr>
                  </w:pPr>
                </w:p>
              </w:tc>
              <w:tc>
                <w:tcPr>
                  <w:tcW w:w="468" w:type="pct"/>
                  <w:vMerge w:val="continue"/>
                  <w:tcBorders>
                    <w:tl2br w:val="nil"/>
                    <w:tr2bl w:val="nil"/>
                  </w:tcBorders>
                  <w:noWrap w:val="0"/>
                  <w:vAlign w:val="center"/>
                </w:tcPr>
                <w:p w14:paraId="3B0233CF">
                  <w:pPr>
                    <w:snapToGrid w:val="0"/>
                    <w:jc w:val="center"/>
                    <w:textAlignment w:val="baseline"/>
                    <w:rPr>
                      <w:rFonts w:hint="eastAsia"/>
                      <w:color w:val="auto"/>
                      <w:sz w:val="18"/>
                      <w:szCs w:val="18"/>
                      <w:highlight w:val="none"/>
                    </w:rPr>
                  </w:pPr>
                </w:p>
              </w:tc>
              <w:tc>
                <w:tcPr>
                  <w:tcW w:w="773" w:type="pct"/>
                  <w:vMerge w:val="continue"/>
                  <w:tcBorders>
                    <w:tl2br w:val="nil"/>
                    <w:tr2bl w:val="nil"/>
                  </w:tcBorders>
                  <w:noWrap w:val="0"/>
                  <w:vAlign w:val="center"/>
                </w:tcPr>
                <w:p w14:paraId="4BF6A247">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p>
              </w:tc>
              <w:tc>
                <w:tcPr>
                  <w:tcW w:w="1509" w:type="pct"/>
                  <w:tcBorders>
                    <w:tl2br w:val="nil"/>
                    <w:tr2bl w:val="nil"/>
                  </w:tcBorders>
                  <w:noWrap w:val="0"/>
                  <w:vAlign w:val="center"/>
                </w:tcPr>
                <w:p w14:paraId="60DD7E18">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非甲烷总烃</w:t>
                  </w:r>
                </w:p>
              </w:tc>
              <w:tc>
                <w:tcPr>
                  <w:tcW w:w="956" w:type="pct"/>
                  <w:tcBorders>
                    <w:tl2br w:val="nil"/>
                    <w:tr2bl w:val="nil"/>
                  </w:tcBorders>
                  <w:noWrap w:val="0"/>
                  <w:vAlign w:val="center"/>
                </w:tcPr>
                <w:p w14:paraId="20F4883D">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sz w:val="18"/>
                      <w:szCs w:val="18"/>
                      <w:highlight w:val="none"/>
                      <w:vertAlign w:val="baseline"/>
                      <w:lang w:val="en-US" w:eastAsia="zh-CN"/>
                    </w:rPr>
                    <w:t>1次/年</w:t>
                  </w:r>
                </w:p>
              </w:tc>
              <w:tc>
                <w:tcPr>
                  <w:tcW w:w="880" w:type="pct"/>
                  <w:vMerge w:val="continue"/>
                  <w:tcBorders>
                    <w:tl2br w:val="nil"/>
                    <w:tr2bl w:val="nil"/>
                  </w:tcBorders>
                  <w:noWrap w:val="0"/>
                  <w:vAlign w:val="center"/>
                </w:tcPr>
                <w:p w14:paraId="2CA2256A">
                  <w:pPr>
                    <w:wordWrap w:val="0"/>
                    <w:spacing w:line="240" w:lineRule="exact"/>
                    <w:jc w:val="center"/>
                    <w:rPr>
                      <w:rFonts w:hint="eastAsia"/>
                      <w:color w:val="auto"/>
                      <w:sz w:val="18"/>
                      <w:szCs w:val="18"/>
                      <w:highlight w:val="none"/>
                    </w:rPr>
                  </w:pPr>
                </w:p>
              </w:tc>
            </w:tr>
            <w:tr w14:paraId="473688C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411" w:type="pct"/>
                  <w:vMerge w:val="continue"/>
                  <w:tcBorders>
                    <w:tl2br w:val="nil"/>
                    <w:tr2bl w:val="nil"/>
                  </w:tcBorders>
                  <w:noWrap w:val="0"/>
                  <w:vAlign w:val="center"/>
                </w:tcPr>
                <w:p w14:paraId="07EBEEF6">
                  <w:pPr>
                    <w:snapToGrid w:val="0"/>
                    <w:jc w:val="center"/>
                    <w:textAlignment w:val="baseline"/>
                    <w:rPr>
                      <w:rFonts w:hint="eastAsia"/>
                      <w:color w:val="auto"/>
                      <w:sz w:val="18"/>
                      <w:szCs w:val="18"/>
                      <w:highlight w:val="none"/>
                    </w:rPr>
                  </w:pPr>
                </w:p>
              </w:tc>
              <w:tc>
                <w:tcPr>
                  <w:tcW w:w="468" w:type="pct"/>
                  <w:vMerge w:val="continue"/>
                  <w:tcBorders>
                    <w:tl2br w:val="nil"/>
                    <w:tr2bl w:val="nil"/>
                  </w:tcBorders>
                  <w:noWrap w:val="0"/>
                  <w:vAlign w:val="center"/>
                </w:tcPr>
                <w:p w14:paraId="405338B9">
                  <w:pPr>
                    <w:snapToGrid w:val="0"/>
                    <w:jc w:val="center"/>
                    <w:textAlignment w:val="baseline"/>
                    <w:rPr>
                      <w:rFonts w:hint="eastAsia"/>
                      <w:color w:val="auto"/>
                      <w:sz w:val="18"/>
                      <w:szCs w:val="18"/>
                      <w:highlight w:val="none"/>
                    </w:rPr>
                  </w:pPr>
                </w:p>
              </w:tc>
              <w:tc>
                <w:tcPr>
                  <w:tcW w:w="773" w:type="pct"/>
                  <w:vMerge w:val="continue"/>
                  <w:tcBorders>
                    <w:tl2br w:val="nil"/>
                    <w:tr2bl w:val="nil"/>
                  </w:tcBorders>
                  <w:noWrap w:val="0"/>
                  <w:vAlign w:val="center"/>
                </w:tcPr>
                <w:p w14:paraId="6A30D54C">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p>
              </w:tc>
              <w:tc>
                <w:tcPr>
                  <w:tcW w:w="1509" w:type="pct"/>
                  <w:tcBorders>
                    <w:tl2br w:val="nil"/>
                    <w:tr2bl w:val="nil"/>
                  </w:tcBorders>
                  <w:noWrap w:val="0"/>
                  <w:vAlign w:val="center"/>
                </w:tcPr>
                <w:p w14:paraId="006D26EF">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TVOC</w:t>
                  </w:r>
                </w:p>
              </w:tc>
              <w:tc>
                <w:tcPr>
                  <w:tcW w:w="956" w:type="pct"/>
                  <w:tcBorders>
                    <w:tl2br w:val="nil"/>
                    <w:tr2bl w:val="nil"/>
                  </w:tcBorders>
                  <w:noWrap w:val="0"/>
                  <w:vAlign w:val="center"/>
                </w:tcPr>
                <w:p w14:paraId="0DA4362B">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sz w:val="18"/>
                      <w:szCs w:val="18"/>
                      <w:highlight w:val="none"/>
                      <w:vertAlign w:val="baseline"/>
                      <w:lang w:val="en-US" w:eastAsia="zh-CN"/>
                    </w:rPr>
                    <w:t>1次/年</w:t>
                  </w:r>
                </w:p>
              </w:tc>
              <w:tc>
                <w:tcPr>
                  <w:tcW w:w="880" w:type="pct"/>
                  <w:vMerge w:val="continue"/>
                  <w:tcBorders>
                    <w:tl2br w:val="nil"/>
                    <w:tr2bl w:val="nil"/>
                  </w:tcBorders>
                  <w:noWrap w:val="0"/>
                  <w:vAlign w:val="center"/>
                </w:tcPr>
                <w:p w14:paraId="22858192">
                  <w:pPr>
                    <w:wordWrap w:val="0"/>
                    <w:spacing w:line="240" w:lineRule="exact"/>
                    <w:jc w:val="center"/>
                    <w:rPr>
                      <w:rFonts w:hint="eastAsia"/>
                      <w:color w:val="auto"/>
                      <w:sz w:val="18"/>
                      <w:szCs w:val="18"/>
                      <w:highlight w:val="none"/>
                    </w:rPr>
                  </w:pPr>
                </w:p>
              </w:tc>
            </w:tr>
            <w:tr w14:paraId="74EE5E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411" w:type="pct"/>
                  <w:vMerge w:val="continue"/>
                  <w:tcBorders>
                    <w:tl2br w:val="nil"/>
                    <w:tr2bl w:val="nil"/>
                  </w:tcBorders>
                  <w:noWrap w:val="0"/>
                  <w:vAlign w:val="center"/>
                </w:tcPr>
                <w:p w14:paraId="68CA8834">
                  <w:pPr>
                    <w:snapToGrid w:val="0"/>
                    <w:jc w:val="center"/>
                    <w:textAlignment w:val="baseline"/>
                    <w:rPr>
                      <w:rFonts w:hint="eastAsia"/>
                      <w:color w:val="auto"/>
                      <w:sz w:val="18"/>
                      <w:szCs w:val="18"/>
                      <w:highlight w:val="none"/>
                    </w:rPr>
                  </w:pPr>
                </w:p>
              </w:tc>
              <w:tc>
                <w:tcPr>
                  <w:tcW w:w="468" w:type="pct"/>
                  <w:vMerge w:val="continue"/>
                  <w:tcBorders>
                    <w:tl2br w:val="nil"/>
                    <w:tr2bl w:val="nil"/>
                  </w:tcBorders>
                  <w:noWrap w:val="0"/>
                  <w:vAlign w:val="center"/>
                </w:tcPr>
                <w:p w14:paraId="149C8184">
                  <w:pPr>
                    <w:snapToGrid w:val="0"/>
                    <w:jc w:val="center"/>
                    <w:textAlignment w:val="baseline"/>
                    <w:rPr>
                      <w:rFonts w:hint="eastAsia"/>
                      <w:color w:val="auto"/>
                      <w:sz w:val="18"/>
                      <w:szCs w:val="18"/>
                      <w:highlight w:val="none"/>
                    </w:rPr>
                  </w:pPr>
                </w:p>
              </w:tc>
              <w:tc>
                <w:tcPr>
                  <w:tcW w:w="773" w:type="pct"/>
                  <w:tcBorders>
                    <w:tl2br w:val="nil"/>
                    <w:tr2bl w:val="nil"/>
                  </w:tcBorders>
                  <w:noWrap w:val="0"/>
                  <w:vAlign w:val="center"/>
                </w:tcPr>
                <w:p w14:paraId="39DE25F0">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DA010</w:t>
                  </w:r>
                </w:p>
              </w:tc>
              <w:tc>
                <w:tcPr>
                  <w:tcW w:w="1509" w:type="pct"/>
                  <w:tcBorders>
                    <w:tl2br w:val="nil"/>
                    <w:tr2bl w:val="nil"/>
                  </w:tcBorders>
                  <w:shd w:val="clear" w:color="auto" w:fill="auto"/>
                  <w:noWrap w:val="0"/>
                  <w:vAlign w:val="center"/>
                </w:tcPr>
                <w:p w14:paraId="4C96F2BD">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非甲烷总烃</w:t>
                  </w:r>
                </w:p>
              </w:tc>
              <w:tc>
                <w:tcPr>
                  <w:tcW w:w="956" w:type="pct"/>
                  <w:tcBorders>
                    <w:tl2br w:val="nil"/>
                    <w:tr2bl w:val="nil"/>
                  </w:tcBorders>
                  <w:shd w:val="clear" w:color="auto" w:fill="auto"/>
                  <w:noWrap w:val="0"/>
                  <w:vAlign w:val="center"/>
                </w:tcPr>
                <w:p w14:paraId="4C5DDD59">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sz w:val="18"/>
                      <w:szCs w:val="18"/>
                      <w:highlight w:val="none"/>
                      <w:vertAlign w:val="baseline"/>
                      <w:lang w:val="en-US" w:eastAsia="zh-CN"/>
                    </w:rPr>
                    <w:t>1次/年</w:t>
                  </w:r>
                </w:p>
              </w:tc>
              <w:tc>
                <w:tcPr>
                  <w:tcW w:w="880" w:type="pct"/>
                  <w:vMerge w:val="continue"/>
                  <w:tcBorders>
                    <w:tl2br w:val="nil"/>
                    <w:tr2bl w:val="nil"/>
                  </w:tcBorders>
                  <w:noWrap w:val="0"/>
                  <w:vAlign w:val="center"/>
                </w:tcPr>
                <w:p w14:paraId="1A752342">
                  <w:pPr>
                    <w:wordWrap w:val="0"/>
                    <w:spacing w:line="240" w:lineRule="exact"/>
                    <w:jc w:val="center"/>
                    <w:rPr>
                      <w:rFonts w:hint="eastAsia"/>
                      <w:color w:val="auto"/>
                      <w:sz w:val="18"/>
                      <w:szCs w:val="18"/>
                      <w:highlight w:val="none"/>
                    </w:rPr>
                  </w:pPr>
                </w:p>
              </w:tc>
            </w:tr>
            <w:tr w14:paraId="215AEF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411" w:type="pct"/>
                  <w:vMerge w:val="continue"/>
                  <w:tcBorders>
                    <w:tl2br w:val="nil"/>
                    <w:tr2bl w:val="nil"/>
                  </w:tcBorders>
                  <w:noWrap w:val="0"/>
                  <w:vAlign w:val="center"/>
                </w:tcPr>
                <w:p w14:paraId="04A21C71">
                  <w:pPr>
                    <w:snapToGrid w:val="0"/>
                    <w:jc w:val="center"/>
                    <w:textAlignment w:val="baseline"/>
                    <w:rPr>
                      <w:color w:val="auto"/>
                      <w:sz w:val="18"/>
                      <w:szCs w:val="18"/>
                      <w:highlight w:val="none"/>
                    </w:rPr>
                  </w:pPr>
                </w:p>
              </w:tc>
              <w:tc>
                <w:tcPr>
                  <w:tcW w:w="468" w:type="pct"/>
                  <w:vMerge w:val="restart"/>
                  <w:tcBorders>
                    <w:tl2br w:val="nil"/>
                    <w:tr2bl w:val="nil"/>
                  </w:tcBorders>
                  <w:noWrap w:val="0"/>
                  <w:vAlign w:val="center"/>
                </w:tcPr>
                <w:p w14:paraId="5491D598">
                  <w:pPr>
                    <w:snapToGrid w:val="0"/>
                    <w:jc w:val="center"/>
                    <w:textAlignment w:val="baseline"/>
                    <w:rPr>
                      <w:color w:val="auto"/>
                      <w:sz w:val="18"/>
                      <w:szCs w:val="18"/>
                      <w:highlight w:val="none"/>
                    </w:rPr>
                  </w:pPr>
                  <w:r>
                    <w:rPr>
                      <w:rFonts w:hint="eastAsia"/>
                      <w:color w:val="auto"/>
                      <w:sz w:val="18"/>
                      <w:szCs w:val="18"/>
                      <w:highlight w:val="none"/>
                    </w:rPr>
                    <w:t>无组织</w:t>
                  </w:r>
                </w:p>
              </w:tc>
              <w:tc>
                <w:tcPr>
                  <w:tcW w:w="773" w:type="pct"/>
                  <w:tcBorders>
                    <w:tl2br w:val="nil"/>
                    <w:tr2bl w:val="nil"/>
                  </w:tcBorders>
                  <w:noWrap w:val="0"/>
                  <w:vAlign w:val="center"/>
                </w:tcPr>
                <w:p w14:paraId="2ABEEAA0">
                  <w:pPr>
                    <w:snapToGrid w:val="0"/>
                    <w:jc w:val="center"/>
                    <w:textAlignment w:val="baseline"/>
                    <w:rPr>
                      <w:rFonts w:hint="eastAsia" w:eastAsia="宋体"/>
                      <w:color w:val="auto"/>
                      <w:sz w:val="18"/>
                      <w:szCs w:val="18"/>
                      <w:highlight w:val="none"/>
                      <w:lang w:eastAsia="zh-CN"/>
                    </w:rPr>
                  </w:pPr>
                  <w:r>
                    <w:rPr>
                      <w:rFonts w:hint="eastAsia"/>
                      <w:color w:val="auto"/>
                      <w:sz w:val="18"/>
                      <w:szCs w:val="18"/>
                      <w:highlight w:val="none"/>
                      <w:lang w:eastAsia="zh-CN"/>
                    </w:rPr>
                    <w:t>厂界</w:t>
                  </w:r>
                </w:p>
              </w:tc>
              <w:tc>
                <w:tcPr>
                  <w:tcW w:w="1509" w:type="pct"/>
                  <w:tcBorders>
                    <w:tl2br w:val="nil"/>
                    <w:tr2bl w:val="nil"/>
                  </w:tcBorders>
                  <w:noWrap w:val="0"/>
                  <w:vAlign w:val="center"/>
                </w:tcPr>
                <w:p w14:paraId="673918B1">
                  <w:pPr>
                    <w:snapToGrid w:val="0"/>
                    <w:jc w:val="center"/>
                    <w:textAlignment w:val="baseline"/>
                    <w:rPr>
                      <w:rFonts w:hint="default" w:eastAsia="宋体"/>
                      <w:color w:val="auto"/>
                      <w:sz w:val="18"/>
                      <w:szCs w:val="18"/>
                      <w:highlight w:val="none"/>
                      <w:lang w:val="en-US" w:eastAsia="zh-CN"/>
                    </w:rPr>
                  </w:pPr>
                  <w:r>
                    <w:rPr>
                      <w:rFonts w:hint="eastAsia" w:cs="Times New Roman"/>
                      <w:b w:val="0"/>
                      <w:bCs w:val="0"/>
                      <w:color w:val="auto"/>
                      <w:sz w:val="18"/>
                      <w:szCs w:val="18"/>
                      <w:vertAlign w:val="baseline"/>
                      <w:lang w:val="en-US" w:eastAsia="zh-CN"/>
                    </w:rPr>
                    <w:t>颗粒物、NMHC、臭气浓度、</w:t>
                  </w:r>
                </w:p>
              </w:tc>
              <w:tc>
                <w:tcPr>
                  <w:tcW w:w="956" w:type="pct"/>
                  <w:tcBorders>
                    <w:tl2br w:val="nil"/>
                    <w:tr2bl w:val="nil"/>
                  </w:tcBorders>
                  <w:noWrap w:val="0"/>
                  <w:vAlign w:val="center"/>
                </w:tcPr>
                <w:p w14:paraId="0954C599">
                  <w:pPr>
                    <w:snapToGrid w:val="0"/>
                    <w:jc w:val="center"/>
                    <w:textAlignment w:val="baseline"/>
                    <w:rPr>
                      <w:rFonts w:hint="default"/>
                      <w:color w:val="auto"/>
                      <w:sz w:val="18"/>
                      <w:szCs w:val="18"/>
                      <w:highlight w:val="none"/>
                      <w:lang w:val="en-US"/>
                    </w:rPr>
                  </w:pPr>
                  <w:r>
                    <w:rPr>
                      <w:rFonts w:hint="eastAsia"/>
                      <w:color w:val="auto"/>
                      <w:sz w:val="18"/>
                      <w:szCs w:val="18"/>
                      <w:highlight w:val="none"/>
                      <w:lang w:val="en-US" w:eastAsia="zh-CN"/>
                    </w:rPr>
                    <w:t>1次/半年</w:t>
                  </w:r>
                </w:p>
              </w:tc>
              <w:tc>
                <w:tcPr>
                  <w:tcW w:w="880" w:type="pct"/>
                  <w:tcBorders>
                    <w:tl2br w:val="nil"/>
                    <w:tr2bl w:val="nil"/>
                  </w:tcBorders>
                  <w:noWrap w:val="0"/>
                  <w:vAlign w:val="center"/>
                </w:tcPr>
                <w:p w14:paraId="69A848A1">
                  <w:pPr>
                    <w:wordWrap w:val="0"/>
                    <w:spacing w:line="240" w:lineRule="exact"/>
                    <w:jc w:val="center"/>
                    <w:rPr>
                      <w:rFonts w:hint="eastAsia" w:eastAsia="宋体"/>
                      <w:color w:val="auto"/>
                      <w:sz w:val="18"/>
                      <w:szCs w:val="18"/>
                      <w:highlight w:val="none"/>
                      <w:lang w:eastAsia="zh-CN"/>
                    </w:rPr>
                  </w:pPr>
                  <w:r>
                    <w:rPr>
                      <w:rFonts w:hint="eastAsia"/>
                      <w:color w:val="auto"/>
                      <w:sz w:val="18"/>
                      <w:szCs w:val="18"/>
                      <w:highlight w:val="none"/>
                    </w:rPr>
                    <w:t>《大气污染物综合排放标准》（DB32/4041-2021）表3排放限值</w:t>
                  </w:r>
                  <w:r>
                    <w:rPr>
                      <w:rFonts w:hint="eastAsia"/>
                      <w:color w:val="auto"/>
                      <w:sz w:val="18"/>
                      <w:szCs w:val="18"/>
                      <w:highlight w:val="none"/>
                      <w:lang w:eastAsia="zh-CN"/>
                    </w:rPr>
                    <w:t>、</w:t>
                  </w:r>
                  <w:r>
                    <w:rPr>
                      <w:rFonts w:hint="eastAsia" w:ascii="Times New Roman" w:hAnsi="Times New Roman" w:eastAsia="宋体" w:cs="Times New Roman"/>
                      <w:color w:val="auto"/>
                      <w:sz w:val="18"/>
                      <w:szCs w:val="18"/>
                      <w:lang w:val="en-US" w:eastAsia="zh-CN"/>
                    </w:rPr>
                    <w:t>《恶臭污染物排放标准》（GB14554-93）表1中新改扩建二级标准</w:t>
                  </w:r>
                </w:p>
              </w:tc>
            </w:tr>
            <w:tr w14:paraId="5A9C37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411" w:type="pct"/>
                  <w:vMerge w:val="continue"/>
                  <w:tcBorders>
                    <w:tl2br w:val="nil"/>
                    <w:tr2bl w:val="nil"/>
                  </w:tcBorders>
                  <w:noWrap w:val="0"/>
                  <w:vAlign w:val="center"/>
                </w:tcPr>
                <w:p w14:paraId="4E731418">
                  <w:pPr>
                    <w:snapToGrid w:val="0"/>
                    <w:jc w:val="center"/>
                    <w:textAlignment w:val="baseline"/>
                    <w:rPr>
                      <w:color w:val="auto"/>
                      <w:sz w:val="18"/>
                      <w:szCs w:val="18"/>
                      <w:highlight w:val="none"/>
                    </w:rPr>
                  </w:pPr>
                </w:p>
              </w:tc>
              <w:tc>
                <w:tcPr>
                  <w:tcW w:w="468" w:type="pct"/>
                  <w:vMerge w:val="continue"/>
                  <w:tcBorders>
                    <w:tl2br w:val="nil"/>
                    <w:tr2bl w:val="nil"/>
                  </w:tcBorders>
                  <w:noWrap w:val="0"/>
                  <w:vAlign w:val="center"/>
                </w:tcPr>
                <w:p w14:paraId="37E4501C">
                  <w:pPr>
                    <w:snapToGrid w:val="0"/>
                    <w:jc w:val="center"/>
                    <w:textAlignment w:val="baseline"/>
                    <w:rPr>
                      <w:rFonts w:hint="eastAsia"/>
                      <w:color w:val="auto"/>
                      <w:sz w:val="18"/>
                      <w:szCs w:val="18"/>
                      <w:highlight w:val="none"/>
                    </w:rPr>
                  </w:pPr>
                </w:p>
              </w:tc>
              <w:tc>
                <w:tcPr>
                  <w:tcW w:w="773" w:type="pct"/>
                  <w:tcBorders>
                    <w:tl2br w:val="nil"/>
                    <w:tr2bl w:val="nil"/>
                  </w:tcBorders>
                  <w:noWrap w:val="0"/>
                  <w:vAlign w:val="center"/>
                </w:tcPr>
                <w:p w14:paraId="03D22049">
                  <w:pPr>
                    <w:snapToGrid w:val="0"/>
                    <w:jc w:val="center"/>
                    <w:textAlignment w:val="baseline"/>
                    <w:rPr>
                      <w:rFonts w:hint="eastAsia"/>
                      <w:color w:val="auto"/>
                      <w:sz w:val="18"/>
                      <w:szCs w:val="18"/>
                      <w:highlight w:val="none"/>
                      <w:lang w:eastAsia="zh-CN"/>
                    </w:rPr>
                  </w:pPr>
                  <w:r>
                    <w:rPr>
                      <w:rFonts w:hint="eastAsia"/>
                      <w:color w:val="auto"/>
                      <w:sz w:val="18"/>
                      <w:szCs w:val="18"/>
                      <w:highlight w:val="none"/>
                      <w:lang w:eastAsia="zh-CN"/>
                    </w:rPr>
                    <w:t>厂区内</w:t>
                  </w:r>
                </w:p>
              </w:tc>
              <w:tc>
                <w:tcPr>
                  <w:tcW w:w="1509" w:type="pct"/>
                  <w:tcBorders>
                    <w:tl2br w:val="nil"/>
                    <w:tr2bl w:val="nil"/>
                  </w:tcBorders>
                  <w:noWrap w:val="0"/>
                  <w:vAlign w:val="center"/>
                </w:tcPr>
                <w:p w14:paraId="2CB83CE0">
                  <w:pPr>
                    <w:snapToGrid w:val="0"/>
                    <w:jc w:val="center"/>
                    <w:textAlignment w:val="baseline"/>
                    <w:rPr>
                      <w:rFonts w:hint="eastAsia" w:eastAsia="宋体"/>
                      <w:color w:val="auto"/>
                      <w:sz w:val="18"/>
                      <w:szCs w:val="18"/>
                      <w:highlight w:val="none"/>
                      <w:lang w:eastAsia="zh-CN"/>
                    </w:rPr>
                  </w:pPr>
                  <w:r>
                    <w:rPr>
                      <w:rFonts w:hint="eastAsia" w:cs="Times New Roman"/>
                      <w:b w:val="0"/>
                      <w:bCs w:val="0"/>
                      <w:color w:val="auto"/>
                      <w:sz w:val="18"/>
                      <w:szCs w:val="18"/>
                      <w:vertAlign w:val="baseline"/>
                      <w:lang w:val="en-US" w:eastAsia="zh-CN"/>
                    </w:rPr>
                    <w:t>NMHC</w:t>
                  </w:r>
                </w:p>
              </w:tc>
              <w:tc>
                <w:tcPr>
                  <w:tcW w:w="956" w:type="pct"/>
                  <w:tcBorders>
                    <w:tl2br w:val="nil"/>
                    <w:tr2bl w:val="nil"/>
                  </w:tcBorders>
                  <w:noWrap w:val="0"/>
                  <w:vAlign w:val="center"/>
                </w:tcPr>
                <w:p w14:paraId="32D9B829">
                  <w:pPr>
                    <w:snapToGrid w:val="0"/>
                    <w:jc w:val="center"/>
                    <w:textAlignment w:val="baseline"/>
                    <w:rPr>
                      <w:rFonts w:hint="eastAsia" w:eastAsia="宋体"/>
                      <w:color w:val="auto"/>
                      <w:sz w:val="18"/>
                      <w:szCs w:val="18"/>
                      <w:highlight w:val="none"/>
                      <w:lang w:eastAsia="zh-CN"/>
                    </w:rPr>
                  </w:pPr>
                  <w:r>
                    <w:rPr>
                      <w:rFonts w:hint="eastAsia"/>
                      <w:color w:val="auto"/>
                      <w:sz w:val="18"/>
                      <w:szCs w:val="18"/>
                      <w:highlight w:val="none"/>
                      <w:lang w:val="en-US" w:eastAsia="zh-CN"/>
                    </w:rPr>
                    <w:t>1次/年</w:t>
                  </w:r>
                </w:p>
              </w:tc>
              <w:tc>
                <w:tcPr>
                  <w:tcW w:w="880" w:type="pct"/>
                  <w:tcBorders>
                    <w:tl2br w:val="nil"/>
                    <w:tr2bl w:val="nil"/>
                  </w:tcBorders>
                  <w:noWrap w:val="0"/>
                  <w:vAlign w:val="center"/>
                </w:tcPr>
                <w:p w14:paraId="0C9F6AA2">
                  <w:pPr>
                    <w:wordWrap w:val="0"/>
                    <w:spacing w:line="240" w:lineRule="exact"/>
                    <w:jc w:val="center"/>
                    <w:rPr>
                      <w:rFonts w:hint="eastAsia" w:eastAsia="宋体"/>
                      <w:color w:val="auto"/>
                      <w:sz w:val="18"/>
                      <w:szCs w:val="18"/>
                      <w:highlight w:val="none"/>
                      <w:lang w:eastAsia="zh-CN"/>
                    </w:rPr>
                  </w:pPr>
                  <w:r>
                    <w:rPr>
                      <w:rFonts w:hint="eastAsia"/>
                      <w:color w:val="auto"/>
                      <w:sz w:val="18"/>
                      <w:szCs w:val="18"/>
                      <w:highlight w:val="none"/>
                      <w:lang w:eastAsia="zh-CN"/>
                    </w:rPr>
                    <w:t>《表面涂装（汽车零部件）大气污染物排放标准》（DB32/3966-2021）表2</w:t>
                  </w:r>
                  <w:r>
                    <w:rPr>
                      <w:rFonts w:hint="eastAsia"/>
                      <w:color w:val="auto"/>
                      <w:sz w:val="18"/>
                      <w:szCs w:val="18"/>
                      <w:highlight w:val="none"/>
                      <w:lang w:val="en-US" w:eastAsia="zh-CN"/>
                    </w:rPr>
                    <w:t>标准</w:t>
                  </w:r>
                </w:p>
              </w:tc>
            </w:tr>
          </w:tbl>
          <w:p w14:paraId="44DFABC2">
            <w:pPr>
              <w:pageBreakBefore w:val="0"/>
              <w:widowControl w:val="0"/>
              <w:numPr>
                <w:ilvl w:val="0"/>
                <w:numId w:val="0"/>
              </w:numPr>
              <w:kinsoku/>
              <w:wordWrap/>
              <w:overflowPunct/>
              <w:topLinePunct w:val="0"/>
              <w:autoSpaceDE/>
              <w:autoSpaceDN/>
              <w:bidi w:val="0"/>
              <w:adjustRightInd/>
              <w:snapToGrid w:val="0"/>
              <w:spacing w:line="240" w:lineRule="auto"/>
              <w:ind w:firstLine="422" w:firstLineChars="200"/>
              <w:jc w:val="center"/>
              <w:textAlignment w:val="auto"/>
              <w:rPr>
                <w:rFonts w:hint="default" w:ascii="Times New Roman" w:hAnsi="Times New Roman" w:eastAsia="宋体" w:cs="Times New Roman"/>
                <w:b/>
                <w:color w:val="auto"/>
                <w:sz w:val="21"/>
                <w:lang w:val="en-US" w:eastAsia="zh-CN"/>
              </w:rPr>
            </w:pPr>
            <w:r>
              <w:rPr>
                <w:rFonts w:hint="eastAsia" w:cs="Times New Roman"/>
                <w:b/>
                <w:color w:val="auto"/>
                <w:sz w:val="21"/>
                <w:lang w:eastAsia="zh-CN"/>
              </w:rPr>
              <w:t>表</w:t>
            </w:r>
            <w:r>
              <w:rPr>
                <w:rFonts w:hint="eastAsia" w:cs="Times New Roman"/>
                <w:b/>
                <w:color w:val="auto"/>
                <w:sz w:val="21"/>
                <w:lang w:val="en-US" w:eastAsia="zh-CN"/>
              </w:rPr>
              <w:t>4-10 全厂废气监测计划</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67"/>
              <w:gridCol w:w="761"/>
              <w:gridCol w:w="1256"/>
              <w:gridCol w:w="2452"/>
              <w:gridCol w:w="1554"/>
              <w:gridCol w:w="1430"/>
            </w:tblGrid>
            <w:tr w14:paraId="559518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69" w:hRule="atLeast"/>
                <w:tblHeader/>
                <w:jc w:val="center"/>
              </w:trPr>
              <w:tc>
                <w:tcPr>
                  <w:tcW w:w="879" w:type="pct"/>
                  <w:gridSpan w:val="2"/>
                  <w:tcBorders>
                    <w:tl2br w:val="nil"/>
                    <w:tr2bl w:val="nil"/>
                  </w:tcBorders>
                  <w:noWrap w:val="0"/>
                  <w:vAlign w:val="center"/>
                </w:tcPr>
                <w:p w14:paraId="50999DC4">
                  <w:pPr>
                    <w:snapToGrid w:val="0"/>
                    <w:jc w:val="center"/>
                    <w:textAlignment w:val="baseline"/>
                    <w:rPr>
                      <w:b/>
                      <w:bCs/>
                      <w:color w:val="auto"/>
                      <w:sz w:val="18"/>
                      <w:szCs w:val="18"/>
                      <w:highlight w:val="none"/>
                    </w:rPr>
                  </w:pPr>
                  <w:r>
                    <w:rPr>
                      <w:rFonts w:hint="eastAsia"/>
                      <w:b/>
                      <w:bCs/>
                      <w:color w:val="auto"/>
                      <w:sz w:val="18"/>
                      <w:szCs w:val="18"/>
                      <w:highlight w:val="none"/>
                    </w:rPr>
                    <w:t>项目</w:t>
                  </w:r>
                </w:p>
              </w:tc>
              <w:tc>
                <w:tcPr>
                  <w:tcW w:w="773" w:type="pct"/>
                  <w:tcBorders>
                    <w:tl2br w:val="nil"/>
                    <w:tr2bl w:val="nil"/>
                  </w:tcBorders>
                  <w:noWrap w:val="0"/>
                  <w:vAlign w:val="center"/>
                </w:tcPr>
                <w:p w14:paraId="1FCC10BF">
                  <w:pPr>
                    <w:snapToGrid w:val="0"/>
                    <w:jc w:val="center"/>
                    <w:textAlignment w:val="baseline"/>
                    <w:rPr>
                      <w:b/>
                      <w:bCs/>
                      <w:color w:val="auto"/>
                      <w:sz w:val="18"/>
                      <w:szCs w:val="18"/>
                      <w:highlight w:val="none"/>
                    </w:rPr>
                  </w:pPr>
                  <w:r>
                    <w:rPr>
                      <w:rFonts w:hint="eastAsia"/>
                      <w:b/>
                      <w:bCs/>
                      <w:color w:val="auto"/>
                      <w:sz w:val="18"/>
                      <w:szCs w:val="18"/>
                      <w:highlight w:val="none"/>
                    </w:rPr>
                    <w:t>监测点位</w:t>
                  </w:r>
                </w:p>
              </w:tc>
              <w:tc>
                <w:tcPr>
                  <w:tcW w:w="1509" w:type="pct"/>
                  <w:tcBorders>
                    <w:tl2br w:val="nil"/>
                    <w:tr2bl w:val="nil"/>
                  </w:tcBorders>
                  <w:noWrap w:val="0"/>
                  <w:vAlign w:val="center"/>
                </w:tcPr>
                <w:p w14:paraId="42110BE2">
                  <w:pPr>
                    <w:snapToGrid w:val="0"/>
                    <w:jc w:val="center"/>
                    <w:textAlignment w:val="baseline"/>
                    <w:rPr>
                      <w:b/>
                      <w:bCs/>
                      <w:color w:val="auto"/>
                      <w:sz w:val="18"/>
                      <w:szCs w:val="18"/>
                      <w:highlight w:val="none"/>
                    </w:rPr>
                  </w:pPr>
                  <w:r>
                    <w:rPr>
                      <w:rFonts w:hint="eastAsia"/>
                      <w:b/>
                      <w:bCs/>
                      <w:color w:val="auto"/>
                      <w:sz w:val="18"/>
                      <w:szCs w:val="18"/>
                      <w:highlight w:val="none"/>
                    </w:rPr>
                    <w:t>监测指标</w:t>
                  </w:r>
                </w:p>
              </w:tc>
              <w:tc>
                <w:tcPr>
                  <w:tcW w:w="956" w:type="pct"/>
                  <w:tcBorders>
                    <w:tl2br w:val="nil"/>
                    <w:tr2bl w:val="nil"/>
                  </w:tcBorders>
                  <w:noWrap w:val="0"/>
                  <w:vAlign w:val="center"/>
                </w:tcPr>
                <w:p w14:paraId="1E5C5CB3">
                  <w:pPr>
                    <w:snapToGrid w:val="0"/>
                    <w:jc w:val="center"/>
                    <w:textAlignment w:val="baseline"/>
                    <w:rPr>
                      <w:b/>
                      <w:bCs/>
                      <w:color w:val="auto"/>
                      <w:sz w:val="18"/>
                      <w:szCs w:val="18"/>
                      <w:highlight w:val="none"/>
                    </w:rPr>
                  </w:pPr>
                  <w:r>
                    <w:rPr>
                      <w:rFonts w:hint="eastAsia"/>
                      <w:b/>
                      <w:bCs/>
                      <w:color w:val="auto"/>
                      <w:sz w:val="18"/>
                      <w:szCs w:val="18"/>
                      <w:highlight w:val="none"/>
                    </w:rPr>
                    <w:t>监测频次</w:t>
                  </w:r>
                </w:p>
              </w:tc>
              <w:tc>
                <w:tcPr>
                  <w:tcW w:w="880" w:type="pct"/>
                  <w:tcBorders>
                    <w:tl2br w:val="nil"/>
                    <w:tr2bl w:val="nil"/>
                  </w:tcBorders>
                  <w:noWrap w:val="0"/>
                  <w:vAlign w:val="center"/>
                </w:tcPr>
                <w:p w14:paraId="3D6AE04B">
                  <w:pPr>
                    <w:snapToGrid w:val="0"/>
                    <w:jc w:val="center"/>
                    <w:textAlignment w:val="baseline"/>
                    <w:rPr>
                      <w:b/>
                      <w:bCs/>
                      <w:color w:val="auto"/>
                      <w:sz w:val="18"/>
                      <w:szCs w:val="18"/>
                      <w:highlight w:val="none"/>
                    </w:rPr>
                  </w:pPr>
                  <w:r>
                    <w:rPr>
                      <w:rFonts w:hint="eastAsia"/>
                      <w:b/>
                      <w:bCs/>
                      <w:color w:val="auto"/>
                      <w:sz w:val="18"/>
                      <w:szCs w:val="18"/>
                      <w:highlight w:val="none"/>
                    </w:rPr>
                    <w:t>执行标准</w:t>
                  </w:r>
                </w:p>
              </w:tc>
            </w:tr>
            <w:tr w14:paraId="71D7C7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410" w:type="pct"/>
                  <w:vMerge w:val="restart"/>
                  <w:tcBorders>
                    <w:tl2br w:val="nil"/>
                    <w:tr2bl w:val="nil"/>
                  </w:tcBorders>
                  <w:noWrap w:val="0"/>
                  <w:vAlign w:val="center"/>
                </w:tcPr>
                <w:p w14:paraId="7CC2C56D">
                  <w:pPr>
                    <w:snapToGrid w:val="0"/>
                    <w:jc w:val="center"/>
                    <w:textAlignment w:val="baseline"/>
                    <w:rPr>
                      <w:color w:val="auto"/>
                      <w:sz w:val="18"/>
                      <w:szCs w:val="18"/>
                      <w:highlight w:val="none"/>
                    </w:rPr>
                  </w:pPr>
                  <w:r>
                    <w:rPr>
                      <w:rFonts w:hint="eastAsia" w:ascii="Times New Roman" w:hAnsi="Times New Roman" w:cs="Times New Roman"/>
                      <w:b w:val="0"/>
                      <w:bCs w:val="0"/>
                      <w:color w:val="auto"/>
                      <w:sz w:val="18"/>
                      <w:szCs w:val="18"/>
                      <w:vertAlign w:val="baseline"/>
                      <w:lang w:val="en-US" w:eastAsia="zh-CN"/>
                    </w:rPr>
                    <w:t>大</w:t>
                  </w:r>
                  <w:r>
                    <w:rPr>
                      <w:rFonts w:hint="default" w:ascii="Times New Roman" w:hAnsi="Times New Roman" w:cs="Times New Roman"/>
                      <w:b w:val="0"/>
                      <w:bCs w:val="0"/>
                      <w:color w:val="auto"/>
                      <w:sz w:val="18"/>
                      <w:szCs w:val="18"/>
                      <w:vertAlign w:val="baseline"/>
                      <w:lang w:val="en-US" w:eastAsia="zh-CN"/>
                    </w:rPr>
                    <w:t>气</w:t>
                  </w:r>
                </w:p>
              </w:tc>
              <w:tc>
                <w:tcPr>
                  <w:tcW w:w="468" w:type="pct"/>
                  <w:vMerge w:val="restart"/>
                  <w:tcBorders>
                    <w:tl2br w:val="nil"/>
                    <w:tr2bl w:val="nil"/>
                  </w:tcBorders>
                  <w:noWrap w:val="0"/>
                  <w:vAlign w:val="center"/>
                </w:tcPr>
                <w:p w14:paraId="606522CC">
                  <w:pPr>
                    <w:snapToGrid w:val="0"/>
                    <w:jc w:val="center"/>
                    <w:textAlignment w:val="baseline"/>
                    <w:rPr>
                      <w:color w:val="auto"/>
                      <w:sz w:val="18"/>
                      <w:szCs w:val="18"/>
                      <w:highlight w:val="none"/>
                    </w:rPr>
                  </w:pPr>
                  <w:r>
                    <w:rPr>
                      <w:rFonts w:hint="eastAsia"/>
                      <w:color w:val="auto"/>
                      <w:sz w:val="18"/>
                      <w:szCs w:val="18"/>
                      <w:highlight w:val="none"/>
                    </w:rPr>
                    <w:t>有组织</w:t>
                  </w:r>
                </w:p>
              </w:tc>
              <w:tc>
                <w:tcPr>
                  <w:tcW w:w="773" w:type="pct"/>
                  <w:vMerge w:val="restart"/>
                  <w:tcBorders>
                    <w:tl2br w:val="nil"/>
                    <w:tr2bl w:val="nil"/>
                  </w:tcBorders>
                  <w:noWrap w:val="0"/>
                  <w:vAlign w:val="center"/>
                </w:tcPr>
                <w:p w14:paraId="0B30A99F">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DA004</w:t>
                  </w:r>
                </w:p>
                <w:p w14:paraId="58B1AC0A">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DA005</w:t>
                  </w:r>
                </w:p>
                <w:p w14:paraId="1A4C4393">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DA006</w:t>
                  </w:r>
                </w:p>
                <w:p w14:paraId="09D9599E">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DA007</w:t>
                  </w:r>
                </w:p>
                <w:p w14:paraId="39A01E9C">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DA008</w:t>
                  </w:r>
                </w:p>
                <w:p w14:paraId="36FCBF59">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DA009</w:t>
                  </w:r>
                </w:p>
                <w:p w14:paraId="1C07B6D5">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DA011</w:t>
                  </w:r>
                </w:p>
              </w:tc>
              <w:tc>
                <w:tcPr>
                  <w:tcW w:w="1509" w:type="pct"/>
                  <w:tcBorders>
                    <w:tl2br w:val="nil"/>
                    <w:tr2bl w:val="nil"/>
                  </w:tcBorders>
                  <w:noWrap w:val="0"/>
                  <w:vAlign w:val="center"/>
                </w:tcPr>
                <w:p w14:paraId="53D1B261">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非甲烷总烃</w:t>
                  </w:r>
                </w:p>
              </w:tc>
              <w:tc>
                <w:tcPr>
                  <w:tcW w:w="956" w:type="pct"/>
                  <w:tcBorders>
                    <w:tl2br w:val="nil"/>
                    <w:tr2bl w:val="nil"/>
                  </w:tcBorders>
                  <w:noWrap w:val="0"/>
                  <w:vAlign w:val="center"/>
                </w:tcPr>
                <w:p w14:paraId="64803CC8">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1次/年</w:t>
                  </w:r>
                </w:p>
              </w:tc>
              <w:tc>
                <w:tcPr>
                  <w:tcW w:w="880" w:type="pct"/>
                  <w:vMerge w:val="restart"/>
                  <w:tcBorders>
                    <w:tl2br w:val="nil"/>
                    <w:tr2bl w:val="nil"/>
                  </w:tcBorders>
                  <w:noWrap w:val="0"/>
                  <w:vAlign w:val="center"/>
                </w:tcPr>
                <w:p w14:paraId="16E80528">
                  <w:pPr>
                    <w:wordWrap w:val="0"/>
                    <w:spacing w:line="240" w:lineRule="exact"/>
                    <w:jc w:val="center"/>
                    <w:rPr>
                      <w:rFonts w:hint="default" w:eastAsia="宋体"/>
                      <w:color w:val="auto"/>
                      <w:sz w:val="18"/>
                      <w:szCs w:val="18"/>
                      <w:highlight w:val="none"/>
                      <w:lang w:val="en-US" w:eastAsia="zh-CN"/>
                    </w:rPr>
                  </w:pPr>
                  <w:r>
                    <w:rPr>
                      <w:rFonts w:hint="eastAsia"/>
                      <w:color w:val="auto"/>
                      <w:sz w:val="18"/>
                      <w:szCs w:val="18"/>
                      <w:highlight w:val="none"/>
                    </w:rPr>
                    <w:t>《大气污染物综合排放标准》（DB32/4041-2021）表</w:t>
                  </w:r>
                  <w:r>
                    <w:rPr>
                      <w:rFonts w:hint="eastAsia"/>
                      <w:color w:val="auto"/>
                      <w:sz w:val="18"/>
                      <w:szCs w:val="18"/>
                      <w:highlight w:val="none"/>
                      <w:lang w:val="en-US" w:eastAsia="zh-CN"/>
                    </w:rPr>
                    <w:t>1</w:t>
                  </w:r>
                  <w:r>
                    <w:rPr>
                      <w:rFonts w:hint="eastAsia"/>
                      <w:color w:val="auto"/>
                      <w:sz w:val="18"/>
                      <w:szCs w:val="18"/>
                      <w:highlight w:val="none"/>
                    </w:rPr>
                    <w:t>排放限值</w:t>
                  </w:r>
                  <w:r>
                    <w:rPr>
                      <w:rFonts w:hint="eastAsia"/>
                      <w:color w:val="auto"/>
                      <w:sz w:val="18"/>
                      <w:szCs w:val="18"/>
                      <w:highlight w:val="none"/>
                      <w:lang w:eastAsia="zh-CN"/>
                    </w:rPr>
                    <w:t>、</w:t>
                  </w:r>
                  <w:r>
                    <w:rPr>
                      <w:rFonts w:hint="default" w:ascii="Times New Roman" w:hAnsi="Times New Roman" w:cs="Times New Roman"/>
                      <w:color w:val="auto"/>
                      <w:sz w:val="18"/>
                      <w:szCs w:val="18"/>
                      <w:lang w:val="en-US" w:eastAsia="zh-CN"/>
                    </w:rPr>
                    <w:t>《合成树脂工业污染物排放标准》（GB31572-2015）</w:t>
                  </w:r>
                  <w:r>
                    <w:rPr>
                      <w:rFonts w:hint="eastAsia" w:cs="Times New Roman"/>
                      <w:color w:val="auto"/>
                      <w:sz w:val="18"/>
                      <w:szCs w:val="18"/>
                      <w:lang w:val="en-US" w:eastAsia="zh-CN"/>
                    </w:rPr>
                    <w:t>及其2024修改单要求表5限值</w:t>
                  </w:r>
                </w:p>
              </w:tc>
            </w:tr>
            <w:tr w14:paraId="575B15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410" w:type="pct"/>
                  <w:vMerge w:val="continue"/>
                  <w:tcBorders>
                    <w:tl2br w:val="nil"/>
                    <w:tr2bl w:val="nil"/>
                  </w:tcBorders>
                  <w:noWrap w:val="0"/>
                  <w:vAlign w:val="center"/>
                </w:tcPr>
                <w:p w14:paraId="7D8485C7">
                  <w:pPr>
                    <w:snapToGrid w:val="0"/>
                    <w:jc w:val="center"/>
                    <w:textAlignment w:val="baseline"/>
                    <w:rPr>
                      <w:rFonts w:hint="eastAsia" w:ascii="Times New Roman" w:hAnsi="Times New Roman" w:cs="Times New Roman"/>
                      <w:b w:val="0"/>
                      <w:bCs w:val="0"/>
                      <w:color w:val="auto"/>
                      <w:sz w:val="18"/>
                      <w:szCs w:val="18"/>
                      <w:vertAlign w:val="baseline"/>
                      <w:lang w:val="en-US" w:eastAsia="zh-CN"/>
                    </w:rPr>
                  </w:pPr>
                </w:p>
              </w:tc>
              <w:tc>
                <w:tcPr>
                  <w:tcW w:w="468" w:type="pct"/>
                  <w:vMerge w:val="continue"/>
                  <w:tcBorders>
                    <w:tl2br w:val="nil"/>
                    <w:tr2bl w:val="nil"/>
                  </w:tcBorders>
                  <w:noWrap w:val="0"/>
                  <w:vAlign w:val="center"/>
                </w:tcPr>
                <w:p w14:paraId="5D5ECC9E">
                  <w:pPr>
                    <w:snapToGrid w:val="0"/>
                    <w:jc w:val="center"/>
                    <w:textAlignment w:val="baseline"/>
                    <w:rPr>
                      <w:rFonts w:hint="eastAsia"/>
                      <w:color w:val="auto"/>
                      <w:sz w:val="18"/>
                      <w:szCs w:val="18"/>
                      <w:highlight w:val="none"/>
                    </w:rPr>
                  </w:pPr>
                </w:p>
              </w:tc>
              <w:tc>
                <w:tcPr>
                  <w:tcW w:w="773" w:type="pct"/>
                  <w:vMerge w:val="continue"/>
                  <w:tcBorders>
                    <w:tl2br w:val="nil"/>
                    <w:tr2bl w:val="nil"/>
                  </w:tcBorders>
                  <w:noWrap w:val="0"/>
                  <w:vAlign w:val="center"/>
                </w:tcPr>
                <w:p w14:paraId="1F4ACFA3">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imes New Roman"/>
                      <w:b w:val="0"/>
                      <w:bCs w:val="0"/>
                      <w:color w:val="auto"/>
                      <w:kern w:val="2"/>
                      <w:sz w:val="18"/>
                      <w:szCs w:val="18"/>
                      <w:vertAlign w:val="baseline"/>
                      <w:lang w:val="en-US" w:eastAsia="zh-CN" w:bidi="ar-SA"/>
                    </w:rPr>
                  </w:pPr>
                </w:p>
              </w:tc>
              <w:tc>
                <w:tcPr>
                  <w:tcW w:w="1509" w:type="pct"/>
                  <w:tcBorders>
                    <w:tl2br w:val="nil"/>
                    <w:tr2bl w:val="nil"/>
                  </w:tcBorders>
                  <w:noWrap w:val="0"/>
                  <w:vAlign w:val="center"/>
                </w:tcPr>
                <w:p w14:paraId="5AAC7CAE">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苯乙烯</w:t>
                  </w:r>
                </w:p>
              </w:tc>
              <w:tc>
                <w:tcPr>
                  <w:tcW w:w="956" w:type="pct"/>
                  <w:tcBorders>
                    <w:tl2br w:val="nil"/>
                    <w:tr2bl w:val="nil"/>
                  </w:tcBorders>
                  <w:noWrap w:val="0"/>
                  <w:vAlign w:val="center"/>
                </w:tcPr>
                <w:p w14:paraId="6E5453B2">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1次/年</w:t>
                  </w:r>
                </w:p>
              </w:tc>
              <w:tc>
                <w:tcPr>
                  <w:tcW w:w="880" w:type="pct"/>
                  <w:vMerge w:val="continue"/>
                  <w:tcBorders>
                    <w:tl2br w:val="nil"/>
                    <w:tr2bl w:val="nil"/>
                  </w:tcBorders>
                  <w:noWrap w:val="0"/>
                  <w:vAlign w:val="center"/>
                </w:tcPr>
                <w:p w14:paraId="79B91D21">
                  <w:pPr>
                    <w:wordWrap w:val="0"/>
                    <w:spacing w:line="240" w:lineRule="exact"/>
                    <w:jc w:val="center"/>
                    <w:rPr>
                      <w:rFonts w:hint="eastAsia"/>
                      <w:color w:val="auto"/>
                      <w:sz w:val="18"/>
                      <w:szCs w:val="18"/>
                      <w:highlight w:val="none"/>
                    </w:rPr>
                  </w:pPr>
                </w:p>
              </w:tc>
            </w:tr>
            <w:tr w14:paraId="6E07D12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410" w:type="pct"/>
                  <w:vMerge w:val="continue"/>
                  <w:tcBorders>
                    <w:tl2br w:val="nil"/>
                    <w:tr2bl w:val="nil"/>
                  </w:tcBorders>
                  <w:noWrap w:val="0"/>
                  <w:vAlign w:val="center"/>
                </w:tcPr>
                <w:p w14:paraId="2A5EEDC1">
                  <w:pPr>
                    <w:snapToGrid w:val="0"/>
                    <w:jc w:val="center"/>
                    <w:textAlignment w:val="baseline"/>
                    <w:rPr>
                      <w:rFonts w:hint="eastAsia" w:ascii="Times New Roman" w:hAnsi="Times New Roman" w:cs="Times New Roman"/>
                      <w:b w:val="0"/>
                      <w:bCs w:val="0"/>
                      <w:color w:val="auto"/>
                      <w:sz w:val="18"/>
                      <w:szCs w:val="18"/>
                      <w:vertAlign w:val="baseline"/>
                      <w:lang w:val="en-US" w:eastAsia="zh-CN"/>
                    </w:rPr>
                  </w:pPr>
                </w:p>
              </w:tc>
              <w:tc>
                <w:tcPr>
                  <w:tcW w:w="468" w:type="pct"/>
                  <w:vMerge w:val="continue"/>
                  <w:tcBorders>
                    <w:tl2br w:val="nil"/>
                    <w:tr2bl w:val="nil"/>
                  </w:tcBorders>
                  <w:noWrap w:val="0"/>
                  <w:vAlign w:val="center"/>
                </w:tcPr>
                <w:p w14:paraId="346884A7">
                  <w:pPr>
                    <w:snapToGrid w:val="0"/>
                    <w:jc w:val="center"/>
                    <w:textAlignment w:val="baseline"/>
                    <w:rPr>
                      <w:rFonts w:hint="eastAsia"/>
                      <w:color w:val="auto"/>
                      <w:sz w:val="18"/>
                      <w:szCs w:val="18"/>
                      <w:highlight w:val="none"/>
                    </w:rPr>
                  </w:pPr>
                </w:p>
              </w:tc>
              <w:tc>
                <w:tcPr>
                  <w:tcW w:w="773" w:type="pct"/>
                  <w:vMerge w:val="continue"/>
                  <w:tcBorders>
                    <w:tl2br w:val="nil"/>
                    <w:tr2bl w:val="nil"/>
                  </w:tcBorders>
                  <w:noWrap w:val="0"/>
                  <w:vAlign w:val="center"/>
                </w:tcPr>
                <w:p w14:paraId="55D3A0B9">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imes New Roman"/>
                      <w:b w:val="0"/>
                      <w:bCs w:val="0"/>
                      <w:color w:val="auto"/>
                      <w:kern w:val="2"/>
                      <w:sz w:val="18"/>
                      <w:szCs w:val="18"/>
                      <w:vertAlign w:val="baseline"/>
                      <w:lang w:val="en-US" w:eastAsia="zh-CN" w:bidi="ar-SA"/>
                    </w:rPr>
                  </w:pPr>
                </w:p>
              </w:tc>
              <w:tc>
                <w:tcPr>
                  <w:tcW w:w="1509" w:type="pct"/>
                  <w:tcBorders>
                    <w:tl2br w:val="nil"/>
                    <w:tr2bl w:val="nil"/>
                  </w:tcBorders>
                  <w:noWrap w:val="0"/>
                  <w:vAlign w:val="center"/>
                </w:tcPr>
                <w:p w14:paraId="408E1A80">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丙烯腈</w:t>
                  </w:r>
                </w:p>
              </w:tc>
              <w:tc>
                <w:tcPr>
                  <w:tcW w:w="956" w:type="pct"/>
                  <w:tcBorders>
                    <w:tl2br w:val="nil"/>
                    <w:tr2bl w:val="nil"/>
                  </w:tcBorders>
                  <w:noWrap w:val="0"/>
                  <w:vAlign w:val="center"/>
                </w:tcPr>
                <w:p w14:paraId="4C4423FB">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1次/年</w:t>
                  </w:r>
                </w:p>
              </w:tc>
              <w:tc>
                <w:tcPr>
                  <w:tcW w:w="880" w:type="pct"/>
                  <w:vMerge w:val="continue"/>
                  <w:tcBorders>
                    <w:tl2br w:val="nil"/>
                    <w:tr2bl w:val="nil"/>
                  </w:tcBorders>
                  <w:noWrap w:val="0"/>
                  <w:vAlign w:val="center"/>
                </w:tcPr>
                <w:p w14:paraId="4872D91D">
                  <w:pPr>
                    <w:wordWrap w:val="0"/>
                    <w:spacing w:line="240" w:lineRule="exact"/>
                    <w:jc w:val="center"/>
                    <w:rPr>
                      <w:rFonts w:hint="eastAsia"/>
                      <w:color w:val="auto"/>
                      <w:sz w:val="18"/>
                      <w:szCs w:val="18"/>
                      <w:highlight w:val="none"/>
                    </w:rPr>
                  </w:pPr>
                </w:p>
              </w:tc>
            </w:tr>
            <w:tr w14:paraId="6F1F2F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410" w:type="pct"/>
                  <w:vMerge w:val="continue"/>
                  <w:tcBorders>
                    <w:tl2br w:val="nil"/>
                    <w:tr2bl w:val="nil"/>
                  </w:tcBorders>
                  <w:noWrap w:val="0"/>
                  <w:vAlign w:val="center"/>
                </w:tcPr>
                <w:p w14:paraId="05FB8352">
                  <w:pPr>
                    <w:snapToGrid w:val="0"/>
                    <w:jc w:val="center"/>
                    <w:textAlignment w:val="baseline"/>
                    <w:rPr>
                      <w:rFonts w:hint="eastAsia" w:ascii="Times New Roman" w:hAnsi="Times New Roman" w:cs="Times New Roman"/>
                      <w:b w:val="0"/>
                      <w:bCs w:val="0"/>
                      <w:color w:val="auto"/>
                      <w:sz w:val="18"/>
                      <w:szCs w:val="18"/>
                      <w:vertAlign w:val="baseline"/>
                      <w:lang w:val="en-US" w:eastAsia="zh-CN"/>
                    </w:rPr>
                  </w:pPr>
                </w:p>
              </w:tc>
              <w:tc>
                <w:tcPr>
                  <w:tcW w:w="468" w:type="pct"/>
                  <w:vMerge w:val="continue"/>
                  <w:tcBorders>
                    <w:tl2br w:val="nil"/>
                    <w:tr2bl w:val="nil"/>
                  </w:tcBorders>
                  <w:noWrap w:val="0"/>
                  <w:vAlign w:val="center"/>
                </w:tcPr>
                <w:p w14:paraId="2B03B78D">
                  <w:pPr>
                    <w:snapToGrid w:val="0"/>
                    <w:jc w:val="center"/>
                    <w:textAlignment w:val="baseline"/>
                    <w:rPr>
                      <w:rFonts w:hint="eastAsia"/>
                      <w:color w:val="auto"/>
                      <w:sz w:val="18"/>
                      <w:szCs w:val="18"/>
                      <w:highlight w:val="none"/>
                    </w:rPr>
                  </w:pPr>
                </w:p>
              </w:tc>
              <w:tc>
                <w:tcPr>
                  <w:tcW w:w="773" w:type="pct"/>
                  <w:vMerge w:val="continue"/>
                  <w:tcBorders>
                    <w:tl2br w:val="nil"/>
                    <w:tr2bl w:val="nil"/>
                  </w:tcBorders>
                  <w:noWrap w:val="0"/>
                  <w:vAlign w:val="center"/>
                </w:tcPr>
                <w:p w14:paraId="2882CA37">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imes New Roman"/>
                      <w:b w:val="0"/>
                      <w:bCs w:val="0"/>
                      <w:color w:val="auto"/>
                      <w:kern w:val="2"/>
                      <w:sz w:val="18"/>
                      <w:szCs w:val="18"/>
                      <w:vertAlign w:val="baseline"/>
                      <w:lang w:val="en-US" w:eastAsia="zh-CN" w:bidi="ar-SA"/>
                    </w:rPr>
                  </w:pPr>
                </w:p>
              </w:tc>
              <w:tc>
                <w:tcPr>
                  <w:tcW w:w="1509" w:type="pct"/>
                  <w:tcBorders>
                    <w:tl2br w:val="nil"/>
                    <w:tr2bl w:val="nil"/>
                  </w:tcBorders>
                  <w:noWrap w:val="0"/>
                  <w:vAlign w:val="center"/>
                </w:tcPr>
                <w:p w14:paraId="3A70A628">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甲苯</w:t>
                  </w:r>
                </w:p>
              </w:tc>
              <w:tc>
                <w:tcPr>
                  <w:tcW w:w="956" w:type="pct"/>
                  <w:tcBorders>
                    <w:tl2br w:val="nil"/>
                    <w:tr2bl w:val="nil"/>
                  </w:tcBorders>
                  <w:noWrap w:val="0"/>
                  <w:vAlign w:val="center"/>
                </w:tcPr>
                <w:p w14:paraId="7FD9BAA5">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1次/年</w:t>
                  </w:r>
                </w:p>
              </w:tc>
              <w:tc>
                <w:tcPr>
                  <w:tcW w:w="880" w:type="pct"/>
                  <w:vMerge w:val="continue"/>
                  <w:tcBorders>
                    <w:tl2br w:val="nil"/>
                    <w:tr2bl w:val="nil"/>
                  </w:tcBorders>
                  <w:noWrap w:val="0"/>
                  <w:vAlign w:val="center"/>
                </w:tcPr>
                <w:p w14:paraId="66CC0F64">
                  <w:pPr>
                    <w:wordWrap w:val="0"/>
                    <w:spacing w:line="240" w:lineRule="exact"/>
                    <w:jc w:val="center"/>
                    <w:rPr>
                      <w:rFonts w:hint="eastAsia"/>
                      <w:color w:val="auto"/>
                      <w:sz w:val="18"/>
                      <w:szCs w:val="18"/>
                      <w:highlight w:val="none"/>
                    </w:rPr>
                  </w:pPr>
                </w:p>
              </w:tc>
            </w:tr>
            <w:tr w14:paraId="7ADA52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410" w:type="pct"/>
                  <w:vMerge w:val="continue"/>
                  <w:tcBorders>
                    <w:tl2br w:val="nil"/>
                    <w:tr2bl w:val="nil"/>
                  </w:tcBorders>
                  <w:noWrap w:val="0"/>
                  <w:vAlign w:val="center"/>
                </w:tcPr>
                <w:p w14:paraId="5012C689">
                  <w:pPr>
                    <w:snapToGrid w:val="0"/>
                    <w:jc w:val="center"/>
                    <w:textAlignment w:val="baseline"/>
                    <w:rPr>
                      <w:rFonts w:hint="eastAsia" w:ascii="Times New Roman" w:hAnsi="Times New Roman" w:cs="Times New Roman"/>
                      <w:b w:val="0"/>
                      <w:bCs w:val="0"/>
                      <w:color w:val="auto"/>
                      <w:sz w:val="18"/>
                      <w:szCs w:val="18"/>
                      <w:vertAlign w:val="baseline"/>
                      <w:lang w:val="en-US" w:eastAsia="zh-CN"/>
                    </w:rPr>
                  </w:pPr>
                </w:p>
              </w:tc>
              <w:tc>
                <w:tcPr>
                  <w:tcW w:w="468" w:type="pct"/>
                  <w:vMerge w:val="continue"/>
                  <w:tcBorders>
                    <w:tl2br w:val="nil"/>
                    <w:tr2bl w:val="nil"/>
                  </w:tcBorders>
                  <w:noWrap w:val="0"/>
                  <w:vAlign w:val="center"/>
                </w:tcPr>
                <w:p w14:paraId="06D8AB4B">
                  <w:pPr>
                    <w:snapToGrid w:val="0"/>
                    <w:jc w:val="center"/>
                    <w:textAlignment w:val="baseline"/>
                    <w:rPr>
                      <w:rFonts w:hint="eastAsia"/>
                      <w:color w:val="auto"/>
                      <w:sz w:val="18"/>
                      <w:szCs w:val="18"/>
                      <w:highlight w:val="none"/>
                    </w:rPr>
                  </w:pPr>
                </w:p>
              </w:tc>
              <w:tc>
                <w:tcPr>
                  <w:tcW w:w="773" w:type="pct"/>
                  <w:vMerge w:val="continue"/>
                  <w:tcBorders>
                    <w:tl2br w:val="nil"/>
                    <w:tr2bl w:val="nil"/>
                  </w:tcBorders>
                  <w:noWrap w:val="0"/>
                  <w:vAlign w:val="center"/>
                </w:tcPr>
                <w:p w14:paraId="394C8071">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imes New Roman"/>
                      <w:b w:val="0"/>
                      <w:bCs w:val="0"/>
                      <w:color w:val="auto"/>
                      <w:kern w:val="2"/>
                      <w:sz w:val="18"/>
                      <w:szCs w:val="18"/>
                      <w:vertAlign w:val="baseline"/>
                      <w:lang w:val="en-US" w:eastAsia="zh-CN" w:bidi="ar-SA"/>
                    </w:rPr>
                  </w:pPr>
                </w:p>
              </w:tc>
              <w:tc>
                <w:tcPr>
                  <w:tcW w:w="1509" w:type="pct"/>
                  <w:tcBorders>
                    <w:tl2br w:val="nil"/>
                    <w:tr2bl w:val="nil"/>
                  </w:tcBorders>
                  <w:noWrap w:val="0"/>
                  <w:vAlign w:val="center"/>
                </w:tcPr>
                <w:p w14:paraId="2A67EFEB">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乙苯</w:t>
                  </w:r>
                </w:p>
              </w:tc>
              <w:tc>
                <w:tcPr>
                  <w:tcW w:w="956" w:type="pct"/>
                  <w:tcBorders>
                    <w:tl2br w:val="nil"/>
                    <w:tr2bl w:val="nil"/>
                  </w:tcBorders>
                  <w:noWrap w:val="0"/>
                  <w:vAlign w:val="center"/>
                </w:tcPr>
                <w:p w14:paraId="58AF324E">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1次/年</w:t>
                  </w:r>
                </w:p>
              </w:tc>
              <w:tc>
                <w:tcPr>
                  <w:tcW w:w="880" w:type="pct"/>
                  <w:vMerge w:val="continue"/>
                  <w:tcBorders>
                    <w:tl2br w:val="nil"/>
                    <w:tr2bl w:val="nil"/>
                  </w:tcBorders>
                  <w:noWrap w:val="0"/>
                  <w:vAlign w:val="center"/>
                </w:tcPr>
                <w:p w14:paraId="6E13181E">
                  <w:pPr>
                    <w:wordWrap w:val="0"/>
                    <w:spacing w:line="240" w:lineRule="exact"/>
                    <w:jc w:val="center"/>
                    <w:rPr>
                      <w:rFonts w:hint="eastAsia"/>
                      <w:color w:val="auto"/>
                      <w:sz w:val="18"/>
                      <w:szCs w:val="18"/>
                      <w:highlight w:val="none"/>
                    </w:rPr>
                  </w:pPr>
                </w:p>
              </w:tc>
            </w:tr>
            <w:tr w14:paraId="4F1EBB2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410" w:type="pct"/>
                  <w:vMerge w:val="continue"/>
                  <w:tcBorders>
                    <w:tl2br w:val="nil"/>
                    <w:tr2bl w:val="nil"/>
                  </w:tcBorders>
                  <w:noWrap w:val="0"/>
                  <w:vAlign w:val="center"/>
                </w:tcPr>
                <w:p w14:paraId="12C8E83D">
                  <w:pPr>
                    <w:snapToGrid w:val="0"/>
                    <w:jc w:val="center"/>
                    <w:textAlignment w:val="baseline"/>
                    <w:rPr>
                      <w:rFonts w:hint="eastAsia" w:ascii="Times New Roman" w:hAnsi="Times New Roman" w:cs="Times New Roman"/>
                      <w:b w:val="0"/>
                      <w:bCs w:val="0"/>
                      <w:color w:val="auto"/>
                      <w:sz w:val="18"/>
                      <w:szCs w:val="18"/>
                      <w:vertAlign w:val="baseline"/>
                      <w:lang w:val="en-US" w:eastAsia="zh-CN"/>
                    </w:rPr>
                  </w:pPr>
                </w:p>
              </w:tc>
              <w:tc>
                <w:tcPr>
                  <w:tcW w:w="468" w:type="pct"/>
                  <w:vMerge w:val="continue"/>
                  <w:tcBorders>
                    <w:tl2br w:val="nil"/>
                    <w:tr2bl w:val="nil"/>
                  </w:tcBorders>
                  <w:noWrap w:val="0"/>
                  <w:vAlign w:val="center"/>
                </w:tcPr>
                <w:p w14:paraId="6C967CCF">
                  <w:pPr>
                    <w:snapToGrid w:val="0"/>
                    <w:jc w:val="center"/>
                    <w:textAlignment w:val="baseline"/>
                    <w:rPr>
                      <w:rFonts w:hint="eastAsia"/>
                      <w:color w:val="auto"/>
                      <w:sz w:val="18"/>
                      <w:szCs w:val="18"/>
                      <w:highlight w:val="none"/>
                    </w:rPr>
                  </w:pPr>
                </w:p>
              </w:tc>
              <w:tc>
                <w:tcPr>
                  <w:tcW w:w="773" w:type="pct"/>
                  <w:vMerge w:val="continue"/>
                  <w:tcBorders>
                    <w:tl2br w:val="nil"/>
                    <w:tr2bl w:val="nil"/>
                  </w:tcBorders>
                  <w:noWrap w:val="0"/>
                  <w:vAlign w:val="center"/>
                </w:tcPr>
                <w:p w14:paraId="02419452">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imes New Roman"/>
                      <w:b w:val="0"/>
                      <w:bCs w:val="0"/>
                      <w:color w:val="auto"/>
                      <w:kern w:val="2"/>
                      <w:sz w:val="18"/>
                      <w:szCs w:val="18"/>
                      <w:vertAlign w:val="baseline"/>
                      <w:lang w:val="en-US" w:eastAsia="zh-CN" w:bidi="ar-SA"/>
                    </w:rPr>
                  </w:pPr>
                </w:p>
              </w:tc>
              <w:tc>
                <w:tcPr>
                  <w:tcW w:w="1509" w:type="pct"/>
                  <w:tcBorders>
                    <w:tl2br w:val="nil"/>
                    <w:tr2bl w:val="nil"/>
                  </w:tcBorders>
                  <w:noWrap w:val="0"/>
                  <w:vAlign w:val="center"/>
                </w:tcPr>
                <w:p w14:paraId="0FAF0356">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二氯甲烷</w:t>
                  </w:r>
                </w:p>
              </w:tc>
              <w:tc>
                <w:tcPr>
                  <w:tcW w:w="956" w:type="pct"/>
                  <w:tcBorders>
                    <w:tl2br w:val="nil"/>
                    <w:tr2bl w:val="nil"/>
                  </w:tcBorders>
                  <w:noWrap w:val="0"/>
                  <w:vAlign w:val="center"/>
                </w:tcPr>
                <w:p w14:paraId="497C2CAF">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1次/年</w:t>
                  </w:r>
                </w:p>
              </w:tc>
              <w:tc>
                <w:tcPr>
                  <w:tcW w:w="880" w:type="pct"/>
                  <w:vMerge w:val="continue"/>
                  <w:tcBorders>
                    <w:tl2br w:val="nil"/>
                    <w:tr2bl w:val="nil"/>
                  </w:tcBorders>
                  <w:noWrap w:val="0"/>
                  <w:vAlign w:val="center"/>
                </w:tcPr>
                <w:p w14:paraId="79619717">
                  <w:pPr>
                    <w:wordWrap w:val="0"/>
                    <w:spacing w:line="240" w:lineRule="exact"/>
                    <w:jc w:val="center"/>
                    <w:rPr>
                      <w:rFonts w:hint="eastAsia"/>
                      <w:color w:val="auto"/>
                      <w:sz w:val="18"/>
                      <w:szCs w:val="18"/>
                      <w:highlight w:val="none"/>
                    </w:rPr>
                  </w:pPr>
                </w:p>
              </w:tc>
            </w:tr>
            <w:tr w14:paraId="1D06A9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410" w:type="pct"/>
                  <w:vMerge w:val="continue"/>
                  <w:tcBorders>
                    <w:tl2br w:val="nil"/>
                    <w:tr2bl w:val="nil"/>
                  </w:tcBorders>
                  <w:noWrap w:val="0"/>
                  <w:vAlign w:val="center"/>
                </w:tcPr>
                <w:p w14:paraId="14CCF2EE">
                  <w:pPr>
                    <w:snapToGrid w:val="0"/>
                    <w:jc w:val="center"/>
                    <w:textAlignment w:val="baseline"/>
                    <w:rPr>
                      <w:rFonts w:hint="eastAsia" w:ascii="Times New Roman" w:hAnsi="Times New Roman" w:cs="Times New Roman"/>
                      <w:b w:val="0"/>
                      <w:bCs w:val="0"/>
                      <w:color w:val="auto"/>
                      <w:sz w:val="18"/>
                      <w:szCs w:val="18"/>
                      <w:vertAlign w:val="baseline"/>
                      <w:lang w:val="en-US" w:eastAsia="zh-CN"/>
                    </w:rPr>
                  </w:pPr>
                </w:p>
              </w:tc>
              <w:tc>
                <w:tcPr>
                  <w:tcW w:w="468" w:type="pct"/>
                  <w:vMerge w:val="continue"/>
                  <w:tcBorders>
                    <w:tl2br w:val="nil"/>
                    <w:tr2bl w:val="nil"/>
                  </w:tcBorders>
                  <w:noWrap w:val="0"/>
                  <w:vAlign w:val="center"/>
                </w:tcPr>
                <w:p w14:paraId="7E486CCD">
                  <w:pPr>
                    <w:snapToGrid w:val="0"/>
                    <w:jc w:val="center"/>
                    <w:textAlignment w:val="baseline"/>
                    <w:rPr>
                      <w:rFonts w:hint="eastAsia"/>
                      <w:color w:val="auto"/>
                      <w:sz w:val="18"/>
                      <w:szCs w:val="18"/>
                      <w:highlight w:val="none"/>
                    </w:rPr>
                  </w:pPr>
                </w:p>
              </w:tc>
              <w:tc>
                <w:tcPr>
                  <w:tcW w:w="773" w:type="pct"/>
                  <w:vMerge w:val="continue"/>
                  <w:tcBorders>
                    <w:tl2br w:val="nil"/>
                    <w:tr2bl w:val="nil"/>
                  </w:tcBorders>
                  <w:noWrap w:val="0"/>
                  <w:vAlign w:val="center"/>
                </w:tcPr>
                <w:p w14:paraId="7C3C058A">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cs="Times New Roman"/>
                      <w:b w:val="0"/>
                      <w:bCs w:val="0"/>
                      <w:color w:val="auto"/>
                      <w:kern w:val="2"/>
                      <w:sz w:val="18"/>
                      <w:szCs w:val="18"/>
                      <w:vertAlign w:val="baseline"/>
                      <w:lang w:val="en-US" w:eastAsia="zh-CN" w:bidi="ar-SA"/>
                    </w:rPr>
                  </w:pPr>
                </w:p>
              </w:tc>
              <w:tc>
                <w:tcPr>
                  <w:tcW w:w="1509" w:type="pct"/>
                  <w:tcBorders>
                    <w:tl2br w:val="nil"/>
                    <w:tr2bl w:val="nil"/>
                  </w:tcBorders>
                  <w:noWrap w:val="0"/>
                  <w:vAlign w:val="center"/>
                </w:tcPr>
                <w:p w14:paraId="780F4CEB">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氯苯</w:t>
                  </w:r>
                </w:p>
              </w:tc>
              <w:tc>
                <w:tcPr>
                  <w:tcW w:w="956" w:type="pct"/>
                  <w:tcBorders>
                    <w:tl2br w:val="nil"/>
                    <w:tr2bl w:val="nil"/>
                  </w:tcBorders>
                  <w:noWrap w:val="0"/>
                  <w:vAlign w:val="center"/>
                </w:tcPr>
                <w:p w14:paraId="5AE3FAA1">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1次/年</w:t>
                  </w:r>
                </w:p>
              </w:tc>
              <w:tc>
                <w:tcPr>
                  <w:tcW w:w="880" w:type="pct"/>
                  <w:vMerge w:val="continue"/>
                  <w:tcBorders>
                    <w:tl2br w:val="nil"/>
                    <w:tr2bl w:val="nil"/>
                  </w:tcBorders>
                  <w:noWrap w:val="0"/>
                  <w:vAlign w:val="center"/>
                </w:tcPr>
                <w:p w14:paraId="379241C6">
                  <w:pPr>
                    <w:wordWrap w:val="0"/>
                    <w:spacing w:line="240" w:lineRule="exact"/>
                    <w:jc w:val="center"/>
                    <w:rPr>
                      <w:rFonts w:hint="eastAsia"/>
                      <w:color w:val="auto"/>
                      <w:sz w:val="18"/>
                      <w:szCs w:val="18"/>
                      <w:highlight w:val="none"/>
                    </w:rPr>
                  </w:pPr>
                </w:p>
              </w:tc>
            </w:tr>
            <w:tr w14:paraId="775CC2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410" w:type="pct"/>
                  <w:vMerge w:val="continue"/>
                  <w:tcBorders>
                    <w:tl2br w:val="nil"/>
                    <w:tr2bl w:val="nil"/>
                  </w:tcBorders>
                  <w:noWrap w:val="0"/>
                  <w:vAlign w:val="center"/>
                </w:tcPr>
                <w:p w14:paraId="2E501E59">
                  <w:pPr>
                    <w:snapToGrid w:val="0"/>
                    <w:jc w:val="center"/>
                    <w:textAlignment w:val="baseline"/>
                    <w:rPr>
                      <w:rFonts w:hint="eastAsia" w:ascii="Times New Roman" w:hAnsi="Times New Roman" w:cs="Times New Roman"/>
                      <w:b w:val="0"/>
                      <w:bCs w:val="0"/>
                      <w:color w:val="auto"/>
                      <w:sz w:val="18"/>
                      <w:szCs w:val="18"/>
                      <w:vertAlign w:val="baseline"/>
                      <w:lang w:val="en-US" w:eastAsia="zh-CN"/>
                    </w:rPr>
                  </w:pPr>
                </w:p>
              </w:tc>
              <w:tc>
                <w:tcPr>
                  <w:tcW w:w="468" w:type="pct"/>
                  <w:vMerge w:val="continue"/>
                  <w:tcBorders>
                    <w:tl2br w:val="nil"/>
                    <w:tr2bl w:val="nil"/>
                  </w:tcBorders>
                  <w:noWrap w:val="0"/>
                  <w:vAlign w:val="center"/>
                </w:tcPr>
                <w:p w14:paraId="162F70D4">
                  <w:pPr>
                    <w:snapToGrid w:val="0"/>
                    <w:jc w:val="center"/>
                    <w:textAlignment w:val="baseline"/>
                    <w:rPr>
                      <w:rFonts w:hint="eastAsia"/>
                      <w:color w:val="auto"/>
                      <w:sz w:val="18"/>
                      <w:szCs w:val="18"/>
                      <w:highlight w:val="none"/>
                    </w:rPr>
                  </w:pPr>
                </w:p>
              </w:tc>
              <w:tc>
                <w:tcPr>
                  <w:tcW w:w="773" w:type="pct"/>
                  <w:tcBorders>
                    <w:tl2br w:val="nil"/>
                    <w:tr2bl w:val="nil"/>
                  </w:tcBorders>
                  <w:noWrap w:val="0"/>
                  <w:vAlign w:val="center"/>
                </w:tcPr>
                <w:p w14:paraId="7B2E1114">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DA012</w:t>
                  </w:r>
                </w:p>
              </w:tc>
              <w:tc>
                <w:tcPr>
                  <w:tcW w:w="1509" w:type="pct"/>
                  <w:tcBorders>
                    <w:tl2br w:val="nil"/>
                    <w:tr2bl w:val="nil"/>
                  </w:tcBorders>
                  <w:noWrap w:val="0"/>
                  <w:vAlign w:val="center"/>
                </w:tcPr>
                <w:p w14:paraId="63769A22">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非甲烷总烃</w:t>
                  </w:r>
                </w:p>
              </w:tc>
              <w:tc>
                <w:tcPr>
                  <w:tcW w:w="956" w:type="pct"/>
                  <w:tcBorders>
                    <w:tl2br w:val="nil"/>
                    <w:tr2bl w:val="nil"/>
                  </w:tcBorders>
                  <w:noWrap w:val="0"/>
                  <w:vAlign w:val="center"/>
                </w:tcPr>
                <w:p w14:paraId="3992D2D9">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1次/年</w:t>
                  </w:r>
                </w:p>
              </w:tc>
              <w:tc>
                <w:tcPr>
                  <w:tcW w:w="880" w:type="pct"/>
                  <w:vMerge w:val="continue"/>
                  <w:tcBorders>
                    <w:tl2br w:val="nil"/>
                    <w:tr2bl w:val="nil"/>
                  </w:tcBorders>
                  <w:noWrap w:val="0"/>
                  <w:vAlign w:val="center"/>
                </w:tcPr>
                <w:p w14:paraId="183A88DF">
                  <w:pPr>
                    <w:wordWrap w:val="0"/>
                    <w:spacing w:line="240" w:lineRule="exact"/>
                    <w:jc w:val="center"/>
                    <w:rPr>
                      <w:rFonts w:hint="eastAsia"/>
                      <w:color w:val="auto"/>
                      <w:sz w:val="18"/>
                      <w:szCs w:val="18"/>
                      <w:highlight w:val="none"/>
                    </w:rPr>
                  </w:pPr>
                </w:p>
              </w:tc>
            </w:tr>
            <w:tr w14:paraId="7872EF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410" w:type="pct"/>
                  <w:vMerge w:val="continue"/>
                  <w:tcBorders>
                    <w:tl2br w:val="nil"/>
                    <w:tr2bl w:val="nil"/>
                  </w:tcBorders>
                  <w:noWrap w:val="0"/>
                  <w:vAlign w:val="center"/>
                </w:tcPr>
                <w:p w14:paraId="33BBB05C">
                  <w:pPr>
                    <w:snapToGrid w:val="0"/>
                    <w:jc w:val="center"/>
                    <w:textAlignment w:val="baseline"/>
                    <w:rPr>
                      <w:rFonts w:hint="eastAsia" w:ascii="Times New Roman" w:hAnsi="Times New Roman" w:cs="Times New Roman"/>
                      <w:b w:val="0"/>
                      <w:bCs w:val="0"/>
                      <w:color w:val="auto"/>
                      <w:sz w:val="18"/>
                      <w:szCs w:val="18"/>
                      <w:vertAlign w:val="baseline"/>
                      <w:lang w:val="en-US" w:eastAsia="zh-CN"/>
                    </w:rPr>
                  </w:pPr>
                </w:p>
              </w:tc>
              <w:tc>
                <w:tcPr>
                  <w:tcW w:w="468" w:type="pct"/>
                  <w:vMerge w:val="continue"/>
                  <w:tcBorders>
                    <w:tl2br w:val="nil"/>
                    <w:tr2bl w:val="nil"/>
                  </w:tcBorders>
                  <w:noWrap w:val="0"/>
                  <w:vAlign w:val="center"/>
                </w:tcPr>
                <w:p w14:paraId="7D5DDD5B">
                  <w:pPr>
                    <w:snapToGrid w:val="0"/>
                    <w:jc w:val="center"/>
                    <w:textAlignment w:val="baseline"/>
                    <w:rPr>
                      <w:rFonts w:hint="eastAsia"/>
                      <w:color w:val="auto"/>
                      <w:sz w:val="18"/>
                      <w:szCs w:val="18"/>
                      <w:highlight w:val="none"/>
                    </w:rPr>
                  </w:pPr>
                </w:p>
              </w:tc>
              <w:tc>
                <w:tcPr>
                  <w:tcW w:w="773" w:type="pct"/>
                  <w:tcBorders>
                    <w:tl2br w:val="nil"/>
                    <w:tr2bl w:val="nil"/>
                  </w:tcBorders>
                  <w:noWrap w:val="0"/>
                  <w:vAlign w:val="center"/>
                </w:tcPr>
                <w:p w14:paraId="45C2D89D">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DA013</w:t>
                  </w:r>
                </w:p>
              </w:tc>
              <w:tc>
                <w:tcPr>
                  <w:tcW w:w="1509" w:type="pct"/>
                  <w:vMerge w:val="restart"/>
                  <w:tcBorders>
                    <w:tl2br w:val="nil"/>
                    <w:tr2bl w:val="nil"/>
                  </w:tcBorders>
                  <w:noWrap w:val="0"/>
                  <w:vAlign w:val="center"/>
                </w:tcPr>
                <w:p w14:paraId="2EB505B7">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非甲烷总烃</w:t>
                  </w:r>
                </w:p>
              </w:tc>
              <w:tc>
                <w:tcPr>
                  <w:tcW w:w="956" w:type="pct"/>
                  <w:tcBorders>
                    <w:tl2br w:val="nil"/>
                    <w:tr2bl w:val="nil"/>
                  </w:tcBorders>
                  <w:noWrap w:val="0"/>
                  <w:vAlign w:val="center"/>
                </w:tcPr>
                <w:p w14:paraId="419763F3">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1次/年</w:t>
                  </w:r>
                </w:p>
              </w:tc>
              <w:tc>
                <w:tcPr>
                  <w:tcW w:w="880" w:type="pct"/>
                  <w:vMerge w:val="continue"/>
                  <w:tcBorders>
                    <w:tl2br w:val="nil"/>
                    <w:tr2bl w:val="nil"/>
                  </w:tcBorders>
                  <w:noWrap w:val="0"/>
                  <w:vAlign w:val="center"/>
                </w:tcPr>
                <w:p w14:paraId="4A641DD7">
                  <w:pPr>
                    <w:wordWrap w:val="0"/>
                    <w:spacing w:line="240" w:lineRule="exact"/>
                    <w:jc w:val="center"/>
                    <w:rPr>
                      <w:rFonts w:hint="eastAsia"/>
                      <w:color w:val="auto"/>
                      <w:sz w:val="18"/>
                      <w:szCs w:val="18"/>
                      <w:highlight w:val="none"/>
                    </w:rPr>
                  </w:pPr>
                </w:p>
              </w:tc>
            </w:tr>
            <w:tr w14:paraId="72D707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410" w:type="pct"/>
                  <w:vMerge w:val="continue"/>
                  <w:tcBorders>
                    <w:tl2br w:val="nil"/>
                    <w:tr2bl w:val="nil"/>
                  </w:tcBorders>
                  <w:noWrap w:val="0"/>
                  <w:vAlign w:val="center"/>
                </w:tcPr>
                <w:p w14:paraId="02EABAF3">
                  <w:pPr>
                    <w:snapToGrid w:val="0"/>
                    <w:jc w:val="center"/>
                    <w:textAlignment w:val="baseline"/>
                    <w:rPr>
                      <w:rFonts w:hint="eastAsia" w:ascii="Times New Roman" w:hAnsi="Times New Roman" w:cs="Times New Roman"/>
                      <w:b w:val="0"/>
                      <w:bCs w:val="0"/>
                      <w:color w:val="auto"/>
                      <w:sz w:val="18"/>
                      <w:szCs w:val="18"/>
                      <w:vertAlign w:val="baseline"/>
                      <w:lang w:val="en-US" w:eastAsia="zh-CN"/>
                    </w:rPr>
                  </w:pPr>
                </w:p>
              </w:tc>
              <w:tc>
                <w:tcPr>
                  <w:tcW w:w="468" w:type="pct"/>
                  <w:vMerge w:val="continue"/>
                  <w:tcBorders>
                    <w:tl2br w:val="nil"/>
                    <w:tr2bl w:val="nil"/>
                  </w:tcBorders>
                  <w:noWrap w:val="0"/>
                  <w:vAlign w:val="center"/>
                </w:tcPr>
                <w:p w14:paraId="34EE97C8">
                  <w:pPr>
                    <w:snapToGrid w:val="0"/>
                    <w:jc w:val="center"/>
                    <w:textAlignment w:val="baseline"/>
                    <w:rPr>
                      <w:rFonts w:hint="eastAsia"/>
                      <w:color w:val="auto"/>
                      <w:sz w:val="18"/>
                      <w:szCs w:val="18"/>
                      <w:highlight w:val="none"/>
                    </w:rPr>
                  </w:pPr>
                </w:p>
              </w:tc>
              <w:tc>
                <w:tcPr>
                  <w:tcW w:w="773" w:type="pct"/>
                  <w:tcBorders>
                    <w:tl2br w:val="nil"/>
                    <w:tr2bl w:val="nil"/>
                  </w:tcBorders>
                  <w:noWrap w:val="0"/>
                  <w:vAlign w:val="center"/>
                </w:tcPr>
                <w:p w14:paraId="0EB84130">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DA015</w:t>
                  </w:r>
                </w:p>
              </w:tc>
              <w:tc>
                <w:tcPr>
                  <w:tcW w:w="1509" w:type="pct"/>
                  <w:vMerge w:val="continue"/>
                  <w:tcBorders>
                    <w:tl2br w:val="nil"/>
                    <w:tr2bl w:val="nil"/>
                  </w:tcBorders>
                  <w:noWrap w:val="0"/>
                  <w:vAlign w:val="center"/>
                </w:tcPr>
                <w:p w14:paraId="79D79096">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imes New Roman"/>
                      <w:b w:val="0"/>
                      <w:bCs w:val="0"/>
                      <w:color w:val="auto"/>
                      <w:kern w:val="2"/>
                      <w:sz w:val="18"/>
                      <w:szCs w:val="18"/>
                      <w:vertAlign w:val="baseline"/>
                      <w:lang w:val="en-US" w:eastAsia="zh-CN" w:bidi="ar-SA"/>
                    </w:rPr>
                  </w:pPr>
                </w:p>
              </w:tc>
              <w:tc>
                <w:tcPr>
                  <w:tcW w:w="956" w:type="pct"/>
                  <w:tcBorders>
                    <w:tl2br w:val="nil"/>
                    <w:tr2bl w:val="nil"/>
                  </w:tcBorders>
                  <w:noWrap w:val="0"/>
                  <w:vAlign w:val="center"/>
                </w:tcPr>
                <w:p w14:paraId="5333553E">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cs="Times New Roman"/>
                      <w:b w:val="0"/>
                      <w:bCs w:val="0"/>
                      <w:color w:val="auto"/>
                      <w:sz w:val="18"/>
                      <w:szCs w:val="18"/>
                      <w:highlight w:val="none"/>
                      <w:vertAlign w:val="baseline"/>
                      <w:lang w:val="en-US" w:eastAsia="zh-CN"/>
                    </w:rPr>
                  </w:pPr>
                  <w:r>
                    <w:rPr>
                      <w:rFonts w:hint="eastAsia" w:cs="Times New Roman"/>
                      <w:b w:val="0"/>
                      <w:bCs w:val="0"/>
                      <w:color w:val="auto"/>
                      <w:sz w:val="18"/>
                      <w:szCs w:val="18"/>
                      <w:highlight w:val="none"/>
                      <w:vertAlign w:val="baseline"/>
                      <w:lang w:val="en-US" w:eastAsia="zh-CN"/>
                    </w:rPr>
                    <w:t>1次/年</w:t>
                  </w:r>
                </w:p>
              </w:tc>
              <w:tc>
                <w:tcPr>
                  <w:tcW w:w="880" w:type="pct"/>
                  <w:vMerge w:val="continue"/>
                  <w:tcBorders>
                    <w:tl2br w:val="nil"/>
                    <w:tr2bl w:val="nil"/>
                  </w:tcBorders>
                  <w:noWrap w:val="0"/>
                  <w:vAlign w:val="center"/>
                </w:tcPr>
                <w:p w14:paraId="473C8AD8">
                  <w:pPr>
                    <w:wordWrap w:val="0"/>
                    <w:spacing w:line="240" w:lineRule="exact"/>
                    <w:jc w:val="center"/>
                    <w:rPr>
                      <w:rFonts w:hint="eastAsia"/>
                      <w:color w:val="auto"/>
                      <w:sz w:val="18"/>
                      <w:szCs w:val="18"/>
                      <w:highlight w:val="none"/>
                    </w:rPr>
                  </w:pPr>
                </w:p>
              </w:tc>
            </w:tr>
            <w:tr w14:paraId="742765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410" w:type="pct"/>
                  <w:vMerge w:val="continue"/>
                  <w:tcBorders>
                    <w:tl2br w:val="nil"/>
                    <w:tr2bl w:val="nil"/>
                  </w:tcBorders>
                  <w:noWrap w:val="0"/>
                  <w:vAlign w:val="center"/>
                </w:tcPr>
                <w:p w14:paraId="1FE11ECB">
                  <w:pPr>
                    <w:snapToGrid w:val="0"/>
                    <w:jc w:val="center"/>
                    <w:textAlignment w:val="baseline"/>
                    <w:rPr>
                      <w:color w:val="auto"/>
                      <w:sz w:val="18"/>
                      <w:szCs w:val="18"/>
                      <w:highlight w:val="none"/>
                    </w:rPr>
                  </w:pPr>
                </w:p>
              </w:tc>
              <w:tc>
                <w:tcPr>
                  <w:tcW w:w="468" w:type="pct"/>
                  <w:vMerge w:val="continue"/>
                  <w:tcBorders>
                    <w:tl2br w:val="nil"/>
                    <w:tr2bl w:val="nil"/>
                  </w:tcBorders>
                  <w:noWrap w:val="0"/>
                  <w:vAlign w:val="center"/>
                </w:tcPr>
                <w:p w14:paraId="603B39B7">
                  <w:pPr>
                    <w:snapToGrid w:val="0"/>
                    <w:jc w:val="center"/>
                    <w:textAlignment w:val="baseline"/>
                    <w:rPr>
                      <w:color w:val="auto"/>
                      <w:sz w:val="18"/>
                      <w:szCs w:val="18"/>
                      <w:highlight w:val="none"/>
                    </w:rPr>
                  </w:pPr>
                </w:p>
              </w:tc>
              <w:tc>
                <w:tcPr>
                  <w:tcW w:w="773" w:type="pct"/>
                  <w:vMerge w:val="restart"/>
                  <w:tcBorders>
                    <w:tl2br w:val="nil"/>
                    <w:tr2bl w:val="nil"/>
                  </w:tcBorders>
                  <w:noWrap w:val="0"/>
                  <w:vAlign w:val="center"/>
                </w:tcPr>
                <w:p w14:paraId="67DBBEDA">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DA016</w:t>
                  </w:r>
                </w:p>
              </w:tc>
              <w:tc>
                <w:tcPr>
                  <w:tcW w:w="1509" w:type="pct"/>
                  <w:tcBorders>
                    <w:tl2br w:val="nil"/>
                    <w:tr2bl w:val="nil"/>
                  </w:tcBorders>
                  <w:noWrap w:val="0"/>
                  <w:vAlign w:val="center"/>
                </w:tcPr>
                <w:p w14:paraId="4872A856">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颗粒物</w:t>
                  </w:r>
                </w:p>
              </w:tc>
              <w:tc>
                <w:tcPr>
                  <w:tcW w:w="956" w:type="pct"/>
                  <w:tcBorders>
                    <w:tl2br w:val="nil"/>
                    <w:tr2bl w:val="nil"/>
                  </w:tcBorders>
                  <w:noWrap w:val="0"/>
                  <w:vAlign w:val="center"/>
                </w:tcPr>
                <w:p w14:paraId="2A512DAA">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sz w:val="18"/>
                      <w:szCs w:val="18"/>
                      <w:highlight w:val="none"/>
                      <w:vertAlign w:val="baseline"/>
                      <w:lang w:val="en-US" w:eastAsia="zh-CN"/>
                    </w:rPr>
                    <w:t>1次/年</w:t>
                  </w:r>
                </w:p>
              </w:tc>
              <w:tc>
                <w:tcPr>
                  <w:tcW w:w="880" w:type="pct"/>
                  <w:vMerge w:val="restart"/>
                  <w:tcBorders>
                    <w:tl2br w:val="nil"/>
                    <w:tr2bl w:val="nil"/>
                  </w:tcBorders>
                  <w:noWrap w:val="0"/>
                  <w:vAlign w:val="center"/>
                </w:tcPr>
                <w:p w14:paraId="5A210FAA">
                  <w:pPr>
                    <w:wordWrap w:val="0"/>
                    <w:spacing w:line="240" w:lineRule="exact"/>
                    <w:jc w:val="center"/>
                    <w:rPr>
                      <w:rFonts w:hint="eastAsia"/>
                      <w:color w:val="auto"/>
                      <w:sz w:val="18"/>
                      <w:szCs w:val="18"/>
                      <w:highlight w:val="none"/>
                    </w:rPr>
                  </w:pPr>
                  <w:r>
                    <w:rPr>
                      <w:rFonts w:hint="eastAsia"/>
                      <w:color w:val="auto"/>
                      <w:sz w:val="18"/>
                      <w:szCs w:val="18"/>
                      <w:highlight w:val="none"/>
                    </w:rPr>
                    <w:t>《表面涂装（汽车零部件）大气污染物排放标准》（DB32/3966-2021）表1中标准</w:t>
                  </w:r>
                </w:p>
              </w:tc>
            </w:tr>
            <w:tr w14:paraId="51C9BD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410" w:type="pct"/>
                  <w:vMerge w:val="continue"/>
                  <w:tcBorders>
                    <w:tl2br w:val="nil"/>
                    <w:tr2bl w:val="nil"/>
                  </w:tcBorders>
                  <w:noWrap w:val="0"/>
                  <w:vAlign w:val="center"/>
                </w:tcPr>
                <w:p w14:paraId="179687D1">
                  <w:pPr>
                    <w:snapToGrid w:val="0"/>
                    <w:jc w:val="center"/>
                    <w:textAlignment w:val="baseline"/>
                    <w:rPr>
                      <w:rFonts w:hint="eastAsia"/>
                      <w:color w:val="auto"/>
                      <w:sz w:val="18"/>
                      <w:szCs w:val="18"/>
                      <w:highlight w:val="none"/>
                    </w:rPr>
                  </w:pPr>
                </w:p>
              </w:tc>
              <w:tc>
                <w:tcPr>
                  <w:tcW w:w="468" w:type="pct"/>
                  <w:vMerge w:val="continue"/>
                  <w:tcBorders>
                    <w:tl2br w:val="nil"/>
                    <w:tr2bl w:val="nil"/>
                  </w:tcBorders>
                  <w:noWrap w:val="0"/>
                  <w:vAlign w:val="center"/>
                </w:tcPr>
                <w:p w14:paraId="177E85A0">
                  <w:pPr>
                    <w:snapToGrid w:val="0"/>
                    <w:jc w:val="center"/>
                    <w:textAlignment w:val="baseline"/>
                    <w:rPr>
                      <w:rFonts w:hint="eastAsia"/>
                      <w:color w:val="auto"/>
                      <w:sz w:val="18"/>
                      <w:szCs w:val="18"/>
                      <w:highlight w:val="none"/>
                    </w:rPr>
                  </w:pPr>
                </w:p>
              </w:tc>
              <w:tc>
                <w:tcPr>
                  <w:tcW w:w="773" w:type="pct"/>
                  <w:vMerge w:val="continue"/>
                  <w:tcBorders>
                    <w:tl2br w:val="nil"/>
                    <w:tr2bl w:val="nil"/>
                  </w:tcBorders>
                  <w:noWrap w:val="0"/>
                  <w:vAlign w:val="center"/>
                </w:tcPr>
                <w:p w14:paraId="5497086C">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p>
              </w:tc>
              <w:tc>
                <w:tcPr>
                  <w:tcW w:w="1509" w:type="pct"/>
                  <w:tcBorders>
                    <w:tl2br w:val="nil"/>
                    <w:tr2bl w:val="nil"/>
                  </w:tcBorders>
                  <w:noWrap w:val="0"/>
                  <w:vAlign w:val="center"/>
                </w:tcPr>
                <w:p w14:paraId="72E1AE04">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非甲烷总烃</w:t>
                  </w:r>
                </w:p>
              </w:tc>
              <w:tc>
                <w:tcPr>
                  <w:tcW w:w="956" w:type="pct"/>
                  <w:tcBorders>
                    <w:tl2br w:val="nil"/>
                    <w:tr2bl w:val="nil"/>
                  </w:tcBorders>
                  <w:noWrap w:val="0"/>
                  <w:vAlign w:val="center"/>
                </w:tcPr>
                <w:p w14:paraId="0C83BD49">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sz w:val="18"/>
                      <w:szCs w:val="18"/>
                      <w:highlight w:val="none"/>
                      <w:vertAlign w:val="baseline"/>
                      <w:lang w:val="en-US" w:eastAsia="zh-CN"/>
                    </w:rPr>
                    <w:t>1次/年</w:t>
                  </w:r>
                </w:p>
              </w:tc>
              <w:tc>
                <w:tcPr>
                  <w:tcW w:w="880" w:type="pct"/>
                  <w:vMerge w:val="continue"/>
                  <w:tcBorders>
                    <w:tl2br w:val="nil"/>
                    <w:tr2bl w:val="nil"/>
                  </w:tcBorders>
                  <w:noWrap w:val="0"/>
                  <w:vAlign w:val="center"/>
                </w:tcPr>
                <w:p w14:paraId="15839F03">
                  <w:pPr>
                    <w:wordWrap w:val="0"/>
                    <w:spacing w:line="240" w:lineRule="exact"/>
                    <w:jc w:val="center"/>
                    <w:rPr>
                      <w:rFonts w:hint="eastAsia"/>
                      <w:color w:val="auto"/>
                      <w:sz w:val="18"/>
                      <w:szCs w:val="18"/>
                      <w:highlight w:val="none"/>
                    </w:rPr>
                  </w:pPr>
                </w:p>
              </w:tc>
            </w:tr>
            <w:tr w14:paraId="30B782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410" w:type="pct"/>
                  <w:vMerge w:val="continue"/>
                  <w:tcBorders>
                    <w:tl2br w:val="nil"/>
                    <w:tr2bl w:val="nil"/>
                  </w:tcBorders>
                  <w:noWrap w:val="0"/>
                  <w:vAlign w:val="center"/>
                </w:tcPr>
                <w:p w14:paraId="0EA31C9F">
                  <w:pPr>
                    <w:snapToGrid w:val="0"/>
                    <w:jc w:val="center"/>
                    <w:textAlignment w:val="baseline"/>
                    <w:rPr>
                      <w:rFonts w:hint="eastAsia"/>
                      <w:color w:val="auto"/>
                      <w:sz w:val="18"/>
                      <w:szCs w:val="18"/>
                      <w:highlight w:val="none"/>
                    </w:rPr>
                  </w:pPr>
                </w:p>
              </w:tc>
              <w:tc>
                <w:tcPr>
                  <w:tcW w:w="468" w:type="pct"/>
                  <w:vMerge w:val="continue"/>
                  <w:tcBorders>
                    <w:tl2br w:val="nil"/>
                    <w:tr2bl w:val="nil"/>
                  </w:tcBorders>
                  <w:noWrap w:val="0"/>
                  <w:vAlign w:val="center"/>
                </w:tcPr>
                <w:p w14:paraId="0A2208A5">
                  <w:pPr>
                    <w:snapToGrid w:val="0"/>
                    <w:jc w:val="center"/>
                    <w:textAlignment w:val="baseline"/>
                    <w:rPr>
                      <w:rFonts w:hint="eastAsia"/>
                      <w:color w:val="auto"/>
                      <w:sz w:val="18"/>
                      <w:szCs w:val="18"/>
                      <w:highlight w:val="none"/>
                    </w:rPr>
                  </w:pPr>
                </w:p>
              </w:tc>
              <w:tc>
                <w:tcPr>
                  <w:tcW w:w="773" w:type="pct"/>
                  <w:vMerge w:val="continue"/>
                  <w:tcBorders>
                    <w:tl2br w:val="nil"/>
                    <w:tr2bl w:val="nil"/>
                  </w:tcBorders>
                  <w:noWrap w:val="0"/>
                  <w:vAlign w:val="center"/>
                </w:tcPr>
                <w:p w14:paraId="733719C9">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p>
              </w:tc>
              <w:tc>
                <w:tcPr>
                  <w:tcW w:w="1509" w:type="pct"/>
                  <w:tcBorders>
                    <w:tl2br w:val="nil"/>
                    <w:tr2bl w:val="nil"/>
                  </w:tcBorders>
                  <w:noWrap w:val="0"/>
                  <w:vAlign w:val="center"/>
                </w:tcPr>
                <w:p w14:paraId="705A5EA7">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TVOC</w:t>
                  </w:r>
                </w:p>
              </w:tc>
              <w:tc>
                <w:tcPr>
                  <w:tcW w:w="956" w:type="pct"/>
                  <w:tcBorders>
                    <w:tl2br w:val="nil"/>
                    <w:tr2bl w:val="nil"/>
                  </w:tcBorders>
                  <w:noWrap w:val="0"/>
                  <w:vAlign w:val="center"/>
                </w:tcPr>
                <w:p w14:paraId="6E9DCABC">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sz w:val="18"/>
                      <w:szCs w:val="18"/>
                      <w:highlight w:val="none"/>
                      <w:vertAlign w:val="baseline"/>
                      <w:lang w:val="en-US" w:eastAsia="zh-CN"/>
                    </w:rPr>
                    <w:t>1次/年</w:t>
                  </w:r>
                </w:p>
              </w:tc>
              <w:tc>
                <w:tcPr>
                  <w:tcW w:w="880" w:type="pct"/>
                  <w:vMerge w:val="continue"/>
                  <w:tcBorders>
                    <w:tl2br w:val="nil"/>
                    <w:tr2bl w:val="nil"/>
                  </w:tcBorders>
                  <w:noWrap w:val="0"/>
                  <w:vAlign w:val="center"/>
                </w:tcPr>
                <w:p w14:paraId="49135AC2">
                  <w:pPr>
                    <w:wordWrap w:val="0"/>
                    <w:spacing w:line="240" w:lineRule="exact"/>
                    <w:jc w:val="center"/>
                    <w:rPr>
                      <w:rFonts w:hint="eastAsia"/>
                      <w:color w:val="auto"/>
                      <w:sz w:val="18"/>
                      <w:szCs w:val="18"/>
                      <w:highlight w:val="none"/>
                    </w:rPr>
                  </w:pPr>
                </w:p>
              </w:tc>
            </w:tr>
            <w:tr w14:paraId="07796B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410" w:type="pct"/>
                  <w:vMerge w:val="continue"/>
                  <w:tcBorders>
                    <w:tl2br w:val="nil"/>
                    <w:tr2bl w:val="nil"/>
                  </w:tcBorders>
                  <w:noWrap w:val="0"/>
                  <w:vAlign w:val="center"/>
                </w:tcPr>
                <w:p w14:paraId="3516321E">
                  <w:pPr>
                    <w:snapToGrid w:val="0"/>
                    <w:jc w:val="center"/>
                    <w:textAlignment w:val="baseline"/>
                    <w:rPr>
                      <w:rFonts w:hint="eastAsia"/>
                      <w:color w:val="auto"/>
                      <w:sz w:val="18"/>
                      <w:szCs w:val="18"/>
                      <w:highlight w:val="none"/>
                    </w:rPr>
                  </w:pPr>
                </w:p>
              </w:tc>
              <w:tc>
                <w:tcPr>
                  <w:tcW w:w="468" w:type="pct"/>
                  <w:vMerge w:val="continue"/>
                  <w:tcBorders>
                    <w:tl2br w:val="nil"/>
                    <w:tr2bl w:val="nil"/>
                  </w:tcBorders>
                  <w:noWrap w:val="0"/>
                  <w:vAlign w:val="center"/>
                </w:tcPr>
                <w:p w14:paraId="27A7249A">
                  <w:pPr>
                    <w:snapToGrid w:val="0"/>
                    <w:jc w:val="center"/>
                    <w:textAlignment w:val="baseline"/>
                    <w:rPr>
                      <w:rFonts w:hint="eastAsia"/>
                      <w:color w:val="auto"/>
                      <w:sz w:val="18"/>
                      <w:szCs w:val="18"/>
                      <w:highlight w:val="none"/>
                    </w:rPr>
                  </w:pPr>
                </w:p>
              </w:tc>
              <w:tc>
                <w:tcPr>
                  <w:tcW w:w="773" w:type="pct"/>
                  <w:tcBorders>
                    <w:tl2br w:val="nil"/>
                    <w:tr2bl w:val="nil"/>
                  </w:tcBorders>
                  <w:noWrap w:val="0"/>
                  <w:vAlign w:val="center"/>
                </w:tcPr>
                <w:p w14:paraId="4CADAC77">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DA010</w:t>
                  </w:r>
                </w:p>
              </w:tc>
              <w:tc>
                <w:tcPr>
                  <w:tcW w:w="1509" w:type="pct"/>
                  <w:tcBorders>
                    <w:tl2br w:val="nil"/>
                    <w:tr2bl w:val="nil"/>
                  </w:tcBorders>
                  <w:shd w:val="clear" w:color="auto" w:fill="auto"/>
                  <w:noWrap w:val="0"/>
                  <w:vAlign w:val="center"/>
                </w:tcPr>
                <w:p w14:paraId="51E535EF">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非甲烷总烃</w:t>
                  </w:r>
                </w:p>
              </w:tc>
              <w:tc>
                <w:tcPr>
                  <w:tcW w:w="956" w:type="pct"/>
                  <w:tcBorders>
                    <w:tl2br w:val="nil"/>
                    <w:tr2bl w:val="nil"/>
                  </w:tcBorders>
                  <w:shd w:val="clear" w:color="auto" w:fill="auto"/>
                  <w:noWrap w:val="0"/>
                  <w:vAlign w:val="center"/>
                </w:tcPr>
                <w:p w14:paraId="20AD90EF">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18"/>
                      <w:szCs w:val="18"/>
                      <w:highlight w:val="none"/>
                      <w:vertAlign w:val="baseline"/>
                      <w:lang w:val="en-US" w:eastAsia="zh-CN" w:bidi="ar-SA"/>
                    </w:rPr>
                  </w:pPr>
                  <w:r>
                    <w:rPr>
                      <w:rFonts w:hint="eastAsia" w:cs="Times New Roman"/>
                      <w:b w:val="0"/>
                      <w:bCs w:val="0"/>
                      <w:color w:val="auto"/>
                      <w:sz w:val="18"/>
                      <w:szCs w:val="18"/>
                      <w:highlight w:val="none"/>
                      <w:vertAlign w:val="baseline"/>
                      <w:lang w:val="en-US" w:eastAsia="zh-CN"/>
                    </w:rPr>
                    <w:t>1次/年</w:t>
                  </w:r>
                </w:p>
              </w:tc>
              <w:tc>
                <w:tcPr>
                  <w:tcW w:w="880" w:type="pct"/>
                  <w:vMerge w:val="continue"/>
                  <w:tcBorders>
                    <w:tl2br w:val="nil"/>
                    <w:tr2bl w:val="nil"/>
                  </w:tcBorders>
                  <w:noWrap w:val="0"/>
                  <w:vAlign w:val="center"/>
                </w:tcPr>
                <w:p w14:paraId="167DE77C">
                  <w:pPr>
                    <w:wordWrap w:val="0"/>
                    <w:spacing w:line="240" w:lineRule="exact"/>
                    <w:jc w:val="center"/>
                    <w:rPr>
                      <w:rFonts w:hint="eastAsia"/>
                      <w:color w:val="auto"/>
                      <w:sz w:val="18"/>
                      <w:szCs w:val="18"/>
                      <w:highlight w:val="none"/>
                    </w:rPr>
                  </w:pPr>
                </w:p>
              </w:tc>
            </w:tr>
            <w:tr w14:paraId="114728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410" w:type="pct"/>
                  <w:vMerge w:val="continue"/>
                  <w:tcBorders>
                    <w:tl2br w:val="nil"/>
                    <w:tr2bl w:val="nil"/>
                  </w:tcBorders>
                  <w:noWrap w:val="0"/>
                  <w:vAlign w:val="center"/>
                </w:tcPr>
                <w:p w14:paraId="79567DD1">
                  <w:pPr>
                    <w:snapToGrid w:val="0"/>
                    <w:jc w:val="center"/>
                    <w:textAlignment w:val="baseline"/>
                    <w:rPr>
                      <w:color w:val="auto"/>
                      <w:sz w:val="18"/>
                      <w:szCs w:val="18"/>
                      <w:highlight w:val="none"/>
                    </w:rPr>
                  </w:pPr>
                </w:p>
              </w:tc>
              <w:tc>
                <w:tcPr>
                  <w:tcW w:w="468" w:type="pct"/>
                  <w:vMerge w:val="restart"/>
                  <w:tcBorders>
                    <w:tl2br w:val="nil"/>
                    <w:tr2bl w:val="nil"/>
                  </w:tcBorders>
                  <w:noWrap w:val="0"/>
                  <w:vAlign w:val="center"/>
                </w:tcPr>
                <w:p w14:paraId="6B58BA9A">
                  <w:pPr>
                    <w:snapToGrid w:val="0"/>
                    <w:jc w:val="center"/>
                    <w:textAlignment w:val="baseline"/>
                    <w:rPr>
                      <w:color w:val="auto"/>
                      <w:sz w:val="18"/>
                      <w:szCs w:val="18"/>
                      <w:highlight w:val="none"/>
                    </w:rPr>
                  </w:pPr>
                  <w:r>
                    <w:rPr>
                      <w:rFonts w:hint="eastAsia"/>
                      <w:color w:val="auto"/>
                      <w:sz w:val="18"/>
                      <w:szCs w:val="18"/>
                      <w:highlight w:val="none"/>
                    </w:rPr>
                    <w:t>无组织</w:t>
                  </w:r>
                </w:p>
              </w:tc>
              <w:tc>
                <w:tcPr>
                  <w:tcW w:w="773" w:type="pct"/>
                  <w:tcBorders>
                    <w:tl2br w:val="nil"/>
                    <w:tr2bl w:val="nil"/>
                  </w:tcBorders>
                  <w:noWrap w:val="0"/>
                  <w:vAlign w:val="center"/>
                </w:tcPr>
                <w:p w14:paraId="714C308C">
                  <w:pPr>
                    <w:snapToGrid w:val="0"/>
                    <w:jc w:val="center"/>
                    <w:textAlignment w:val="baseline"/>
                    <w:rPr>
                      <w:rFonts w:hint="eastAsia" w:eastAsia="宋体"/>
                      <w:color w:val="auto"/>
                      <w:sz w:val="18"/>
                      <w:szCs w:val="18"/>
                      <w:highlight w:val="none"/>
                      <w:lang w:eastAsia="zh-CN"/>
                    </w:rPr>
                  </w:pPr>
                  <w:r>
                    <w:rPr>
                      <w:rFonts w:hint="eastAsia"/>
                      <w:color w:val="auto"/>
                      <w:sz w:val="18"/>
                      <w:szCs w:val="18"/>
                      <w:highlight w:val="none"/>
                      <w:lang w:eastAsia="zh-CN"/>
                    </w:rPr>
                    <w:t>厂界</w:t>
                  </w:r>
                </w:p>
              </w:tc>
              <w:tc>
                <w:tcPr>
                  <w:tcW w:w="1509" w:type="pct"/>
                  <w:tcBorders>
                    <w:tl2br w:val="nil"/>
                    <w:tr2bl w:val="nil"/>
                  </w:tcBorders>
                  <w:noWrap w:val="0"/>
                  <w:vAlign w:val="center"/>
                </w:tcPr>
                <w:p w14:paraId="77D171AD">
                  <w:pPr>
                    <w:snapToGrid w:val="0"/>
                    <w:jc w:val="center"/>
                    <w:textAlignment w:val="baseline"/>
                    <w:rPr>
                      <w:rFonts w:hint="default" w:eastAsia="宋体"/>
                      <w:color w:val="auto"/>
                      <w:sz w:val="18"/>
                      <w:szCs w:val="18"/>
                      <w:highlight w:val="none"/>
                      <w:lang w:val="en-US" w:eastAsia="zh-CN"/>
                    </w:rPr>
                  </w:pPr>
                  <w:r>
                    <w:rPr>
                      <w:rFonts w:hint="eastAsia" w:cs="Times New Roman"/>
                      <w:b w:val="0"/>
                      <w:bCs w:val="0"/>
                      <w:color w:val="auto"/>
                      <w:sz w:val="18"/>
                      <w:szCs w:val="18"/>
                      <w:vertAlign w:val="baseline"/>
                      <w:lang w:val="en-US" w:eastAsia="zh-CN"/>
                    </w:rPr>
                    <w:t>颗粒物、NMHC、臭气浓度、苯乙烯、丙烯腈、甲苯、乙苯、二氯甲烷、氯苯</w:t>
                  </w:r>
                </w:p>
              </w:tc>
              <w:tc>
                <w:tcPr>
                  <w:tcW w:w="956" w:type="pct"/>
                  <w:tcBorders>
                    <w:tl2br w:val="nil"/>
                    <w:tr2bl w:val="nil"/>
                  </w:tcBorders>
                  <w:noWrap w:val="0"/>
                  <w:vAlign w:val="center"/>
                </w:tcPr>
                <w:p w14:paraId="45D2A749">
                  <w:pPr>
                    <w:snapToGrid w:val="0"/>
                    <w:jc w:val="center"/>
                    <w:textAlignment w:val="baseline"/>
                    <w:rPr>
                      <w:rFonts w:hint="default"/>
                      <w:color w:val="auto"/>
                      <w:sz w:val="18"/>
                      <w:szCs w:val="18"/>
                      <w:highlight w:val="none"/>
                      <w:lang w:val="en-US"/>
                    </w:rPr>
                  </w:pPr>
                  <w:r>
                    <w:rPr>
                      <w:rFonts w:hint="eastAsia"/>
                      <w:color w:val="auto"/>
                      <w:sz w:val="18"/>
                      <w:szCs w:val="18"/>
                      <w:highlight w:val="none"/>
                      <w:lang w:val="en-US" w:eastAsia="zh-CN"/>
                    </w:rPr>
                    <w:t>1次/半年</w:t>
                  </w:r>
                </w:p>
              </w:tc>
              <w:tc>
                <w:tcPr>
                  <w:tcW w:w="880" w:type="pct"/>
                  <w:tcBorders>
                    <w:tl2br w:val="nil"/>
                    <w:tr2bl w:val="nil"/>
                  </w:tcBorders>
                  <w:noWrap w:val="0"/>
                  <w:vAlign w:val="center"/>
                </w:tcPr>
                <w:p w14:paraId="2D1835B6">
                  <w:pPr>
                    <w:wordWrap w:val="0"/>
                    <w:spacing w:line="240" w:lineRule="exact"/>
                    <w:jc w:val="center"/>
                    <w:rPr>
                      <w:rFonts w:hint="eastAsia" w:eastAsia="宋体"/>
                      <w:color w:val="auto"/>
                      <w:sz w:val="18"/>
                      <w:szCs w:val="18"/>
                      <w:highlight w:val="none"/>
                      <w:lang w:eastAsia="zh-CN"/>
                    </w:rPr>
                  </w:pPr>
                  <w:r>
                    <w:rPr>
                      <w:rFonts w:hint="eastAsia"/>
                      <w:color w:val="auto"/>
                      <w:sz w:val="18"/>
                      <w:szCs w:val="18"/>
                      <w:highlight w:val="none"/>
                    </w:rPr>
                    <w:t>《大气污染物综合排放标准》（DB32/4041-2021）表3排放限值</w:t>
                  </w:r>
                  <w:r>
                    <w:rPr>
                      <w:rFonts w:hint="eastAsia"/>
                      <w:color w:val="auto"/>
                      <w:sz w:val="18"/>
                      <w:szCs w:val="18"/>
                      <w:highlight w:val="none"/>
                      <w:lang w:eastAsia="zh-CN"/>
                    </w:rPr>
                    <w:t>、</w:t>
                  </w:r>
                  <w:r>
                    <w:rPr>
                      <w:rFonts w:hint="eastAsia" w:ascii="Times New Roman" w:hAnsi="Times New Roman" w:eastAsia="宋体" w:cs="Times New Roman"/>
                      <w:color w:val="auto"/>
                      <w:sz w:val="18"/>
                      <w:szCs w:val="18"/>
                      <w:lang w:val="en-US" w:eastAsia="zh-CN"/>
                    </w:rPr>
                    <w:t>《恶臭污染物排放标准》（GB14554-93）表1中新改扩建二级标准</w:t>
                  </w:r>
                  <w:r>
                    <w:rPr>
                      <w:rFonts w:hint="eastAsia" w:cs="Times New Roman"/>
                      <w:color w:val="auto"/>
                      <w:sz w:val="18"/>
                      <w:szCs w:val="18"/>
                      <w:lang w:val="en-US" w:eastAsia="zh-CN"/>
                    </w:rPr>
                    <w:t>、</w:t>
                  </w:r>
                </w:p>
              </w:tc>
            </w:tr>
            <w:tr w14:paraId="226F86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410" w:type="pct"/>
                  <w:vMerge w:val="continue"/>
                  <w:tcBorders>
                    <w:tl2br w:val="nil"/>
                    <w:tr2bl w:val="nil"/>
                  </w:tcBorders>
                  <w:noWrap w:val="0"/>
                  <w:vAlign w:val="center"/>
                </w:tcPr>
                <w:p w14:paraId="4A64D7FE">
                  <w:pPr>
                    <w:snapToGrid w:val="0"/>
                    <w:jc w:val="center"/>
                    <w:textAlignment w:val="baseline"/>
                    <w:rPr>
                      <w:color w:val="auto"/>
                      <w:sz w:val="18"/>
                      <w:szCs w:val="18"/>
                      <w:highlight w:val="none"/>
                    </w:rPr>
                  </w:pPr>
                </w:p>
              </w:tc>
              <w:tc>
                <w:tcPr>
                  <w:tcW w:w="468" w:type="pct"/>
                  <w:vMerge w:val="continue"/>
                  <w:tcBorders>
                    <w:tl2br w:val="nil"/>
                    <w:tr2bl w:val="nil"/>
                  </w:tcBorders>
                  <w:noWrap w:val="0"/>
                  <w:vAlign w:val="center"/>
                </w:tcPr>
                <w:p w14:paraId="6C0AC1D9">
                  <w:pPr>
                    <w:snapToGrid w:val="0"/>
                    <w:jc w:val="center"/>
                    <w:textAlignment w:val="baseline"/>
                    <w:rPr>
                      <w:rFonts w:hint="eastAsia"/>
                      <w:color w:val="auto"/>
                      <w:sz w:val="18"/>
                      <w:szCs w:val="18"/>
                      <w:highlight w:val="none"/>
                    </w:rPr>
                  </w:pPr>
                </w:p>
              </w:tc>
              <w:tc>
                <w:tcPr>
                  <w:tcW w:w="773" w:type="pct"/>
                  <w:tcBorders>
                    <w:tl2br w:val="nil"/>
                    <w:tr2bl w:val="nil"/>
                  </w:tcBorders>
                  <w:noWrap w:val="0"/>
                  <w:vAlign w:val="center"/>
                </w:tcPr>
                <w:p w14:paraId="7AC33385">
                  <w:pPr>
                    <w:snapToGrid w:val="0"/>
                    <w:jc w:val="center"/>
                    <w:textAlignment w:val="baseline"/>
                    <w:rPr>
                      <w:rFonts w:hint="eastAsia"/>
                      <w:color w:val="auto"/>
                      <w:sz w:val="18"/>
                      <w:szCs w:val="18"/>
                      <w:highlight w:val="none"/>
                      <w:lang w:eastAsia="zh-CN"/>
                    </w:rPr>
                  </w:pPr>
                  <w:r>
                    <w:rPr>
                      <w:rFonts w:hint="eastAsia"/>
                      <w:color w:val="auto"/>
                      <w:sz w:val="18"/>
                      <w:szCs w:val="18"/>
                      <w:highlight w:val="none"/>
                      <w:lang w:eastAsia="zh-CN"/>
                    </w:rPr>
                    <w:t>厂区内</w:t>
                  </w:r>
                </w:p>
              </w:tc>
              <w:tc>
                <w:tcPr>
                  <w:tcW w:w="1509" w:type="pct"/>
                  <w:tcBorders>
                    <w:tl2br w:val="nil"/>
                    <w:tr2bl w:val="nil"/>
                  </w:tcBorders>
                  <w:noWrap w:val="0"/>
                  <w:vAlign w:val="center"/>
                </w:tcPr>
                <w:p w14:paraId="641C1751">
                  <w:pPr>
                    <w:snapToGrid w:val="0"/>
                    <w:jc w:val="center"/>
                    <w:textAlignment w:val="baseline"/>
                    <w:rPr>
                      <w:rFonts w:hint="eastAsia" w:eastAsia="宋体"/>
                      <w:color w:val="auto"/>
                      <w:sz w:val="18"/>
                      <w:szCs w:val="18"/>
                      <w:highlight w:val="none"/>
                      <w:lang w:eastAsia="zh-CN"/>
                    </w:rPr>
                  </w:pPr>
                  <w:r>
                    <w:rPr>
                      <w:rFonts w:hint="eastAsia" w:cs="Times New Roman"/>
                      <w:b w:val="0"/>
                      <w:bCs w:val="0"/>
                      <w:color w:val="auto"/>
                      <w:sz w:val="18"/>
                      <w:szCs w:val="18"/>
                      <w:vertAlign w:val="baseline"/>
                      <w:lang w:val="en-US" w:eastAsia="zh-CN"/>
                    </w:rPr>
                    <w:t>NMHC</w:t>
                  </w:r>
                </w:p>
              </w:tc>
              <w:tc>
                <w:tcPr>
                  <w:tcW w:w="956" w:type="pct"/>
                  <w:tcBorders>
                    <w:tl2br w:val="nil"/>
                    <w:tr2bl w:val="nil"/>
                  </w:tcBorders>
                  <w:noWrap w:val="0"/>
                  <w:vAlign w:val="center"/>
                </w:tcPr>
                <w:p w14:paraId="1B740261">
                  <w:pPr>
                    <w:snapToGrid w:val="0"/>
                    <w:jc w:val="center"/>
                    <w:textAlignment w:val="baseline"/>
                    <w:rPr>
                      <w:rFonts w:hint="eastAsia" w:eastAsia="宋体"/>
                      <w:color w:val="auto"/>
                      <w:sz w:val="18"/>
                      <w:szCs w:val="18"/>
                      <w:highlight w:val="none"/>
                      <w:lang w:eastAsia="zh-CN"/>
                    </w:rPr>
                  </w:pPr>
                  <w:r>
                    <w:rPr>
                      <w:rFonts w:hint="eastAsia"/>
                      <w:color w:val="auto"/>
                      <w:sz w:val="18"/>
                      <w:szCs w:val="18"/>
                      <w:highlight w:val="none"/>
                      <w:lang w:val="en-US" w:eastAsia="zh-CN"/>
                    </w:rPr>
                    <w:t>1次/年</w:t>
                  </w:r>
                </w:p>
              </w:tc>
              <w:tc>
                <w:tcPr>
                  <w:tcW w:w="880" w:type="pct"/>
                  <w:tcBorders>
                    <w:tl2br w:val="nil"/>
                    <w:tr2bl w:val="nil"/>
                  </w:tcBorders>
                  <w:noWrap w:val="0"/>
                  <w:vAlign w:val="center"/>
                </w:tcPr>
                <w:p w14:paraId="1351C19F">
                  <w:pPr>
                    <w:wordWrap w:val="0"/>
                    <w:spacing w:line="240" w:lineRule="exact"/>
                    <w:jc w:val="center"/>
                    <w:rPr>
                      <w:rFonts w:hint="eastAsia" w:eastAsia="宋体"/>
                      <w:color w:val="auto"/>
                      <w:sz w:val="18"/>
                      <w:szCs w:val="18"/>
                      <w:highlight w:val="none"/>
                      <w:lang w:eastAsia="zh-CN"/>
                    </w:rPr>
                  </w:pPr>
                  <w:r>
                    <w:rPr>
                      <w:rFonts w:hint="eastAsia"/>
                      <w:color w:val="auto"/>
                      <w:sz w:val="18"/>
                      <w:szCs w:val="18"/>
                      <w:highlight w:val="none"/>
                      <w:lang w:eastAsia="zh-CN"/>
                    </w:rPr>
                    <w:t>《表面涂装（汽车零部件）大气污染物排放标准》（DB32/3966-2021）表2</w:t>
                  </w:r>
                  <w:r>
                    <w:rPr>
                      <w:rFonts w:hint="eastAsia"/>
                      <w:color w:val="auto"/>
                      <w:sz w:val="18"/>
                      <w:szCs w:val="18"/>
                      <w:highlight w:val="none"/>
                      <w:lang w:val="en-US" w:eastAsia="zh-CN"/>
                    </w:rPr>
                    <w:t>标准</w:t>
                  </w:r>
                </w:p>
              </w:tc>
            </w:tr>
          </w:tbl>
          <w:p w14:paraId="7F355EBE">
            <w:pPr>
              <w:pageBreakBefore w:val="0"/>
              <w:widowControl w:val="0"/>
              <w:numPr>
                <w:ilvl w:val="0"/>
                <w:numId w:val="0"/>
              </w:numPr>
              <w:kinsoku/>
              <w:wordWrap/>
              <w:overflowPunct/>
              <w:topLinePunct w:val="0"/>
              <w:autoSpaceDE/>
              <w:autoSpaceDN/>
              <w:bidi w:val="0"/>
              <w:adjustRightInd/>
              <w:snapToGrid w:val="0"/>
              <w:spacing w:line="240" w:lineRule="auto"/>
              <w:ind w:firstLine="422" w:firstLineChars="200"/>
              <w:jc w:val="center"/>
              <w:textAlignment w:val="auto"/>
              <w:rPr>
                <w:rFonts w:hint="default" w:ascii="Times New Roman" w:hAnsi="Times New Roman" w:cs="Times New Roman"/>
                <w:b/>
                <w:color w:val="auto"/>
                <w:sz w:val="21"/>
              </w:rPr>
            </w:pPr>
            <w:r>
              <w:rPr>
                <w:rFonts w:hint="default" w:ascii="Times New Roman" w:hAnsi="Times New Roman" w:cs="Times New Roman"/>
                <w:b/>
                <w:color w:val="auto"/>
                <w:sz w:val="21"/>
              </w:rPr>
              <w:t>表</w:t>
            </w:r>
            <w:r>
              <w:rPr>
                <w:rFonts w:hint="default" w:ascii="Times New Roman" w:hAnsi="Times New Roman" w:cs="Times New Roman"/>
                <w:b/>
                <w:color w:val="auto"/>
                <w:spacing w:val="-52"/>
                <w:sz w:val="21"/>
              </w:rPr>
              <w:t xml:space="preserve"> </w:t>
            </w:r>
            <w:r>
              <w:rPr>
                <w:rFonts w:hint="default" w:ascii="Times New Roman" w:hAnsi="Times New Roman" w:eastAsia="Times New Roman" w:cs="Times New Roman"/>
                <w:b/>
                <w:color w:val="auto"/>
                <w:sz w:val="21"/>
              </w:rPr>
              <w:t>4-</w:t>
            </w:r>
            <w:r>
              <w:rPr>
                <w:rFonts w:hint="eastAsia" w:cs="Times New Roman"/>
                <w:b/>
                <w:color w:val="auto"/>
                <w:sz w:val="21"/>
                <w:lang w:val="en-US" w:eastAsia="zh-CN"/>
              </w:rPr>
              <w:t>11</w:t>
            </w:r>
            <w:r>
              <w:rPr>
                <w:rFonts w:hint="eastAsia"/>
                <w:b/>
                <w:color w:val="auto"/>
                <w:sz w:val="21"/>
                <w:szCs w:val="21"/>
                <w:highlight w:val="none"/>
                <w:lang w:val="en-US" w:eastAsia="zh-CN"/>
              </w:rPr>
              <w:t>本</w:t>
            </w:r>
            <w:r>
              <w:rPr>
                <w:b/>
                <w:color w:val="auto"/>
                <w:sz w:val="21"/>
                <w:szCs w:val="21"/>
                <w:highlight w:val="none"/>
              </w:rPr>
              <w:t>项目</w:t>
            </w:r>
            <w:r>
              <w:rPr>
                <w:rFonts w:hint="default" w:ascii="Times New Roman" w:hAnsi="Times New Roman" w:cs="Times New Roman"/>
                <w:b/>
                <w:color w:val="auto"/>
                <w:sz w:val="21"/>
              </w:rPr>
              <w:t>废气验收监测方案</w:t>
            </w:r>
          </w:p>
          <w:tbl>
            <w:tblPr>
              <w:tblStyle w:val="20"/>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77"/>
              <w:gridCol w:w="868"/>
              <w:gridCol w:w="1228"/>
              <w:gridCol w:w="1626"/>
              <w:gridCol w:w="1405"/>
              <w:gridCol w:w="2416"/>
            </w:tblGrid>
            <w:tr w14:paraId="736429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97" w:hRule="atLeast"/>
                <w:jc w:val="center"/>
              </w:trPr>
              <w:tc>
                <w:tcPr>
                  <w:tcW w:w="889" w:type="pct"/>
                  <w:gridSpan w:val="2"/>
                  <w:tcBorders>
                    <w:tl2br w:val="nil"/>
                    <w:tr2bl w:val="nil"/>
                  </w:tcBorders>
                  <w:noWrap w:val="0"/>
                  <w:vAlign w:val="center"/>
                </w:tcPr>
                <w:p w14:paraId="7EF209CE">
                  <w:pPr>
                    <w:snapToGrid w:val="0"/>
                    <w:jc w:val="center"/>
                    <w:textAlignment w:val="baseline"/>
                    <w:rPr>
                      <w:rFonts w:hint="default"/>
                      <w:b/>
                      <w:bCs/>
                      <w:color w:val="auto"/>
                      <w:kern w:val="2"/>
                      <w:sz w:val="18"/>
                      <w:szCs w:val="18"/>
                      <w:highlight w:val="none"/>
                      <w:lang w:val="en-US" w:eastAsia="zh-CN" w:bidi="ar-SA"/>
                    </w:rPr>
                  </w:pPr>
                  <w:r>
                    <w:rPr>
                      <w:rFonts w:hint="eastAsia"/>
                      <w:b/>
                      <w:bCs/>
                      <w:color w:val="auto"/>
                      <w:sz w:val="18"/>
                      <w:szCs w:val="18"/>
                      <w:highlight w:val="none"/>
                    </w:rPr>
                    <w:t>项目</w:t>
                  </w:r>
                </w:p>
              </w:tc>
              <w:tc>
                <w:tcPr>
                  <w:tcW w:w="756" w:type="pct"/>
                  <w:tcBorders>
                    <w:tl2br w:val="nil"/>
                    <w:tr2bl w:val="nil"/>
                  </w:tcBorders>
                  <w:noWrap w:val="0"/>
                  <w:vAlign w:val="center"/>
                </w:tcPr>
                <w:p w14:paraId="3BA87ED9">
                  <w:pPr>
                    <w:snapToGrid w:val="0"/>
                    <w:jc w:val="center"/>
                    <w:textAlignment w:val="baseline"/>
                    <w:rPr>
                      <w:rFonts w:hint="default"/>
                      <w:b/>
                      <w:bCs/>
                      <w:color w:val="auto"/>
                      <w:kern w:val="2"/>
                      <w:sz w:val="18"/>
                      <w:szCs w:val="18"/>
                      <w:highlight w:val="none"/>
                      <w:lang w:val="en-US" w:eastAsia="zh-CN" w:bidi="ar-SA"/>
                    </w:rPr>
                  </w:pPr>
                  <w:r>
                    <w:rPr>
                      <w:rFonts w:hint="eastAsia"/>
                      <w:b/>
                      <w:bCs/>
                      <w:color w:val="auto"/>
                      <w:sz w:val="18"/>
                      <w:szCs w:val="18"/>
                      <w:highlight w:val="none"/>
                    </w:rPr>
                    <w:t>监测点位</w:t>
                  </w:r>
                </w:p>
              </w:tc>
              <w:tc>
                <w:tcPr>
                  <w:tcW w:w="1001" w:type="pct"/>
                  <w:tcBorders>
                    <w:tl2br w:val="nil"/>
                    <w:tr2bl w:val="nil"/>
                  </w:tcBorders>
                  <w:noWrap w:val="0"/>
                  <w:vAlign w:val="center"/>
                </w:tcPr>
                <w:p w14:paraId="18871E42">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auto"/>
                      <w:sz w:val="18"/>
                      <w:szCs w:val="18"/>
                      <w:vertAlign w:val="baseline"/>
                      <w:lang w:val="en-US" w:eastAsia="zh-CN"/>
                    </w:rPr>
                  </w:pPr>
                  <w:r>
                    <w:rPr>
                      <w:rFonts w:hint="default" w:ascii="Times New Roman" w:hAnsi="Times New Roman" w:cs="Times New Roman"/>
                      <w:b/>
                      <w:bCs/>
                      <w:color w:val="auto"/>
                      <w:sz w:val="18"/>
                      <w:szCs w:val="18"/>
                      <w:vertAlign w:val="baseline"/>
                      <w:lang w:val="en-US" w:eastAsia="zh-CN"/>
                    </w:rPr>
                    <w:t>监测</w:t>
                  </w:r>
                  <w:r>
                    <w:rPr>
                      <w:rFonts w:hint="eastAsia" w:ascii="Times New Roman" w:hAnsi="Times New Roman" w:cs="Times New Roman"/>
                      <w:b/>
                      <w:bCs/>
                      <w:color w:val="auto"/>
                      <w:sz w:val="18"/>
                      <w:szCs w:val="18"/>
                      <w:vertAlign w:val="baseline"/>
                      <w:lang w:val="en-US" w:eastAsia="zh-CN"/>
                    </w:rPr>
                    <w:t>指标</w:t>
                  </w:r>
                </w:p>
              </w:tc>
              <w:tc>
                <w:tcPr>
                  <w:tcW w:w="865" w:type="pct"/>
                  <w:tcBorders>
                    <w:tl2br w:val="nil"/>
                    <w:tr2bl w:val="nil"/>
                  </w:tcBorders>
                  <w:noWrap w:val="0"/>
                  <w:vAlign w:val="center"/>
                </w:tcPr>
                <w:p w14:paraId="0F157938">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auto"/>
                      <w:sz w:val="18"/>
                      <w:szCs w:val="18"/>
                      <w:vertAlign w:val="baseline"/>
                      <w:lang w:val="en-US" w:eastAsia="zh-CN"/>
                    </w:rPr>
                  </w:pPr>
                  <w:r>
                    <w:rPr>
                      <w:rFonts w:hint="default" w:ascii="Times New Roman" w:hAnsi="Times New Roman" w:cs="Times New Roman"/>
                      <w:b/>
                      <w:bCs/>
                      <w:color w:val="auto"/>
                      <w:sz w:val="18"/>
                      <w:szCs w:val="18"/>
                      <w:vertAlign w:val="baseline"/>
                      <w:lang w:val="en-US" w:eastAsia="zh-CN"/>
                    </w:rPr>
                    <w:t>监测频次</w:t>
                  </w:r>
                </w:p>
              </w:tc>
              <w:tc>
                <w:tcPr>
                  <w:tcW w:w="1487" w:type="pct"/>
                  <w:tcBorders>
                    <w:tl2br w:val="nil"/>
                    <w:tr2bl w:val="nil"/>
                  </w:tcBorders>
                  <w:noWrap w:val="0"/>
                  <w:vAlign w:val="center"/>
                </w:tcPr>
                <w:p w14:paraId="27D6616D">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bCs/>
                      <w:color w:val="auto"/>
                      <w:sz w:val="18"/>
                      <w:szCs w:val="18"/>
                      <w:vertAlign w:val="baseline"/>
                      <w:lang w:val="en-US" w:eastAsia="zh-CN"/>
                    </w:rPr>
                  </w:pPr>
                  <w:r>
                    <w:rPr>
                      <w:rFonts w:hint="default" w:ascii="Times New Roman" w:hAnsi="Times New Roman" w:cs="Times New Roman"/>
                      <w:b/>
                      <w:bCs/>
                      <w:color w:val="auto"/>
                      <w:sz w:val="18"/>
                      <w:szCs w:val="18"/>
                      <w:vertAlign w:val="baseline"/>
                      <w:lang w:val="en-US" w:eastAsia="zh-CN"/>
                    </w:rPr>
                    <w:t>执行标准</w:t>
                  </w:r>
                </w:p>
              </w:tc>
            </w:tr>
            <w:tr w14:paraId="322A4A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8" w:hRule="atLeast"/>
                <w:jc w:val="center"/>
              </w:trPr>
              <w:tc>
                <w:tcPr>
                  <w:tcW w:w="355" w:type="pct"/>
                  <w:vMerge w:val="restart"/>
                  <w:tcBorders>
                    <w:tl2br w:val="nil"/>
                    <w:tr2bl w:val="nil"/>
                  </w:tcBorders>
                  <w:noWrap w:val="0"/>
                  <w:vAlign w:val="center"/>
                </w:tcPr>
                <w:p w14:paraId="40221150">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auto"/>
                      <w:sz w:val="18"/>
                      <w:szCs w:val="18"/>
                      <w:vertAlign w:val="baseline"/>
                      <w:lang w:val="en-US" w:eastAsia="zh-CN"/>
                    </w:rPr>
                  </w:pPr>
                  <w:r>
                    <w:rPr>
                      <w:rFonts w:hint="eastAsia" w:ascii="Times New Roman" w:hAnsi="Times New Roman" w:cs="Times New Roman"/>
                      <w:b w:val="0"/>
                      <w:bCs w:val="0"/>
                      <w:color w:val="auto"/>
                      <w:sz w:val="18"/>
                      <w:szCs w:val="18"/>
                      <w:vertAlign w:val="baseline"/>
                      <w:lang w:val="en-US" w:eastAsia="zh-CN"/>
                    </w:rPr>
                    <w:t>大</w:t>
                  </w:r>
                  <w:r>
                    <w:rPr>
                      <w:rFonts w:hint="default" w:ascii="Times New Roman" w:hAnsi="Times New Roman" w:cs="Times New Roman"/>
                      <w:b w:val="0"/>
                      <w:bCs w:val="0"/>
                      <w:color w:val="auto"/>
                      <w:sz w:val="18"/>
                      <w:szCs w:val="18"/>
                      <w:vertAlign w:val="baseline"/>
                      <w:lang w:val="en-US" w:eastAsia="zh-CN"/>
                    </w:rPr>
                    <w:t>气</w:t>
                  </w:r>
                </w:p>
              </w:tc>
              <w:tc>
                <w:tcPr>
                  <w:tcW w:w="533" w:type="pct"/>
                  <w:vMerge w:val="restart"/>
                  <w:tcBorders>
                    <w:tl2br w:val="nil"/>
                    <w:tr2bl w:val="nil"/>
                  </w:tcBorders>
                  <w:noWrap w:val="0"/>
                  <w:vAlign w:val="center"/>
                </w:tcPr>
                <w:p w14:paraId="11A2CD37">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有组织</w:t>
                  </w:r>
                </w:p>
              </w:tc>
              <w:tc>
                <w:tcPr>
                  <w:tcW w:w="756" w:type="pct"/>
                  <w:vMerge w:val="restart"/>
                  <w:tcBorders>
                    <w:tl2br w:val="nil"/>
                    <w:tr2bl w:val="nil"/>
                  </w:tcBorders>
                  <w:noWrap w:val="0"/>
                  <w:vAlign w:val="center"/>
                </w:tcPr>
                <w:p w14:paraId="700D2D96">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cs="Times New Roman"/>
                      <w:color w:val="auto"/>
                      <w:sz w:val="18"/>
                      <w:lang w:val="en-US" w:eastAsia="zh-CN"/>
                    </w:rPr>
                  </w:pPr>
                  <w:r>
                    <w:rPr>
                      <w:rFonts w:hint="eastAsia" w:cs="Times New Roman"/>
                      <w:color w:val="auto"/>
                      <w:sz w:val="18"/>
                      <w:lang w:val="en-US" w:eastAsia="zh-CN"/>
                    </w:rPr>
                    <w:t>DA016</w:t>
                  </w:r>
                </w:p>
              </w:tc>
              <w:tc>
                <w:tcPr>
                  <w:tcW w:w="1001" w:type="pct"/>
                  <w:tcBorders>
                    <w:tl2br w:val="nil"/>
                    <w:tr2bl w:val="nil"/>
                  </w:tcBorders>
                  <w:shd w:val="clear" w:color="auto" w:fill="auto"/>
                  <w:noWrap w:val="0"/>
                  <w:vAlign w:val="center"/>
                </w:tcPr>
                <w:p w14:paraId="0842390C">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颗粒物</w:t>
                  </w:r>
                </w:p>
              </w:tc>
              <w:tc>
                <w:tcPr>
                  <w:tcW w:w="865" w:type="pct"/>
                  <w:tcBorders>
                    <w:tl2br w:val="nil"/>
                    <w:tr2bl w:val="nil"/>
                  </w:tcBorders>
                  <w:noWrap w:val="0"/>
                  <w:vAlign w:val="center"/>
                </w:tcPr>
                <w:p w14:paraId="44168FA7">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eastAsia="Times New Roman" w:cs="Times New Roman"/>
                      <w:color w:val="auto"/>
                      <w:sz w:val="18"/>
                    </w:rPr>
                  </w:pPr>
                  <w:r>
                    <w:rPr>
                      <w:rFonts w:hint="default" w:ascii="Times New Roman" w:hAnsi="Times New Roman" w:eastAsia="Times New Roman" w:cs="Times New Roman"/>
                      <w:color w:val="auto"/>
                      <w:sz w:val="18"/>
                    </w:rPr>
                    <w:t xml:space="preserve">2 </w:t>
                  </w:r>
                  <w:r>
                    <w:rPr>
                      <w:rFonts w:hint="default" w:ascii="Times New Roman" w:hAnsi="Times New Roman" w:cs="Times New Roman"/>
                      <w:color w:val="auto"/>
                      <w:sz w:val="18"/>
                    </w:rPr>
                    <w:t>天</w:t>
                  </w:r>
                  <w:r>
                    <w:rPr>
                      <w:rFonts w:hint="default" w:ascii="Times New Roman" w:hAnsi="Times New Roman" w:eastAsia="Times New Roman" w:cs="Times New Roman"/>
                      <w:color w:val="auto"/>
                      <w:sz w:val="18"/>
                    </w:rPr>
                    <w:t xml:space="preserve">×3 </w:t>
                  </w:r>
                  <w:r>
                    <w:rPr>
                      <w:rFonts w:hint="default" w:ascii="Times New Roman" w:hAnsi="Times New Roman" w:cs="Times New Roman"/>
                      <w:color w:val="auto"/>
                      <w:sz w:val="18"/>
                    </w:rPr>
                    <w:t>次</w:t>
                  </w:r>
                  <w:r>
                    <w:rPr>
                      <w:rFonts w:hint="default" w:ascii="Times New Roman" w:hAnsi="Times New Roman" w:eastAsia="Times New Roman" w:cs="Times New Roman"/>
                      <w:color w:val="auto"/>
                      <w:sz w:val="18"/>
                    </w:rPr>
                    <w:t>/</w:t>
                  </w:r>
                  <w:r>
                    <w:rPr>
                      <w:rFonts w:hint="default" w:ascii="Times New Roman" w:hAnsi="Times New Roman" w:cs="Times New Roman"/>
                      <w:color w:val="auto"/>
                      <w:sz w:val="18"/>
                    </w:rPr>
                    <w:t>天</w:t>
                  </w:r>
                </w:p>
              </w:tc>
              <w:tc>
                <w:tcPr>
                  <w:tcW w:w="1487" w:type="pct"/>
                  <w:vMerge w:val="restart"/>
                  <w:tcBorders>
                    <w:tl2br w:val="nil"/>
                    <w:tr2bl w:val="nil"/>
                  </w:tcBorders>
                  <w:noWrap w:val="0"/>
                  <w:vAlign w:val="center"/>
                </w:tcPr>
                <w:p w14:paraId="7B6A1AFA">
                  <w:pPr>
                    <w:wordWrap w:val="0"/>
                    <w:spacing w:line="240" w:lineRule="exact"/>
                    <w:jc w:val="center"/>
                    <w:rPr>
                      <w:rFonts w:hint="default" w:ascii="Times New Roman" w:hAnsi="Times New Roman" w:cs="Times New Roman"/>
                      <w:color w:val="auto"/>
                      <w:sz w:val="18"/>
                      <w:szCs w:val="18"/>
                    </w:rPr>
                  </w:pPr>
                  <w:r>
                    <w:rPr>
                      <w:rFonts w:hint="eastAsia"/>
                      <w:color w:val="auto"/>
                      <w:sz w:val="18"/>
                      <w:szCs w:val="18"/>
                      <w:highlight w:val="none"/>
                    </w:rPr>
                    <w:t>《表面涂装（汽车零部件）大气污染物排放标准》（DB32/3966-2021）表1中标准</w:t>
                  </w:r>
                </w:p>
              </w:tc>
            </w:tr>
            <w:tr w14:paraId="0CF651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8" w:hRule="atLeast"/>
                <w:jc w:val="center"/>
              </w:trPr>
              <w:tc>
                <w:tcPr>
                  <w:tcW w:w="355" w:type="pct"/>
                  <w:vMerge w:val="continue"/>
                  <w:tcBorders>
                    <w:tl2br w:val="nil"/>
                    <w:tr2bl w:val="nil"/>
                  </w:tcBorders>
                  <w:noWrap w:val="0"/>
                  <w:vAlign w:val="center"/>
                </w:tcPr>
                <w:p w14:paraId="7C2CEA1F">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auto"/>
                      <w:sz w:val="18"/>
                      <w:szCs w:val="18"/>
                      <w:vertAlign w:val="baseline"/>
                      <w:lang w:val="en-US" w:eastAsia="zh-CN"/>
                    </w:rPr>
                  </w:pPr>
                </w:p>
              </w:tc>
              <w:tc>
                <w:tcPr>
                  <w:tcW w:w="533" w:type="pct"/>
                  <w:vMerge w:val="continue"/>
                  <w:tcBorders>
                    <w:tl2br w:val="nil"/>
                    <w:tr2bl w:val="nil"/>
                  </w:tcBorders>
                  <w:noWrap w:val="0"/>
                  <w:vAlign w:val="center"/>
                </w:tcPr>
                <w:p w14:paraId="55004FCC">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auto"/>
                      <w:sz w:val="18"/>
                      <w:szCs w:val="18"/>
                      <w:vertAlign w:val="baseline"/>
                      <w:lang w:val="en-US" w:eastAsia="zh-CN"/>
                    </w:rPr>
                  </w:pPr>
                </w:p>
              </w:tc>
              <w:tc>
                <w:tcPr>
                  <w:tcW w:w="756" w:type="pct"/>
                  <w:vMerge w:val="continue"/>
                  <w:tcBorders>
                    <w:tl2br w:val="nil"/>
                    <w:tr2bl w:val="nil"/>
                  </w:tcBorders>
                  <w:noWrap w:val="0"/>
                  <w:vAlign w:val="center"/>
                </w:tcPr>
                <w:p w14:paraId="4C68C722">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auto"/>
                      <w:sz w:val="18"/>
                      <w:szCs w:val="18"/>
                      <w:vertAlign w:val="baseline"/>
                      <w:lang w:val="en-US" w:eastAsia="zh-CN"/>
                    </w:rPr>
                  </w:pPr>
                </w:p>
              </w:tc>
              <w:tc>
                <w:tcPr>
                  <w:tcW w:w="1001" w:type="pct"/>
                  <w:tcBorders>
                    <w:tl2br w:val="nil"/>
                    <w:tr2bl w:val="nil"/>
                  </w:tcBorders>
                  <w:shd w:val="clear" w:color="auto" w:fill="auto"/>
                  <w:noWrap w:val="0"/>
                  <w:vAlign w:val="center"/>
                </w:tcPr>
                <w:p w14:paraId="04F4B4B1">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非甲烷总烃</w:t>
                  </w:r>
                </w:p>
              </w:tc>
              <w:tc>
                <w:tcPr>
                  <w:tcW w:w="865" w:type="pct"/>
                  <w:tcBorders>
                    <w:tl2br w:val="nil"/>
                    <w:tr2bl w:val="nil"/>
                  </w:tcBorders>
                  <w:noWrap w:val="0"/>
                  <w:vAlign w:val="center"/>
                </w:tcPr>
                <w:p w14:paraId="1194DF60">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18"/>
                      <w:lang w:val="en-US" w:eastAsia="zh-CN"/>
                    </w:rPr>
                  </w:pPr>
                  <w:r>
                    <w:rPr>
                      <w:rFonts w:hint="default" w:ascii="Times New Roman" w:hAnsi="Times New Roman" w:eastAsia="Times New Roman" w:cs="Times New Roman"/>
                      <w:color w:val="auto"/>
                      <w:sz w:val="18"/>
                    </w:rPr>
                    <w:t xml:space="preserve">2 </w:t>
                  </w:r>
                  <w:r>
                    <w:rPr>
                      <w:rFonts w:hint="default" w:ascii="Times New Roman" w:hAnsi="Times New Roman" w:cs="Times New Roman"/>
                      <w:color w:val="auto"/>
                      <w:sz w:val="18"/>
                    </w:rPr>
                    <w:t>天</w:t>
                  </w:r>
                  <w:r>
                    <w:rPr>
                      <w:rFonts w:hint="default" w:ascii="Times New Roman" w:hAnsi="Times New Roman" w:eastAsia="Times New Roman" w:cs="Times New Roman"/>
                      <w:color w:val="auto"/>
                      <w:sz w:val="18"/>
                    </w:rPr>
                    <w:t xml:space="preserve">×3 </w:t>
                  </w:r>
                  <w:r>
                    <w:rPr>
                      <w:rFonts w:hint="default" w:ascii="Times New Roman" w:hAnsi="Times New Roman" w:cs="Times New Roman"/>
                      <w:color w:val="auto"/>
                      <w:sz w:val="18"/>
                    </w:rPr>
                    <w:t>次</w:t>
                  </w:r>
                  <w:r>
                    <w:rPr>
                      <w:rFonts w:hint="default" w:ascii="Times New Roman" w:hAnsi="Times New Roman" w:eastAsia="Times New Roman" w:cs="Times New Roman"/>
                      <w:color w:val="auto"/>
                      <w:sz w:val="18"/>
                    </w:rPr>
                    <w:t>/</w:t>
                  </w:r>
                  <w:r>
                    <w:rPr>
                      <w:rFonts w:hint="default" w:ascii="Times New Roman" w:hAnsi="Times New Roman" w:cs="Times New Roman"/>
                      <w:color w:val="auto"/>
                      <w:sz w:val="18"/>
                    </w:rPr>
                    <w:t>天</w:t>
                  </w:r>
                </w:p>
              </w:tc>
              <w:tc>
                <w:tcPr>
                  <w:tcW w:w="1487" w:type="pct"/>
                  <w:vMerge w:val="continue"/>
                  <w:tcBorders>
                    <w:tl2br w:val="nil"/>
                    <w:tr2bl w:val="nil"/>
                  </w:tcBorders>
                  <w:noWrap w:val="0"/>
                  <w:vAlign w:val="center"/>
                </w:tcPr>
                <w:p w14:paraId="1AB7AF1E">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auto"/>
                      <w:sz w:val="18"/>
                      <w:szCs w:val="18"/>
                      <w:vertAlign w:val="baseline"/>
                      <w:lang w:val="en-US" w:eastAsia="zh-CN"/>
                    </w:rPr>
                  </w:pPr>
                </w:p>
              </w:tc>
            </w:tr>
            <w:tr w14:paraId="648168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355" w:type="pct"/>
                  <w:vMerge w:val="continue"/>
                  <w:tcBorders>
                    <w:tl2br w:val="nil"/>
                    <w:tr2bl w:val="nil"/>
                  </w:tcBorders>
                  <w:noWrap w:val="0"/>
                  <w:vAlign w:val="center"/>
                </w:tcPr>
                <w:p w14:paraId="374DF5D7">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auto"/>
                      <w:sz w:val="18"/>
                      <w:szCs w:val="18"/>
                      <w:vertAlign w:val="baseline"/>
                      <w:lang w:val="en-US" w:eastAsia="zh-CN"/>
                    </w:rPr>
                  </w:pPr>
                </w:p>
              </w:tc>
              <w:tc>
                <w:tcPr>
                  <w:tcW w:w="533" w:type="pct"/>
                  <w:vMerge w:val="continue"/>
                  <w:tcBorders>
                    <w:tl2br w:val="nil"/>
                    <w:tr2bl w:val="nil"/>
                  </w:tcBorders>
                  <w:noWrap w:val="0"/>
                  <w:vAlign w:val="center"/>
                </w:tcPr>
                <w:p w14:paraId="371E522E">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auto"/>
                      <w:sz w:val="18"/>
                      <w:szCs w:val="18"/>
                      <w:vertAlign w:val="baseline"/>
                      <w:lang w:val="en-US" w:eastAsia="zh-CN"/>
                    </w:rPr>
                  </w:pPr>
                </w:p>
              </w:tc>
              <w:tc>
                <w:tcPr>
                  <w:tcW w:w="756" w:type="pct"/>
                  <w:vMerge w:val="continue"/>
                  <w:tcBorders>
                    <w:tl2br w:val="nil"/>
                    <w:tr2bl w:val="nil"/>
                  </w:tcBorders>
                  <w:noWrap w:val="0"/>
                  <w:vAlign w:val="center"/>
                </w:tcPr>
                <w:p w14:paraId="05D3B8AF">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auto"/>
                      <w:sz w:val="18"/>
                      <w:szCs w:val="18"/>
                      <w:vertAlign w:val="baseline"/>
                      <w:lang w:val="en-US" w:eastAsia="zh-CN"/>
                    </w:rPr>
                  </w:pPr>
                </w:p>
              </w:tc>
              <w:tc>
                <w:tcPr>
                  <w:tcW w:w="1001" w:type="pct"/>
                  <w:tcBorders>
                    <w:tl2br w:val="nil"/>
                    <w:tr2bl w:val="nil"/>
                  </w:tcBorders>
                  <w:shd w:val="clear" w:color="auto" w:fill="auto"/>
                  <w:noWrap w:val="0"/>
                  <w:vAlign w:val="center"/>
                </w:tcPr>
                <w:p w14:paraId="2A0FC75D">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TVOC</w:t>
                  </w:r>
                </w:p>
              </w:tc>
              <w:tc>
                <w:tcPr>
                  <w:tcW w:w="865" w:type="pct"/>
                  <w:tcBorders>
                    <w:tl2br w:val="nil"/>
                    <w:tr2bl w:val="nil"/>
                  </w:tcBorders>
                  <w:noWrap w:val="0"/>
                  <w:vAlign w:val="center"/>
                </w:tcPr>
                <w:p w14:paraId="10C92034">
                  <w:pPr>
                    <w:pStyle w:val="46"/>
                    <w:spacing w:before="73"/>
                    <w:ind w:left="105" w:leftChars="0" w:right="96" w:rightChars="0"/>
                    <w:jc w:val="center"/>
                    <w:rPr>
                      <w:rFonts w:hint="default" w:ascii="Times New Roman" w:hAnsi="Times New Roman" w:eastAsia="Times New Roman" w:cs="Times New Roman"/>
                      <w:color w:val="auto"/>
                      <w:sz w:val="18"/>
                    </w:rPr>
                  </w:pPr>
                  <w:r>
                    <w:rPr>
                      <w:rFonts w:hint="default" w:ascii="Times New Roman" w:hAnsi="Times New Roman" w:eastAsia="Times New Roman" w:cs="Times New Roman"/>
                      <w:color w:val="auto"/>
                      <w:sz w:val="18"/>
                    </w:rPr>
                    <w:t xml:space="preserve">2 </w:t>
                  </w:r>
                  <w:r>
                    <w:rPr>
                      <w:rFonts w:hint="default" w:ascii="Times New Roman" w:hAnsi="Times New Roman" w:cs="Times New Roman"/>
                      <w:color w:val="auto"/>
                      <w:sz w:val="18"/>
                    </w:rPr>
                    <w:t>天</w:t>
                  </w:r>
                  <w:r>
                    <w:rPr>
                      <w:rFonts w:hint="default" w:ascii="Times New Roman" w:hAnsi="Times New Roman" w:eastAsia="Times New Roman" w:cs="Times New Roman"/>
                      <w:color w:val="auto"/>
                      <w:sz w:val="18"/>
                    </w:rPr>
                    <w:t xml:space="preserve">×3 </w:t>
                  </w:r>
                  <w:r>
                    <w:rPr>
                      <w:rFonts w:hint="default" w:ascii="Times New Roman" w:hAnsi="Times New Roman" w:cs="Times New Roman"/>
                      <w:color w:val="auto"/>
                      <w:sz w:val="18"/>
                    </w:rPr>
                    <w:t>次</w:t>
                  </w:r>
                  <w:r>
                    <w:rPr>
                      <w:rFonts w:hint="default" w:ascii="Times New Roman" w:hAnsi="Times New Roman" w:eastAsia="Times New Roman" w:cs="Times New Roman"/>
                      <w:color w:val="auto"/>
                      <w:sz w:val="18"/>
                    </w:rPr>
                    <w:t>/</w:t>
                  </w:r>
                  <w:r>
                    <w:rPr>
                      <w:rFonts w:hint="default" w:ascii="Times New Roman" w:hAnsi="Times New Roman" w:cs="Times New Roman"/>
                      <w:color w:val="auto"/>
                      <w:sz w:val="18"/>
                    </w:rPr>
                    <w:t>天</w:t>
                  </w:r>
                </w:p>
              </w:tc>
              <w:tc>
                <w:tcPr>
                  <w:tcW w:w="1487" w:type="pct"/>
                  <w:vMerge w:val="continue"/>
                  <w:tcBorders>
                    <w:tl2br w:val="nil"/>
                    <w:tr2bl w:val="nil"/>
                  </w:tcBorders>
                  <w:noWrap w:val="0"/>
                  <w:vAlign w:val="center"/>
                </w:tcPr>
                <w:p w14:paraId="4367256E">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rPr>
                  </w:pPr>
                </w:p>
              </w:tc>
            </w:tr>
            <w:tr w14:paraId="36C1AA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355" w:type="pct"/>
                  <w:vMerge w:val="continue"/>
                  <w:tcBorders>
                    <w:tl2br w:val="nil"/>
                    <w:tr2bl w:val="nil"/>
                  </w:tcBorders>
                  <w:noWrap w:val="0"/>
                  <w:vAlign w:val="center"/>
                </w:tcPr>
                <w:p w14:paraId="0C20254B">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auto"/>
                      <w:sz w:val="18"/>
                      <w:szCs w:val="18"/>
                      <w:vertAlign w:val="baseline"/>
                      <w:lang w:val="en-US" w:eastAsia="zh-CN"/>
                    </w:rPr>
                  </w:pPr>
                </w:p>
              </w:tc>
              <w:tc>
                <w:tcPr>
                  <w:tcW w:w="533" w:type="pct"/>
                  <w:vMerge w:val="continue"/>
                  <w:tcBorders>
                    <w:tl2br w:val="nil"/>
                    <w:tr2bl w:val="nil"/>
                  </w:tcBorders>
                  <w:noWrap w:val="0"/>
                  <w:vAlign w:val="center"/>
                </w:tcPr>
                <w:p w14:paraId="57261FC5">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auto"/>
                      <w:sz w:val="18"/>
                      <w:szCs w:val="18"/>
                      <w:vertAlign w:val="baseline"/>
                      <w:lang w:val="en-US" w:eastAsia="zh-CN"/>
                    </w:rPr>
                  </w:pPr>
                </w:p>
              </w:tc>
              <w:tc>
                <w:tcPr>
                  <w:tcW w:w="756" w:type="pct"/>
                  <w:tcBorders>
                    <w:tl2br w:val="nil"/>
                    <w:tr2bl w:val="nil"/>
                  </w:tcBorders>
                  <w:shd w:val="clear" w:color="auto" w:fill="auto"/>
                  <w:noWrap w:val="0"/>
                  <w:vAlign w:val="center"/>
                </w:tcPr>
                <w:p w14:paraId="1BE93BD5">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DA010</w:t>
                  </w:r>
                </w:p>
              </w:tc>
              <w:tc>
                <w:tcPr>
                  <w:tcW w:w="1001" w:type="pct"/>
                  <w:tcBorders>
                    <w:tl2br w:val="nil"/>
                    <w:tr2bl w:val="nil"/>
                  </w:tcBorders>
                  <w:shd w:val="clear" w:color="auto" w:fill="auto"/>
                  <w:noWrap w:val="0"/>
                  <w:vAlign w:val="center"/>
                </w:tcPr>
                <w:p w14:paraId="241562B1">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Times New Roman" w:hAnsi="Times New Roman" w:eastAsia="宋体" w:cs="Times New Roman"/>
                      <w:b w:val="0"/>
                      <w:bCs w:val="0"/>
                      <w:color w:val="auto"/>
                      <w:kern w:val="2"/>
                      <w:sz w:val="18"/>
                      <w:szCs w:val="18"/>
                      <w:vertAlign w:val="baseline"/>
                      <w:lang w:val="en-US" w:eastAsia="zh-CN" w:bidi="ar-SA"/>
                    </w:rPr>
                  </w:pPr>
                  <w:r>
                    <w:rPr>
                      <w:rFonts w:hint="eastAsia" w:cs="Times New Roman"/>
                      <w:b w:val="0"/>
                      <w:bCs w:val="0"/>
                      <w:color w:val="auto"/>
                      <w:kern w:val="2"/>
                      <w:sz w:val="18"/>
                      <w:szCs w:val="18"/>
                      <w:vertAlign w:val="baseline"/>
                      <w:lang w:val="en-US" w:eastAsia="zh-CN" w:bidi="ar-SA"/>
                    </w:rPr>
                    <w:t>非甲烷总烃</w:t>
                  </w:r>
                </w:p>
              </w:tc>
              <w:tc>
                <w:tcPr>
                  <w:tcW w:w="865" w:type="pct"/>
                  <w:tcBorders>
                    <w:tl2br w:val="nil"/>
                    <w:tr2bl w:val="nil"/>
                  </w:tcBorders>
                  <w:noWrap w:val="0"/>
                  <w:vAlign w:val="center"/>
                </w:tcPr>
                <w:p w14:paraId="15563CDB">
                  <w:pPr>
                    <w:pStyle w:val="46"/>
                    <w:spacing w:before="73"/>
                    <w:ind w:left="105" w:leftChars="0" w:right="96" w:rightChars="0"/>
                    <w:jc w:val="center"/>
                    <w:rPr>
                      <w:rFonts w:hint="default" w:ascii="Times New Roman" w:hAnsi="Times New Roman" w:eastAsia="Times New Roman" w:cs="Times New Roman"/>
                      <w:color w:val="auto"/>
                      <w:sz w:val="18"/>
                    </w:rPr>
                  </w:pPr>
                  <w:r>
                    <w:rPr>
                      <w:rFonts w:hint="default" w:ascii="Times New Roman" w:hAnsi="Times New Roman" w:eastAsia="Times New Roman" w:cs="Times New Roman"/>
                      <w:color w:val="auto"/>
                      <w:sz w:val="18"/>
                    </w:rPr>
                    <w:t xml:space="preserve">2 </w:t>
                  </w:r>
                  <w:r>
                    <w:rPr>
                      <w:rFonts w:hint="default" w:ascii="Times New Roman" w:hAnsi="Times New Roman" w:cs="Times New Roman"/>
                      <w:color w:val="auto"/>
                      <w:sz w:val="18"/>
                    </w:rPr>
                    <w:t>天</w:t>
                  </w:r>
                  <w:r>
                    <w:rPr>
                      <w:rFonts w:hint="default" w:ascii="Times New Roman" w:hAnsi="Times New Roman" w:eastAsia="Times New Roman" w:cs="Times New Roman"/>
                      <w:color w:val="auto"/>
                      <w:sz w:val="18"/>
                    </w:rPr>
                    <w:t xml:space="preserve">×3 </w:t>
                  </w:r>
                  <w:r>
                    <w:rPr>
                      <w:rFonts w:hint="default" w:ascii="Times New Roman" w:hAnsi="Times New Roman" w:cs="Times New Roman"/>
                      <w:color w:val="auto"/>
                      <w:sz w:val="18"/>
                    </w:rPr>
                    <w:t>次</w:t>
                  </w:r>
                  <w:r>
                    <w:rPr>
                      <w:rFonts w:hint="default" w:ascii="Times New Roman" w:hAnsi="Times New Roman" w:eastAsia="Times New Roman" w:cs="Times New Roman"/>
                      <w:color w:val="auto"/>
                      <w:sz w:val="18"/>
                    </w:rPr>
                    <w:t>/</w:t>
                  </w:r>
                  <w:r>
                    <w:rPr>
                      <w:rFonts w:hint="default" w:ascii="Times New Roman" w:hAnsi="Times New Roman" w:cs="Times New Roman"/>
                      <w:color w:val="auto"/>
                      <w:sz w:val="18"/>
                    </w:rPr>
                    <w:t>天</w:t>
                  </w:r>
                </w:p>
              </w:tc>
              <w:tc>
                <w:tcPr>
                  <w:tcW w:w="1487" w:type="pct"/>
                  <w:vMerge w:val="continue"/>
                  <w:tcBorders>
                    <w:tl2br w:val="nil"/>
                    <w:tr2bl w:val="nil"/>
                  </w:tcBorders>
                  <w:noWrap w:val="0"/>
                  <w:vAlign w:val="center"/>
                </w:tcPr>
                <w:p w14:paraId="5E74E126">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18"/>
                    </w:rPr>
                  </w:pPr>
                </w:p>
              </w:tc>
            </w:tr>
            <w:tr w14:paraId="0091AB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7" w:hRule="atLeast"/>
                <w:jc w:val="center"/>
              </w:trPr>
              <w:tc>
                <w:tcPr>
                  <w:tcW w:w="355" w:type="pct"/>
                  <w:vMerge w:val="continue"/>
                  <w:tcBorders>
                    <w:tl2br w:val="nil"/>
                    <w:tr2bl w:val="nil"/>
                  </w:tcBorders>
                  <w:noWrap w:val="0"/>
                  <w:vAlign w:val="center"/>
                </w:tcPr>
                <w:p w14:paraId="14166D33">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auto"/>
                      <w:sz w:val="18"/>
                      <w:szCs w:val="18"/>
                      <w:vertAlign w:val="baseline"/>
                      <w:lang w:val="en-US" w:eastAsia="zh-CN"/>
                    </w:rPr>
                  </w:pPr>
                </w:p>
              </w:tc>
              <w:tc>
                <w:tcPr>
                  <w:tcW w:w="533" w:type="pct"/>
                  <w:vMerge w:val="restart"/>
                  <w:tcBorders>
                    <w:tl2br w:val="nil"/>
                    <w:tr2bl w:val="nil"/>
                  </w:tcBorders>
                  <w:noWrap w:val="0"/>
                  <w:vAlign w:val="center"/>
                </w:tcPr>
                <w:p w14:paraId="7162DB1A">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auto"/>
                      <w:sz w:val="18"/>
                      <w:szCs w:val="18"/>
                      <w:vertAlign w:val="baseline"/>
                      <w:lang w:val="en-US" w:eastAsia="zh-CN"/>
                    </w:rPr>
                  </w:pPr>
                  <w:r>
                    <w:rPr>
                      <w:rFonts w:hint="default" w:ascii="Times New Roman" w:hAnsi="Times New Roman" w:cs="Times New Roman"/>
                      <w:b w:val="0"/>
                      <w:bCs w:val="0"/>
                      <w:color w:val="auto"/>
                      <w:sz w:val="18"/>
                      <w:szCs w:val="18"/>
                      <w:vertAlign w:val="baseline"/>
                      <w:lang w:val="en-US" w:eastAsia="zh-CN"/>
                    </w:rPr>
                    <w:t>无组织</w:t>
                  </w:r>
                </w:p>
              </w:tc>
              <w:tc>
                <w:tcPr>
                  <w:tcW w:w="756" w:type="pct"/>
                  <w:tcBorders>
                    <w:tl2br w:val="nil"/>
                    <w:tr2bl w:val="nil"/>
                  </w:tcBorders>
                  <w:noWrap w:val="0"/>
                  <w:vAlign w:val="center"/>
                </w:tcPr>
                <w:p w14:paraId="0546C6FD">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auto"/>
                      <w:sz w:val="18"/>
                      <w:szCs w:val="18"/>
                      <w:vertAlign w:val="baseline"/>
                      <w:lang w:val="en-US" w:eastAsia="zh-CN"/>
                    </w:rPr>
                  </w:pPr>
                  <w:r>
                    <w:rPr>
                      <w:rFonts w:hint="eastAsia"/>
                      <w:color w:val="auto"/>
                      <w:sz w:val="18"/>
                      <w:szCs w:val="18"/>
                      <w:highlight w:val="none"/>
                      <w:lang w:eastAsia="zh-CN"/>
                    </w:rPr>
                    <w:t>厂界</w:t>
                  </w:r>
                </w:p>
              </w:tc>
              <w:tc>
                <w:tcPr>
                  <w:tcW w:w="1001" w:type="pct"/>
                  <w:tcBorders>
                    <w:tl2br w:val="nil"/>
                    <w:tr2bl w:val="nil"/>
                  </w:tcBorders>
                  <w:noWrap w:val="0"/>
                  <w:vAlign w:val="center"/>
                </w:tcPr>
                <w:p w14:paraId="3AF2662C">
                  <w:pPr>
                    <w:pStyle w:val="46"/>
                    <w:spacing w:before="73"/>
                    <w:ind w:left="54" w:leftChars="0" w:right="47" w:rightChars="0"/>
                    <w:jc w:val="center"/>
                    <w:rPr>
                      <w:rFonts w:hint="default" w:ascii="Times New Roman" w:hAnsi="Times New Roman" w:eastAsia="宋体" w:cs="Times New Roman"/>
                      <w:color w:val="auto"/>
                      <w:sz w:val="18"/>
                      <w:szCs w:val="22"/>
                      <w:lang w:val="en-US" w:eastAsia="zh-CN" w:bidi="zh-CN"/>
                    </w:rPr>
                  </w:pPr>
                  <w:r>
                    <w:rPr>
                      <w:rFonts w:hint="eastAsia" w:cs="Times New Roman"/>
                      <w:b w:val="0"/>
                      <w:bCs w:val="0"/>
                      <w:color w:val="auto"/>
                      <w:sz w:val="18"/>
                      <w:szCs w:val="18"/>
                      <w:vertAlign w:val="baseline"/>
                      <w:lang w:val="en-US" w:eastAsia="zh-CN"/>
                    </w:rPr>
                    <w:t>颗粒物、</w:t>
                  </w:r>
                  <w:r>
                    <w:rPr>
                      <w:rFonts w:hint="default" w:ascii="Times New Roman" w:hAnsi="Times New Roman" w:cs="Times New Roman"/>
                      <w:b w:val="0"/>
                      <w:bCs w:val="0"/>
                      <w:color w:val="auto"/>
                      <w:sz w:val="18"/>
                      <w:szCs w:val="18"/>
                      <w:vertAlign w:val="baseline"/>
                      <w:lang w:val="en-US" w:eastAsia="zh-CN"/>
                    </w:rPr>
                    <w:t>NMHC</w:t>
                  </w:r>
                </w:p>
              </w:tc>
              <w:tc>
                <w:tcPr>
                  <w:tcW w:w="865" w:type="pct"/>
                  <w:tcBorders>
                    <w:tl2br w:val="nil"/>
                    <w:tr2bl w:val="nil"/>
                  </w:tcBorders>
                  <w:noWrap w:val="0"/>
                  <w:vAlign w:val="center"/>
                </w:tcPr>
                <w:p w14:paraId="7745E170">
                  <w:pPr>
                    <w:pStyle w:val="46"/>
                    <w:spacing w:before="73"/>
                    <w:ind w:left="105" w:leftChars="0" w:right="96" w:rightChars="0"/>
                    <w:jc w:val="center"/>
                    <w:rPr>
                      <w:rFonts w:hint="default" w:ascii="Times New Roman" w:hAnsi="Times New Roman" w:eastAsia="宋体" w:cs="Times New Roman"/>
                      <w:color w:val="auto"/>
                      <w:sz w:val="18"/>
                      <w:szCs w:val="22"/>
                      <w:lang w:val="en-US" w:eastAsia="zh-CN" w:bidi="zh-CN"/>
                    </w:rPr>
                  </w:pPr>
                  <w:r>
                    <w:rPr>
                      <w:rFonts w:hint="default" w:ascii="Times New Roman" w:hAnsi="Times New Roman" w:eastAsia="Times New Roman" w:cs="Times New Roman"/>
                      <w:color w:val="auto"/>
                      <w:sz w:val="18"/>
                    </w:rPr>
                    <w:t xml:space="preserve">2 </w:t>
                  </w:r>
                  <w:r>
                    <w:rPr>
                      <w:rFonts w:hint="default" w:ascii="Times New Roman" w:hAnsi="Times New Roman" w:cs="Times New Roman"/>
                      <w:color w:val="auto"/>
                      <w:sz w:val="18"/>
                    </w:rPr>
                    <w:t>天</w:t>
                  </w:r>
                  <w:r>
                    <w:rPr>
                      <w:rFonts w:hint="default" w:ascii="Times New Roman" w:hAnsi="Times New Roman" w:eastAsia="Times New Roman" w:cs="Times New Roman"/>
                      <w:color w:val="auto"/>
                      <w:sz w:val="18"/>
                    </w:rPr>
                    <w:t xml:space="preserve">×3 </w:t>
                  </w:r>
                  <w:r>
                    <w:rPr>
                      <w:rFonts w:hint="default" w:ascii="Times New Roman" w:hAnsi="Times New Roman" w:cs="Times New Roman"/>
                      <w:color w:val="auto"/>
                      <w:sz w:val="18"/>
                    </w:rPr>
                    <w:t>次</w:t>
                  </w:r>
                  <w:r>
                    <w:rPr>
                      <w:rFonts w:hint="default" w:ascii="Times New Roman" w:hAnsi="Times New Roman" w:eastAsia="Times New Roman" w:cs="Times New Roman"/>
                      <w:color w:val="auto"/>
                      <w:sz w:val="18"/>
                    </w:rPr>
                    <w:t>/</w:t>
                  </w:r>
                  <w:r>
                    <w:rPr>
                      <w:rFonts w:hint="default" w:ascii="Times New Roman" w:hAnsi="Times New Roman" w:cs="Times New Roman"/>
                      <w:color w:val="auto"/>
                      <w:sz w:val="18"/>
                    </w:rPr>
                    <w:t>天</w:t>
                  </w:r>
                </w:p>
              </w:tc>
              <w:tc>
                <w:tcPr>
                  <w:tcW w:w="1487" w:type="pct"/>
                  <w:tcBorders>
                    <w:tl2br w:val="nil"/>
                    <w:tr2bl w:val="nil"/>
                  </w:tcBorders>
                  <w:noWrap w:val="0"/>
                  <w:vAlign w:val="center"/>
                </w:tcPr>
                <w:p w14:paraId="78223502">
                  <w:pPr>
                    <w:wordWrap w:val="0"/>
                    <w:spacing w:line="240" w:lineRule="exact"/>
                    <w:jc w:val="center"/>
                    <w:rPr>
                      <w:rFonts w:hint="default" w:ascii="Times New Roman" w:hAnsi="Times New Roman" w:cs="Times New Roman"/>
                      <w:b w:val="0"/>
                      <w:bCs w:val="0"/>
                      <w:color w:val="auto"/>
                      <w:sz w:val="18"/>
                      <w:szCs w:val="18"/>
                      <w:vertAlign w:val="baseline"/>
                      <w:lang w:val="en-US" w:eastAsia="zh-CN"/>
                    </w:rPr>
                  </w:pPr>
                  <w:r>
                    <w:rPr>
                      <w:rFonts w:hint="eastAsia"/>
                      <w:color w:val="auto"/>
                      <w:sz w:val="18"/>
                      <w:szCs w:val="18"/>
                      <w:highlight w:val="none"/>
                    </w:rPr>
                    <w:t>《大气污染物综合排放标准》（DB32/4041-2021）表3排放限值</w:t>
                  </w:r>
                </w:p>
              </w:tc>
            </w:tr>
            <w:tr w14:paraId="1D9BDA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42" w:hRule="atLeast"/>
                <w:jc w:val="center"/>
              </w:trPr>
              <w:tc>
                <w:tcPr>
                  <w:tcW w:w="355" w:type="pct"/>
                  <w:vMerge w:val="continue"/>
                  <w:tcBorders>
                    <w:tl2br w:val="nil"/>
                    <w:tr2bl w:val="nil"/>
                  </w:tcBorders>
                  <w:noWrap w:val="0"/>
                  <w:vAlign w:val="center"/>
                </w:tcPr>
                <w:p w14:paraId="7E2B7C71">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auto"/>
                      <w:sz w:val="18"/>
                      <w:szCs w:val="18"/>
                      <w:vertAlign w:val="baseline"/>
                      <w:lang w:val="en-US" w:eastAsia="zh-CN"/>
                    </w:rPr>
                  </w:pPr>
                </w:p>
              </w:tc>
              <w:tc>
                <w:tcPr>
                  <w:tcW w:w="533" w:type="pct"/>
                  <w:vMerge w:val="continue"/>
                  <w:tcBorders>
                    <w:tl2br w:val="nil"/>
                    <w:tr2bl w:val="nil"/>
                  </w:tcBorders>
                  <w:noWrap w:val="0"/>
                  <w:vAlign w:val="center"/>
                </w:tcPr>
                <w:p w14:paraId="5684799B">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auto"/>
                      <w:sz w:val="18"/>
                      <w:szCs w:val="18"/>
                      <w:vertAlign w:val="baseline"/>
                      <w:lang w:val="en-US" w:eastAsia="zh-CN"/>
                    </w:rPr>
                  </w:pPr>
                </w:p>
              </w:tc>
              <w:tc>
                <w:tcPr>
                  <w:tcW w:w="756" w:type="pct"/>
                  <w:tcBorders>
                    <w:tl2br w:val="nil"/>
                    <w:tr2bl w:val="nil"/>
                  </w:tcBorders>
                  <w:noWrap w:val="0"/>
                  <w:vAlign w:val="center"/>
                </w:tcPr>
                <w:p w14:paraId="108A9D2C">
                  <w:pPr>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val="0"/>
                      <w:color w:val="auto"/>
                      <w:sz w:val="18"/>
                      <w:szCs w:val="18"/>
                      <w:vertAlign w:val="baseline"/>
                      <w:lang w:val="en-US" w:eastAsia="zh-CN"/>
                    </w:rPr>
                  </w:pPr>
                  <w:r>
                    <w:rPr>
                      <w:rFonts w:hint="eastAsia"/>
                      <w:color w:val="auto"/>
                      <w:sz w:val="18"/>
                      <w:szCs w:val="18"/>
                      <w:highlight w:val="none"/>
                      <w:lang w:eastAsia="zh-CN"/>
                    </w:rPr>
                    <w:t>厂区内</w:t>
                  </w:r>
                </w:p>
              </w:tc>
              <w:tc>
                <w:tcPr>
                  <w:tcW w:w="1001" w:type="pct"/>
                  <w:tcBorders>
                    <w:tl2br w:val="nil"/>
                    <w:tr2bl w:val="nil"/>
                  </w:tcBorders>
                  <w:noWrap w:val="0"/>
                  <w:vAlign w:val="center"/>
                </w:tcPr>
                <w:p w14:paraId="0EDFB1E7">
                  <w:pPr>
                    <w:pStyle w:val="46"/>
                    <w:ind w:left="54" w:leftChars="0" w:right="47" w:rightChars="0"/>
                    <w:jc w:val="center"/>
                    <w:rPr>
                      <w:rFonts w:hint="default" w:ascii="Times New Roman" w:hAnsi="Times New Roman" w:eastAsia="宋体" w:cs="Times New Roman"/>
                      <w:color w:val="auto"/>
                      <w:sz w:val="18"/>
                      <w:szCs w:val="22"/>
                      <w:lang w:val="en-US" w:eastAsia="zh-CN" w:bidi="zh-CN"/>
                    </w:rPr>
                  </w:pPr>
                  <w:r>
                    <w:rPr>
                      <w:rFonts w:hint="default" w:ascii="Times New Roman" w:hAnsi="Times New Roman" w:eastAsia="宋体" w:cs="Times New Roman"/>
                      <w:color w:val="auto"/>
                      <w:sz w:val="18"/>
                      <w:szCs w:val="22"/>
                      <w:lang w:val="en-US" w:eastAsia="zh-CN" w:bidi="zh-CN"/>
                    </w:rPr>
                    <w:t>NMHC</w:t>
                  </w:r>
                </w:p>
              </w:tc>
              <w:tc>
                <w:tcPr>
                  <w:tcW w:w="865" w:type="pct"/>
                  <w:tcBorders>
                    <w:tl2br w:val="nil"/>
                    <w:tr2bl w:val="nil"/>
                  </w:tcBorders>
                  <w:noWrap w:val="0"/>
                  <w:vAlign w:val="center"/>
                </w:tcPr>
                <w:p w14:paraId="17500054">
                  <w:pPr>
                    <w:pStyle w:val="46"/>
                    <w:ind w:left="105" w:leftChars="0" w:right="96" w:rightChars="0"/>
                    <w:jc w:val="center"/>
                    <w:rPr>
                      <w:rFonts w:hint="default" w:ascii="Times New Roman" w:hAnsi="Times New Roman" w:eastAsia="宋体" w:cs="Times New Roman"/>
                      <w:color w:val="auto"/>
                      <w:sz w:val="18"/>
                      <w:szCs w:val="22"/>
                      <w:lang w:val="en-US" w:eastAsia="zh-CN" w:bidi="zh-CN"/>
                    </w:rPr>
                  </w:pPr>
                  <w:r>
                    <w:rPr>
                      <w:rFonts w:hint="default" w:ascii="Times New Roman" w:hAnsi="Times New Roman" w:eastAsia="Times New Roman" w:cs="Times New Roman"/>
                      <w:color w:val="auto"/>
                      <w:sz w:val="18"/>
                    </w:rPr>
                    <w:t xml:space="preserve">2 </w:t>
                  </w:r>
                  <w:r>
                    <w:rPr>
                      <w:rFonts w:hint="default" w:ascii="Times New Roman" w:hAnsi="Times New Roman" w:cs="Times New Roman"/>
                      <w:color w:val="auto"/>
                      <w:sz w:val="18"/>
                    </w:rPr>
                    <w:t>天</w:t>
                  </w:r>
                  <w:r>
                    <w:rPr>
                      <w:rFonts w:hint="default" w:ascii="Times New Roman" w:hAnsi="Times New Roman" w:eastAsia="Times New Roman" w:cs="Times New Roman"/>
                      <w:color w:val="auto"/>
                      <w:sz w:val="18"/>
                    </w:rPr>
                    <w:t>×</w:t>
                  </w:r>
                  <w:r>
                    <w:rPr>
                      <w:rFonts w:hint="eastAsia" w:ascii="Times New Roman" w:hAnsi="Times New Roman" w:eastAsia="宋体" w:cs="Times New Roman"/>
                      <w:color w:val="auto"/>
                      <w:sz w:val="18"/>
                      <w:lang w:val="en-US" w:eastAsia="zh-CN"/>
                    </w:rPr>
                    <w:t>4</w:t>
                  </w:r>
                  <w:r>
                    <w:rPr>
                      <w:rFonts w:hint="default" w:ascii="Times New Roman" w:hAnsi="Times New Roman" w:cs="Times New Roman"/>
                      <w:color w:val="auto"/>
                      <w:sz w:val="18"/>
                    </w:rPr>
                    <w:t>次</w:t>
                  </w:r>
                  <w:r>
                    <w:rPr>
                      <w:rFonts w:hint="default" w:ascii="Times New Roman" w:hAnsi="Times New Roman" w:eastAsia="Times New Roman" w:cs="Times New Roman"/>
                      <w:color w:val="auto"/>
                      <w:sz w:val="18"/>
                    </w:rPr>
                    <w:t>/</w:t>
                  </w:r>
                  <w:r>
                    <w:rPr>
                      <w:rFonts w:hint="default" w:ascii="Times New Roman" w:hAnsi="Times New Roman" w:cs="Times New Roman"/>
                      <w:color w:val="auto"/>
                      <w:sz w:val="18"/>
                    </w:rPr>
                    <w:t>天</w:t>
                  </w:r>
                </w:p>
              </w:tc>
              <w:tc>
                <w:tcPr>
                  <w:tcW w:w="1487" w:type="pct"/>
                  <w:tcBorders>
                    <w:tl2br w:val="nil"/>
                    <w:tr2bl w:val="nil"/>
                  </w:tcBorders>
                  <w:noWrap w:val="0"/>
                  <w:vAlign w:val="center"/>
                </w:tcPr>
                <w:p w14:paraId="712E7D73">
                  <w:pPr>
                    <w:wordWrap w:val="0"/>
                    <w:spacing w:line="240" w:lineRule="exact"/>
                    <w:jc w:val="center"/>
                    <w:rPr>
                      <w:rFonts w:hint="eastAsia" w:ascii="Times New Roman" w:hAnsi="Times New Roman" w:eastAsia="宋体" w:cs="Times New Roman"/>
                      <w:b w:val="0"/>
                      <w:bCs w:val="0"/>
                      <w:color w:val="auto"/>
                      <w:sz w:val="18"/>
                      <w:szCs w:val="18"/>
                      <w:vertAlign w:val="baseline"/>
                      <w:lang w:val="en-US" w:eastAsia="zh-CN"/>
                    </w:rPr>
                  </w:pPr>
                  <w:r>
                    <w:rPr>
                      <w:rFonts w:hint="eastAsia"/>
                      <w:color w:val="auto"/>
                      <w:sz w:val="18"/>
                      <w:szCs w:val="18"/>
                      <w:highlight w:val="none"/>
                      <w:lang w:eastAsia="zh-CN"/>
                    </w:rPr>
                    <w:t>《表面涂装（汽车零部件）大气污染物排放标准》（DB32/3966-2021）表2</w:t>
                  </w:r>
                  <w:r>
                    <w:rPr>
                      <w:rFonts w:hint="eastAsia"/>
                      <w:color w:val="auto"/>
                      <w:sz w:val="18"/>
                      <w:szCs w:val="18"/>
                      <w:highlight w:val="none"/>
                      <w:lang w:val="en-US" w:eastAsia="zh-CN"/>
                    </w:rPr>
                    <w:t>标准</w:t>
                  </w:r>
                </w:p>
              </w:tc>
            </w:tr>
          </w:tbl>
          <w:p w14:paraId="50069A5A">
            <w:pPr>
              <w:pStyle w:val="4"/>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w:t>
            </w:r>
            <w:r>
              <w:rPr>
                <w:rFonts w:hint="default" w:ascii="Times New Roman" w:hAnsi="Times New Roman" w:cs="Times New Roman"/>
                <w:color w:val="auto"/>
                <w:lang w:val="en-US" w:eastAsia="zh-CN"/>
              </w:rPr>
              <w:t>、大气环境影响结论</w:t>
            </w:r>
          </w:p>
          <w:p w14:paraId="0E382CC3">
            <w:pPr>
              <w:pageBreakBefore w:val="0"/>
              <w:widowControl w:val="0"/>
              <w:numPr>
                <w:ilvl w:val="0"/>
                <w:numId w:val="0"/>
              </w:numPr>
              <w:kinsoku/>
              <w:wordWrap/>
              <w:overflowPunct/>
              <w:topLinePunct w:val="0"/>
              <w:autoSpaceDE/>
              <w:autoSpaceDN/>
              <w:bidi w:val="0"/>
              <w:adjustRightInd/>
              <w:snapToGrid w:val="0"/>
              <w:spacing w:line="360" w:lineRule="auto"/>
              <w:ind w:leftChars="0" w:right="0" w:rightChars="0" w:firstLine="420" w:firstLineChars="200"/>
              <w:jc w:val="both"/>
              <w:textAlignment w:val="auto"/>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综上所述，在全面落实环保措施的前提下，</w:t>
            </w:r>
            <w:r>
              <w:rPr>
                <w:rFonts w:hint="eastAsia" w:ascii="Times New Roman" w:hAnsi="Times New Roman" w:cs="Times New Roman"/>
                <w:bCs/>
                <w:color w:val="auto"/>
                <w:spacing w:val="0"/>
                <w:sz w:val="21"/>
                <w:szCs w:val="21"/>
                <w:highlight w:val="none"/>
                <w:lang w:val="en-US" w:eastAsia="zh-CN"/>
              </w:rPr>
              <w:t>本项目废气</w:t>
            </w:r>
            <w:r>
              <w:rPr>
                <w:rFonts w:hint="default" w:ascii="Times New Roman" w:hAnsi="Times New Roman" w:cs="Times New Roman"/>
                <w:bCs/>
                <w:color w:val="auto"/>
                <w:spacing w:val="0"/>
                <w:sz w:val="21"/>
                <w:szCs w:val="21"/>
                <w:highlight w:val="none"/>
              </w:rPr>
              <w:t>可实现达标排放，对周边环境质量影响可以接受，不会降低周边大气环境质量等级。</w:t>
            </w:r>
          </w:p>
          <w:p w14:paraId="42F1B782">
            <w:pPr>
              <w:pStyle w:val="3"/>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（二）废水</w:t>
            </w:r>
          </w:p>
          <w:p w14:paraId="4C3CEF2E">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1、废水源强</w:t>
            </w:r>
          </w:p>
          <w:p w14:paraId="2B2A4C04">
            <w:pPr>
              <w:pageBreakBefore w:val="0"/>
              <w:widowControl w:val="0"/>
              <w:numPr>
                <w:ilvl w:val="0"/>
                <w:numId w:val="0"/>
              </w:numPr>
              <w:kinsoku/>
              <w:wordWrap/>
              <w:overflowPunct/>
              <w:topLinePunct w:val="0"/>
              <w:autoSpaceDE/>
              <w:autoSpaceDN/>
              <w:bidi w:val="0"/>
              <w:adjustRightInd/>
              <w:snapToGrid w:val="0"/>
              <w:spacing w:line="360" w:lineRule="auto"/>
              <w:ind w:right="0" w:rightChars="0" w:firstLine="420" w:firstLineChars="200"/>
              <w:jc w:val="both"/>
              <w:textAlignment w:val="auto"/>
              <w:rPr>
                <w:rFonts w:hint="default" w:ascii="Times New Roman" w:hAnsi="Times New Roman" w:cs="Times New Roman"/>
                <w:b/>
                <w:bCs/>
                <w:color w:val="auto"/>
              </w:rPr>
            </w:pPr>
            <w:r>
              <w:rPr>
                <w:rFonts w:hint="default" w:ascii="Times New Roman" w:hAnsi="Times New Roman" w:cs="Times New Roman"/>
                <w:color w:val="auto"/>
                <w:kern w:val="0"/>
                <w:sz w:val="21"/>
                <w:szCs w:val="21"/>
                <w:highlight w:val="none"/>
                <w:lang w:val="en-US" w:eastAsia="zh-CN"/>
              </w:rPr>
              <w:t>本项目</w:t>
            </w:r>
            <w:r>
              <w:rPr>
                <w:rFonts w:hint="eastAsia" w:cs="Times New Roman"/>
                <w:color w:val="auto"/>
                <w:kern w:val="0"/>
                <w:sz w:val="21"/>
                <w:szCs w:val="21"/>
                <w:highlight w:val="none"/>
                <w:lang w:val="en-US" w:eastAsia="zh-CN"/>
              </w:rPr>
              <w:t>无生产废水产生，</w:t>
            </w:r>
            <w:r>
              <w:rPr>
                <w:rFonts w:hint="default"/>
                <w:color w:val="auto"/>
                <w:lang w:val="en-US" w:eastAsia="zh-CN"/>
              </w:rPr>
              <w:t>本项目</w:t>
            </w:r>
            <w:r>
              <w:rPr>
                <w:rFonts w:hint="eastAsia"/>
                <w:color w:val="auto"/>
                <w:lang w:val="en-US" w:eastAsia="zh-CN"/>
              </w:rPr>
              <w:t>不新增员工，故不新增生活用水和生活污水</w:t>
            </w:r>
            <w:r>
              <w:rPr>
                <w:rFonts w:hint="default"/>
                <w:color w:val="auto"/>
                <w:lang w:val="en-US" w:eastAsia="zh-CN"/>
              </w:rPr>
              <w:t>。</w:t>
            </w:r>
          </w:p>
          <w:p w14:paraId="2828ACCF">
            <w:pPr>
              <w:pStyle w:val="4"/>
              <w:bidi w:val="0"/>
              <w:spacing w:line="360" w:lineRule="auto"/>
              <w:rPr>
                <w:rFonts w:hint="default" w:ascii="Times New Roman" w:hAnsi="Times New Roman" w:cs="Times New Roman"/>
                <w:color w:val="auto"/>
                <w:sz w:val="21"/>
                <w:szCs w:val="21"/>
                <w:lang w:eastAsia="zh-CN"/>
              </w:rPr>
            </w:pPr>
            <w:r>
              <w:rPr>
                <w:rFonts w:hint="eastAsia"/>
                <w:color w:val="auto"/>
                <w:sz w:val="21"/>
                <w:szCs w:val="21"/>
                <w:lang w:val="en-US" w:eastAsia="zh-CN"/>
              </w:rPr>
              <w:t>2、</w:t>
            </w:r>
            <w:r>
              <w:rPr>
                <w:rFonts w:hint="default" w:ascii="Times New Roman" w:hAnsi="Times New Roman" w:cs="Times New Roman"/>
                <w:color w:val="auto"/>
                <w:sz w:val="21"/>
                <w:szCs w:val="21"/>
              </w:rPr>
              <w:t>监测</w:t>
            </w:r>
            <w:r>
              <w:rPr>
                <w:rFonts w:hint="default" w:ascii="Times New Roman" w:hAnsi="Times New Roman" w:cs="Times New Roman"/>
                <w:color w:val="auto"/>
                <w:sz w:val="21"/>
                <w:szCs w:val="21"/>
                <w:lang w:eastAsia="zh-CN"/>
              </w:rPr>
              <w:t>计划</w:t>
            </w:r>
          </w:p>
          <w:p w14:paraId="59B92B3F">
            <w:pPr>
              <w:adjustRightInd w:val="0"/>
              <w:snapToGrid w:val="0"/>
              <w:spacing w:line="360" w:lineRule="auto"/>
              <w:ind w:firstLine="420" w:firstLineChars="200"/>
              <w:rPr>
                <w:color w:val="auto"/>
                <w:sz w:val="21"/>
                <w:szCs w:val="21"/>
              </w:rPr>
            </w:pPr>
            <w:r>
              <w:rPr>
                <w:bCs/>
                <w:color w:val="auto"/>
                <w:spacing w:val="0"/>
                <w:sz w:val="21"/>
                <w:szCs w:val="21"/>
              </w:rPr>
              <w:t>参考《排污单位自行监测技术指南 总则》（</w:t>
            </w:r>
            <w:r>
              <w:rPr>
                <w:bCs/>
                <w:color w:val="auto"/>
                <w:spacing w:val="-10"/>
                <w:sz w:val="21"/>
                <w:szCs w:val="21"/>
              </w:rPr>
              <w:t>HJ 819-2017）</w:t>
            </w:r>
            <w:r>
              <w:rPr>
                <w:rFonts w:hint="eastAsia"/>
                <w:bCs/>
                <w:color w:val="auto"/>
                <w:spacing w:val="-10"/>
                <w:sz w:val="21"/>
                <w:szCs w:val="21"/>
                <w:lang w:eastAsia="zh-CN"/>
              </w:rPr>
              <w:t>、</w:t>
            </w:r>
            <w:r>
              <w:rPr>
                <w:rFonts w:hint="default" w:ascii="Times New Roman" w:hAnsi="Times New Roman" w:cs="Times New Roman"/>
                <w:color w:val="auto"/>
                <w:sz w:val="21"/>
                <w:szCs w:val="21"/>
              </w:rPr>
              <w:t>《</w:t>
            </w:r>
            <w:r>
              <w:rPr>
                <w:rFonts w:hint="eastAsia" w:cs="Times New Roman"/>
                <w:color w:val="auto"/>
                <w:sz w:val="21"/>
                <w:szCs w:val="21"/>
                <w:lang w:eastAsia="zh-CN"/>
              </w:rPr>
              <w:t>排污单位自行监测技术指南 涂装</w:t>
            </w:r>
            <w:r>
              <w:rPr>
                <w:rFonts w:hint="default" w:ascii="Times New Roman" w:hAnsi="Times New Roman" w:cs="Times New Roman"/>
                <w:color w:val="auto"/>
                <w:sz w:val="21"/>
                <w:szCs w:val="21"/>
                <w:u w:val="none"/>
              </w:rPr>
              <w:t>》（</w:t>
            </w:r>
            <w:r>
              <w:rPr>
                <w:rFonts w:hint="eastAsia" w:cs="Times New Roman"/>
                <w:color w:val="auto"/>
                <w:sz w:val="21"/>
                <w:szCs w:val="21"/>
                <w:u w:val="none"/>
                <w:lang w:eastAsia="zh-CN"/>
              </w:rPr>
              <w:t>HJ 1086-2020</w:t>
            </w:r>
            <w:r>
              <w:rPr>
                <w:rFonts w:hint="default" w:ascii="Times New Roman" w:hAnsi="Times New Roman" w:cs="Times New Roman"/>
                <w:color w:val="auto"/>
                <w:sz w:val="21"/>
                <w:szCs w:val="21"/>
                <w:u w:val="none"/>
              </w:rPr>
              <w:t>）</w:t>
            </w:r>
            <w:r>
              <w:rPr>
                <w:bCs/>
                <w:color w:val="auto"/>
                <w:spacing w:val="-10"/>
                <w:sz w:val="21"/>
                <w:szCs w:val="21"/>
              </w:rPr>
              <w:t>要求，</w:t>
            </w:r>
            <w:r>
              <w:rPr>
                <w:rFonts w:hint="eastAsia"/>
                <w:bCs/>
                <w:color w:val="auto"/>
                <w:spacing w:val="-10"/>
                <w:sz w:val="21"/>
                <w:szCs w:val="21"/>
                <w:lang w:val="en-US" w:eastAsia="zh-CN"/>
              </w:rPr>
              <w:t>全厂</w:t>
            </w:r>
            <w:r>
              <w:rPr>
                <w:bCs/>
                <w:color w:val="auto"/>
                <w:spacing w:val="-10"/>
                <w:sz w:val="21"/>
                <w:szCs w:val="21"/>
              </w:rPr>
              <w:t>的废水</w:t>
            </w:r>
            <w:r>
              <w:rPr>
                <w:bCs/>
                <w:color w:val="auto"/>
                <w:spacing w:val="-10"/>
                <w:sz w:val="21"/>
                <w:szCs w:val="21"/>
              </w:rPr>
              <w:t>日常监测计划</w:t>
            </w:r>
            <w:r>
              <w:rPr>
                <w:color w:val="auto"/>
                <w:sz w:val="21"/>
                <w:szCs w:val="21"/>
              </w:rPr>
              <w:t>如下：</w:t>
            </w:r>
          </w:p>
          <w:p w14:paraId="5A8CA068">
            <w:pPr>
              <w:spacing w:line="240" w:lineRule="auto"/>
              <w:ind w:firstLine="482"/>
              <w:jc w:val="center"/>
              <w:rPr>
                <w:b/>
                <w:color w:val="auto"/>
                <w:sz w:val="21"/>
                <w:szCs w:val="21"/>
              </w:rPr>
            </w:pPr>
            <w:bookmarkStart w:id="20" w:name="_Hlk113217072"/>
            <w:r>
              <w:rPr>
                <w:b/>
                <w:color w:val="auto"/>
                <w:sz w:val="21"/>
                <w:szCs w:val="21"/>
              </w:rPr>
              <w:t>表4-</w:t>
            </w:r>
            <w:r>
              <w:rPr>
                <w:rFonts w:hint="eastAsia"/>
                <w:b/>
                <w:color w:val="auto"/>
                <w:sz w:val="21"/>
                <w:szCs w:val="21"/>
                <w:lang w:val="en-US" w:eastAsia="zh-CN"/>
              </w:rPr>
              <w:t>12</w:t>
            </w:r>
            <w:r>
              <w:rPr>
                <w:b/>
                <w:color w:val="auto"/>
                <w:sz w:val="21"/>
                <w:szCs w:val="21"/>
              </w:rPr>
              <w:t xml:space="preserve"> 废水污染源监测计划</w:t>
            </w:r>
          </w:p>
          <w:tbl>
            <w:tblPr>
              <w:tblStyle w:val="20"/>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22"/>
              <w:gridCol w:w="3382"/>
              <w:gridCol w:w="3019"/>
            </w:tblGrid>
            <w:tr w14:paraId="4E76BD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5" w:type="dxa"/>
                  <w:noWrap w:val="0"/>
                  <w:vAlign w:val="center"/>
                </w:tcPr>
                <w:p w14:paraId="1CE74F3B">
                  <w:pPr>
                    <w:jc w:val="center"/>
                    <w:rPr>
                      <w:b/>
                      <w:color w:val="auto"/>
                      <w:sz w:val="18"/>
                      <w:szCs w:val="18"/>
                    </w:rPr>
                  </w:pPr>
                  <w:r>
                    <w:rPr>
                      <w:b/>
                      <w:color w:val="auto"/>
                      <w:sz w:val="18"/>
                      <w:szCs w:val="18"/>
                    </w:rPr>
                    <w:t>监测点</w:t>
                  </w:r>
                </w:p>
              </w:tc>
              <w:tc>
                <w:tcPr>
                  <w:tcW w:w="3308" w:type="dxa"/>
                  <w:noWrap w:val="0"/>
                  <w:vAlign w:val="center"/>
                </w:tcPr>
                <w:p w14:paraId="45333C25">
                  <w:pPr>
                    <w:jc w:val="center"/>
                    <w:rPr>
                      <w:b/>
                      <w:color w:val="auto"/>
                      <w:sz w:val="18"/>
                      <w:szCs w:val="18"/>
                    </w:rPr>
                  </w:pPr>
                  <w:r>
                    <w:rPr>
                      <w:b/>
                      <w:color w:val="auto"/>
                      <w:sz w:val="18"/>
                      <w:szCs w:val="18"/>
                    </w:rPr>
                    <w:t>污染物名称</w:t>
                  </w:r>
                </w:p>
              </w:tc>
              <w:tc>
                <w:tcPr>
                  <w:tcW w:w="2953" w:type="dxa"/>
                  <w:noWrap w:val="0"/>
                  <w:vAlign w:val="center"/>
                </w:tcPr>
                <w:p w14:paraId="60A10A68">
                  <w:pPr>
                    <w:jc w:val="center"/>
                    <w:rPr>
                      <w:b/>
                      <w:color w:val="auto"/>
                      <w:sz w:val="18"/>
                      <w:szCs w:val="18"/>
                    </w:rPr>
                  </w:pPr>
                  <w:r>
                    <w:rPr>
                      <w:b/>
                      <w:color w:val="auto"/>
                      <w:sz w:val="18"/>
                      <w:szCs w:val="18"/>
                    </w:rPr>
                    <w:t>监测频次</w:t>
                  </w:r>
                </w:p>
              </w:tc>
            </w:tr>
            <w:tr w14:paraId="384B53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5" w:type="dxa"/>
                  <w:noWrap w:val="0"/>
                  <w:vAlign w:val="center"/>
                </w:tcPr>
                <w:p w14:paraId="56F88E48">
                  <w:pPr>
                    <w:jc w:val="center"/>
                    <w:rPr>
                      <w:color w:val="auto"/>
                      <w:sz w:val="18"/>
                      <w:szCs w:val="18"/>
                    </w:rPr>
                  </w:pPr>
                  <w:r>
                    <w:rPr>
                      <w:color w:val="auto"/>
                      <w:sz w:val="18"/>
                      <w:szCs w:val="18"/>
                    </w:rPr>
                    <w:t>废水总排放口</w:t>
                  </w:r>
                </w:p>
              </w:tc>
              <w:tc>
                <w:tcPr>
                  <w:tcW w:w="3308" w:type="dxa"/>
                  <w:noWrap w:val="0"/>
                  <w:vAlign w:val="center"/>
                </w:tcPr>
                <w:p w14:paraId="20393F6E">
                  <w:pPr>
                    <w:jc w:val="center"/>
                    <w:rPr>
                      <w:rFonts w:hint="default" w:eastAsia="宋体"/>
                      <w:color w:val="auto"/>
                      <w:sz w:val="18"/>
                      <w:szCs w:val="18"/>
                      <w:lang w:val="en-US" w:eastAsia="zh-CN"/>
                    </w:rPr>
                  </w:pPr>
                  <w:r>
                    <w:rPr>
                      <w:color w:val="auto"/>
                      <w:kern w:val="0"/>
                      <w:sz w:val="18"/>
                      <w:szCs w:val="18"/>
                      <w:u w:val="none"/>
                    </w:rPr>
                    <w:t>pH、COD、氨氮、总氮、总磷</w:t>
                  </w:r>
                  <w:r>
                    <w:rPr>
                      <w:rFonts w:hint="eastAsia"/>
                      <w:color w:val="auto"/>
                      <w:kern w:val="0"/>
                      <w:sz w:val="18"/>
                      <w:szCs w:val="18"/>
                      <w:u w:val="none"/>
                      <w:lang w:eastAsia="zh-CN"/>
                    </w:rPr>
                    <w:t>、</w:t>
                  </w:r>
                  <w:r>
                    <w:rPr>
                      <w:rFonts w:hint="eastAsia"/>
                      <w:color w:val="auto"/>
                      <w:kern w:val="0"/>
                      <w:sz w:val="18"/>
                      <w:szCs w:val="18"/>
                      <w:u w:val="none"/>
                      <w:lang w:val="en-US" w:eastAsia="zh-CN"/>
                    </w:rPr>
                    <w:t>动植物油</w:t>
                  </w:r>
                </w:p>
              </w:tc>
              <w:tc>
                <w:tcPr>
                  <w:tcW w:w="2953" w:type="dxa"/>
                  <w:noWrap w:val="0"/>
                  <w:vAlign w:val="center"/>
                </w:tcPr>
                <w:p w14:paraId="41EE2E99">
                  <w:pPr>
                    <w:jc w:val="center"/>
                    <w:rPr>
                      <w:rFonts w:hint="default" w:eastAsia="宋体"/>
                      <w:color w:val="auto"/>
                      <w:sz w:val="18"/>
                      <w:szCs w:val="18"/>
                      <w:lang w:val="en-US" w:eastAsia="zh-CN"/>
                    </w:rPr>
                  </w:pPr>
                  <w:r>
                    <w:rPr>
                      <w:rFonts w:hint="eastAsia"/>
                      <w:color w:val="auto"/>
                      <w:sz w:val="18"/>
                      <w:szCs w:val="18"/>
                      <w:lang w:val="en-US" w:eastAsia="zh-CN"/>
                    </w:rPr>
                    <w:t>1次/年</w:t>
                  </w:r>
                </w:p>
              </w:tc>
            </w:tr>
            <w:tr w14:paraId="1B8DAB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85" w:type="dxa"/>
                  <w:noWrap w:val="0"/>
                  <w:vAlign w:val="center"/>
                </w:tcPr>
                <w:p w14:paraId="6CBC0F41">
                  <w:pPr>
                    <w:jc w:val="center"/>
                    <w:rPr>
                      <w:color w:val="auto"/>
                      <w:sz w:val="18"/>
                      <w:szCs w:val="18"/>
                    </w:rPr>
                  </w:pPr>
                  <w:r>
                    <w:rPr>
                      <w:color w:val="auto"/>
                      <w:sz w:val="18"/>
                      <w:szCs w:val="18"/>
                    </w:rPr>
                    <w:t>雨水排口</w:t>
                  </w:r>
                </w:p>
              </w:tc>
              <w:tc>
                <w:tcPr>
                  <w:tcW w:w="3308" w:type="dxa"/>
                  <w:noWrap w:val="0"/>
                  <w:vAlign w:val="center"/>
                </w:tcPr>
                <w:p w14:paraId="428EEC2C">
                  <w:pPr>
                    <w:jc w:val="center"/>
                    <w:rPr>
                      <w:rFonts w:hint="default" w:eastAsia="宋体"/>
                      <w:color w:val="auto"/>
                      <w:kern w:val="0"/>
                      <w:sz w:val="18"/>
                      <w:szCs w:val="18"/>
                      <w:lang w:val="en-US" w:eastAsia="zh-CN"/>
                    </w:rPr>
                  </w:pPr>
                  <w:r>
                    <w:rPr>
                      <w:color w:val="auto"/>
                      <w:kern w:val="0"/>
                      <w:sz w:val="18"/>
                      <w:szCs w:val="18"/>
                      <w:u w:val="none"/>
                    </w:rPr>
                    <w:t>pH、</w:t>
                  </w:r>
                  <w:r>
                    <w:rPr>
                      <w:color w:val="auto"/>
                      <w:kern w:val="0"/>
                      <w:sz w:val="18"/>
                      <w:szCs w:val="18"/>
                    </w:rPr>
                    <w:t>COD、SS</w:t>
                  </w:r>
                  <w:r>
                    <w:rPr>
                      <w:rFonts w:hint="eastAsia"/>
                      <w:color w:val="auto"/>
                      <w:kern w:val="0"/>
                      <w:sz w:val="18"/>
                      <w:szCs w:val="18"/>
                      <w:lang w:eastAsia="zh-CN"/>
                    </w:rPr>
                    <w:t>、</w:t>
                  </w:r>
                  <w:r>
                    <w:rPr>
                      <w:rFonts w:hint="eastAsia"/>
                      <w:color w:val="auto"/>
                      <w:kern w:val="0"/>
                      <w:sz w:val="18"/>
                      <w:szCs w:val="18"/>
                      <w:lang w:val="en-US" w:eastAsia="zh-CN"/>
                    </w:rPr>
                    <w:t>石油类（不得检出）</w:t>
                  </w:r>
                </w:p>
              </w:tc>
              <w:tc>
                <w:tcPr>
                  <w:tcW w:w="2953" w:type="dxa"/>
                  <w:noWrap w:val="0"/>
                  <w:vAlign w:val="center"/>
                </w:tcPr>
                <w:p w14:paraId="3459F6DC">
                  <w:pPr>
                    <w:jc w:val="center"/>
                    <w:rPr>
                      <w:rFonts w:hint="eastAsia" w:eastAsia="宋体"/>
                      <w:color w:val="auto"/>
                      <w:sz w:val="18"/>
                      <w:szCs w:val="18"/>
                      <w:lang w:eastAsia="zh-CN"/>
                    </w:rPr>
                  </w:pPr>
                  <w:r>
                    <w:rPr>
                      <w:rFonts w:hint="eastAsia"/>
                      <w:color w:val="auto"/>
                      <w:kern w:val="0"/>
                      <w:sz w:val="18"/>
                      <w:szCs w:val="18"/>
                      <w:lang w:val="en-US" w:eastAsia="zh-CN"/>
                    </w:rPr>
                    <w:t>月</w:t>
                  </w:r>
                </w:p>
              </w:tc>
            </w:tr>
            <w:bookmarkEnd w:id="20"/>
          </w:tbl>
          <w:p w14:paraId="76567396">
            <w:pPr>
              <w:pStyle w:val="3"/>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（三）噪声</w:t>
            </w:r>
          </w:p>
          <w:p w14:paraId="6C9791E3">
            <w:pPr>
              <w:pStyle w:val="4"/>
              <w:bidi w:val="0"/>
              <w:rPr>
                <w:rFonts w:hint="default" w:ascii="Times New Roman" w:hAnsi="Times New Roman" w:cs="Times New Roman"/>
                <w:color w:val="auto"/>
              </w:rPr>
            </w:pPr>
            <w:r>
              <w:rPr>
                <w:rFonts w:hint="default" w:ascii="Times New Roman" w:hAnsi="Times New Roman" w:cs="Times New Roman"/>
                <w:color w:val="auto"/>
                <w:lang w:val="en-US" w:eastAsia="zh-CN"/>
              </w:rPr>
              <w:t>1、</w:t>
            </w:r>
            <w:r>
              <w:rPr>
                <w:rFonts w:hint="default" w:ascii="Times New Roman" w:hAnsi="Times New Roman" w:cs="Times New Roman"/>
                <w:color w:val="auto"/>
              </w:rPr>
              <w:t>噪声源强</w:t>
            </w:r>
          </w:p>
          <w:p w14:paraId="105709D6">
            <w:pPr>
              <w:adjustRightInd w:val="0"/>
              <w:snapToGrid w:val="0"/>
              <w:spacing w:line="360" w:lineRule="auto"/>
              <w:ind w:firstLine="420" w:firstLineChars="200"/>
              <w:rPr>
                <w:rFonts w:hint="eastAsia" w:ascii="宋体" w:hAnsi="宋体" w:cs="宋体"/>
                <w:bCs/>
                <w:color w:val="auto"/>
                <w:spacing w:val="-10"/>
                <w:szCs w:val="21"/>
                <w:lang w:eastAsia="zh-CN"/>
              </w:rPr>
            </w:pPr>
            <w:r>
              <w:rPr>
                <w:rFonts w:hint="default" w:ascii="Times New Roman" w:hAnsi="Times New Roman" w:cs="Times New Roman"/>
                <w:color w:val="auto"/>
                <w:sz w:val="21"/>
                <w:szCs w:val="21"/>
                <w:highlight w:val="none"/>
              </w:rPr>
              <w:t>本项目噪声源主要为</w:t>
            </w:r>
            <w:r>
              <w:rPr>
                <w:rFonts w:hint="eastAsia" w:cs="Times New Roman"/>
                <w:color w:val="auto"/>
                <w:sz w:val="21"/>
                <w:szCs w:val="21"/>
                <w:highlight w:val="none"/>
                <w:u w:val="none"/>
                <w:lang w:val="en-US" w:eastAsia="zh-CN"/>
              </w:rPr>
              <w:t>HC喷涂系统、防雾喷涂系统</w:t>
            </w:r>
            <w:r>
              <w:rPr>
                <w:rFonts w:hint="default" w:ascii="Times New Roman" w:hAnsi="Times New Roman" w:cs="Times New Roman"/>
                <w:color w:val="auto"/>
                <w:sz w:val="21"/>
                <w:szCs w:val="21"/>
                <w:highlight w:val="none"/>
              </w:rPr>
              <w:t>等，主要产噪设备详见</w:t>
            </w:r>
            <w:r>
              <w:rPr>
                <w:rFonts w:hint="eastAsia" w:ascii="Times New Roman" w:hAnsi="Times New Roman" w:cs="Times New Roman"/>
                <w:color w:val="auto"/>
                <w:sz w:val="21"/>
                <w:szCs w:val="21"/>
                <w:highlight w:val="none"/>
                <w:lang w:val="en-US" w:eastAsia="zh-CN"/>
              </w:rPr>
              <w:t>下表</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 xml:space="preserve"> </w:t>
            </w:r>
          </w:p>
          <w:p w14:paraId="59EE286A">
            <w:pPr>
              <w:adjustRightInd w:val="0"/>
              <w:snapToGrid w:val="0"/>
              <w:rPr>
                <w:rFonts w:hint="eastAsia" w:ascii="宋体" w:hAnsi="宋体" w:eastAsia="宋体" w:cs="宋体"/>
                <w:bCs/>
                <w:color w:val="auto"/>
                <w:spacing w:val="-10"/>
                <w:szCs w:val="21"/>
                <w:lang w:eastAsia="zh-CN"/>
              </w:rPr>
            </w:pPr>
          </w:p>
        </w:tc>
      </w:tr>
    </w:tbl>
    <w:p w14:paraId="44B568B4">
      <w:pPr>
        <w:adjustRightInd w:val="0"/>
        <w:snapToGrid w:val="0"/>
        <w:spacing w:line="360" w:lineRule="auto"/>
        <w:rPr>
          <w:rFonts w:hint="eastAsia" w:ascii="宋体" w:cs="宋体"/>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74AF65AE">
      <w:pPr>
        <w:bidi w:val="0"/>
        <w:spacing w:line="240" w:lineRule="auto"/>
        <w:jc w:val="center"/>
        <w:rPr>
          <w:rFonts w:hint="default"/>
          <w:b/>
          <w:bCs/>
          <w:color w:val="auto"/>
          <w:lang w:val="en-US" w:eastAsia="zh-CN"/>
        </w:rPr>
      </w:pPr>
      <w:r>
        <w:rPr>
          <w:rFonts w:hint="eastAsia"/>
          <w:b/>
          <w:bCs/>
          <w:color w:val="auto"/>
          <w:lang w:val="en-US" w:eastAsia="zh-CN"/>
        </w:rPr>
        <w:t>表4-13 本项目室内设备噪声</w:t>
      </w:r>
      <w:r>
        <w:rPr>
          <w:rFonts w:hint="default"/>
          <w:b/>
          <w:bCs/>
          <w:color w:val="auto"/>
        </w:rPr>
        <w:t>源强一览表</w:t>
      </w:r>
    </w:p>
    <w:tbl>
      <w:tblPr>
        <w:tblStyle w:val="20"/>
        <w:tblW w:w="543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4"/>
        <w:gridCol w:w="388"/>
        <w:gridCol w:w="1158"/>
        <w:gridCol w:w="977"/>
        <w:gridCol w:w="519"/>
        <w:gridCol w:w="626"/>
        <w:gridCol w:w="627"/>
        <w:gridCol w:w="471"/>
        <w:gridCol w:w="449"/>
        <w:gridCol w:w="490"/>
        <w:gridCol w:w="488"/>
        <w:gridCol w:w="506"/>
        <w:gridCol w:w="510"/>
        <w:gridCol w:w="503"/>
        <w:gridCol w:w="520"/>
        <w:gridCol w:w="489"/>
        <w:gridCol w:w="516"/>
        <w:gridCol w:w="433"/>
        <w:gridCol w:w="541"/>
        <w:gridCol w:w="466"/>
        <w:gridCol w:w="596"/>
        <w:gridCol w:w="501"/>
        <w:gridCol w:w="555"/>
        <w:gridCol w:w="561"/>
        <w:gridCol w:w="555"/>
        <w:gridCol w:w="483"/>
      </w:tblGrid>
      <w:tr w14:paraId="6F977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20" w:type="pct"/>
            <w:vMerge w:val="restart"/>
            <w:tcBorders>
              <w:tl2br w:val="nil"/>
              <w:tr2bl w:val="nil"/>
            </w:tcBorders>
            <w:noWrap w:val="0"/>
            <w:tcMar>
              <w:left w:w="0" w:type="dxa"/>
              <w:right w:w="0" w:type="dxa"/>
            </w:tcMar>
            <w:vAlign w:val="center"/>
          </w:tcPr>
          <w:p w14:paraId="0A139261">
            <w:pPr>
              <w:spacing w:line="240" w:lineRule="auto"/>
              <w:jc w:val="center"/>
              <w:rPr>
                <w:b/>
                <w:color w:val="auto"/>
                <w:sz w:val="18"/>
                <w:szCs w:val="18"/>
              </w:rPr>
            </w:pPr>
            <w:r>
              <w:rPr>
                <w:b/>
                <w:color w:val="auto"/>
                <w:sz w:val="18"/>
                <w:szCs w:val="18"/>
              </w:rPr>
              <w:t>序号</w:t>
            </w:r>
          </w:p>
        </w:tc>
        <w:tc>
          <w:tcPr>
            <w:tcW w:w="135" w:type="pct"/>
            <w:vMerge w:val="restart"/>
            <w:tcBorders>
              <w:tl2br w:val="nil"/>
              <w:tr2bl w:val="nil"/>
            </w:tcBorders>
            <w:noWrap w:val="0"/>
            <w:tcMar>
              <w:left w:w="0" w:type="dxa"/>
              <w:right w:w="0" w:type="dxa"/>
            </w:tcMar>
            <w:vAlign w:val="center"/>
          </w:tcPr>
          <w:p w14:paraId="47C0AE97">
            <w:pPr>
              <w:spacing w:line="240" w:lineRule="auto"/>
              <w:jc w:val="center"/>
              <w:rPr>
                <w:rFonts w:hint="default" w:eastAsia="宋体"/>
                <w:b/>
                <w:color w:val="auto"/>
                <w:sz w:val="18"/>
                <w:szCs w:val="18"/>
                <w:lang w:val="en-US" w:eastAsia="zh-CN"/>
              </w:rPr>
            </w:pPr>
            <w:r>
              <w:rPr>
                <w:rFonts w:hint="eastAsia"/>
                <w:b/>
                <w:color w:val="auto"/>
                <w:sz w:val="18"/>
                <w:szCs w:val="18"/>
                <w:lang w:val="en-US" w:eastAsia="zh-CN"/>
              </w:rPr>
              <w:t>建筑物名称</w:t>
            </w:r>
          </w:p>
        </w:tc>
        <w:tc>
          <w:tcPr>
            <w:tcW w:w="405" w:type="pct"/>
            <w:vMerge w:val="restart"/>
            <w:tcBorders>
              <w:tl2br w:val="nil"/>
              <w:tr2bl w:val="nil"/>
            </w:tcBorders>
            <w:noWrap w:val="0"/>
            <w:tcMar>
              <w:left w:w="0" w:type="dxa"/>
              <w:right w:w="0" w:type="dxa"/>
            </w:tcMar>
            <w:vAlign w:val="center"/>
          </w:tcPr>
          <w:p w14:paraId="34F19E03">
            <w:pPr>
              <w:spacing w:line="240" w:lineRule="auto"/>
              <w:jc w:val="center"/>
              <w:rPr>
                <w:b/>
                <w:color w:val="auto"/>
                <w:sz w:val="18"/>
                <w:szCs w:val="18"/>
              </w:rPr>
            </w:pPr>
            <w:r>
              <w:rPr>
                <w:rFonts w:hint="eastAsia"/>
                <w:b/>
                <w:color w:val="auto"/>
                <w:sz w:val="18"/>
                <w:szCs w:val="18"/>
                <w:lang w:val="en-US" w:eastAsia="zh-CN"/>
              </w:rPr>
              <w:t>声源</w:t>
            </w:r>
            <w:r>
              <w:rPr>
                <w:b/>
                <w:color w:val="auto"/>
                <w:sz w:val="18"/>
                <w:szCs w:val="18"/>
              </w:rPr>
              <w:t>名称</w:t>
            </w:r>
          </w:p>
        </w:tc>
        <w:tc>
          <w:tcPr>
            <w:tcW w:w="342" w:type="pct"/>
            <w:vMerge w:val="restart"/>
            <w:tcBorders>
              <w:tl2br w:val="nil"/>
              <w:tr2bl w:val="nil"/>
            </w:tcBorders>
            <w:noWrap w:val="0"/>
            <w:tcMar>
              <w:left w:w="0" w:type="dxa"/>
              <w:right w:w="0" w:type="dxa"/>
            </w:tcMar>
            <w:vAlign w:val="center"/>
          </w:tcPr>
          <w:p w14:paraId="5A42F5F6">
            <w:pPr>
              <w:spacing w:line="240" w:lineRule="auto"/>
              <w:jc w:val="center"/>
              <w:rPr>
                <w:rFonts w:hint="eastAsia" w:eastAsia="宋体"/>
                <w:b/>
                <w:color w:val="auto"/>
                <w:sz w:val="18"/>
                <w:szCs w:val="18"/>
                <w:lang w:eastAsia="zh-CN"/>
              </w:rPr>
            </w:pPr>
            <w:r>
              <w:rPr>
                <w:rFonts w:hint="eastAsia"/>
                <w:b/>
                <w:color w:val="auto"/>
                <w:sz w:val="18"/>
                <w:szCs w:val="18"/>
                <w:lang w:val="en-US" w:eastAsia="zh-CN"/>
              </w:rPr>
              <w:t>型号</w:t>
            </w:r>
          </w:p>
        </w:tc>
        <w:tc>
          <w:tcPr>
            <w:tcW w:w="181" w:type="pct"/>
            <w:vMerge w:val="restart"/>
            <w:tcBorders>
              <w:tl2br w:val="nil"/>
              <w:tr2bl w:val="nil"/>
            </w:tcBorders>
            <w:noWrap w:val="0"/>
            <w:tcMar>
              <w:left w:w="0" w:type="dxa"/>
              <w:right w:w="0" w:type="dxa"/>
            </w:tcMar>
            <w:vAlign w:val="center"/>
          </w:tcPr>
          <w:p w14:paraId="2EE0A553">
            <w:pPr>
              <w:spacing w:line="240" w:lineRule="auto"/>
              <w:jc w:val="center"/>
              <w:rPr>
                <w:rFonts w:hint="default"/>
                <w:b/>
                <w:color w:val="auto"/>
                <w:sz w:val="18"/>
                <w:szCs w:val="18"/>
                <w:lang w:val="en-US"/>
              </w:rPr>
            </w:pPr>
            <w:r>
              <w:rPr>
                <w:rFonts w:hint="eastAsia"/>
                <w:b/>
                <w:color w:val="auto"/>
                <w:sz w:val="18"/>
                <w:szCs w:val="18"/>
                <w:lang w:val="en-US" w:eastAsia="zh-CN"/>
              </w:rPr>
              <w:t>设备台数</w:t>
            </w:r>
          </w:p>
        </w:tc>
        <w:tc>
          <w:tcPr>
            <w:tcW w:w="219" w:type="pct"/>
            <w:vMerge w:val="restart"/>
            <w:tcBorders>
              <w:tl2br w:val="nil"/>
              <w:tr2bl w:val="nil"/>
            </w:tcBorders>
            <w:noWrap w:val="0"/>
            <w:vAlign w:val="center"/>
          </w:tcPr>
          <w:p w14:paraId="7E16316E">
            <w:pPr>
              <w:spacing w:line="240" w:lineRule="auto"/>
              <w:jc w:val="center"/>
              <w:rPr>
                <w:rFonts w:hint="default" w:eastAsia="宋体"/>
                <w:b/>
                <w:color w:val="auto"/>
                <w:sz w:val="18"/>
                <w:szCs w:val="18"/>
                <w:lang w:val="en-US" w:eastAsia="zh-CN"/>
              </w:rPr>
            </w:pPr>
            <w:r>
              <w:rPr>
                <w:rFonts w:hint="eastAsia"/>
                <w:b/>
                <w:color w:val="auto"/>
                <w:sz w:val="18"/>
                <w:szCs w:val="18"/>
                <w:lang w:val="en-US" w:eastAsia="zh-CN"/>
              </w:rPr>
              <w:t>声功率级/</w:t>
            </w:r>
            <w:r>
              <w:rPr>
                <w:b/>
                <w:color w:val="auto"/>
                <w:sz w:val="18"/>
                <w:szCs w:val="18"/>
              </w:rPr>
              <w:t>dB（A）</w:t>
            </w:r>
          </w:p>
        </w:tc>
        <w:tc>
          <w:tcPr>
            <w:tcW w:w="219" w:type="pct"/>
            <w:vMerge w:val="restart"/>
            <w:tcBorders>
              <w:tl2br w:val="nil"/>
              <w:tr2bl w:val="nil"/>
            </w:tcBorders>
            <w:noWrap w:val="0"/>
            <w:vAlign w:val="center"/>
          </w:tcPr>
          <w:p w14:paraId="51B31C75">
            <w:pPr>
              <w:spacing w:line="240" w:lineRule="auto"/>
              <w:jc w:val="center"/>
              <w:rPr>
                <w:rFonts w:hint="default"/>
                <w:b/>
                <w:color w:val="auto"/>
                <w:sz w:val="18"/>
                <w:szCs w:val="18"/>
                <w:lang w:val="en-US" w:eastAsia="zh-CN"/>
              </w:rPr>
            </w:pPr>
            <w:r>
              <w:rPr>
                <w:rFonts w:hint="eastAsia"/>
                <w:b/>
                <w:color w:val="auto"/>
                <w:sz w:val="18"/>
                <w:szCs w:val="18"/>
                <w:lang w:val="en-US" w:eastAsia="zh-CN"/>
              </w:rPr>
              <w:t>等效后声功率级/</w:t>
            </w:r>
            <w:r>
              <w:rPr>
                <w:b/>
                <w:color w:val="auto"/>
                <w:sz w:val="18"/>
                <w:szCs w:val="18"/>
              </w:rPr>
              <w:t>dB（A）</w:t>
            </w:r>
          </w:p>
        </w:tc>
        <w:tc>
          <w:tcPr>
            <w:tcW w:w="164" w:type="pct"/>
            <w:vMerge w:val="restart"/>
            <w:tcBorders>
              <w:tl2br w:val="nil"/>
              <w:tr2bl w:val="nil"/>
            </w:tcBorders>
            <w:noWrap w:val="0"/>
            <w:vAlign w:val="center"/>
          </w:tcPr>
          <w:p w14:paraId="3B77D941">
            <w:pPr>
              <w:spacing w:line="240" w:lineRule="auto"/>
              <w:jc w:val="center"/>
              <w:rPr>
                <w:rFonts w:hint="default" w:eastAsia="宋体"/>
                <w:b/>
                <w:color w:val="auto"/>
                <w:sz w:val="18"/>
                <w:szCs w:val="18"/>
                <w:lang w:val="en-US" w:eastAsia="zh-CN"/>
              </w:rPr>
            </w:pPr>
            <w:r>
              <w:rPr>
                <w:rFonts w:hint="eastAsia"/>
                <w:b/>
                <w:color w:val="auto"/>
                <w:sz w:val="18"/>
                <w:szCs w:val="18"/>
                <w:lang w:val="en-US" w:eastAsia="zh-CN"/>
              </w:rPr>
              <w:t>声源控制措施</w:t>
            </w:r>
          </w:p>
        </w:tc>
        <w:tc>
          <w:tcPr>
            <w:tcW w:w="499" w:type="pct"/>
            <w:gridSpan w:val="3"/>
            <w:tcBorders>
              <w:tl2br w:val="nil"/>
              <w:tr2bl w:val="nil"/>
            </w:tcBorders>
            <w:noWrap w:val="0"/>
            <w:vAlign w:val="center"/>
          </w:tcPr>
          <w:p w14:paraId="6541BF6E">
            <w:pPr>
              <w:spacing w:line="240" w:lineRule="auto"/>
              <w:jc w:val="center"/>
              <w:rPr>
                <w:rFonts w:hint="default" w:eastAsia="宋体"/>
                <w:b/>
                <w:color w:val="auto"/>
                <w:sz w:val="18"/>
                <w:szCs w:val="18"/>
                <w:lang w:val="en-US" w:eastAsia="zh-CN"/>
              </w:rPr>
            </w:pPr>
            <w:r>
              <w:rPr>
                <w:rFonts w:hint="eastAsia"/>
                <w:b/>
                <w:color w:val="auto"/>
                <w:sz w:val="18"/>
                <w:szCs w:val="18"/>
                <w:lang w:val="en-US" w:eastAsia="zh-CN"/>
              </w:rPr>
              <w:t>空间相对位置/m</w:t>
            </w:r>
          </w:p>
        </w:tc>
        <w:tc>
          <w:tcPr>
            <w:tcW w:w="714" w:type="pct"/>
            <w:gridSpan w:val="4"/>
            <w:tcBorders>
              <w:tl2br w:val="nil"/>
              <w:tr2bl w:val="nil"/>
            </w:tcBorders>
            <w:noWrap w:val="0"/>
            <w:vAlign w:val="center"/>
          </w:tcPr>
          <w:p w14:paraId="49A43D5C">
            <w:pPr>
              <w:spacing w:line="240" w:lineRule="auto"/>
              <w:jc w:val="center"/>
              <w:rPr>
                <w:rFonts w:hint="eastAsia"/>
                <w:b/>
                <w:color w:val="auto"/>
                <w:sz w:val="18"/>
                <w:szCs w:val="18"/>
                <w:lang w:val="en-US" w:eastAsia="zh-CN"/>
              </w:rPr>
            </w:pPr>
            <w:r>
              <w:rPr>
                <w:rFonts w:hint="eastAsia"/>
                <w:b/>
                <w:color w:val="auto"/>
                <w:sz w:val="18"/>
                <w:szCs w:val="18"/>
                <w:lang w:val="en-US" w:eastAsia="zh-CN"/>
              </w:rPr>
              <w:t>距室内边界距离/m</w:t>
            </w:r>
          </w:p>
        </w:tc>
        <w:tc>
          <w:tcPr>
            <w:tcW w:w="693" w:type="pct"/>
            <w:gridSpan w:val="4"/>
            <w:tcBorders>
              <w:tl2br w:val="nil"/>
              <w:tr2bl w:val="nil"/>
            </w:tcBorders>
            <w:noWrap w:val="0"/>
            <w:vAlign w:val="center"/>
          </w:tcPr>
          <w:p w14:paraId="4916C914">
            <w:pPr>
              <w:spacing w:line="240" w:lineRule="auto"/>
              <w:jc w:val="center"/>
              <w:rPr>
                <w:rFonts w:hint="eastAsia"/>
                <w:b/>
                <w:color w:val="auto"/>
                <w:sz w:val="18"/>
                <w:szCs w:val="18"/>
              </w:rPr>
            </w:pPr>
            <w:r>
              <w:rPr>
                <w:rFonts w:hint="eastAsia"/>
                <w:b/>
                <w:color w:val="auto"/>
                <w:sz w:val="18"/>
                <w:szCs w:val="18"/>
              </w:rPr>
              <w:t>室内边界声级</w:t>
            </w:r>
          </w:p>
          <w:p w14:paraId="51FAEFCA">
            <w:pPr>
              <w:spacing w:line="240" w:lineRule="auto"/>
              <w:jc w:val="center"/>
              <w:rPr>
                <w:rFonts w:hint="eastAsia"/>
                <w:b/>
                <w:color w:val="auto"/>
                <w:sz w:val="18"/>
                <w:szCs w:val="18"/>
              </w:rPr>
            </w:pPr>
            <w:r>
              <w:rPr>
                <w:rFonts w:hint="eastAsia"/>
                <w:b/>
                <w:color w:val="auto"/>
                <w:sz w:val="18"/>
                <w:szCs w:val="18"/>
              </w:rPr>
              <w:t>/dB(A)</w:t>
            </w:r>
          </w:p>
        </w:tc>
        <w:tc>
          <w:tcPr>
            <w:tcW w:w="163" w:type="pct"/>
            <w:vMerge w:val="restart"/>
            <w:tcBorders>
              <w:tl2br w:val="nil"/>
              <w:tr2bl w:val="nil"/>
            </w:tcBorders>
            <w:noWrap w:val="0"/>
            <w:vAlign w:val="center"/>
          </w:tcPr>
          <w:p w14:paraId="64A0DD80">
            <w:pPr>
              <w:spacing w:line="240" w:lineRule="auto"/>
              <w:jc w:val="center"/>
              <w:rPr>
                <w:rFonts w:hint="eastAsia"/>
                <w:b/>
                <w:color w:val="auto"/>
                <w:sz w:val="18"/>
                <w:szCs w:val="18"/>
              </w:rPr>
            </w:pPr>
            <w:r>
              <w:rPr>
                <w:rFonts w:hint="eastAsia"/>
                <w:b/>
                <w:color w:val="auto"/>
                <w:sz w:val="18"/>
                <w:szCs w:val="18"/>
                <w:lang w:val="en-US" w:eastAsia="zh-CN"/>
              </w:rPr>
              <w:t>运行时段</w:t>
            </w:r>
          </w:p>
        </w:tc>
        <w:tc>
          <w:tcPr>
            <w:tcW w:w="208" w:type="pct"/>
            <w:vMerge w:val="restart"/>
            <w:tcBorders>
              <w:tl2br w:val="nil"/>
              <w:tr2bl w:val="nil"/>
            </w:tcBorders>
            <w:noWrap w:val="0"/>
            <w:vAlign w:val="center"/>
          </w:tcPr>
          <w:p w14:paraId="2729DAD2">
            <w:pPr>
              <w:spacing w:line="240" w:lineRule="auto"/>
              <w:jc w:val="center"/>
              <w:rPr>
                <w:rFonts w:hint="default" w:eastAsia="宋体"/>
                <w:b/>
                <w:color w:val="auto"/>
                <w:sz w:val="18"/>
                <w:szCs w:val="18"/>
                <w:lang w:val="en-US" w:eastAsia="zh-CN"/>
              </w:rPr>
            </w:pPr>
            <w:r>
              <w:rPr>
                <w:rFonts w:hint="eastAsia"/>
                <w:b/>
                <w:color w:val="auto"/>
                <w:sz w:val="18"/>
                <w:szCs w:val="18"/>
                <w:lang w:val="en-US" w:eastAsia="zh-CN"/>
              </w:rPr>
              <w:t>建筑物插入损失</w:t>
            </w:r>
          </w:p>
        </w:tc>
        <w:tc>
          <w:tcPr>
            <w:tcW w:w="929" w:type="pct"/>
            <w:gridSpan w:val="5"/>
            <w:tcBorders>
              <w:tl2br w:val="nil"/>
              <w:tr2bl w:val="nil"/>
            </w:tcBorders>
            <w:noWrap w:val="0"/>
            <w:vAlign w:val="center"/>
          </w:tcPr>
          <w:p w14:paraId="383F0C13">
            <w:pPr>
              <w:spacing w:line="240" w:lineRule="auto"/>
              <w:jc w:val="center"/>
              <w:rPr>
                <w:rFonts w:hint="eastAsia"/>
                <w:b/>
                <w:color w:val="auto"/>
                <w:sz w:val="18"/>
                <w:szCs w:val="18"/>
                <w:lang w:val="en-US" w:eastAsia="zh-CN"/>
              </w:rPr>
            </w:pPr>
            <w:r>
              <w:rPr>
                <w:rFonts w:hint="default" w:ascii="Times New Roman" w:hAnsi="Times New Roman" w:eastAsia="宋体" w:cs="Times New Roman"/>
                <w:b/>
                <w:bCs/>
                <w:color w:val="auto"/>
                <w:sz w:val="18"/>
                <w:szCs w:val="18"/>
                <w:lang w:val="en-US" w:eastAsia="zh-CN"/>
              </w:rPr>
              <w:t>建筑物外噪声</w:t>
            </w:r>
          </w:p>
        </w:tc>
      </w:tr>
      <w:tr w14:paraId="30F5A1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20" w:type="pct"/>
            <w:vMerge w:val="continue"/>
            <w:tcBorders>
              <w:tl2br w:val="nil"/>
              <w:tr2bl w:val="nil"/>
            </w:tcBorders>
            <w:noWrap w:val="0"/>
            <w:tcMar>
              <w:left w:w="0" w:type="dxa"/>
              <w:right w:w="0" w:type="dxa"/>
            </w:tcMar>
            <w:vAlign w:val="center"/>
          </w:tcPr>
          <w:p w14:paraId="7542B68B">
            <w:pPr>
              <w:spacing w:line="240" w:lineRule="auto"/>
              <w:jc w:val="center"/>
              <w:rPr>
                <w:color w:val="auto"/>
                <w:sz w:val="18"/>
                <w:szCs w:val="18"/>
              </w:rPr>
            </w:pPr>
          </w:p>
        </w:tc>
        <w:tc>
          <w:tcPr>
            <w:tcW w:w="135" w:type="pct"/>
            <w:vMerge w:val="continue"/>
            <w:tcBorders>
              <w:tl2br w:val="nil"/>
              <w:tr2bl w:val="nil"/>
            </w:tcBorders>
            <w:noWrap w:val="0"/>
            <w:tcMar>
              <w:left w:w="0" w:type="dxa"/>
              <w:right w:w="0" w:type="dxa"/>
            </w:tcMar>
            <w:vAlign w:val="center"/>
          </w:tcPr>
          <w:p w14:paraId="0FA35444">
            <w:pPr>
              <w:spacing w:line="240" w:lineRule="auto"/>
              <w:jc w:val="center"/>
              <w:rPr>
                <w:color w:val="auto"/>
                <w:sz w:val="18"/>
                <w:szCs w:val="18"/>
              </w:rPr>
            </w:pPr>
          </w:p>
        </w:tc>
        <w:tc>
          <w:tcPr>
            <w:tcW w:w="405" w:type="pct"/>
            <w:vMerge w:val="continue"/>
            <w:tcBorders>
              <w:tl2br w:val="nil"/>
              <w:tr2bl w:val="nil"/>
            </w:tcBorders>
            <w:noWrap w:val="0"/>
            <w:tcMar>
              <w:left w:w="0" w:type="dxa"/>
              <w:right w:w="0" w:type="dxa"/>
            </w:tcMar>
            <w:vAlign w:val="center"/>
          </w:tcPr>
          <w:p w14:paraId="6E31F556">
            <w:pPr>
              <w:spacing w:line="240" w:lineRule="auto"/>
              <w:jc w:val="center"/>
              <w:rPr>
                <w:color w:val="auto"/>
                <w:sz w:val="18"/>
                <w:szCs w:val="18"/>
              </w:rPr>
            </w:pPr>
          </w:p>
        </w:tc>
        <w:tc>
          <w:tcPr>
            <w:tcW w:w="342" w:type="pct"/>
            <w:vMerge w:val="continue"/>
            <w:tcBorders>
              <w:tl2br w:val="nil"/>
              <w:tr2bl w:val="nil"/>
            </w:tcBorders>
            <w:noWrap w:val="0"/>
            <w:tcMar>
              <w:left w:w="0" w:type="dxa"/>
              <w:right w:w="0" w:type="dxa"/>
            </w:tcMar>
            <w:vAlign w:val="center"/>
          </w:tcPr>
          <w:p w14:paraId="79B7BF89">
            <w:pPr>
              <w:spacing w:line="240" w:lineRule="auto"/>
              <w:jc w:val="center"/>
              <w:rPr>
                <w:color w:val="auto"/>
                <w:sz w:val="18"/>
                <w:szCs w:val="18"/>
              </w:rPr>
            </w:pPr>
          </w:p>
        </w:tc>
        <w:tc>
          <w:tcPr>
            <w:tcW w:w="181" w:type="pct"/>
            <w:vMerge w:val="continue"/>
            <w:tcBorders>
              <w:tl2br w:val="nil"/>
              <w:tr2bl w:val="nil"/>
            </w:tcBorders>
            <w:noWrap w:val="0"/>
            <w:tcMar>
              <w:left w:w="0" w:type="dxa"/>
              <w:right w:w="0" w:type="dxa"/>
            </w:tcMar>
            <w:vAlign w:val="center"/>
          </w:tcPr>
          <w:p w14:paraId="7E404B8B">
            <w:pPr>
              <w:spacing w:line="240" w:lineRule="auto"/>
              <w:jc w:val="center"/>
              <w:rPr>
                <w:color w:val="auto"/>
                <w:sz w:val="18"/>
                <w:szCs w:val="18"/>
              </w:rPr>
            </w:pPr>
          </w:p>
        </w:tc>
        <w:tc>
          <w:tcPr>
            <w:tcW w:w="219" w:type="pct"/>
            <w:vMerge w:val="continue"/>
            <w:tcBorders>
              <w:tl2br w:val="nil"/>
              <w:tr2bl w:val="nil"/>
            </w:tcBorders>
            <w:noWrap w:val="0"/>
            <w:vAlign w:val="center"/>
          </w:tcPr>
          <w:p w14:paraId="45485A2D">
            <w:pPr>
              <w:spacing w:line="240" w:lineRule="auto"/>
              <w:jc w:val="center"/>
              <w:rPr>
                <w:color w:val="auto"/>
                <w:sz w:val="18"/>
                <w:szCs w:val="18"/>
              </w:rPr>
            </w:pPr>
          </w:p>
        </w:tc>
        <w:tc>
          <w:tcPr>
            <w:tcW w:w="219" w:type="pct"/>
            <w:vMerge w:val="continue"/>
            <w:tcBorders>
              <w:tl2br w:val="nil"/>
              <w:tr2bl w:val="nil"/>
            </w:tcBorders>
            <w:noWrap w:val="0"/>
            <w:vAlign w:val="center"/>
          </w:tcPr>
          <w:p w14:paraId="5A43A7FD">
            <w:pPr>
              <w:spacing w:line="240" w:lineRule="auto"/>
              <w:jc w:val="center"/>
              <w:rPr>
                <w:color w:val="auto"/>
                <w:sz w:val="18"/>
                <w:szCs w:val="18"/>
              </w:rPr>
            </w:pPr>
          </w:p>
        </w:tc>
        <w:tc>
          <w:tcPr>
            <w:tcW w:w="164" w:type="pct"/>
            <w:vMerge w:val="continue"/>
            <w:tcBorders>
              <w:tl2br w:val="nil"/>
              <w:tr2bl w:val="nil"/>
            </w:tcBorders>
            <w:noWrap w:val="0"/>
            <w:vAlign w:val="center"/>
          </w:tcPr>
          <w:p w14:paraId="0B952438">
            <w:pPr>
              <w:spacing w:line="240" w:lineRule="auto"/>
              <w:jc w:val="center"/>
              <w:rPr>
                <w:color w:val="auto"/>
                <w:sz w:val="18"/>
                <w:szCs w:val="18"/>
              </w:rPr>
            </w:pPr>
          </w:p>
        </w:tc>
        <w:tc>
          <w:tcPr>
            <w:tcW w:w="157" w:type="pct"/>
            <w:vMerge w:val="restart"/>
            <w:tcBorders>
              <w:tl2br w:val="nil"/>
              <w:tr2bl w:val="nil"/>
            </w:tcBorders>
            <w:noWrap w:val="0"/>
            <w:vAlign w:val="center"/>
          </w:tcPr>
          <w:p w14:paraId="32C8E47A">
            <w:pPr>
              <w:spacing w:line="240" w:lineRule="auto"/>
              <w:jc w:val="center"/>
              <w:rPr>
                <w:rFonts w:hint="eastAsia" w:eastAsia="宋体"/>
                <w:b/>
                <w:bCs/>
                <w:color w:val="auto"/>
                <w:sz w:val="18"/>
                <w:szCs w:val="18"/>
                <w:lang w:val="en-US" w:eastAsia="zh-CN"/>
              </w:rPr>
            </w:pPr>
            <w:r>
              <w:rPr>
                <w:rFonts w:hint="eastAsia"/>
                <w:b/>
                <w:bCs/>
                <w:color w:val="auto"/>
                <w:sz w:val="18"/>
                <w:szCs w:val="18"/>
                <w:lang w:val="en-US" w:eastAsia="zh-CN"/>
              </w:rPr>
              <w:t>X</w:t>
            </w:r>
          </w:p>
        </w:tc>
        <w:tc>
          <w:tcPr>
            <w:tcW w:w="171" w:type="pct"/>
            <w:vMerge w:val="restart"/>
            <w:tcBorders>
              <w:tl2br w:val="nil"/>
              <w:tr2bl w:val="nil"/>
            </w:tcBorders>
            <w:noWrap w:val="0"/>
            <w:vAlign w:val="center"/>
          </w:tcPr>
          <w:p w14:paraId="3151597C">
            <w:pPr>
              <w:spacing w:line="240" w:lineRule="auto"/>
              <w:jc w:val="center"/>
              <w:rPr>
                <w:rFonts w:hint="eastAsia" w:eastAsia="宋体"/>
                <w:b/>
                <w:bCs/>
                <w:color w:val="auto"/>
                <w:sz w:val="18"/>
                <w:szCs w:val="18"/>
                <w:lang w:val="en-US" w:eastAsia="zh-CN"/>
              </w:rPr>
            </w:pPr>
            <w:r>
              <w:rPr>
                <w:rFonts w:hint="eastAsia"/>
                <w:b/>
                <w:bCs/>
                <w:color w:val="auto"/>
                <w:sz w:val="18"/>
                <w:szCs w:val="18"/>
                <w:lang w:val="en-US" w:eastAsia="zh-CN"/>
              </w:rPr>
              <w:t>Y</w:t>
            </w:r>
          </w:p>
        </w:tc>
        <w:tc>
          <w:tcPr>
            <w:tcW w:w="170" w:type="pct"/>
            <w:vMerge w:val="restart"/>
            <w:tcBorders>
              <w:tl2br w:val="nil"/>
              <w:tr2bl w:val="nil"/>
            </w:tcBorders>
            <w:noWrap w:val="0"/>
            <w:vAlign w:val="center"/>
          </w:tcPr>
          <w:p w14:paraId="167F282E">
            <w:pPr>
              <w:spacing w:line="240" w:lineRule="auto"/>
              <w:jc w:val="center"/>
              <w:rPr>
                <w:rFonts w:hint="eastAsia" w:eastAsia="宋体"/>
                <w:b/>
                <w:bCs/>
                <w:color w:val="auto"/>
                <w:sz w:val="18"/>
                <w:szCs w:val="18"/>
                <w:lang w:val="en-US" w:eastAsia="zh-CN"/>
              </w:rPr>
            </w:pPr>
            <w:r>
              <w:rPr>
                <w:rFonts w:hint="eastAsia"/>
                <w:b/>
                <w:bCs/>
                <w:color w:val="auto"/>
                <w:sz w:val="18"/>
                <w:szCs w:val="18"/>
                <w:lang w:val="en-US" w:eastAsia="zh-CN"/>
              </w:rPr>
              <w:t>Z</w:t>
            </w:r>
          </w:p>
        </w:tc>
        <w:tc>
          <w:tcPr>
            <w:tcW w:w="177" w:type="pct"/>
            <w:vMerge w:val="restart"/>
            <w:tcBorders>
              <w:tl2br w:val="nil"/>
              <w:tr2bl w:val="nil"/>
            </w:tcBorders>
            <w:noWrap w:val="0"/>
            <w:vAlign w:val="center"/>
          </w:tcPr>
          <w:p w14:paraId="662A1E63">
            <w:pPr>
              <w:spacing w:line="240" w:lineRule="auto"/>
              <w:jc w:val="center"/>
              <w:rPr>
                <w:rFonts w:hint="eastAsia" w:ascii="Times New Roman" w:hAnsi="Times New Roman" w:eastAsia="宋体" w:cs="Times New Roman"/>
                <w:b/>
                <w:bCs/>
                <w:color w:val="auto"/>
                <w:kern w:val="2"/>
                <w:sz w:val="18"/>
                <w:szCs w:val="18"/>
                <w:lang w:val="en-US" w:eastAsia="zh-CN" w:bidi="ar-SA"/>
              </w:rPr>
            </w:pPr>
            <w:r>
              <w:rPr>
                <w:rFonts w:hint="eastAsia"/>
                <w:b/>
                <w:bCs/>
                <w:color w:val="auto"/>
                <w:sz w:val="18"/>
                <w:szCs w:val="18"/>
                <w:lang w:val="en-US" w:eastAsia="zh-CN"/>
              </w:rPr>
              <w:t>东</w:t>
            </w:r>
          </w:p>
        </w:tc>
        <w:tc>
          <w:tcPr>
            <w:tcW w:w="178" w:type="pct"/>
            <w:vMerge w:val="restart"/>
            <w:tcBorders>
              <w:tl2br w:val="nil"/>
              <w:tr2bl w:val="nil"/>
            </w:tcBorders>
            <w:noWrap w:val="0"/>
            <w:vAlign w:val="center"/>
          </w:tcPr>
          <w:p w14:paraId="23B09508">
            <w:pPr>
              <w:spacing w:line="240" w:lineRule="auto"/>
              <w:jc w:val="center"/>
              <w:rPr>
                <w:rFonts w:hint="eastAsia" w:ascii="Times New Roman" w:hAnsi="Times New Roman" w:eastAsia="宋体" w:cs="Times New Roman"/>
                <w:b/>
                <w:bCs/>
                <w:color w:val="auto"/>
                <w:kern w:val="2"/>
                <w:sz w:val="18"/>
                <w:szCs w:val="18"/>
                <w:lang w:val="en-US" w:eastAsia="zh-CN" w:bidi="ar-SA"/>
              </w:rPr>
            </w:pPr>
            <w:r>
              <w:rPr>
                <w:rFonts w:hint="eastAsia"/>
                <w:b/>
                <w:bCs/>
                <w:color w:val="auto"/>
                <w:sz w:val="18"/>
                <w:szCs w:val="18"/>
                <w:lang w:val="en-US" w:eastAsia="zh-CN"/>
              </w:rPr>
              <w:t>南</w:t>
            </w:r>
          </w:p>
        </w:tc>
        <w:tc>
          <w:tcPr>
            <w:tcW w:w="176" w:type="pct"/>
            <w:vMerge w:val="restart"/>
            <w:tcBorders>
              <w:tl2br w:val="nil"/>
              <w:tr2bl w:val="nil"/>
            </w:tcBorders>
            <w:noWrap w:val="0"/>
            <w:vAlign w:val="center"/>
          </w:tcPr>
          <w:p w14:paraId="1D7C85D6">
            <w:pPr>
              <w:spacing w:line="240" w:lineRule="auto"/>
              <w:jc w:val="center"/>
              <w:rPr>
                <w:rFonts w:hint="eastAsia" w:ascii="Times New Roman" w:hAnsi="Times New Roman" w:eastAsia="宋体" w:cs="Times New Roman"/>
                <w:b/>
                <w:bCs/>
                <w:color w:val="auto"/>
                <w:kern w:val="2"/>
                <w:sz w:val="18"/>
                <w:szCs w:val="18"/>
                <w:lang w:val="en-US" w:eastAsia="zh-CN" w:bidi="ar-SA"/>
              </w:rPr>
            </w:pPr>
            <w:r>
              <w:rPr>
                <w:rFonts w:hint="eastAsia"/>
                <w:b/>
                <w:bCs/>
                <w:color w:val="auto"/>
                <w:sz w:val="18"/>
                <w:szCs w:val="18"/>
                <w:lang w:val="en-US" w:eastAsia="zh-CN"/>
              </w:rPr>
              <w:t>西</w:t>
            </w:r>
          </w:p>
        </w:tc>
        <w:tc>
          <w:tcPr>
            <w:tcW w:w="182" w:type="pct"/>
            <w:vMerge w:val="restart"/>
            <w:tcBorders>
              <w:tl2br w:val="nil"/>
              <w:tr2bl w:val="nil"/>
            </w:tcBorders>
            <w:noWrap w:val="0"/>
            <w:vAlign w:val="center"/>
          </w:tcPr>
          <w:p w14:paraId="35A86F9F">
            <w:pPr>
              <w:spacing w:line="240" w:lineRule="auto"/>
              <w:jc w:val="center"/>
              <w:rPr>
                <w:rFonts w:hint="eastAsia" w:ascii="Times New Roman" w:hAnsi="Times New Roman" w:eastAsia="宋体" w:cs="Times New Roman"/>
                <w:b/>
                <w:bCs/>
                <w:color w:val="auto"/>
                <w:kern w:val="2"/>
                <w:sz w:val="18"/>
                <w:szCs w:val="18"/>
                <w:lang w:val="en-US" w:eastAsia="zh-CN" w:bidi="ar-SA"/>
              </w:rPr>
            </w:pPr>
            <w:r>
              <w:rPr>
                <w:rFonts w:hint="eastAsia"/>
                <w:b/>
                <w:bCs/>
                <w:color w:val="auto"/>
                <w:sz w:val="18"/>
                <w:szCs w:val="18"/>
                <w:lang w:val="en-US" w:eastAsia="zh-CN"/>
              </w:rPr>
              <w:t>北</w:t>
            </w:r>
          </w:p>
        </w:tc>
        <w:tc>
          <w:tcPr>
            <w:tcW w:w="171" w:type="pct"/>
            <w:vMerge w:val="restart"/>
            <w:tcBorders>
              <w:tl2br w:val="nil"/>
              <w:tr2bl w:val="nil"/>
            </w:tcBorders>
            <w:noWrap w:val="0"/>
            <w:vAlign w:val="center"/>
          </w:tcPr>
          <w:p w14:paraId="2C1D2D9B">
            <w:pPr>
              <w:spacing w:line="240" w:lineRule="auto"/>
              <w:jc w:val="center"/>
              <w:rPr>
                <w:rFonts w:hint="eastAsia" w:ascii="Times New Roman" w:hAnsi="Times New Roman" w:eastAsia="宋体" w:cs="Times New Roman"/>
                <w:b/>
                <w:bCs/>
                <w:color w:val="auto"/>
                <w:kern w:val="2"/>
                <w:sz w:val="18"/>
                <w:szCs w:val="18"/>
                <w:lang w:val="en-US" w:eastAsia="zh-CN" w:bidi="ar-SA"/>
              </w:rPr>
            </w:pPr>
            <w:r>
              <w:rPr>
                <w:rFonts w:hint="eastAsia"/>
                <w:b/>
                <w:bCs/>
                <w:color w:val="auto"/>
                <w:sz w:val="18"/>
                <w:szCs w:val="18"/>
                <w:lang w:val="en-US" w:eastAsia="zh-CN"/>
              </w:rPr>
              <w:t>东</w:t>
            </w:r>
          </w:p>
        </w:tc>
        <w:tc>
          <w:tcPr>
            <w:tcW w:w="180" w:type="pct"/>
            <w:vMerge w:val="restart"/>
            <w:tcBorders>
              <w:tl2br w:val="nil"/>
              <w:tr2bl w:val="nil"/>
            </w:tcBorders>
            <w:noWrap w:val="0"/>
            <w:vAlign w:val="center"/>
          </w:tcPr>
          <w:p w14:paraId="7F1A69CC">
            <w:pPr>
              <w:spacing w:line="240" w:lineRule="auto"/>
              <w:jc w:val="center"/>
              <w:rPr>
                <w:rFonts w:hint="eastAsia" w:ascii="Times New Roman" w:hAnsi="Times New Roman" w:eastAsia="宋体" w:cs="Times New Roman"/>
                <w:b/>
                <w:bCs/>
                <w:color w:val="auto"/>
                <w:kern w:val="2"/>
                <w:sz w:val="18"/>
                <w:szCs w:val="18"/>
                <w:lang w:val="en-US" w:eastAsia="zh-CN" w:bidi="ar-SA"/>
              </w:rPr>
            </w:pPr>
            <w:r>
              <w:rPr>
                <w:rFonts w:hint="eastAsia"/>
                <w:b/>
                <w:bCs/>
                <w:color w:val="auto"/>
                <w:sz w:val="18"/>
                <w:szCs w:val="18"/>
                <w:lang w:val="en-US" w:eastAsia="zh-CN"/>
              </w:rPr>
              <w:t>南</w:t>
            </w:r>
          </w:p>
        </w:tc>
        <w:tc>
          <w:tcPr>
            <w:tcW w:w="151" w:type="pct"/>
            <w:vMerge w:val="restart"/>
            <w:tcBorders>
              <w:tl2br w:val="nil"/>
              <w:tr2bl w:val="nil"/>
            </w:tcBorders>
            <w:noWrap w:val="0"/>
            <w:vAlign w:val="center"/>
          </w:tcPr>
          <w:p w14:paraId="07461919">
            <w:pPr>
              <w:spacing w:line="240" w:lineRule="auto"/>
              <w:jc w:val="center"/>
              <w:rPr>
                <w:rFonts w:hint="eastAsia" w:ascii="Times New Roman" w:hAnsi="Times New Roman" w:eastAsia="宋体" w:cs="Times New Roman"/>
                <w:b/>
                <w:bCs/>
                <w:color w:val="auto"/>
                <w:kern w:val="2"/>
                <w:sz w:val="18"/>
                <w:szCs w:val="18"/>
                <w:lang w:val="en-US" w:eastAsia="zh-CN" w:bidi="ar-SA"/>
              </w:rPr>
            </w:pPr>
            <w:r>
              <w:rPr>
                <w:rFonts w:hint="eastAsia"/>
                <w:b/>
                <w:bCs/>
                <w:color w:val="auto"/>
                <w:sz w:val="18"/>
                <w:szCs w:val="18"/>
                <w:lang w:val="en-US" w:eastAsia="zh-CN"/>
              </w:rPr>
              <w:t>西</w:t>
            </w:r>
          </w:p>
        </w:tc>
        <w:tc>
          <w:tcPr>
            <w:tcW w:w="189" w:type="pct"/>
            <w:vMerge w:val="restart"/>
            <w:tcBorders>
              <w:tl2br w:val="nil"/>
              <w:tr2bl w:val="nil"/>
            </w:tcBorders>
            <w:noWrap w:val="0"/>
            <w:vAlign w:val="center"/>
          </w:tcPr>
          <w:p w14:paraId="0E89BED8">
            <w:pPr>
              <w:spacing w:line="240" w:lineRule="auto"/>
              <w:jc w:val="center"/>
              <w:rPr>
                <w:rFonts w:hint="eastAsia" w:ascii="Times New Roman" w:hAnsi="Times New Roman" w:eastAsia="宋体" w:cs="Times New Roman"/>
                <w:b/>
                <w:bCs/>
                <w:color w:val="auto"/>
                <w:kern w:val="2"/>
                <w:sz w:val="18"/>
                <w:szCs w:val="18"/>
                <w:lang w:val="en-US" w:eastAsia="zh-CN" w:bidi="ar-SA"/>
              </w:rPr>
            </w:pPr>
            <w:r>
              <w:rPr>
                <w:rFonts w:hint="eastAsia"/>
                <w:b/>
                <w:bCs/>
                <w:color w:val="auto"/>
                <w:sz w:val="18"/>
                <w:szCs w:val="18"/>
                <w:lang w:val="en-US" w:eastAsia="zh-CN"/>
              </w:rPr>
              <w:t>北</w:t>
            </w:r>
          </w:p>
        </w:tc>
        <w:tc>
          <w:tcPr>
            <w:tcW w:w="163" w:type="pct"/>
            <w:vMerge w:val="continue"/>
            <w:tcBorders>
              <w:tl2br w:val="nil"/>
              <w:tr2bl w:val="nil"/>
            </w:tcBorders>
            <w:noWrap w:val="0"/>
            <w:vAlign w:val="center"/>
          </w:tcPr>
          <w:p w14:paraId="4FEF224B">
            <w:pPr>
              <w:spacing w:line="240" w:lineRule="auto"/>
              <w:jc w:val="center"/>
              <w:rPr>
                <w:rFonts w:hint="eastAsia" w:eastAsia="宋体"/>
                <w:b/>
                <w:bCs/>
                <w:color w:val="auto"/>
                <w:sz w:val="18"/>
                <w:szCs w:val="18"/>
                <w:lang w:val="en-US" w:eastAsia="zh-CN"/>
              </w:rPr>
            </w:pPr>
          </w:p>
        </w:tc>
        <w:tc>
          <w:tcPr>
            <w:tcW w:w="208" w:type="pct"/>
            <w:vMerge w:val="continue"/>
            <w:tcBorders>
              <w:tl2br w:val="nil"/>
              <w:tr2bl w:val="nil"/>
            </w:tcBorders>
            <w:noWrap w:val="0"/>
            <w:vAlign w:val="center"/>
          </w:tcPr>
          <w:p w14:paraId="3D122899">
            <w:pPr>
              <w:spacing w:line="240" w:lineRule="auto"/>
              <w:jc w:val="center"/>
              <w:rPr>
                <w:rFonts w:hint="eastAsia" w:eastAsia="宋体"/>
                <w:b/>
                <w:bCs/>
                <w:color w:val="auto"/>
                <w:sz w:val="18"/>
                <w:szCs w:val="18"/>
                <w:lang w:val="en-US" w:eastAsia="zh-CN"/>
              </w:rPr>
            </w:pPr>
          </w:p>
        </w:tc>
        <w:tc>
          <w:tcPr>
            <w:tcW w:w="760" w:type="pct"/>
            <w:gridSpan w:val="4"/>
            <w:tcBorders>
              <w:tl2br w:val="nil"/>
              <w:tr2bl w:val="nil"/>
            </w:tcBorders>
            <w:noWrap w:val="0"/>
            <w:vAlign w:val="center"/>
          </w:tcPr>
          <w:p w14:paraId="55E3E59D">
            <w:pPr>
              <w:spacing w:line="240" w:lineRule="auto"/>
              <w:jc w:val="center"/>
              <w:rPr>
                <w:rFonts w:hint="eastAsia"/>
                <w:color w:val="auto"/>
                <w:sz w:val="18"/>
                <w:szCs w:val="18"/>
                <w:lang w:val="en-US" w:eastAsia="zh-CN"/>
              </w:rPr>
            </w:pPr>
            <w:r>
              <w:rPr>
                <w:rFonts w:hint="default" w:ascii="Times New Roman" w:hAnsi="Times New Roman" w:cs="Times New Roman"/>
                <w:b/>
                <w:bCs/>
                <w:color w:val="auto"/>
                <w:sz w:val="18"/>
                <w:szCs w:val="18"/>
                <w:lang w:val="en-US" w:eastAsia="zh-CN"/>
              </w:rPr>
              <w:t>声压级/</w:t>
            </w:r>
            <w:r>
              <w:rPr>
                <w:rFonts w:hint="default" w:ascii="Times New Roman" w:hAnsi="Times New Roman" w:cs="Times New Roman"/>
                <w:b/>
                <w:bCs/>
                <w:color w:val="auto"/>
                <w:sz w:val="18"/>
                <w:szCs w:val="18"/>
              </w:rPr>
              <w:t>dB（A）</w:t>
            </w:r>
          </w:p>
        </w:tc>
        <w:tc>
          <w:tcPr>
            <w:tcW w:w="169" w:type="pct"/>
            <w:vMerge w:val="restart"/>
            <w:tcBorders>
              <w:tl2br w:val="nil"/>
              <w:tr2bl w:val="nil"/>
            </w:tcBorders>
            <w:noWrap w:val="0"/>
            <w:vAlign w:val="center"/>
          </w:tcPr>
          <w:p w14:paraId="38F5C1F5">
            <w:pPr>
              <w:spacing w:line="240" w:lineRule="auto"/>
              <w:jc w:val="center"/>
              <w:rPr>
                <w:rFonts w:hint="eastAsia"/>
                <w:color w:val="auto"/>
                <w:sz w:val="18"/>
                <w:szCs w:val="18"/>
                <w:lang w:val="en-US" w:eastAsia="zh-CN"/>
              </w:rPr>
            </w:pPr>
            <w:r>
              <w:rPr>
                <w:rFonts w:hint="default" w:ascii="Times New Roman" w:hAnsi="Times New Roman" w:cs="Times New Roman"/>
                <w:b/>
                <w:bCs/>
                <w:color w:val="auto"/>
                <w:sz w:val="18"/>
                <w:szCs w:val="18"/>
                <w:lang w:val="en-US" w:eastAsia="zh-CN"/>
              </w:rPr>
              <w:t>建筑物外距离</w:t>
            </w:r>
            <w:r>
              <w:rPr>
                <w:rFonts w:hint="eastAsia" w:ascii="Times New Roman" w:hAnsi="Times New Roman" w:cs="Times New Roman"/>
                <w:b/>
                <w:bCs/>
                <w:color w:val="auto"/>
                <w:sz w:val="18"/>
                <w:szCs w:val="18"/>
                <w:lang w:val="en-US" w:eastAsia="zh-CN"/>
              </w:rPr>
              <w:t>/m</w:t>
            </w:r>
          </w:p>
        </w:tc>
      </w:tr>
      <w:tr w14:paraId="25819E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20" w:type="pct"/>
            <w:vMerge w:val="continue"/>
            <w:tcBorders>
              <w:tl2br w:val="nil"/>
              <w:tr2bl w:val="nil"/>
            </w:tcBorders>
            <w:noWrap w:val="0"/>
            <w:tcMar>
              <w:left w:w="0" w:type="dxa"/>
              <w:right w:w="0" w:type="dxa"/>
            </w:tcMar>
            <w:vAlign w:val="center"/>
          </w:tcPr>
          <w:p w14:paraId="67F7F90C">
            <w:pPr>
              <w:spacing w:line="240" w:lineRule="auto"/>
              <w:jc w:val="center"/>
              <w:rPr>
                <w:color w:val="auto"/>
                <w:sz w:val="18"/>
                <w:szCs w:val="18"/>
              </w:rPr>
            </w:pPr>
          </w:p>
        </w:tc>
        <w:tc>
          <w:tcPr>
            <w:tcW w:w="135" w:type="pct"/>
            <w:vMerge w:val="continue"/>
            <w:tcBorders>
              <w:tl2br w:val="nil"/>
              <w:tr2bl w:val="nil"/>
            </w:tcBorders>
            <w:noWrap w:val="0"/>
            <w:tcMar>
              <w:left w:w="0" w:type="dxa"/>
              <w:right w:w="0" w:type="dxa"/>
            </w:tcMar>
            <w:vAlign w:val="center"/>
          </w:tcPr>
          <w:p w14:paraId="15F5BCC5">
            <w:pPr>
              <w:spacing w:line="240" w:lineRule="auto"/>
              <w:jc w:val="center"/>
              <w:rPr>
                <w:color w:val="auto"/>
                <w:sz w:val="18"/>
                <w:szCs w:val="18"/>
              </w:rPr>
            </w:pPr>
          </w:p>
        </w:tc>
        <w:tc>
          <w:tcPr>
            <w:tcW w:w="405" w:type="pct"/>
            <w:vMerge w:val="continue"/>
            <w:tcBorders>
              <w:tl2br w:val="nil"/>
              <w:tr2bl w:val="nil"/>
            </w:tcBorders>
            <w:noWrap w:val="0"/>
            <w:tcMar>
              <w:left w:w="0" w:type="dxa"/>
              <w:right w:w="0" w:type="dxa"/>
            </w:tcMar>
            <w:vAlign w:val="center"/>
          </w:tcPr>
          <w:p w14:paraId="1A48EB65">
            <w:pPr>
              <w:spacing w:line="240" w:lineRule="auto"/>
              <w:jc w:val="center"/>
              <w:rPr>
                <w:color w:val="auto"/>
                <w:sz w:val="18"/>
                <w:szCs w:val="18"/>
              </w:rPr>
            </w:pPr>
          </w:p>
        </w:tc>
        <w:tc>
          <w:tcPr>
            <w:tcW w:w="342" w:type="pct"/>
            <w:vMerge w:val="continue"/>
            <w:tcBorders>
              <w:tl2br w:val="nil"/>
              <w:tr2bl w:val="nil"/>
            </w:tcBorders>
            <w:noWrap w:val="0"/>
            <w:tcMar>
              <w:left w:w="0" w:type="dxa"/>
              <w:right w:w="0" w:type="dxa"/>
            </w:tcMar>
            <w:vAlign w:val="center"/>
          </w:tcPr>
          <w:p w14:paraId="5479BDDD">
            <w:pPr>
              <w:spacing w:line="240" w:lineRule="auto"/>
              <w:jc w:val="center"/>
              <w:rPr>
                <w:color w:val="auto"/>
                <w:sz w:val="18"/>
                <w:szCs w:val="18"/>
              </w:rPr>
            </w:pPr>
          </w:p>
        </w:tc>
        <w:tc>
          <w:tcPr>
            <w:tcW w:w="181" w:type="pct"/>
            <w:vMerge w:val="continue"/>
            <w:tcBorders>
              <w:tl2br w:val="nil"/>
              <w:tr2bl w:val="nil"/>
            </w:tcBorders>
            <w:noWrap w:val="0"/>
            <w:tcMar>
              <w:left w:w="0" w:type="dxa"/>
              <w:right w:w="0" w:type="dxa"/>
            </w:tcMar>
            <w:vAlign w:val="center"/>
          </w:tcPr>
          <w:p w14:paraId="5153B7BF">
            <w:pPr>
              <w:spacing w:line="240" w:lineRule="auto"/>
              <w:jc w:val="center"/>
              <w:rPr>
                <w:color w:val="auto"/>
                <w:sz w:val="18"/>
                <w:szCs w:val="18"/>
              </w:rPr>
            </w:pPr>
          </w:p>
        </w:tc>
        <w:tc>
          <w:tcPr>
            <w:tcW w:w="219" w:type="pct"/>
            <w:vMerge w:val="continue"/>
            <w:tcBorders>
              <w:tl2br w:val="nil"/>
              <w:tr2bl w:val="nil"/>
            </w:tcBorders>
            <w:noWrap w:val="0"/>
            <w:vAlign w:val="center"/>
          </w:tcPr>
          <w:p w14:paraId="4D9440AB">
            <w:pPr>
              <w:spacing w:line="240" w:lineRule="auto"/>
              <w:jc w:val="center"/>
              <w:rPr>
                <w:color w:val="auto"/>
                <w:sz w:val="18"/>
                <w:szCs w:val="18"/>
              </w:rPr>
            </w:pPr>
          </w:p>
        </w:tc>
        <w:tc>
          <w:tcPr>
            <w:tcW w:w="219" w:type="pct"/>
            <w:vMerge w:val="continue"/>
            <w:tcBorders>
              <w:tl2br w:val="nil"/>
              <w:tr2bl w:val="nil"/>
            </w:tcBorders>
            <w:noWrap w:val="0"/>
            <w:vAlign w:val="center"/>
          </w:tcPr>
          <w:p w14:paraId="418D5F58">
            <w:pPr>
              <w:spacing w:line="240" w:lineRule="auto"/>
              <w:jc w:val="center"/>
              <w:rPr>
                <w:color w:val="auto"/>
                <w:sz w:val="18"/>
                <w:szCs w:val="18"/>
              </w:rPr>
            </w:pPr>
          </w:p>
        </w:tc>
        <w:tc>
          <w:tcPr>
            <w:tcW w:w="164" w:type="pct"/>
            <w:vMerge w:val="continue"/>
            <w:tcBorders>
              <w:tl2br w:val="nil"/>
              <w:tr2bl w:val="nil"/>
            </w:tcBorders>
            <w:noWrap w:val="0"/>
            <w:vAlign w:val="center"/>
          </w:tcPr>
          <w:p w14:paraId="01C6AC76">
            <w:pPr>
              <w:spacing w:line="240" w:lineRule="auto"/>
              <w:jc w:val="center"/>
              <w:rPr>
                <w:color w:val="auto"/>
                <w:sz w:val="18"/>
                <w:szCs w:val="18"/>
              </w:rPr>
            </w:pPr>
          </w:p>
        </w:tc>
        <w:tc>
          <w:tcPr>
            <w:tcW w:w="157" w:type="pct"/>
            <w:vMerge w:val="continue"/>
            <w:tcBorders>
              <w:tl2br w:val="nil"/>
              <w:tr2bl w:val="nil"/>
            </w:tcBorders>
            <w:noWrap w:val="0"/>
            <w:vAlign w:val="center"/>
          </w:tcPr>
          <w:p w14:paraId="3F0FAC2F">
            <w:pPr>
              <w:spacing w:line="240" w:lineRule="auto"/>
              <w:jc w:val="center"/>
              <w:rPr>
                <w:color w:val="auto"/>
                <w:sz w:val="18"/>
                <w:szCs w:val="18"/>
              </w:rPr>
            </w:pPr>
          </w:p>
        </w:tc>
        <w:tc>
          <w:tcPr>
            <w:tcW w:w="171" w:type="pct"/>
            <w:vMerge w:val="continue"/>
            <w:tcBorders>
              <w:tl2br w:val="nil"/>
              <w:tr2bl w:val="nil"/>
            </w:tcBorders>
            <w:noWrap w:val="0"/>
            <w:vAlign w:val="center"/>
          </w:tcPr>
          <w:p w14:paraId="43090531">
            <w:pPr>
              <w:spacing w:line="240" w:lineRule="auto"/>
              <w:jc w:val="center"/>
              <w:rPr>
                <w:color w:val="auto"/>
                <w:sz w:val="18"/>
                <w:szCs w:val="18"/>
              </w:rPr>
            </w:pPr>
          </w:p>
        </w:tc>
        <w:tc>
          <w:tcPr>
            <w:tcW w:w="170" w:type="pct"/>
            <w:vMerge w:val="continue"/>
            <w:tcBorders>
              <w:tl2br w:val="nil"/>
              <w:tr2bl w:val="nil"/>
            </w:tcBorders>
            <w:noWrap w:val="0"/>
            <w:vAlign w:val="center"/>
          </w:tcPr>
          <w:p w14:paraId="6C25A4E2">
            <w:pPr>
              <w:spacing w:line="240" w:lineRule="auto"/>
              <w:jc w:val="center"/>
              <w:rPr>
                <w:color w:val="auto"/>
                <w:sz w:val="18"/>
                <w:szCs w:val="18"/>
              </w:rPr>
            </w:pPr>
          </w:p>
        </w:tc>
        <w:tc>
          <w:tcPr>
            <w:tcW w:w="177" w:type="pct"/>
            <w:vMerge w:val="continue"/>
            <w:tcBorders>
              <w:tl2br w:val="nil"/>
              <w:tr2bl w:val="nil"/>
            </w:tcBorders>
            <w:noWrap w:val="0"/>
            <w:vAlign w:val="center"/>
          </w:tcPr>
          <w:p w14:paraId="4A67413D">
            <w:pPr>
              <w:spacing w:line="240" w:lineRule="auto"/>
              <w:jc w:val="center"/>
              <w:rPr>
                <w:color w:val="auto"/>
                <w:sz w:val="18"/>
                <w:szCs w:val="18"/>
              </w:rPr>
            </w:pPr>
          </w:p>
        </w:tc>
        <w:tc>
          <w:tcPr>
            <w:tcW w:w="178" w:type="pct"/>
            <w:vMerge w:val="continue"/>
            <w:tcBorders>
              <w:tl2br w:val="nil"/>
              <w:tr2bl w:val="nil"/>
            </w:tcBorders>
            <w:noWrap w:val="0"/>
            <w:vAlign w:val="center"/>
          </w:tcPr>
          <w:p w14:paraId="5631198C">
            <w:pPr>
              <w:spacing w:line="240" w:lineRule="auto"/>
              <w:jc w:val="center"/>
              <w:rPr>
                <w:color w:val="auto"/>
                <w:sz w:val="18"/>
                <w:szCs w:val="18"/>
              </w:rPr>
            </w:pPr>
          </w:p>
        </w:tc>
        <w:tc>
          <w:tcPr>
            <w:tcW w:w="176" w:type="pct"/>
            <w:vMerge w:val="continue"/>
            <w:tcBorders>
              <w:tl2br w:val="nil"/>
              <w:tr2bl w:val="nil"/>
            </w:tcBorders>
            <w:noWrap w:val="0"/>
            <w:vAlign w:val="center"/>
          </w:tcPr>
          <w:p w14:paraId="2EBAEE84">
            <w:pPr>
              <w:spacing w:line="240" w:lineRule="auto"/>
              <w:jc w:val="center"/>
              <w:rPr>
                <w:color w:val="auto"/>
                <w:sz w:val="18"/>
                <w:szCs w:val="18"/>
              </w:rPr>
            </w:pPr>
          </w:p>
        </w:tc>
        <w:tc>
          <w:tcPr>
            <w:tcW w:w="182" w:type="pct"/>
            <w:vMerge w:val="continue"/>
            <w:tcBorders>
              <w:tl2br w:val="nil"/>
              <w:tr2bl w:val="nil"/>
            </w:tcBorders>
            <w:noWrap w:val="0"/>
            <w:vAlign w:val="center"/>
          </w:tcPr>
          <w:p w14:paraId="72DD43E5">
            <w:pPr>
              <w:spacing w:line="240" w:lineRule="auto"/>
              <w:jc w:val="center"/>
              <w:rPr>
                <w:color w:val="auto"/>
                <w:sz w:val="18"/>
                <w:szCs w:val="18"/>
              </w:rPr>
            </w:pPr>
          </w:p>
        </w:tc>
        <w:tc>
          <w:tcPr>
            <w:tcW w:w="171" w:type="pct"/>
            <w:vMerge w:val="continue"/>
            <w:tcBorders>
              <w:tl2br w:val="nil"/>
              <w:tr2bl w:val="nil"/>
            </w:tcBorders>
            <w:noWrap w:val="0"/>
            <w:vAlign w:val="center"/>
          </w:tcPr>
          <w:p w14:paraId="28C82FC6">
            <w:pPr>
              <w:spacing w:line="240" w:lineRule="auto"/>
              <w:jc w:val="center"/>
              <w:rPr>
                <w:color w:val="auto"/>
                <w:sz w:val="18"/>
                <w:szCs w:val="18"/>
              </w:rPr>
            </w:pPr>
          </w:p>
        </w:tc>
        <w:tc>
          <w:tcPr>
            <w:tcW w:w="180" w:type="pct"/>
            <w:vMerge w:val="continue"/>
            <w:tcBorders>
              <w:tl2br w:val="nil"/>
              <w:tr2bl w:val="nil"/>
            </w:tcBorders>
            <w:noWrap w:val="0"/>
            <w:vAlign w:val="center"/>
          </w:tcPr>
          <w:p w14:paraId="06E49DEA">
            <w:pPr>
              <w:spacing w:line="240" w:lineRule="auto"/>
              <w:jc w:val="center"/>
              <w:rPr>
                <w:color w:val="auto"/>
                <w:sz w:val="18"/>
                <w:szCs w:val="18"/>
              </w:rPr>
            </w:pPr>
          </w:p>
        </w:tc>
        <w:tc>
          <w:tcPr>
            <w:tcW w:w="151" w:type="pct"/>
            <w:vMerge w:val="continue"/>
            <w:tcBorders>
              <w:tl2br w:val="nil"/>
              <w:tr2bl w:val="nil"/>
            </w:tcBorders>
            <w:noWrap w:val="0"/>
            <w:vAlign w:val="center"/>
          </w:tcPr>
          <w:p w14:paraId="2D316B73">
            <w:pPr>
              <w:spacing w:line="240" w:lineRule="auto"/>
              <w:jc w:val="center"/>
              <w:rPr>
                <w:color w:val="auto"/>
                <w:sz w:val="18"/>
                <w:szCs w:val="18"/>
              </w:rPr>
            </w:pPr>
          </w:p>
        </w:tc>
        <w:tc>
          <w:tcPr>
            <w:tcW w:w="189" w:type="pct"/>
            <w:vMerge w:val="continue"/>
            <w:tcBorders>
              <w:tl2br w:val="nil"/>
              <w:tr2bl w:val="nil"/>
            </w:tcBorders>
            <w:noWrap w:val="0"/>
            <w:vAlign w:val="center"/>
          </w:tcPr>
          <w:p w14:paraId="40CC46FB">
            <w:pPr>
              <w:spacing w:line="240" w:lineRule="auto"/>
              <w:jc w:val="center"/>
              <w:rPr>
                <w:color w:val="auto"/>
                <w:sz w:val="18"/>
                <w:szCs w:val="18"/>
              </w:rPr>
            </w:pPr>
          </w:p>
        </w:tc>
        <w:tc>
          <w:tcPr>
            <w:tcW w:w="163" w:type="pct"/>
            <w:vMerge w:val="continue"/>
            <w:tcBorders>
              <w:tl2br w:val="nil"/>
              <w:tr2bl w:val="nil"/>
            </w:tcBorders>
            <w:noWrap w:val="0"/>
            <w:vAlign w:val="center"/>
          </w:tcPr>
          <w:p w14:paraId="7CECEE01">
            <w:pPr>
              <w:spacing w:line="240" w:lineRule="auto"/>
              <w:jc w:val="center"/>
              <w:rPr>
                <w:color w:val="auto"/>
                <w:sz w:val="18"/>
                <w:szCs w:val="18"/>
              </w:rPr>
            </w:pPr>
          </w:p>
        </w:tc>
        <w:tc>
          <w:tcPr>
            <w:tcW w:w="208" w:type="pct"/>
            <w:vMerge w:val="continue"/>
            <w:tcBorders>
              <w:tl2br w:val="nil"/>
              <w:tr2bl w:val="nil"/>
            </w:tcBorders>
            <w:noWrap w:val="0"/>
            <w:vAlign w:val="center"/>
          </w:tcPr>
          <w:p w14:paraId="41611DFB">
            <w:pPr>
              <w:spacing w:line="240" w:lineRule="auto"/>
              <w:jc w:val="center"/>
              <w:rPr>
                <w:color w:val="auto"/>
                <w:sz w:val="18"/>
                <w:szCs w:val="18"/>
              </w:rPr>
            </w:pPr>
          </w:p>
        </w:tc>
        <w:tc>
          <w:tcPr>
            <w:tcW w:w="175" w:type="pct"/>
            <w:tcBorders>
              <w:tl2br w:val="nil"/>
              <w:tr2bl w:val="nil"/>
            </w:tcBorders>
            <w:noWrap w:val="0"/>
            <w:vAlign w:val="center"/>
          </w:tcPr>
          <w:p w14:paraId="53C45712">
            <w:pPr>
              <w:spacing w:line="240" w:lineRule="auto"/>
              <w:jc w:val="center"/>
              <w:rPr>
                <w:rFonts w:hint="default" w:ascii="Times New Roman" w:hAnsi="Times New Roman" w:cs="Times New Roman"/>
                <w:b/>
                <w:bCs/>
                <w:color w:val="auto"/>
                <w:sz w:val="18"/>
                <w:szCs w:val="18"/>
                <w:lang w:val="en-US" w:eastAsia="zh-CN"/>
              </w:rPr>
            </w:pPr>
            <w:r>
              <w:rPr>
                <w:rFonts w:hint="eastAsia"/>
                <w:b/>
                <w:bCs/>
                <w:color w:val="auto"/>
                <w:sz w:val="18"/>
                <w:szCs w:val="18"/>
                <w:lang w:val="en-US" w:eastAsia="zh-CN"/>
              </w:rPr>
              <w:t>东</w:t>
            </w:r>
          </w:p>
        </w:tc>
        <w:tc>
          <w:tcPr>
            <w:tcW w:w="194" w:type="pct"/>
            <w:tcBorders>
              <w:tl2br w:val="nil"/>
              <w:tr2bl w:val="nil"/>
            </w:tcBorders>
            <w:noWrap w:val="0"/>
            <w:vAlign w:val="center"/>
          </w:tcPr>
          <w:p w14:paraId="5801A876">
            <w:pPr>
              <w:spacing w:line="240" w:lineRule="auto"/>
              <w:jc w:val="center"/>
              <w:rPr>
                <w:rFonts w:hint="default" w:ascii="Times New Roman" w:hAnsi="Times New Roman" w:cs="Times New Roman"/>
                <w:b/>
                <w:bCs/>
                <w:color w:val="auto"/>
                <w:sz w:val="18"/>
                <w:szCs w:val="18"/>
                <w:lang w:val="en-US" w:eastAsia="zh-CN"/>
              </w:rPr>
            </w:pPr>
            <w:r>
              <w:rPr>
                <w:rFonts w:hint="eastAsia"/>
                <w:b/>
                <w:bCs/>
                <w:color w:val="auto"/>
                <w:sz w:val="18"/>
                <w:szCs w:val="18"/>
                <w:lang w:val="en-US" w:eastAsia="zh-CN"/>
              </w:rPr>
              <w:t>南</w:t>
            </w:r>
          </w:p>
        </w:tc>
        <w:tc>
          <w:tcPr>
            <w:tcW w:w="196" w:type="pct"/>
            <w:tcBorders>
              <w:tl2br w:val="nil"/>
              <w:tr2bl w:val="nil"/>
            </w:tcBorders>
            <w:noWrap w:val="0"/>
            <w:vAlign w:val="center"/>
          </w:tcPr>
          <w:p w14:paraId="3D3B01B9">
            <w:pPr>
              <w:spacing w:line="240" w:lineRule="auto"/>
              <w:jc w:val="center"/>
              <w:rPr>
                <w:rFonts w:hint="default" w:ascii="Times New Roman" w:hAnsi="Times New Roman" w:cs="Times New Roman"/>
                <w:b/>
                <w:bCs/>
                <w:color w:val="auto"/>
                <w:sz w:val="18"/>
                <w:szCs w:val="18"/>
                <w:lang w:val="en-US" w:eastAsia="zh-CN"/>
              </w:rPr>
            </w:pPr>
            <w:r>
              <w:rPr>
                <w:rFonts w:hint="eastAsia"/>
                <w:b/>
                <w:bCs/>
                <w:color w:val="auto"/>
                <w:sz w:val="18"/>
                <w:szCs w:val="18"/>
                <w:lang w:val="en-US" w:eastAsia="zh-CN"/>
              </w:rPr>
              <w:t>西</w:t>
            </w:r>
          </w:p>
        </w:tc>
        <w:tc>
          <w:tcPr>
            <w:tcW w:w="194" w:type="pct"/>
            <w:tcBorders>
              <w:tl2br w:val="nil"/>
              <w:tr2bl w:val="nil"/>
            </w:tcBorders>
            <w:noWrap w:val="0"/>
            <w:vAlign w:val="center"/>
          </w:tcPr>
          <w:p w14:paraId="6491063C">
            <w:pPr>
              <w:spacing w:line="240" w:lineRule="auto"/>
              <w:jc w:val="center"/>
              <w:rPr>
                <w:rFonts w:hint="default" w:ascii="Times New Roman" w:hAnsi="Times New Roman" w:cs="Times New Roman"/>
                <w:b/>
                <w:bCs/>
                <w:color w:val="auto"/>
                <w:sz w:val="18"/>
                <w:szCs w:val="18"/>
                <w:lang w:val="en-US" w:eastAsia="zh-CN"/>
              </w:rPr>
            </w:pPr>
            <w:r>
              <w:rPr>
                <w:rFonts w:hint="eastAsia"/>
                <w:b/>
                <w:bCs/>
                <w:color w:val="auto"/>
                <w:sz w:val="18"/>
                <w:szCs w:val="18"/>
                <w:lang w:val="en-US" w:eastAsia="zh-CN"/>
              </w:rPr>
              <w:t>北</w:t>
            </w:r>
          </w:p>
        </w:tc>
        <w:tc>
          <w:tcPr>
            <w:tcW w:w="169" w:type="pct"/>
            <w:vMerge w:val="continue"/>
            <w:tcBorders>
              <w:tl2br w:val="nil"/>
              <w:tr2bl w:val="nil"/>
            </w:tcBorders>
            <w:noWrap w:val="0"/>
            <w:vAlign w:val="center"/>
          </w:tcPr>
          <w:p w14:paraId="5E5B3EA9">
            <w:pPr>
              <w:spacing w:line="240" w:lineRule="auto"/>
              <w:jc w:val="center"/>
              <w:rPr>
                <w:rFonts w:hint="default" w:ascii="Times New Roman" w:hAnsi="Times New Roman" w:cs="Times New Roman"/>
                <w:b/>
                <w:bCs/>
                <w:color w:val="auto"/>
                <w:sz w:val="18"/>
                <w:szCs w:val="18"/>
                <w:lang w:val="en-US" w:eastAsia="zh-CN"/>
              </w:rPr>
            </w:pPr>
          </w:p>
        </w:tc>
      </w:tr>
      <w:tr w14:paraId="549CF0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0" w:type="pct"/>
            <w:tcBorders>
              <w:tl2br w:val="nil"/>
              <w:tr2bl w:val="nil"/>
            </w:tcBorders>
            <w:noWrap w:val="0"/>
            <w:tcMar>
              <w:left w:w="0" w:type="dxa"/>
              <w:right w:w="0" w:type="dxa"/>
            </w:tcMar>
            <w:vAlign w:val="center"/>
          </w:tcPr>
          <w:p w14:paraId="6EF7ABAA">
            <w:pPr>
              <w:spacing w:line="240" w:lineRule="auto"/>
              <w:jc w:val="center"/>
              <w:rPr>
                <w:b/>
                <w:bCs/>
                <w:color w:val="auto"/>
                <w:sz w:val="18"/>
                <w:szCs w:val="18"/>
              </w:rPr>
            </w:pPr>
            <w:r>
              <w:rPr>
                <w:color w:val="auto"/>
                <w:sz w:val="18"/>
                <w:szCs w:val="18"/>
              </w:rPr>
              <w:t>1</w:t>
            </w:r>
          </w:p>
        </w:tc>
        <w:tc>
          <w:tcPr>
            <w:tcW w:w="135" w:type="pct"/>
            <w:vMerge w:val="restart"/>
            <w:tcBorders>
              <w:tl2br w:val="nil"/>
              <w:tr2bl w:val="nil"/>
            </w:tcBorders>
            <w:noWrap w:val="0"/>
            <w:tcMar>
              <w:left w:w="0" w:type="dxa"/>
              <w:right w:w="0" w:type="dxa"/>
            </w:tcMar>
            <w:vAlign w:val="center"/>
          </w:tcPr>
          <w:p w14:paraId="395666AD">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B1栋</w:t>
            </w:r>
          </w:p>
        </w:tc>
        <w:tc>
          <w:tcPr>
            <w:tcW w:w="405" w:type="pct"/>
            <w:tcBorders>
              <w:tl2br w:val="nil"/>
              <w:tr2bl w:val="nil"/>
            </w:tcBorders>
            <w:shd w:val="clear" w:color="auto" w:fill="auto"/>
            <w:noWrap w:val="0"/>
            <w:tcMar>
              <w:left w:w="0" w:type="dxa"/>
              <w:right w:w="0" w:type="dxa"/>
            </w:tcMar>
            <w:vAlign w:val="center"/>
          </w:tcPr>
          <w:p w14:paraId="7E1913E8">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HC喷涂系统</w:t>
            </w:r>
          </w:p>
        </w:tc>
        <w:tc>
          <w:tcPr>
            <w:tcW w:w="342" w:type="pct"/>
            <w:tcBorders>
              <w:tl2br w:val="nil"/>
              <w:tr2bl w:val="nil"/>
            </w:tcBorders>
            <w:noWrap w:val="0"/>
            <w:tcMar>
              <w:left w:w="0" w:type="dxa"/>
              <w:right w:w="0" w:type="dxa"/>
            </w:tcMar>
            <w:vAlign w:val="center"/>
          </w:tcPr>
          <w:p w14:paraId="7F809741">
            <w:pPr>
              <w:spacing w:line="240" w:lineRule="auto"/>
              <w:jc w:val="center"/>
              <w:rPr>
                <w:rFonts w:hint="default" w:eastAsia="宋体"/>
                <w:bCs/>
                <w:color w:val="auto"/>
                <w:sz w:val="18"/>
                <w:szCs w:val="18"/>
                <w:lang w:val="en-US" w:eastAsia="zh-CN"/>
              </w:rPr>
            </w:pPr>
            <w:r>
              <w:rPr>
                <w:rFonts w:hint="eastAsia"/>
                <w:bCs/>
                <w:color w:val="auto"/>
                <w:sz w:val="18"/>
                <w:szCs w:val="18"/>
                <w:lang w:val="en-US" w:eastAsia="zh-CN"/>
              </w:rPr>
              <w:t>/</w:t>
            </w:r>
          </w:p>
        </w:tc>
        <w:tc>
          <w:tcPr>
            <w:tcW w:w="181" w:type="pct"/>
            <w:tcBorders>
              <w:tl2br w:val="nil"/>
              <w:tr2bl w:val="nil"/>
            </w:tcBorders>
            <w:noWrap w:val="0"/>
            <w:tcMar>
              <w:left w:w="0" w:type="dxa"/>
              <w:right w:w="0" w:type="dxa"/>
            </w:tcMar>
            <w:vAlign w:val="center"/>
          </w:tcPr>
          <w:p w14:paraId="26C81B92">
            <w:pPr>
              <w:keepNext w:val="0"/>
              <w:keepLines w:val="0"/>
              <w:widowControl/>
              <w:suppressLineNumbers w:val="0"/>
              <w:jc w:val="center"/>
              <w:textAlignment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219" w:type="pct"/>
            <w:tcBorders>
              <w:tl2br w:val="nil"/>
              <w:tr2bl w:val="nil"/>
            </w:tcBorders>
            <w:noWrap w:val="0"/>
            <w:vAlign w:val="center"/>
          </w:tcPr>
          <w:p w14:paraId="02C58978">
            <w:pPr>
              <w:jc w:val="center"/>
              <w:rPr>
                <w:rFonts w:hint="default" w:ascii="Times New Roman" w:hAnsi="Times New Roman" w:eastAsia="宋体" w:cs="Times New Roman"/>
                <w:color w:val="auto"/>
                <w:kern w:val="2"/>
                <w:sz w:val="18"/>
                <w:szCs w:val="18"/>
                <w:lang w:val="en-US" w:eastAsia="zh-CN" w:bidi="ar-SA"/>
              </w:rPr>
            </w:pPr>
            <w:r>
              <w:rPr>
                <w:rFonts w:hint="eastAsia"/>
                <w:bCs/>
                <w:color w:val="auto"/>
                <w:sz w:val="18"/>
                <w:szCs w:val="18"/>
                <w:lang w:val="en-US" w:eastAsia="zh-CN"/>
              </w:rPr>
              <w:t>80</w:t>
            </w:r>
          </w:p>
        </w:tc>
        <w:tc>
          <w:tcPr>
            <w:tcW w:w="627" w:type="dxa"/>
            <w:tcBorders>
              <w:tl2br w:val="nil"/>
              <w:tr2bl w:val="nil"/>
            </w:tcBorders>
            <w:noWrap w:val="0"/>
            <w:vAlign w:val="center"/>
          </w:tcPr>
          <w:p w14:paraId="5C2976DD">
            <w:pPr>
              <w:jc w:val="center"/>
              <w:rPr>
                <w:rFonts w:hint="default" w:ascii="Times New Roman" w:hAnsi="Times New Roman" w:eastAsia="宋体" w:cs="Times New Roman"/>
                <w:color w:val="auto"/>
                <w:kern w:val="2"/>
                <w:sz w:val="18"/>
                <w:szCs w:val="18"/>
                <w:lang w:val="en-US" w:eastAsia="zh-CN" w:bidi="ar-SA"/>
              </w:rPr>
            </w:pPr>
            <w:r>
              <w:rPr>
                <w:rFonts w:hint="eastAsia"/>
                <w:bCs/>
                <w:color w:val="auto"/>
                <w:sz w:val="18"/>
                <w:szCs w:val="18"/>
                <w:lang w:val="en-US" w:eastAsia="zh-CN"/>
              </w:rPr>
              <w:t>80</w:t>
            </w:r>
          </w:p>
        </w:tc>
        <w:tc>
          <w:tcPr>
            <w:tcW w:w="164" w:type="pct"/>
            <w:vMerge w:val="restart"/>
            <w:tcBorders>
              <w:tl2br w:val="nil"/>
              <w:tr2bl w:val="nil"/>
            </w:tcBorders>
            <w:noWrap w:val="0"/>
            <w:vAlign w:val="center"/>
          </w:tcPr>
          <w:p w14:paraId="7D970112">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color w:val="auto"/>
                <w:sz w:val="18"/>
                <w:szCs w:val="18"/>
              </w:rPr>
              <w:t>设备减震，建筑隔声</w:t>
            </w:r>
          </w:p>
        </w:tc>
        <w:tc>
          <w:tcPr>
            <w:tcW w:w="157" w:type="pct"/>
            <w:tcBorders>
              <w:tl2br w:val="nil"/>
              <w:tr2bl w:val="nil"/>
            </w:tcBorders>
            <w:noWrap w:val="0"/>
            <w:vAlign w:val="center"/>
          </w:tcPr>
          <w:p w14:paraId="7534760F">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2</w:t>
            </w:r>
          </w:p>
        </w:tc>
        <w:tc>
          <w:tcPr>
            <w:tcW w:w="171" w:type="pct"/>
            <w:tcBorders>
              <w:tl2br w:val="nil"/>
              <w:tr2bl w:val="nil"/>
            </w:tcBorders>
            <w:noWrap w:val="0"/>
            <w:vAlign w:val="center"/>
          </w:tcPr>
          <w:p w14:paraId="4591BBBB">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6</w:t>
            </w:r>
          </w:p>
        </w:tc>
        <w:tc>
          <w:tcPr>
            <w:tcW w:w="170" w:type="pct"/>
            <w:tcBorders>
              <w:tl2br w:val="nil"/>
              <w:tr2bl w:val="nil"/>
            </w:tcBorders>
            <w:noWrap w:val="0"/>
            <w:vAlign w:val="center"/>
          </w:tcPr>
          <w:p w14:paraId="3B601802">
            <w:pPr>
              <w:spacing w:line="240" w:lineRule="auto"/>
              <w:jc w:val="center"/>
              <w:rPr>
                <w:rFonts w:hint="default" w:eastAsia="宋体"/>
                <w:color w:val="auto"/>
                <w:sz w:val="18"/>
                <w:szCs w:val="18"/>
                <w:lang w:val="en-US" w:eastAsia="zh-CN"/>
              </w:rPr>
            </w:pPr>
            <w:r>
              <w:rPr>
                <w:rFonts w:hint="eastAsia"/>
                <w:color w:val="auto"/>
                <w:sz w:val="18"/>
                <w:szCs w:val="18"/>
                <w:lang w:val="en-US" w:eastAsia="zh-CN"/>
              </w:rPr>
              <w:t>0</w:t>
            </w:r>
          </w:p>
        </w:tc>
        <w:tc>
          <w:tcPr>
            <w:tcW w:w="177" w:type="pct"/>
            <w:tcBorders>
              <w:tl2br w:val="nil"/>
              <w:tr2bl w:val="nil"/>
            </w:tcBorders>
            <w:noWrap w:val="0"/>
            <w:vAlign w:val="center"/>
          </w:tcPr>
          <w:p w14:paraId="2A159567">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50</w:t>
            </w:r>
          </w:p>
        </w:tc>
        <w:tc>
          <w:tcPr>
            <w:tcW w:w="178" w:type="pct"/>
            <w:tcBorders>
              <w:tl2br w:val="nil"/>
              <w:tr2bl w:val="nil"/>
            </w:tcBorders>
            <w:noWrap w:val="0"/>
            <w:vAlign w:val="center"/>
          </w:tcPr>
          <w:p w14:paraId="32487AD4">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6</w:t>
            </w:r>
          </w:p>
        </w:tc>
        <w:tc>
          <w:tcPr>
            <w:tcW w:w="176" w:type="pct"/>
            <w:tcBorders>
              <w:tl2br w:val="nil"/>
              <w:tr2bl w:val="nil"/>
            </w:tcBorders>
            <w:noWrap w:val="0"/>
            <w:vAlign w:val="center"/>
          </w:tcPr>
          <w:p w14:paraId="4412C90B">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2</w:t>
            </w:r>
          </w:p>
        </w:tc>
        <w:tc>
          <w:tcPr>
            <w:tcW w:w="182" w:type="pct"/>
            <w:tcBorders>
              <w:tl2br w:val="nil"/>
              <w:tr2bl w:val="nil"/>
            </w:tcBorders>
            <w:noWrap w:val="0"/>
            <w:vAlign w:val="center"/>
          </w:tcPr>
          <w:p w14:paraId="02F595C5">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10</w:t>
            </w:r>
          </w:p>
        </w:tc>
        <w:tc>
          <w:tcPr>
            <w:tcW w:w="489" w:type="dxa"/>
            <w:tcBorders>
              <w:tl2br w:val="nil"/>
              <w:tr2bl w:val="nil"/>
            </w:tcBorders>
            <w:noWrap w:val="0"/>
            <w:vAlign w:val="center"/>
          </w:tcPr>
          <w:p w14:paraId="4A7A5797">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38 </w:t>
            </w:r>
          </w:p>
        </w:tc>
        <w:tc>
          <w:tcPr>
            <w:tcW w:w="516" w:type="dxa"/>
            <w:tcBorders>
              <w:tl2br w:val="nil"/>
              <w:tr2bl w:val="nil"/>
            </w:tcBorders>
            <w:noWrap w:val="0"/>
            <w:vAlign w:val="center"/>
          </w:tcPr>
          <w:p w14:paraId="0DAB26FF">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56 </w:t>
            </w:r>
          </w:p>
        </w:tc>
        <w:tc>
          <w:tcPr>
            <w:tcW w:w="433" w:type="dxa"/>
            <w:tcBorders>
              <w:tl2br w:val="nil"/>
              <w:tr2bl w:val="nil"/>
            </w:tcBorders>
            <w:noWrap w:val="0"/>
            <w:vAlign w:val="center"/>
          </w:tcPr>
          <w:p w14:paraId="221D54BC">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66 </w:t>
            </w:r>
          </w:p>
        </w:tc>
        <w:tc>
          <w:tcPr>
            <w:tcW w:w="541" w:type="dxa"/>
            <w:tcBorders>
              <w:tl2br w:val="nil"/>
              <w:tr2bl w:val="nil"/>
            </w:tcBorders>
            <w:noWrap w:val="0"/>
            <w:vAlign w:val="center"/>
          </w:tcPr>
          <w:p w14:paraId="6A943865">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52 </w:t>
            </w:r>
          </w:p>
        </w:tc>
        <w:tc>
          <w:tcPr>
            <w:tcW w:w="163" w:type="pct"/>
            <w:vMerge w:val="restart"/>
            <w:tcBorders>
              <w:tl2br w:val="nil"/>
              <w:tr2bl w:val="nil"/>
            </w:tcBorders>
            <w:noWrap w:val="0"/>
            <w:vAlign w:val="center"/>
          </w:tcPr>
          <w:p w14:paraId="5C96C2B6">
            <w:pPr>
              <w:spacing w:line="240" w:lineRule="auto"/>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0:00~24:00</w:t>
            </w:r>
          </w:p>
        </w:tc>
        <w:tc>
          <w:tcPr>
            <w:tcW w:w="208" w:type="pct"/>
            <w:tcBorders>
              <w:tl2br w:val="nil"/>
              <w:tr2bl w:val="nil"/>
            </w:tcBorders>
            <w:noWrap w:val="0"/>
            <w:vAlign w:val="center"/>
          </w:tcPr>
          <w:p w14:paraId="0F065F04">
            <w:pPr>
              <w:spacing w:line="240" w:lineRule="auto"/>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20</w:t>
            </w:r>
          </w:p>
        </w:tc>
        <w:tc>
          <w:tcPr>
            <w:tcW w:w="501" w:type="dxa"/>
            <w:tcBorders>
              <w:tl2br w:val="nil"/>
              <w:tr2bl w:val="nil"/>
            </w:tcBorders>
            <w:noWrap w:val="0"/>
            <w:vAlign w:val="center"/>
          </w:tcPr>
          <w:p w14:paraId="58769F92">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18 </w:t>
            </w:r>
          </w:p>
        </w:tc>
        <w:tc>
          <w:tcPr>
            <w:tcW w:w="555" w:type="dxa"/>
            <w:tcBorders>
              <w:tl2br w:val="nil"/>
              <w:tr2bl w:val="nil"/>
            </w:tcBorders>
            <w:noWrap w:val="0"/>
            <w:vAlign w:val="center"/>
          </w:tcPr>
          <w:p w14:paraId="65295EE2">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36 </w:t>
            </w:r>
          </w:p>
        </w:tc>
        <w:tc>
          <w:tcPr>
            <w:tcW w:w="561" w:type="dxa"/>
            <w:tcBorders>
              <w:tl2br w:val="nil"/>
              <w:tr2bl w:val="nil"/>
            </w:tcBorders>
            <w:noWrap w:val="0"/>
            <w:vAlign w:val="center"/>
          </w:tcPr>
          <w:p w14:paraId="7ED3A718">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46 </w:t>
            </w:r>
          </w:p>
        </w:tc>
        <w:tc>
          <w:tcPr>
            <w:tcW w:w="555" w:type="dxa"/>
            <w:tcBorders>
              <w:tl2br w:val="nil"/>
              <w:tr2bl w:val="nil"/>
            </w:tcBorders>
            <w:noWrap w:val="0"/>
            <w:vAlign w:val="center"/>
          </w:tcPr>
          <w:p w14:paraId="2CBA8519">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32 </w:t>
            </w:r>
          </w:p>
        </w:tc>
        <w:tc>
          <w:tcPr>
            <w:tcW w:w="169" w:type="pct"/>
            <w:tcBorders>
              <w:tl2br w:val="nil"/>
              <w:tr2bl w:val="nil"/>
            </w:tcBorders>
            <w:noWrap w:val="0"/>
            <w:vAlign w:val="center"/>
          </w:tcPr>
          <w:p w14:paraId="0C038AD3">
            <w:pPr>
              <w:spacing w:line="240" w:lineRule="auto"/>
              <w:jc w:val="center"/>
              <w:rPr>
                <w:rFonts w:hint="default" w:eastAsia="宋体"/>
                <w:color w:val="auto"/>
                <w:sz w:val="18"/>
                <w:szCs w:val="18"/>
                <w:lang w:val="en-US" w:eastAsia="zh-CN"/>
              </w:rPr>
            </w:pPr>
            <w:r>
              <w:rPr>
                <w:rFonts w:hint="eastAsia" w:eastAsia="宋体"/>
                <w:color w:val="auto"/>
                <w:sz w:val="18"/>
                <w:szCs w:val="18"/>
                <w:lang w:val="en-US" w:eastAsia="zh-CN"/>
              </w:rPr>
              <w:t>1</w:t>
            </w:r>
          </w:p>
        </w:tc>
      </w:tr>
      <w:tr w14:paraId="6EF29D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0" w:type="pct"/>
            <w:tcBorders>
              <w:tl2br w:val="nil"/>
              <w:tr2bl w:val="nil"/>
            </w:tcBorders>
            <w:noWrap w:val="0"/>
            <w:tcMar>
              <w:left w:w="0" w:type="dxa"/>
              <w:right w:w="0" w:type="dxa"/>
            </w:tcMar>
            <w:vAlign w:val="center"/>
          </w:tcPr>
          <w:p w14:paraId="7664CC44">
            <w:pPr>
              <w:spacing w:line="240" w:lineRule="auto"/>
              <w:jc w:val="center"/>
              <w:rPr>
                <w:b/>
                <w:bCs/>
                <w:color w:val="auto"/>
                <w:sz w:val="18"/>
                <w:szCs w:val="18"/>
              </w:rPr>
            </w:pPr>
            <w:r>
              <w:rPr>
                <w:color w:val="auto"/>
                <w:sz w:val="18"/>
                <w:szCs w:val="18"/>
              </w:rPr>
              <w:t>2</w:t>
            </w:r>
          </w:p>
        </w:tc>
        <w:tc>
          <w:tcPr>
            <w:tcW w:w="135" w:type="pct"/>
            <w:vMerge w:val="continue"/>
            <w:tcBorders>
              <w:tl2br w:val="nil"/>
              <w:tr2bl w:val="nil"/>
            </w:tcBorders>
            <w:noWrap w:val="0"/>
            <w:tcMar>
              <w:left w:w="0" w:type="dxa"/>
              <w:right w:w="0" w:type="dxa"/>
            </w:tcMar>
            <w:vAlign w:val="center"/>
          </w:tcPr>
          <w:p w14:paraId="4E4A2218">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p>
        </w:tc>
        <w:tc>
          <w:tcPr>
            <w:tcW w:w="405" w:type="pct"/>
            <w:tcBorders>
              <w:tl2br w:val="nil"/>
              <w:tr2bl w:val="nil"/>
            </w:tcBorders>
            <w:shd w:val="clear" w:color="auto" w:fill="auto"/>
            <w:noWrap w:val="0"/>
            <w:tcMar>
              <w:left w:w="0" w:type="dxa"/>
              <w:right w:w="0" w:type="dxa"/>
            </w:tcMar>
            <w:vAlign w:val="center"/>
          </w:tcPr>
          <w:p w14:paraId="00BB752B">
            <w:pPr>
              <w:spacing w:line="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防雾喷涂系统</w:t>
            </w:r>
          </w:p>
        </w:tc>
        <w:tc>
          <w:tcPr>
            <w:tcW w:w="342" w:type="pct"/>
            <w:tcBorders>
              <w:tl2br w:val="nil"/>
              <w:tr2bl w:val="nil"/>
            </w:tcBorders>
            <w:noWrap w:val="0"/>
            <w:tcMar>
              <w:left w:w="0" w:type="dxa"/>
              <w:right w:w="0" w:type="dxa"/>
            </w:tcMar>
            <w:vAlign w:val="center"/>
          </w:tcPr>
          <w:p w14:paraId="703567C6">
            <w:pPr>
              <w:keepNext w:val="0"/>
              <w:keepLines w:val="0"/>
              <w:widowControl/>
              <w:suppressLineNumbers w:val="0"/>
              <w:spacing w:line="240" w:lineRule="auto"/>
              <w:jc w:val="center"/>
              <w:textAlignment w:val="center"/>
              <w:rPr>
                <w:rFonts w:hint="default" w:ascii="Times New Roman" w:hAnsi="Times New Roman" w:eastAsia="宋体" w:cs="Times New Roman"/>
                <w:b w:val="0"/>
                <w:bCs w:val="0"/>
                <w:color w:val="auto"/>
                <w:kern w:val="0"/>
                <w:sz w:val="18"/>
                <w:szCs w:val="18"/>
                <w:lang w:val="en-US" w:eastAsia="zh-CN" w:bidi="ar-SA"/>
              </w:rPr>
            </w:pPr>
            <w:r>
              <w:rPr>
                <w:rFonts w:hint="eastAsia" w:cs="Times New Roman"/>
                <w:b w:val="0"/>
                <w:bCs w:val="0"/>
                <w:color w:val="auto"/>
                <w:kern w:val="0"/>
                <w:sz w:val="18"/>
                <w:szCs w:val="18"/>
                <w:lang w:val="en-US" w:eastAsia="zh-CN" w:bidi="ar-SA"/>
              </w:rPr>
              <w:t>/</w:t>
            </w:r>
          </w:p>
        </w:tc>
        <w:tc>
          <w:tcPr>
            <w:tcW w:w="181" w:type="pct"/>
            <w:tcBorders>
              <w:tl2br w:val="nil"/>
              <w:tr2bl w:val="nil"/>
            </w:tcBorders>
            <w:noWrap w:val="0"/>
            <w:tcMar>
              <w:left w:w="0" w:type="dxa"/>
              <w:right w:w="0" w:type="dxa"/>
            </w:tcMar>
            <w:vAlign w:val="center"/>
          </w:tcPr>
          <w:p w14:paraId="6350BEC1">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219" w:type="pct"/>
            <w:tcBorders>
              <w:tl2br w:val="nil"/>
              <w:tr2bl w:val="nil"/>
            </w:tcBorders>
            <w:noWrap w:val="0"/>
            <w:vAlign w:val="center"/>
          </w:tcPr>
          <w:p w14:paraId="7A13853B">
            <w:pPr>
              <w:jc w:val="center"/>
              <w:rPr>
                <w:rFonts w:hint="default" w:ascii="Times New Roman" w:hAnsi="Times New Roman" w:eastAsia="宋体" w:cs="Times New Roman"/>
                <w:color w:val="auto"/>
                <w:kern w:val="2"/>
                <w:sz w:val="18"/>
                <w:szCs w:val="18"/>
                <w:lang w:val="en-US" w:eastAsia="zh-CN" w:bidi="ar-SA"/>
              </w:rPr>
            </w:pPr>
            <w:r>
              <w:rPr>
                <w:rFonts w:hint="eastAsia"/>
                <w:bCs/>
                <w:color w:val="auto"/>
                <w:sz w:val="18"/>
                <w:szCs w:val="18"/>
                <w:lang w:val="en-US" w:eastAsia="zh-CN"/>
              </w:rPr>
              <w:t>80</w:t>
            </w:r>
          </w:p>
        </w:tc>
        <w:tc>
          <w:tcPr>
            <w:tcW w:w="627" w:type="dxa"/>
            <w:tcBorders>
              <w:tl2br w:val="nil"/>
              <w:tr2bl w:val="nil"/>
            </w:tcBorders>
            <w:noWrap w:val="0"/>
            <w:vAlign w:val="center"/>
          </w:tcPr>
          <w:p w14:paraId="6DE5B53A">
            <w:pPr>
              <w:jc w:val="center"/>
              <w:rPr>
                <w:rFonts w:hint="default" w:ascii="Times New Roman" w:hAnsi="Times New Roman" w:eastAsia="宋体" w:cs="Times New Roman"/>
                <w:color w:val="auto"/>
                <w:kern w:val="2"/>
                <w:sz w:val="18"/>
                <w:szCs w:val="18"/>
                <w:lang w:val="en-US" w:eastAsia="zh-CN" w:bidi="ar-SA"/>
              </w:rPr>
            </w:pPr>
            <w:r>
              <w:rPr>
                <w:rFonts w:hint="eastAsia"/>
                <w:bCs/>
                <w:color w:val="auto"/>
                <w:sz w:val="18"/>
                <w:szCs w:val="18"/>
                <w:lang w:val="en-US" w:eastAsia="zh-CN"/>
              </w:rPr>
              <w:t>80</w:t>
            </w:r>
          </w:p>
        </w:tc>
        <w:tc>
          <w:tcPr>
            <w:tcW w:w="164" w:type="pct"/>
            <w:vMerge w:val="continue"/>
            <w:tcBorders>
              <w:tl2br w:val="nil"/>
              <w:tr2bl w:val="nil"/>
            </w:tcBorders>
            <w:noWrap w:val="0"/>
            <w:vAlign w:val="center"/>
          </w:tcPr>
          <w:p w14:paraId="7E221521">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p>
        </w:tc>
        <w:tc>
          <w:tcPr>
            <w:tcW w:w="157" w:type="pct"/>
            <w:tcBorders>
              <w:tl2br w:val="nil"/>
              <w:tr2bl w:val="nil"/>
            </w:tcBorders>
            <w:noWrap w:val="0"/>
            <w:vAlign w:val="center"/>
          </w:tcPr>
          <w:p w14:paraId="583F3BFE">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10</w:t>
            </w:r>
          </w:p>
        </w:tc>
        <w:tc>
          <w:tcPr>
            <w:tcW w:w="171" w:type="pct"/>
            <w:tcBorders>
              <w:tl2br w:val="nil"/>
              <w:tr2bl w:val="nil"/>
            </w:tcBorders>
            <w:noWrap w:val="0"/>
            <w:vAlign w:val="center"/>
          </w:tcPr>
          <w:p w14:paraId="31DFC5DE">
            <w:pPr>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8</w:t>
            </w:r>
          </w:p>
        </w:tc>
        <w:tc>
          <w:tcPr>
            <w:tcW w:w="170" w:type="pct"/>
            <w:tcBorders>
              <w:tl2br w:val="nil"/>
              <w:tr2bl w:val="nil"/>
            </w:tcBorders>
            <w:noWrap w:val="0"/>
            <w:vAlign w:val="center"/>
          </w:tcPr>
          <w:p w14:paraId="2331A818">
            <w:pPr>
              <w:spacing w:line="240" w:lineRule="auto"/>
              <w:jc w:val="center"/>
              <w:rPr>
                <w:rFonts w:hint="eastAsia" w:eastAsia="宋体"/>
                <w:color w:val="auto"/>
                <w:sz w:val="18"/>
                <w:szCs w:val="18"/>
                <w:lang w:val="en-US" w:eastAsia="zh-CN"/>
              </w:rPr>
            </w:pPr>
            <w:r>
              <w:rPr>
                <w:rFonts w:hint="eastAsia"/>
                <w:color w:val="auto"/>
                <w:sz w:val="18"/>
                <w:szCs w:val="18"/>
                <w:lang w:val="en-US" w:eastAsia="zh-CN"/>
              </w:rPr>
              <w:t>0</w:t>
            </w:r>
          </w:p>
        </w:tc>
        <w:tc>
          <w:tcPr>
            <w:tcW w:w="177" w:type="pct"/>
            <w:tcBorders>
              <w:tl2br w:val="nil"/>
              <w:tr2bl w:val="nil"/>
            </w:tcBorders>
            <w:noWrap w:val="0"/>
            <w:vAlign w:val="center"/>
          </w:tcPr>
          <w:p w14:paraId="46E760F6">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40</w:t>
            </w:r>
          </w:p>
        </w:tc>
        <w:tc>
          <w:tcPr>
            <w:tcW w:w="178" w:type="pct"/>
            <w:tcBorders>
              <w:tl2br w:val="nil"/>
              <w:tr2bl w:val="nil"/>
            </w:tcBorders>
            <w:noWrap w:val="0"/>
            <w:vAlign w:val="center"/>
          </w:tcPr>
          <w:p w14:paraId="1EDFE881">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8</w:t>
            </w:r>
          </w:p>
        </w:tc>
        <w:tc>
          <w:tcPr>
            <w:tcW w:w="176" w:type="pct"/>
            <w:tcBorders>
              <w:tl2br w:val="nil"/>
              <w:tr2bl w:val="nil"/>
            </w:tcBorders>
            <w:noWrap w:val="0"/>
            <w:vAlign w:val="center"/>
          </w:tcPr>
          <w:p w14:paraId="498C8EB3">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10</w:t>
            </w:r>
          </w:p>
        </w:tc>
        <w:tc>
          <w:tcPr>
            <w:tcW w:w="182" w:type="pct"/>
            <w:tcBorders>
              <w:tl2br w:val="nil"/>
              <w:tr2bl w:val="nil"/>
            </w:tcBorders>
            <w:noWrap w:val="0"/>
            <w:vAlign w:val="center"/>
          </w:tcPr>
          <w:p w14:paraId="35037033">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9</w:t>
            </w:r>
          </w:p>
        </w:tc>
        <w:tc>
          <w:tcPr>
            <w:tcW w:w="489" w:type="dxa"/>
            <w:tcBorders>
              <w:tl2br w:val="nil"/>
              <w:tr2bl w:val="nil"/>
            </w:tcBorders>
            <w:noWrap w:val="0"/>
            <w:vAlign w:val="center"/>
          </w:tcPr>
          <w:p w14:paraId="209BCA3F">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40 </w:t>
            </w:r>
          </w:p>
        </w:tc>
        <w:tc>
          <w:tcPr>
            <w:tcW w:w="516" w:type="dxa"/>
            <w:tcBorders>
              <w:tl2br w:val="nil"/>
              <w:tr2bl w:val="nil"/>
            </w:tcBorders>
            <w:noWrap w:val="0"/>
            <w:vAlign w:val="center"/>
          </w:tcPr>
          <w:p w14:paraId="640DDD76">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54 </w:t>
            </w:r>
          </w:p>
        </w:tc>
        <w:tc>
          <w:tcPr>
            <w:tcW w:w="433" w:type="dxa"/>
            <w:tcBorders>
              <w:tl2br w:val="nil"/>
              <w:tr2bl w:val="nil"/>
            </w:tcBorders>
            <w:noWrap w:val="0"/>
            <w:vAlign w:val="center"/>
          </w:tcPr>
          <w:p w14:paraId="77A9FB89">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52 </w:t>
            </w:r>
          </w:p>
        </w:tc>
        <w:tc>
          <w:tcPr>
            <w:tcW w:w="541" w:type="dxa"/>
            <w:tcBorders>
              <w:tl2br w:val="nil"/>
              <w:tr2bl w:val="nil"/>
            </w:tcBorders>
            <w:noWrap w:val="0"/>
            <w:vAlign w:val="center"/>
          </w:tcPr>
          <w:p w14:paraId="1607A698">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53 </w:t>
            </w:r>
          </w:p>
        </w:tc>
        <w:tc>
          <w:tcPr>
            <w:tcW w:w="163" w:type="pct"/>
            <w:vMerge w:val="continue"/>
            <w:tcBorders>
              <w:tl2br w:val="nil"/>
              <w:tr2bl w:val="nil"/>
            </w:tcBorders>
            <w:noWrap w:val="0"/>
            <w:vAlign w:val="center"/>
          </w:tcPr>
          <w:p w14:paraId="4CAFBBF4">
            <w:pPr>
              <w:spacing w:line="240" w:lineRule="auto"/>
              <w:jc w:val="center"/>
              <w:rPr>
                <w:rFonts w:hint="default" w:ascii="Times New Roman" w:hAnsi="Times New Roman" w:eastAsia="宋体" w:cs="Times New Roman"/>
                <w:color w:val="auto"/>
                <w:sz w:val="18"/>
                <w:szCs w:val="18"/>
                <w:lang w:val="en-US" w:eastAsia="zh-CN"/>
              </w:rPr>
            </w:pPr>
          </w:p>
        </w:tc>
        <w:tc>
          <w:tcPr>
            <w:tcW w:w="208" w:type="pct"/>
            <w:tcBorders>
              <w:tl2br w:val="nil"/>
              <w:tr2bl w:val="nil"/>
            </w:tcBorders>
            <w:noWrap w:val="0"/>
            <w:vAlign w:val="center"/>
          </w:tcPr>
          <w:p w14:paraId="5D2A0171">
            <w:pPr>
              <w:spacing w:line="240" w:lineRule="auto"/>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20</w:t>
            </w:r>
          </w:p>
        </w:tc>
        <w:tc>
          <w:tcPr>
            <w:tcW w:w="501" w:type="dxa"/>
            <w:tcBorders>
              <w:tl2br w:val="nil"/>
              <w:tr2bl w:val="nil"/>
            </w:tcBorders>
            <w:noWrap w:val="0"/>
            <w:vAlign w:val="center"/>
          </w:tcPr>
          <w:p w14:paraId="62183B88">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20 </w:t>
            </w:r>
          </w:p>
        </w:tc>
        <w:tc>
          <w:tcPr>
            <w:tcW w:w="555" w:type="dxa"/>
            <w:tcBorders>
              <w:tl2br w:val="nil"/>
              <w:tr2bl w:val="nil"/>
            </w:tcBorders>
            <w:noWrap w:val="0"/>
            <w:vAlign w:val="center"/>
          </w:tcPr>
          <w:p w14:paraId="07E42AD6">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34 </w:t>
            </w:r>
          </w:p>
        </w:tc>
        <w:tc>
          <w:tcPr>
            <w:tcW w:w="561" w:type="dxa"/>
            <w:tcBorders>
              <w:tl2br w:val="nil"/>
              <w:tr2bl w:val="nil"/>
            </w:tcBorders>
            <w:noWrap w:val="0"/>
            <w:vAlign w:val="center"/>
          </w:tcPr>
          <w:p w14:paraId="0612A5C1">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32 </w:t>
            </w:r>
          </w:p>
        </w:tc>
        <w:tc>
          <w:tcPr>
            <w:tcW w:w="555" w:type="dxa"/>
            <w:tcBorders>
              <w:tl2br w:val="nil"/>
              <w:tr2bl w:val="nil"/>
            </w:tcBorders>
            <w:noWrap w:val="0"/>
            <w:vAlign w:val="center"/>
          </w:tcPr>
          <w:p w14:paraId="5AF6D2E7">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33 </w:t>
            </w:r>
          </w:p>
        </w:tc>
        <w:tc>
          <w:tcPr>
            <w:tcW w:w="169" w:type="pct"/>
            <w:tcBorders>
              <w:tl2br w:val="nil"/>
              <w:tr2bl w:val="nil"/>
            </w:tcBorders>
            <w:noWrap w:val="0"/>
            <w:vAlign w:val="center"/>
          </w:tcPr>
          <w:p w14:paraId="675DE0B4">
            <w:pPr>
              <w:spacing w:line="240" w:lineRule="auto"/>
              <w:jc w:val="center"/>
              <w:rPr>
                <w:rFonts w:hint="eastAsia" w:eastAsia="宋体"/>
                <w:color w:val="auto"/>
                <w:sz w:val="18"/>
                <w:szCs w:val="18"/>
                <w:lang w:val="en-US" w:eastAsia="zh-CN"/>
              </w:rPr>
            </w:pPr>
            <w:r>
              <w:rPr>
                <w:rFonts w:hint="eastAsia" w:eastAsia="宋体"/>
                <w:color w:val="auto"/>
                <w:sz w:val="18"/>
                <w:szCs w:val="18"/>
                <w:lang w:val="en-US" w:eastAsia="zh-CN"/>
              </w:rPr>
              <w:t>1</w:t>
            </w:r>
          </w:p>
        </w:tc>
      </w:tr>
      <w:tr w14:paraId="7D71BC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0" w:type="pct"/>
            <w:tcBorders>
              <w:tl2br w:val="nil"/>
              <w:tr2bl w:val="nil"/>
            </w:tcBorders>
            <w:noWrap w:val="0"/>
            <w:tcMar>
              <w:left w:w="0" w:type="dxa"/>
              <w:right w:w="0" w:type="dxa"/>
            </w:tcMar>
            <w:vAlign w:val="center"/>
          </w:tcPr>
          <w:p w14:paraId="6042FE99">
            <w:pPr>
              <w:spacing w:line="240" w:lineRule="auto"/>
              <w:jc w:val="center"/>
              <w:rPr>
                <w:rFonts w:hint="eastAsia" w:eastAsia="宋体"/>
                <w:color w:val="auto"/>
                <w:sz w:val="18"/>
                <w:szCs w:val="18"/>
                <w:lang w:val="en-US" w:eastAsia="zh-CN"/>
              </w:rPr>
            </w:pPr>
            <w:r>
              <w:rPr>
                <w:rFonts w:hint="eastAsia"/>
                <w:color w:val="auto"/>
                <w:sz w:val="18"/>
                <w:szCs w:val="18"/>
                <w:lang w:val="en-US" w:eastAsia="zh-CN"/>
              </w:rPr>
              <w:t>3</w:t>
            </w:r>
          </w:p>
        </w:tc>
        <w:tc>
          <w:tcPr>
            <w:tcW w:w="135" w:type="pct"/>
            <w:vMerge w:val="continue"/>
            <w:tcBorders>
              <w:tl2br w:val="nil"/>
              <w:tr2bl w:val="nil"/>
            </w:tcBorders>
            <w:noWrap w:val="0"/>
            <w:tcMar>
              <w:left w:w="0" w:type="dxa"/>
              <w:right w:w="0" w:type="dxa"/>
            </w:tcMar>
            <w:vAlign w:val="center"/>
          </w:tcPr>
          <w:p w14:paraId="26CD3D4B">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p>
        </w:tc>
        <w:tc>
          <w:tcPr>
            <w:tcW w:w="405" w:type="pct"/>
            <w:tcBorders>
              <w:tl2br w:val="nil"/>
              <w:tr2bl w:val="nil"/>
            </w:tcBorders>
            <w:shd w:val="clear" w:color="auto" w:fill="auto"/>
            <w:noWrap w:val="0"/>
            <w:tcMar>
              <w:left w:w="0" w:type="dxa"/>
              <w:right w:w="0" w:type="dxa"/>
            </w:tcMar>
            <w:vAlign w:val="center"/>
          </w:tcPr>
          <w:p w14:paraId="00266701">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自动除尘（含除尘机器人）</w:t>
            </w:r>
          </w:p>
        </w:tc>
        <w:tc>
          <w:tcPr>
            <w:tcW w:w="342" w:type="pct"/>
            <w:tcBorders>
              <w:tl2br w:val="nil"/>
              <w:tr2bl w:val="nil"/>
            </w:tcBorders>
            <w:noWrap w:val="0"/>
            <w:tcMar>
              <w:left w:w="0" w:type="dxa"/>
              <w:right w:w="0" w:type="dxa"/>
            </w:tcMar>
            <w:vAlign w:val="center"/>
          </w:tcPr>
          <w:p w14:paraId="19105DBB">
            <w:pPr>
              <w:keepNext w:val="0"/>
              <w:keepLines w:val="0"/>
              <w:widowControl/>
              <w:suppressLineNumbers w:val="0"/>
              <w:spacing w:line="240" w:lineRule="auto"/>
              <w:jc w:val="center"/>
              <w:textAlignment w:val="center"/>
              <w:rPr>
                <w:rFonts w:hint="eastAsia" w:cs="Times New Roman"/>
                <w:b w:val="0"/>
                <w:bCs w:val="0"/>
                <w:color w:val="auto"/>
                <w:kern w:val="0"/>
                <w:sz w:val="18"/>
                <w:szCs w:val="18"/>
                <w:lang w:val="en-US" w:eastAsia="zh-CN" w:bidi="ar-SA"/>
              </w:rPr>
            </w:pPr>
            <w:r>
              <w:rPr>
                <w:rFonts w:hint="eastAsia" w:cs="Times New Roman"/>
                <w:b w:val="0"/>
                <w:bCs w:val="0"/>
                <w:color w:val="auto"/>
                <w:kern w:val="0"/>
                <w:sz w:val="18"/>
                <w:szCs w:val="18"/>
                <w:lang w:val="en-US" w:eastAsia="zh-CN" w:bidi="ar-SA"/>
              </w:rPr>
              <w:t>/</w:t>
            </w:r>
          </w:p>
        </w:tc>
        <w:tc>
          <w:tcPr>
            <w:tcW w:w="181" w:type="pct"/>
            <w:tcBorders>
              <w:tl2br w:val="nil"/>
              <w:tr2bl w:val="nil"/>
            </w:tcBorders>
            <w:noWrap w:val="0"/>
            <w:tcMar>
              <w:left w:w="0" w:type="dxa"/>
              <w:right w:w="0" w:type="dxa"/>
            </w:tcMar>
            <w:vAlign w:val="center"/>
          </w:tcPr>
          <w:p w14:paraId="773D28E7">
            <w:pPr>
              <w:keepNext w:val="0"/>
              <w:keepLines w:val="0"/>
              <w:widowControl/>
              <w:suppressLineNumbers w:val="0"/>
              <w:jc w:val="center"/>
              <w:textAlignment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219" w:type="pct"/>
            <w:tcBorders>
              <w:tl2br w:val="nil"/>
              <w:tr2bl w:val="nil"/>
            </w:tcBorders>
            <w:noWrap w:val="0"/>
            <w:vAlign w:val="center"/>
          </w:tcPr>
          <w:p w14:paraId="4D6854AE">
            <w:pPr>
              <w:jc w:val="center"/>
              <w:rPr>
                <w:rFonts w:hint="default"/>
                <w:bCs/>
                <w:color w:val="auto"/>
                <w:sz w:val="18"/>
                <w:szCs w:val="18"/>
                <w:lang w:val="en-US" w:eastAsia="zh-CN"/>
              </w:rPr>
            </w:pPr>
            <w:r>
              <w:rPr>
                <w:rFonts w:hint="eastAsia"/>
                <w:bCs/>
                <w:color w:val="auto"/>
                <w:sz w:val="18"/>
                <w:szCs w:val="18"/>
                <w:lang w:val="en-US" w:eastAsia="zh-CN"/>
              </w:rPr>
              <w:t>75</w:t>
            </w:r>
          </w:p>
        </w:tc>
        <w:tc>
          <w:tcPr>
            <w:tcW w:w="627" w:type="dxa"/>
            <w:tcBorders>
              <w:tl2br w:val="nil"/>
              <w:tr2bl w:val="nil"/>
            </w:tcBorders>
            <w:noWrap w:val="0"/>
            <w:vAlign w:val="center"/>
          </w:tcPr>
          <w:p w14:paraId="1BFAA6F6">
            <w:pPr>
              <w:jc w:val="center"/>
              <w:rPr>
                <w:rFonts w:hint="eastAsia"/>
                <w:bCs/>
                <w:color w:val="auto"/>
                <w:sz w:val="18"/>
                <w:szCs w:val="18"/>
                <w:lang w:val="en-US" w:eastAsia="zh-CN"/>
              </w:rPr>
            </w:pPr>
            <w:r>
              <w:rPr>
                <w:rFonts w:hint="eastAsia"/>
                <w:bCs/>
                <w:color w:val="auto"/>
                <w:sz w:val="18"/>
                <w:szCs w:val="18"/>
                <w:lang w:val="en-US" w:eastAsia="zh-CN"/>
              </w:rPr>
              <w:t>75</w:t>
            </w:r>
          </w:p>
        </w:tc>
        <w:tc>
          <w:tcPr>
            <w:tcW w:w="164" w:type="pct"/>
            <w:vMerge w:val="continue"/>
            <w:tcBorders>
              <w:tl2br w:val="nil"/>
              <w:tr2bl w:val="nil"/>
            </w:tcBorders>
            <w:noWrap w:val="0"/>
            <w:vAlign w:val="center"/>
          </w:tcPr>
          <w:p w14:paraId="549A3570">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p>
        </w:tc>
        <w:tc>
          <w:tcPr>
            <w:tcW w:w="157" w:type="pct"/>
            <w:tcBorders>
              <w:tl2br w:val="nil"/>
              <w:tr2bl w:val="nil"/>
            </w:tcBorders>
            <w:noWrap w:val="0"/>
            <w:vAlign w:val="center"/>
          </w:tcPr>
          <w:p w14:paraId="2BC2532C">
            <w:pPr>
              <w:jc w:val="center"/>
              <w:rPr>
                <w:rFonts w:hint="eastAsia" w:cs="Times New Roman"/>
                <w:color w:val="auto"/>
                <w:sz w:val="18"/>
                <w:szCs w:val="18"/>
                <w:lang w:val="en-US" w:eastAsia="zh-CN"/>
              </w:rPr>
            </w:pPr>
            <w:r>
              <w:rPr>
                <w:rFonts w:hint="eastAsia" w:cs="Times New Roman"/>
                <w:color w:val="auto"/>
                <w:sz w:val="18"/>
                <w:szCs w:val="18"/>
                <w:lang w:val="en-US" w:eastAsia="zh-CN"/>
              </w:rPr>
              <w:t>2</w:t>
            </w:r>
          </w:p>
        </w:tc>
        <w:tc>
          <w:tcPr>
            <w:tcW w:w="171" w:type="pct"/>
            <w:tcBorders>
              <w:tl2br w:val="nil"/>
              <w:tr2bl w:val="nil"/>
            </w:tcBorders>
            <w:noWrap w:val="0"/>
            <w:vAlign w:val="center"/>
          </w:tcPr>
          <w:p w14:paraId="5D7EC14A">
            <w:pPr>
              <w:jc w:val="center"/>
              <w:rPr>
                <w:rFonts w:hint="eastAsia" w:cs="Times New Roman"/>
                <w:color w:val="auto"/>
                <w:sz w:val="18"/>
                <w:szCs w:val="18"/>
                <w:lang w:val="en-US" w:eastAsia="zh-CN"/>
              </w:rPr>
            </w:pPr>
            <w:r>
              <w:rPr>
                <w:rFonts w:hint="eastAsia" w:cs="Times New Roman"/>
                <w:color w:val="auto"/>
                <w:sz w:val="18"/>
                <w:szCs w:val="18"/>
                <w:lang w:val="en-US" w:eastAsia="zh-CN"/>
              </w:rPr>
              <w:t>6</w:t>
            </w:r>
          </w:p>
        </w:tc>
        <w:tc>
          <w:tcPr>
            <w:tcW w:w="170" w:type="pct"/>
            <w:tcBorders>
              <w:tl2br w:val="nil"/>
              <w:tr2bl w:val="nil"/>
            </w:tcBorders>
            <w:noWrap w:val="0"/>
            <w:vAlign w:val="center"/>
          </w:tcPr>
          <w:p w14:paraId="2152728B">
            <w:pPr>
              <w:spacing w:line="240" w:lineRule="auto"/>
              <w:jc w:val="center"/>
              <w:rPr>
                <w:rFonts w:hint="eastAsia"/>
                <w:color w:val="auto"/>
                <w:sz w:val="18"/>
                <w:szCs w:val="18"/>
                <w:lang w:val="en-US" w:eastAsia="zh-CN"/>
              </w:rPr>
            </w:pPr>
            <w:r>
              <w:rPr>
                <w:rFonts w:hint="eastAsia"/>
                <w:color w:val="auto"/>
                <w:sz w:val="18"/>
                <w:szCs w:val="18"/>
                <w:lang w:val="en-US" w:eastAsia="zh-CN"/>
              </w:rPr>
              <w:t>0</w:t>
            </w:r>
          </w:p>
        </w:tc>
        <w:tc>
          <w:tcPr>
            <w:tcW w:w="177" w:type="pct"/>
            <w:tcBorders>
              <w:tl2br w:val="nil"/>
              <w:tr2bl w:val="nil"/>
            </w:tcBorders>
            <w:noWrap w:val="0"/>
            <w:vAlign w:val="center"/>
          </w:tcPr>
          <w:p w14:paraId="61469C4B">
            <w:pPr>
              <w:jc w:val="center"/>
              <w:rPr>
                <w:rFonts w:hint="eastAsia" w:cs="Times New Roman"/>
                <w:color w:val="auto"/>
                <w:sz w:val="18"/>
                <w:szCs w:val="18"/>
                <w:lang w:val="en-US" w:eastAsia="zh-CN"/>
              </w:rPr>
            </w:pPr>
            <w:r>
              <w:rPr>
                <w:rFonts w:hint="eastAsia" w:cs="Times New Roman"/>
                <w:color w:val="auto"/>
                <w:sz w:val="18"/>
                <w:szCs w:val="18"/>
                <w:lang w:val="en-US" w:eastAsia="zh-CN"/>
              </w:rPr>
              <w:t>50</w:t>
            </w:r>
          </w:p>
        </w:tc>
        <w:tc>
          <w:tcPr>
            <w:tcW w:w="178" w:type="pct"/>
            <w:tcBorders>
              <w:tl2br w:val="nil"/>
              <w:tr2bl w:val="nil"/>
            </w:tcBorders>
            <w:noWrap w:val="0"/>
            <w:vAlign w:val="center"/>
          </w:tcPr>
          <w:p w14:paraId="774874E4">
            <w:pPr>
              <w:jc w:val="center"/>
              <w:rPr>
                <w:rFonts w:hint="eastAsia" w:cs="Times New Roman"/>
                <w:color w:val="auto"/>
                <w:sz w:val="18"/>
                <w:szCs w:val="18"/>
                <w:lang w:val="en-US" w:eastAsia="zh-CN"/>
              </w:rPr>
            </w:pPr>
            <w:r>
              <w:rPr>
                <w:rFonts w:hint="eastAsia" w:cs="Times New Roman"/>
                <w:color w:val="auto"/>
                <w:sz w:val="18"/>
                <w:szCs w:val="18"/>
                <w:lang w:val="en-US" w:eastAsia="zh-CN"/>
              </w:rPr>
              <w:t>6</w:t>
            </w:r>
          </w:p>
        </w:tc>
        <w:tc>
          <w:tcPr>
            <w:tcW w:w="176" w:type="pct"/>
            <w:tcBorders>
              <w:tl2br w:val="nil"/>
              <w:tr2bl w:val="nil"/>
            </w:tcBorders>
            <w:noWrap w:val="0"/>
            <w:vAlign w:val="center"/>
          </w:tcPr>
          <w:p w14:paraId="04C072B2">
            <w:pPr>
              <w:jc w:val="center"/>
              <w:rPr>
                <w:rFonts w:hint="eastAsia" w:cs="Times New Roman"/>
                <w:color w:val="auto"/>
                <w:sz w:val="18"/>
                <w:szCs w:val="18"/>
                <w:lang w:val="en-US" w:eastAsia="zh-CN"/>
              </w:rPr>
            </w:pPr>
            <w:r>
              <w:rPr>
                <w:rFonts w:hint="eastAsia" w:cs="Times New Roman"/>
                <w:color w:val="auto"/>
                <w:sz w:val="18"/>
                <w:szCs w:val="18"/>
                <w:lang w:val="en-US" w:eastAsia="zh-CN"/>
              </w:rPr>
              <w:t>2</w:t>
            </w:r>
          </w:p>
        </w:tc>
        <w:tc>
          <w:tcPr>
            <w:tcW w:w="182" w:type="pct"/>
            <w:tcBorders>
              <w:tl2br w:val="nil"/>
              <w:tr2bl w:val="nil"/>
            </w:tcBorders>
            <w:noWrap w:val="0"/>
            <w:vAlign w:val="center"/>
          </w:tcPr>
          <w:p w14:paraId="4D482678">
            <w:pPr>
              <w:jc w:val="center"/>
              <w:rPr>
                <w:rFonts w:hint="eastAsia" w:cs="Times New Roman"/>
                <w:color w:val="auto"/>
                <w:sz w:val="18"/>
                <w:szCs w:val="18"/>
                <w:lang w:val="en-US" w:eastAsia="zh-CN"/>
              </w:rPr>
            </w:pPr>
            <w:r>
              <w:rPr>
                <w:rFonts w:hint="eastAsia" w:cs="Times New Roman"/>
                <w:color w:val="auto"/>
                <w:sz w:val="18"/>
                <w:szCs w:val="18"/>
                <w:lang w:val="en-US" w:eastAsia="zh-CN"/>
              </w:rPr>
              <w:t>10</w:t>
            </w:r>
          </w:p>
        </w:tc>
        <w:tc>
          <w:tcPr>
            <w:tcW w:w="489" w:type="dxa"/>
            <w:tcBorders>
              <w:tl2br w:val="nil"/>
              <w:tr2bl w:val="nil"/>
            </w:tcBorders>
            <w:noWrap w:val="0"/>
            <w:vAlign w:val="center"/>
          </w:tcPr>
          <w:p w14:paraId="7DD2BEFB">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33 </w:t>
            </w:r>
          </w:p>
        </w:tc>
        <w:tc>
          <w:tcPr>
            <w:tcW w:w="516" w:type="dxa"/>
            <w:tcBorders>
              <w:tl2br w:val="nil"/>
              <w:tr2bl w:val="nil"/>
            </w:tcBorders>
            <w:noWrap w:val="0"/>
            <w:vAlign w:val="center"/>
          </w:tcPr>
          <w:p w14:paraId="1AB52FAA">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51 </w:t>
            </w:r>
          </w:p>
        </w:tc>
        <w:tc>
          <w:tcPr>
            <w:tcW w:w="433" w:type="dxa"/>
            <w:tcBorders>
              <w:tl2br w:val="nil"/>
              <w:tr2bl w:val="nil"/>
            </w:tcBorders>
            <w:noWrap w:val="0"/>
            <w:vAlign w:val="center"/>
          </w:tcPr>
          <w:p w14:paraId="506643AA">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61 </w:t>
            </w:r>
          </w:p>
        </w:tc>
        <w:tc>
          <w:tcPr>
            <w:tcW w:w="541" w:type="dxa"/>
            <w:tcBorders>
              <w:tl2br w:val="nil"/>
              <w:tr2bl w:val="nil"/>
            </w:tcBorders>
            <w:noWrap w:val="0"/>
            <w:vAlign w:val="center"/>
          </w:tcPr>
          <w:p w14:paraId="69339386">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47 </w:t>
            </w:r>
          </w:p>
        </w:tc>
        <w:tc>
          <w:tcPr>
            <w:tcW w:w="163" w:type="pct"/>
            <w:vMerge w:val="continue"/>
            <w:tcBorders>
              <w:tl2br w:val="nil"/>
              <w:tr2bl w:val="nil"/>
            </w:tcBorders>
            <w:noWrap w:val="0"/>
            <w:vAlign w:val="center"/>
          </w:tcPr>
          <w:p w14:paraId="58E0A672">
            <w:pPr>
              <w:spacing w:line="240" w:lineRule="auto"/>
              <w:jc w:val="center"/>
              <w:rPr>
                <w:rFonts w:hint="default" w:ascii="Times New Roman" w:hAnsi="Times New Roman" w:eastAsia="宋体" w:cs="Times New Roman"/>
                <w:color w:val="auto"/>
                <w:sz w:val="18"/>
                <w:szCs w:val="18"/>
                <w:lang w:val="en-US" w:eastAsia="zh-CN"/>
              </w:rPr>
            </w:pPr>
          </w:p>
        </w:tc>
        <w:tc>
          <w:tcPr>
            <w:tcW w:w="208" w:type="pct"/>
            <w:tcBorders>
              <w:tl2br w:val="nil"/>
              <w:tr2bl w:val="nil"/>
            </w:tcBorders>
            <w:noWrap w:val="0"/>
            <w:vAlign w:val="center"/>
          </w:tcPr>
          <w:p w14:paraId="706C7454">
            <w:pPr>
              <w:spacing w:line="240" w:lineRule="auto"/>
              <w:jc w:val="center"/>
              <w:rPr>
                <w:rFonts w:hint="eastAsia" w:cs="Times New Roman"/>
                <w:color w:val="auto"/>
                <w:sz w:val="18"/>
                <w:szCs w:val="18"/>
                <w:lang w:val="en-US" w:eastAsia="zh-CN"/>
              </w:rPr>
            </w:pPr>
            <w:r>
              <w:rPr>
                <w:rFonts w:hint="eastAsia" w:cs="Times New Roman"/>
                <w:color w:val="auto"/>
                <w:sz w:val="18"/>
                <w:szCs w:val="18"/>
                <w:lang w:val="en-US" w:eastAsia="zh-CN"/>
              </w:rPr>
              <w:t>20</w:t>
            </w:r>
          </w:p>
        </w:tc>
        <w:tc>
          <w:tcPr>
            <w:tcW w:w="501" w:type="dxa"/>
            <w:tcBorders>
              <w:tl2br w:val="nil"/>
              <w:tr2bl w:val="nil"/>
            </w:tcBorders>
            <w:noWrap w:val="0"/>
            <w:vAlign w:val="center"/>
          </w:tcPr>
          <w:p w14:paraId="13703290">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13 </w:t>
            </w:r>
          </w:p>
        </w:tc>
        <w:tc>
          <w:tcPr>
            <w:tcW w:w="555" w:type="dxa"/>
            <w:tcBorders>
              <w:tl2br w:val="nil"/>
              <w:tr2bl w:val="nil"/>
            </w:tcBorders>
            <w:noWrap w:val="0"/>
            <w:vAlign w:val="center"/>
          </w:tcPr>
          <w:p w14:paraId="163C92D5">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31 </w:t>
            </w:r>
          </w:p>
        </w:tc>
        <w:tc>
          <w:tcPr>
            <w:tcW w:w="561" w:type="dxa"/>
            <w:tcBorders>
              <w:tl2br w:val="nil"/>
              <w:tr2bl w:val="nil"/>
            </w:tcBorders>
            <w:noWrap w:val="0"/>
            <w:vAlign w:val="center"/>
          </w:tcPr>
          <w:p w14:paraId="6F237CDC">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41 </w:t>
            </w:r>
          </w:p>
        </w:tc>
        <w:tc>
          <w:tcPr>
            <w:tcW w:w="555" w:type="dxa"/>
            <w:tcBorders>
              <w:tl2br w:val="nil"/>
              <w:tr2bl w:val="nil"/>
            </w:tcBorders>
            <w:noWrap w:val="0"/>
            <w:vAlign w:val="center"/>
          </w:tcPr>
          <w:p w14:paraId="6408DBEE">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27 </w:t>
            </w:r>
          </w:p>
        </w:tc>
        <w:tc>
          <w:tcPr>
            <w:tcW w:w="169" w:type="pct"/>
            <w:tcBorders>
              <w:tl2br w:val="nil"/>
              <w:tr2bl w:val="nil"/>
            </w:tcBorders>
            <w:noWrap w:val="0"/>
            <w:vAlign w:val="center"/>
          </w:tcPr>
          <w:p w14:paraId="344AB853">
            <w:pPr>
              <w:spacing w:line="240" w:lineRule="auto"/>
              <w:jc w:val="center"/>
              <w:rPr>
                <w:rFonts w:hint="eastAsia" w:eastAsia="宋体"/>
                <w:color w:val="auto"/>
                <w:sz w:val="18"/>
                <w:szCs w:val="18"/>
                <w:lang w:val="en-US" w:eastAsia="zh-CN"/>
              </w:rPr>
            </w:pPr>
            <w:r>
              <w:rPr>
                <w:rFonts w:hint="eastAsia" w:eastAsia="宋体"/>
                <w:color w:val="auto"/>
                <w:sz w:val="18"/>
                <w:szCs w:val="18"/>
                <w:lang w:val="en-US" w:eastAsia="zh-CN"/>
              </w:rPr>
              <w:t>1</w:t>
            </w:r>
          </w:p>
        </w:tc>
      </w:tr>
      <w:tr w14:paraId="45604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0" w:type="pct"/>
            <w:tcBorders>
              <w:tl2br w:val="nil"/>
              <w:tr2bl w:val="nil"/>
            </w:tcBorders>
            <w:noWrap w:val="0"/>
            <w:tcMar>
              <w:left w:w="0" w:type="dxa"/>
              <w:right w:w="0" w:type="dxa"/>
            </w:tcMar>
            <w:vAlign w:val="center"/>
          </w:tcPr>
          <w:p w14:paraId="09BCF3D9">
            <w:pPr>
              <w:spacing w:line="240" w:lineRule="auto"/>
              <w:jc w:val="center"/>
              <w:rPr>
                <w:rFonts w:hint="eastAsia" w:eastAsia="宋体"/>
                <w:color w:val="auto"/>
                <w:sz w:val="18"/>
                <w:szCs w:val="18"/>
                <w:lang w:val="en-US" w:eastAsia="zh-CN"/>
              </w:rPr>
            </w:pPr>
            <w:r>
              <w:rPr>
                <w:rFonts w:hint="eastAsia"/>
                <w:color w:val="auto"/>
                <w:sz w:val="18"/>
                <w:szCs w:val="18"/>
                <w:lang w:val="en-US" w:eastAsia="zh-CN"/>
              </w:rPr>
              <w:t>4</w:t>
            </w:r>
          </w:p>
        </w:tc>
        <w:tc>
          <w:tcPr>
            <w:tcW w:w="135" w:type="pct"/>
            <w:vMerge w:val="continue"/>
            <w:tcBorders>
              <w:tl2br w:val="nil"/>
              <w:tr2bl w:val="nil"/>
            </w:tcBorders>
            <w:noWrap w:val="0"/>
            <w:tcMar>
              <w:left w:w="0" w:type="dxa"/>
              <w:right w:w="0" w:type="dxa"/>
            </w:tcMar>
            <w:vAlign w:val="center"/>
          </w:tcPr>
          <w:p w14:paraId="68BFDFA7">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p>
        </w:tc>
        <w:tc>
          <w:tcPr>
            <w:tcW w:w="405" w:type="pct"/>
            <w:tcBorders>
              <w:tl2br w:val="nil"/>
              <w:tr2bl w:val="nil"/>
            </w:tcBorders>
            <w:shd w:val="clear" w:color="auto" w:fill="auto"/>
            <w:noWrap w:val="0"/>
            <w:tcMar>
              <w:left w:w="0" w:type="dxa"/>
              <w:right w:w="0" w:type="dxa"/>
            </w:tcMar>
            <w:vAlign w:val="center"/>
          </w:tcPr>
          <w:p w14:paraId="3639F2B7">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上件区移送机械手</w:t>
            </w:r>
          </w:p>
        </w:tc>
        <w:tc>
          <w:tcPr>
            <w:tcW w:w="342" w:type="pct"/>
            <w:tcBorders>
              <w:tl2br w:val="nil"/>
              <w:tr2bl w:val="nil"/>
            </w:tcBorders>
            <w:noWrap w:val="0"/>
            <w:tcMar>
              <w:left w:w="0" w:type="dxa"/>
              <w:right w:w="0" w:type="dxa"/>
            </w:tcMar>
            <w:vAlign w:val="center"/>
          </w:tcPr>
          <w:p w14:paraId="0EAC05D8">
            <w:pPr>
              <w:keepNext w:val="0"/>
              <w:keepLines w:val="0"/>
              <w:widowControl/>
              <w:suppressLineNumbers w:val="0"/>
              <w:spacing w:line="240" w:lineRule="auto"/>
              <w:jc w:val="center"/>
              <w:textAlignment w:val="center"/>
              <w:rPr>
                <w:rFonts w:hint="eastAsia" w:cs="Times New Roman"/>
                <w:b w:val="0"/>
                <w:bCs w:val="0"/>
                <w:color w:val="auto"/>
                <w:kern w:val="0"/>
                <w:sz w:val="18"/>
                <w:szCs w:val="18"/>
                <w:lang w:val="en-US" w:eastAsia="zh-CN" w:bidi="ar-SA"/>
              </w:rPr>
            </w:pPr>
            <w:r>
              <w:rPr>
                <w:rFonts w:hint="eastAsia" w:cs="Times New Roman"/>
                <w:b w:val="0"/>
                <w:bCs w:val="0"/>
                <w:color w:val="auto"/>
                <w:kern w:val="0"/>
                <w:sz w:val="18"/>
                <w:szCs w:val="18"/>
                <w:lang w:val="en-US" w:eastAsia="zh-CN" w:bidi="ar-SA"/>
              </w:rPr>
              <w:t>/</w:t>
            </w:r>
          </w:p>
        </w:tc>
        <w:tc>
          <w:tcPr>
            <w:tcW w:w="181" w:type="pct"/>
            <w:tcBorders>
              <w:tl2br w:val="nil"/>
              <w:tr2bl w:val="nil"/>
            </w:tcBorders>
            <w:noWrap w:val="0"/>
            <w:tcMar>
              <w:left w:w="0" w:type="dxa"/>
              <w:right w:w="0" w:type="dxa"/>
            </w:tcMar>
            <w:vAlign w:val="center"/>
          </w:tcPr>
          <w:p w14:paraId="15C051D5">
            <w:pPr>
              <w:keepNext w:val="0"/>
              <w:keepLines w:val="0"/>
              <w:widowControl/>
              <w:suppressLineNumbers w:val="0"/>
              <w:jc w:val="center"/>
              <w:textAlignment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219" w:type="pct"/>
            <w:tcBorders>
              <w:tl2br w:val="nil"/>
              <w:tr2bl w:val="nil"/>
            </w:tcBorders>
            <w:noWrap w:val="0"/>
            <w:vAlign w:val="center"/>
          </w:tcPr>
          <w:p w14:paraId="2792956C">
            <w:pPr>
              <w:jc w:val="center"/>
              <w:rPr>
                <w:rFonts w:hint="default"/>
                <w:bCs/>
                <w:color w:val="auto"/>
                <w:sz w:val="18"/>
                <w:szCs w:val="18"/>
                <w:lang w:val="en-US" w:eastAsia="zh-CN"/>
              </w:rPr>
            </w:pPr>
            <w:r>
              <w:rPr>
                <w:rFonts w:hint="eastAsia"/>
                <w:bCs/>
                <w:color w:val="auto"/>
                <w:sz w:val="18"/>
                <w:szCs w:val="18"/>
                <w:lang w:val="en-US" w:eastAsia="zh-CN"/>
              </w:rPr>
              <w:t>65</w:t>
            </w:r>
          </w:p>
        </w:tc>
        <w:tc>
          <w:tcPr>
            <w:tcW w:w="627" w:type="dxa"/>
            <w:tcBorders>
              <w:tl2br w:val="nil"/>
              <w:tr2bl w:val="nil"/>
            </w:tcBorders>
            <w:noWrap w:val="0"/>
            <w:vAlign w:val="center"/>
          </w:tcPr>
          <w:p w14:paraId="36E85E28">
            <w:pPr>
              <w:jc w:val="center"/>
              <w:rPr>
                <w:rFonts w:hint="eastAsia"/>
                <w:bCs/>
                <w:color w:val="auto"/>
                <w:sz w:val="18"/>
                <w:szCs w:val="18"/>
                <w:lang w:val="en-US" w:eastAsia="zh-CN"/>
              </w:rPr>
            </w:pPr>
            <w:r>
              <w:rPr>
                <w:rFonts w:hint="eastAsia"/>
                <w:bCs/>
                <w:color w:val="auto"/>
                <w:sz w:val="18"/>
                <w:szCs w:val="18"/>
                <w:lang w:val="en-US" w:eastAsia="zh-CN"/>
              </w:rPr>
              <w:t>65</w:t>
            </w:r>
          </w:p>
        </w:tc>
        <w:tc>
          <w:tcPr>
            <w:tcW w:w="164" w:type="pct"/>
            <w:vMerge w:val="continue"/>
            <w:tcBorders>
              <w:tl2br w:val="nil"/>
              <w:tr2bl w:val="nil"/>
            </w:tcBorders>
            <w:noWrap w:val="0"/>
            <w:vAlign w:val="center"/>
          </w:tcPr>
          <w:p w14:paraId="584360DE">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p>
        </w:tc>
        <w:tc>
          <w:tcPr>
            <w:tcW w:w="157" w:type="pct"/>
            <w:tcBorders>
              <w:tl2br w:val="nil"/>
              <w:tr2bl w:val="nil"/>
            </w:tcBorders>
            <w:noWrap w:val="0"/>
            <w:vAlign w:val="center"/>
          </w:tcPr>
          <w:p w14:paraId="3722175C">
            <w:pPr>
              <w:jc w:val="center"/>
              <w:rPr>
                <w:rFonts w:hint="eastAsia" w:cs="Times New Roman"/>
                <w:color w:val="auto"/>
                <w:sz w:val="18"/>
                <w:szCs w:val="18"/>
                <w:lang w:val="en-US" w:eastAsia="zh-CN"/>
              </w:rPr>
            </w:pPr>
            <w:r>
              <w:rPr>
                <w:rFonts w:hint="eastAsia" w:cs="Times New Roman"/>
                <w:color w:val="auto"/>
                <w:sz w:val="18"/>
                <w:szCs w:val="18"/>
                <w:lang w:val="en-US" w:eastAsia="zh-CN"/>
              </w:rPr>
              <w:t>2</w:t>
            </w:r>
          </w:p>
        </w:tc>
        <w:tc>
          <w:tcPr>
            <w:tcW w:w="171" w:type="pct"/>
            <w:tcBorders>
              <w:tl2br w:val="nil"/>
              <w:tr2bl w:val="nil"/>
            </w:tcBorders>
            <w:noWrap w:val="0"/>
            <w:vAlign w:val="center"/>
          </w:tcPr>
          <w:p w14:paraId="7107AF4D">
            <w:pPr>
              <w:jc w:val="center"/>
              <w:rPr>
                <w:rFonts w:hint="eastAsia" w:cs="Times New Roman"/>
                <w:color w:val="auto"/>
                <w:sz w:val="18"/>
                <w:szCs w:val="18"/>
                <w:lang w:val="en-US" w:eastAsia="zh-CN"/>
              </w:rPr>
            </w:pPr>
            <w:r>
              <w:rPr>
                <w:rFonts w:hint="eastAsia" w:cs="Times New Roman"/>
                <w:color w:val="auto"/>
                <w:sz w:val="18"/>
                <w:szCs w:val="18"/>
                <w:lang w:val="en-US" w:eastAsia="zh-CN"/>
              </w:rPr>
              <w:t>6</w:t>
            </w:r>
          </w:p>
        </w:tc>
        <w:tc>
          <w:tcPr>
            <w:tcW w:w="170" w:type="pct"/>
            <w:tcBorders>
              <w:tl2br w:val="nil"/>
              <w:tr2bl w:val="nil"/>
            </w:tcBorders>
            <w:noWrap w:val="0"/>
            <w:vAlign w:val="center"/>
          </w:tcPr>
          <w:p w14:paraId="5865190D">
            <w:pPr>
              <w:spacing w:line="240" w:lineRule="auto"/>
              <w:jc w:val="center"/>
              <w:rPr>
                <w:rFonts w:hint="eastAsia"/>
                <w:color w:val="auto"/>
                <w:sz w:val="18"/>
                <w:szCs w:val="18"/>
                <w:lang w:val="en-US" w:eastAsia="zh-CN"/>
              </w:rPr>
            </w:pPr>
            <w:r>
              <w:rPr>
                <w:rFonts w:hint="eastAsia"/>
                <w:color w:val="auto"/>
                <w:sz w:val="18"/>
                <w:szCs w:val="18"/>
                <w:lang w:val="en-US" w:eastAsia="zh-CN"/>
              </w:rPr>
              <w:t>0</w:t>
            </w:r>
          </w:p>
        </w:tc>
        <w:tc>
          <w:tcPr>
            <w:tcW w:w="177" w:type="pct"/>
            <w:tcBorders>
              <w:tl2br w:val="nil"/>
              <w:tr2bl w:val="nil"/>
            </w:tcBorders>
            <w:noWrap w:val="0"/>
            <w:vAlign w:val="center"/>
          </w:tcPr>
          <w:p w14:paraId="78A28F1D">
            <w:pPr>
              <w:jc w:val="center"/>
              <w:rPr>
                <w:rFonts w:hint="eastAsia" w:cs="Times New Roman"/>
                <w:color w:val="auto"/>
                <w:sz w:val="18"/>
                <w:szCs w:val="18"/>
                <w:lang w:val="en-US" w:eastAsia="zh-CN"/>
              </w:rPr>
            </w:pPr>
            <w:r>
              <w:rPr>
                <w:rFonts w:hint="eastAsia" w:cs="Times New Roman"/>
                <w:color w:val="auto"/>
                <w:sz w:val="18"/>
                <w:szCs w:val="18"/>
                <w:lang w:val="en-US" w:eastAsia="zh-CN"/>
              </w:rPr>
              <w:t>50</w:t>
            </w:r>
          </w:p>
        </w:tc>
        <w:tc>
          <w:tcPr>
            <w:tcW w:w="178" w:type="pct"/>
            <w:tcBorders>
              <w:tl2br w:val="nil"/>
              <w:tr2bl w:val="nil"/>
            </w:tcBorders>
            <w:noWrap w:val="0"/>
            <w:vAlign w:val="center"/>
          </w:tcPr>
          <w:p w14:paraId="279FE74A">
            <w:pPr>
              <w:jc w:val="center"/>
              <w:rPr>
                <w:rFonts w:hint="eastAsia" w:cs="Times New Roman"/>
                <w:color w:val="auto"/>
                <w:sz w:val="18"/>
                <w:szCs w:val="18"/>
                <w:lang w:val="en-US" w:eastAsia="zh-CN"/>
              </w:rPr>
            </w:pPr>
            <w:r>
              <w:rPr>
                <w:rFonts w:hint="eastAsia" w:cs="Times New Roman"/>
                <w:color w:val="auto"/>
                <w:sz w:val="18"/>
                <w:szCs w:val="18"/>
                <w:lang w:val="en-US" w:eastAsia="zh-CN"/>
              </w:rPr>
              <w:t>6</w:t>
            </w:r>
          </w:p>
        </w:tc>
        <w:tc>
          <w:tcPr>
            <w:tcW w:w="176" w:type="pct"/>
            <w:tcBorders>
              <w:tl2br w:val="nil"/>
              <w:tr2bl w:val="nil"/>
            </w:tcBorders>
            <w:noWrap w:val="0"/>
            <w:vAlign w:val="center"/>
          </w:tcPr>
          <w:p w14:paraId="452839AA">
            <w:pPr>
              <w:jc w:val="center"/>
              <w:rPr>
                <w:rFonts w:hint="eastAsia" w:cs="Times New Roman"/>
                <w:color w:val="auto"/>
                <w:sz w:val="18"/>
                <w:szCs w:val="18"/>
                <w:lang w:val="en-US" w:eastAsia="zh-CN"/>
              </w:rPr>
            </w:pPr>
            <w:r>
              <w:rPr>
                <w:rFonts w:hint="eastAsia" w:cs="Times New Roman"/>
                <w:color w:val="auto"/>
                <w:sz w:val="18"/>
                <w:szCs w:val="18"/>
                <w:lang w:val="en-US" w:eastAsia="zh-CN"/>
              </w:rPr>
              <w:t>2</w:t>
            </w:r>
          </w:p>
        </w:tc>
        <w:tc>
          <w:tcPr>
            <w:tcW w:w="182" w:type="pct"/>
            <w:tcBorders>
              <w:tl2br w:val="nil"/>
              <w:tr2bl w:val="nil"/>
            </w:tcBorders>
            <w:noWrap w:val="0"/>
            <w:vAlign w:val="center"/>
          </w:tcPr>
          <w:p w14:paraId="0022E20C">
            <w:pPr>
              <w:jc w:val="center"/>
              <w:rPr>
                <w:rFonts w:hint="eastAsia" w:cs="Times New Roman"/>
                <w:color w:val="auto"/>
                <w:sz w:val="18"/>
                <w:szCs w:val="18"/>
                <w:lang w:val="en-US" w:eastAsia="zh-CN"/>
              </w:rPr>
            </w:pPr>
            <w:r>
              <w:rPr>
                <w:rFonts w:hint="eastAsia" w:cs="Times New Roman"/>
                <w:color w:val="auto"/>
                <w:sz w:val="18"/>
                <w:szCs w:val="18"/>
                <w:lang w:val="en-US" w:eastAsia="zh-CN"/>
              </w:rPr>
              <w:t>10</w:t>
            </w:r>
          </w:p>
        </w:tc>
        <w:tc>
          <w:tcPr>
            <w:tcW w:w="489" w:type="dxa"/>
            <w:tcBorders>
              <w:tl2br w:val="nil"/>
              <w:tr2bl w:val="nil"/>
            </w:tcBorders>
            <w:noWrap w:val="0"/>
            <w:vAlign w:val="center"/>
          </w:tcPr>
          <w:p w14:paraId="342D45FE">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23 </w:t>
            </w:r>
          </w:p>
        </w:tc>
        <w:tc>
          <w:tcPr>
            <w:tcW w:w="516" w:type="dxa"/>
            <w:tcBorders>
              <w:tl2br w:val="nil"/>
              <w:tr2bl w:val="nil"/>
            </w:tcBorders>
            <w:noWrap w:val="0"/>
            <w:vAlign w:val="center"/>
          </w:tcPr>
          <w:p w14:paraId="5E1907D3">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41 </w:t>
            </w:r>
          </w:p>
        </w:tc>
        <w:tc>
          <w:tcPr>
            <w:tcW w:w="433" w:type="dxa"/>
            <w:tcBorders>
              <w:tl2br w:val="nil"/>
              <w:tr2bl w:val="nil"/>
            </w:tcBorders>
            <w:noWrap w:val="0"/>
            <w:vAlign w:val="center"/>
          </w:tcPr>
          <w:p w14:paraId="28E8796B">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51 </w:t>
            </w:r>
          </w:p>
        </w:tc>
        <w:tc>
          <w:tcPr>
            <w:tcW w:w="541" w:type="dxa"/>
            <w:tcBorders>
              <w:tl2br w:val="nil"/>
              <w:tr2bl w:val="nil"/>
            </w:tcBorders>
            <w:noWrap w:val="0"/>
            <w:vAlign w:val="center"/>
          </w:tcPr>
          <w:p w14:paraId="4CD344E5">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37 </w:t>
            </w:r>
          </w:p>
        </w:tc>
        <w:tc>
          <w:tcPr>
            <w:tcW w:w="163" w:type="pct"/>
            <w:vMerge w:val="continue"/>
            <w:tcBorders>
              <w:tl2br w:val="nil"/>
              <w:tr2bl w:val="nil"/>
            </w:tcBorders>
            <w:noWrap w:val="0"/>
            <w:vAlign w:val="center"/>
          </w:tcPr>
          <w:p w14:paraId="3260A231">
            <w:pPr>
              <w:spacing w:line="240" w:lineRule="auto"/>
              <w:jc w:val="center"/>
              <w:rPr>
                <w:rFonts w:hint="default" w:ascii="Times New Roman" w:hAnsi="Times New Roman" w:eastAsia="宋体" w:cs="Times New Roman"/>
                <w:color w:val="auto"/>
                <w:sz w:val="18"/>
                <w:szCs w:val="18"/>
                <w:lang w:val="en-US" w:eastAsia="zh-CN"/>
              </w:rPr>
            </w:pPr>
          </w:p>
        </w:tc>
        <w:tc>
          <w:tcPr>
            <w:tcW w:w="208" w:type="pct"/>
            <w:tcBorders>
              <w:tl2br w:val="nil"/>
              <w:tr2bl w:val="nil"/>
            </w:tcBorders>
            <w:noWrap w:val="0"/>
            <w:vAlign w:val="center"/>
          </w:tcPr>
          <w:p w14:paraId="3EE25A94">
            <w:pPr>
              <w:spacing w:line="240" w:lineRule="auto"/>
              <w:jc w:val="center"/>
              <w:rPr>
                <w:rFonts w:hint="eastAsia" w:cs="Times New Roman"/>
                <w:color w:val="auto"/>
                <w:sz w:val="18"/>
                <w:szCs w:val="18"/>
                <w:lang w:val="en-US" w:eastAsia="zh-CN"/>
              </w:rPr>
            </w:pPr>
            <w:r>
              <w:rPr>
                <w:rFonts w:hint="eastAsia" w:cs="Times New Roman"/>
                <w:color w:val="auto"/>
                <w:sz w:val="18"/>
                <w:szCs w:val="18"/>
                <w:lang w:val="en-US" w:eastAsia="zh-CN"/>
              </w:rPr>
              <w:t>20</w:t>
            </w:r>
          </w:p>
        </w:tc>
        <w:tc>
          <w:tcPr>
            <w:tcW w:w="501" w:type="dxa"/>
            <w:tcBorders>
              <w:tl2br w:val="nil"/>
              <w:tr2bl w:val="nil"/>
            </w:tcBorders>
            <w:noWrap w:val="0"/>
            <w:vAlign w:val="center"/>
          </w:tcPr>
          <w:p w14:paraId="19418EBA">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3 </w:t>
            </w:r>
          </w:p>
        </w:tc>
        <w:tc>
          <w:tcPr>
            <w:tcW w:w="555" w:type="dxa"/>
            <w:tcBorders>
              <w:tl2br w:val="nil"/>
              <w:tr2bl w:val="nil"/>
            </w:tcBorders>
            <w:noWrap w:val="0"/>
            <w:vAlign w:val="center"/>
          </w:tcPr>
          <w:p w14:paraId="181660F1">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21 </w:t>
            </w:r>
          </w:p>
        </w:tc>
        <w:tc>
          <w:tcPr>
            <w:tcW w:w="561" w:type="dxa"/>
            <w:tcBorders>
              <w:tl2br w:val="nil"/>
              <w:tr2bl w:val="nil"/>
            </w:tcBorders>
            <w:noWrap w:val="0"/>
            <w:vAlign w:val="center"/>
          </w:tcPr>
          <w:p w14:paraId="7920E905">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31 </w:t>
            </w:r>
          </w:p>
        </w:tc>
        <w:tc>
          <w:tcPr>
            <w:tcW w:w="555" w:type="dxa"/>
            <w:tcBorders>
              <w:tl2br w:val="nil"/>
              <w:tr2bl w:val="nil"/>
            </w:tcBorders>
            <w:noWrap w:val="0"/>
            <w:vAlign w:val="center"/>
          </w:tcPr>
          <w:p w14:paraId="3D9780AA">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17 </w:t>
            </w:r>
          </w:p>
        </w:tc>
        <w:tc>
          <w:tcPr>
            <w:tcW w:w="169" w:type="pct"/>
            <w:tcBorders>
              <w:tl2br w:val="nil"/>
              <w:tr2bl w:val="nil"/>
            </w:tcBorders>
            <w:noWrap w:val="0"/>
            <w:vAlign w:val="center"/>
          </w:tcPr>
          <w:p w14:paraId="5F6E7126">
            <w:pPr>
              <w:spacing w:line="240" w:lineRule="auto"/>
              <w:jc w:val="center"/>
              <w:rPr>
                <w:rFonts w:hint="eastAsia" w:eastAsia="宋体"/>
                <w:color w:val="auto"/>
                <w:sz w:val="18"/>
                <w:szCs w:val="18"/>
                <w:lang w:val="en-US" w:eastAsia="zh-CN"/>
              </w:rPr>
            </w:pPr>
            <w:r>
              <w:rPr>
                <w:rFonts w:hint="eastAsia" w:eastAsia="宋体"/>
                <w:color w:val="auto"/>
                <w:sz w:val="18"/>
                <w:szCs w:val="18"/>
                <w:lang w:val="en-US" w:eastAsia="zh-CN"/>
              </w:rPr>
              <w:t>1</w:t>
            </w:r>
          </w:p>
        </w:tc>
      </w:tr>
      <w:tr w14:paraId="665EB0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0" w:type="pct"/>
            <w:tcBorders>
              <w:tl2br w:val="nil"/>
              <w:tr2bl w:val="nil"/>
            </w:tcBorders>
            <w:noWrap w:val="0"/>
            <w:tcMar>
              <w:left w:w="0" w:type="dxa"/>
              <w:right w:w="0" w:type="dxa"/>
            </w:tcMar>
            <w:vAlign w:val="center"/>
          </w:tcPr>
          <w:p w14:paraId="26391495">
            <w:pPr>
              <w:spacing w:line="240" w:lineRule="auto"/>
              <w:jc w:val="center"/>
              <w:rPr>
                <w:rFonts w:hint="eastAsia" w:eastAsia="宋体"/>
                <w:color w:val="auto"/>
                <w:sz w:val="18"/>
                <w:szCs w:val="18"/>
                <w:lang w:val="en-US" w:eastAsia="zh-CN"/>
              </w:rPr>
            </w:pPr>
            <w:r>
              <w:rPr>
                <w:rFonts w:hint="eastAsia"/>
                <w:color w:val="auto"/>
                <w:sz w:val="18"/>
                <w:szCs w:val="18"/>
                <w:lang w:val="en-US" w:eastAsia="zh-CN"/>
              </w:rPr>
              <w:t>5</w:t>
            </w:r>
          </w:p>
        </w:tc>
        <w:tc>
          <w:tcPr>
            <w:tcW w:w="135" w:type="pct"/>
            <w:vMerge w:val="continue"/>
            <w:tcBorders>
              <w:tl2br w:val="nil"/>
              <w:tr2bl w:val="nil"/>
            </w:tcBorders>
            <w:noWrap w:val="0"/>
            <w:tcMar>
              <w:left w:w="0" w:type="dxa"/>
              <w:right w:w="0" w:type="dxa"/>
            </w:tcMar>
            <w:vAlign w:val="center"/>
          </w:tcPr>
          <w:p w14:paraId="04BED291">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p>
        </w:tc>
        <w:tc>
          <w:tcPr>
            <w:tcW w:w="405" w:type="pct"/>
            <w:tcBorders>
              <w:tl2br w:val="nil"/>
              <w:tr2bl w:val="nil"/>
            </w:tcBorders>
            <w:shd w:val="clear" w:color="auto" w:fill="auto"/>
            <w:noWrap w:val="0"/>
            <w:tcMar>
              <w:left w:w="0" w:type="dxa"/>
              <w:right w:w="0" w:type="dxa"/>
            </w:tcMar>
            <w:vAlign w:val="center"/>
          </w:tcPr>
          <w:p w14:paraId="66CC4613">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HC</w:t>
            </w:r>
            <w:r>
              <w:rPr>
                <w:rStyle w:val="71"/>
                <w:color w:val="auto"/>
                <w:lang w:val="en-US" w:eastAsia="zh-CN" w:bidi="ar"/>
              </w:rPr>
              <w:t>喷涂转固化炉机器人</w:t>
            </w:r>
          </w:p>
        </w:tc>
        <w:tc>
          <w:tcPr>
            <w:tcW w:w="342" w:type="pct"/>
            <w:tcBorders>
              <w:tl2br w:val="nil"/>
              <w:tr2bl w:val="nil"/>
            </w:tcBorders>
            <w:noWrap w:val="0"/>
            <w:tcMar>
              <w:left w:w="0" w:type="dxa"/>
              <w:right w:w="0" w:type="dxa"/>
            </w:tcMar>
            <w:vAlign w:val="center"/>
          </w:tcPr>
          <w:p w14:paraId="65E4DB82">
            <w:pPr>
              <w:keepNext w:val="0"/>
              <w:keepLines w:val="0"/>
              <w:widowControl/>
              <w:suppressLineNumbers w:val="0"/>
              <w:spacing w:line="240" w:lineRule="auto"/>
              <w:jc w:val="center"/>
              <w:textAlignment w:val="center"/>
              <w:rPr>
                <w:rFonts w:hint="eastAsia" w:cs="Times New Roman"/>
                <w:b w:val="0"/>
                <w:bCs w:val="0"/>
                <w:color w:val="auto"/>
                <w:kern w:val="0"/>
                <w:sz w:val="18"/>
                <w:szCs w:val="18"/>
                <w:lang w:val="en-US" w:eastAsia="zh-CN" w:bidi="ar-SA"/>
              </w:rPr>
            </w:pPr>
            <w:r>
              <w:rPr>
                <w:rFonts w:hint="eastAsia" w:cs="Times New Roman"/>
                <w:b w:val="0"/>
                <w:bCs w:val="0"/>
                <w:color w:val="auto"/>
                <w:kern w:val="0"/>
                <w:sz w:val="18"/>
                <w:szCs w:val="18"/>
                <w:lang w:val="en-US" w:eastAsia="zh-CN" w:bidi="ar-SA"/>
              </w:rPr>
              <w:t>/</w:t>
            </w:r>
          </w:p>
        </w:tc>
        <w:tc>
          <w:tcPr>
            <w:tcW w:w="181" w:type="pct"/>
            <w:tcBorders>
              <w:tl2br w:val="nil"/>
              <w:tr2bl w:val="nil"/>
            </w:tcBorders>
            <w:noWrap w:val="0"/>
            <w:tcMar>
              <w:left w:w="0" w:type="dxa"/>
              <w:right w:w="0" w:type="dxa"/>
            </w:tcMar>
            <w:vAlign w:val="center"/>
          </w:tcPr>
          <w:p w14:paraId="0163897A">
            <w:pPr>
              <w:keepNext w:val="0"/>
              <w:keepLines w:val="0"/>
              <w:widowControl/>
              <w:suppressLineNumbers w:val="0"/>
              <w:jc w:val="center"/>
              <w:textAlignment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219" w:type="pct"/>
            <w:tcBorders>
              <w:tl2br w:val="nil"/>
              <w:tr2bl w:val="nil"/>
            </w:tcBorders>
            <w:noWrap w:val="0"/>
            <w:vAlign w:val="center"/>
          </w:tcPr>
          <w:p w14:paraId="62E1C0FC">
            <w:pPr>
              <w:jc w:val="center"/>
              <w:rPr>
                <w:rFonts w:hint="default"/>
                <w:bCs/>
                <w:color w:val="auto"/>
                <w:sz w:val="18"/>
                <w:szCs w:val="18"/>
                <w:lang w:val="en-US" w:eastAsia="zh-CN"/>
              </w:rPr>
            </w:pPr>
            <w:r>
              <w:rPr>
                <w:rFonts w:hint="eastAsia"/>
                <w:bCs/>
                <w:color w:val="auto"/>
                <w:sz w:val="18"/>
                <w:szCs w:val="18"/>
                <w:lang w:val="en-US" w:eastAsia="zh-CN"/>
              </w:rPr>
              <w:t>65</w:t>
            </w:r>
          </w:p>
        </w:tc>
        <w:tc>
          <w:tcPr>
            <w:tcW w:w="627" w:type="dxa"/>
            <w:tcBorders>
              <w:tl2br w:val="nil"/>
              <w:tr2bl w:val="nil"/>
            </w:tcBorders>
            <w:noWrap w:val="0"/>
            <w:vAlign w:val="center"/>
          </w:tcPr>
          <w:p w14:paraId="3886758C">
            <w:pPr>
              <w:jc w:val="center"/>
              <w:rPr>
                <w:rFonts w:hint="eastAsia"/>
                <w:bCs/>
                <w:color w:val="auto"/>
                <w:sz w:val="18"/>
                <w:szCs w:val="18"/>
                <w:lang w:val="en-US" w:eastAsia="zh-CN"/>
              </w:rPr>
            </w:pPr>
            <w:r>
              <w:rPr>
                <w:rFonts w:hint="eastAsia"/>
                <w:bCs/>
                <w:color w:val="auto"/>
                <w:sz w:val="18"/>
                <w:szCs w:val="18"/>
                <w:lang w:val="en-US" w:eastAsia="zh-CN"/>
              </w:rPr>
              <w:t>65</w:t>
            </w:r>
          </w:p>
        </w:tc>
        <w:tc>
          <w:tcPr>
            <w:tcW w:w="164" w:type="pct"/>
            <w:vMerge w:val="continue"/>
            <w:tcBorders>
              <w:tl2br w:val="nil"/>
              <w:tr2bl w:val="nil"/>
            </w:tcBorders>
            <w:noWrap w:val="0"/>
            <w:vAlign w:val="center"/>
          </w:tcPr>
          <w:p w14:paraId="34BFD565">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p>
        </w:tc>
        <w:tc>
          <w:tcPr>
            <w:tcW w:w="157" w:type="pct"/>
            <w:tcBorders>
              <w:tl2br w:val="nil"/>
              <w:tr2bl w:val="nil"/>
            </w:tcBorders>
            <w:noWrap w:val="0"/>
            <w:vAlign w:val="center"/>
          </w:tcPr>
          <w:p w14:paraId="53B5F3D1">
            <w:pPr>
              <w:jc w:val="center"/>
              <w:rPr>
                <w:rFonts w:hint="eastAsia" w:cs="Times New Roman"/>
                <w:color w:val="auto"/>
                <w:sz w:val="18"/>
                <w:szCs w:val="18"/>
                <w:lang w:val="en-US" w:eastAsia="zh-CN"/>
              </w:rPr>
            </w:pPr>
            <w:r>
              <w:rPr>
                <w:rFonts w:hint="eastAsia" w:cs="Times New Roman"/>
                <w:color w:val="auto"/>
                <w:sz w:val="18"/>
                <w:szCs w:val="18"/>
                <w:lang w:val="en-US" w:eastAsia="zh-CN"/>
              </w:rPr>
              <w:t>2</w:t>
            </w:r>
          </w:p>
        </w:tc>
        <w:tc>
          <w:tcPr>
            <w:tcW w:w="171" w:type="pct"/>
            <w:tcBorders>
              <w:tl2br w:val="nil"/>
              <w:tr2bl w:val="nil"/>
            </w:tcBorders>
            <w:noWrap w:val="0"/>
            <w:vAlign w:val="center"/>
          </w:tcPr>
          <w:p w14:paraId="196510F6">
            <w:pPr>
              <w:jc w:val="center"/>
              <w:rPr>
                <w:rFonts w:hint="eastAsia" w:cs="Times New Roman"/>
                <w:color w:val="auto"/>
                <w:sz w:val="18"/>
                <w:szCs w:val="18"/>
                <w:lang w:val="en-US" w:eastAsia="zh-CN"/>
              </w:rPr>
            </w:pPr>
            <w:r>
              <w:rPr>
                <w:rFonts w:hint="eastAsia" w:cs="Times New Roman"/>
                <w:color w:val="auto"/>
                <w:sz w:val="18"/>
                <w:szCs w:val="18"/>
                <w:lang w:val="en-US" w:eastAsia="zh-CN"/>
              </w:rPr>
              <w:t>6</w:t>
            </w:r>
          </w:p>
        </w:tc>
        <w:tc>
          <w:tcPr>
            <w:tcW w:w="170" w:type="pct"/>
            <w:tcBorders>
              <w:tl2br w:val="nil"/>
              <w:tr2bl w:val="nil"/>
            </w:tcBorders>
            <w:noWrap w:val="0"/>
            <w:vAlign w:val="center"/>
          </w:tcPr>
          <w:p w14:paraId="791F2A6D">
            <w:pPr>
              <w:spacing w:line="240" w:lineRule="auto"/>
              <w:jc w:val="center"/>
              <w:rPr>
                <w:rFonts w:hint="eastAsia"/>
                <w:color w:val="auto"/>
                <w:sz w:val="18"/>
                <w:szCs w:val="18"/>
                <w:lang w:val="en-US" w:eastAsia="zh-CN"/>
              </w:rPr>
            </w:pPr>
            <w:r>
              <w:rPr>
                <w:rFonts w:hint="eastAsia"/>
                <w:color w:val="auto"/>
                <w:sz w:val="18"/>
                <w:szCs w:val="18"/>
                <w:lang w:val="en-US" w:eastAsia="zh-CN"/>
              </w:rPr>
              <w:t>0</w:t>
            </w:r>
          </w:p>
        </w:tc>
        <w:tc>
          <w:tcPr>
            <w:tcW w:w="177" w:type="pct"/>
            <w:tcBorders>
              <w:tl2br w:val="nil"/>
              <w:tr2bl w:val="nil"/>
            </w:tcBorders>
            <w:noWrap w:val="0"/>
            <w:vAlign w:val="center"/>
          </w:tcPr>
          <w:p w14:paraId="5557E162">
            <w:pPr>
              <w:jc w:val="center"/>
              <w:rPr>
                <w:rFonts w:hint="eastAsia" w:cs="Times New Roman"/>
                <w:color w:val="auto"/>
                <w:sz w:val="18"/>
                <w:szCs w:val="18"/>
                <w:lang w:val="en-US" w:eastAsia="zh-CN"/>
              </w:rPr>
            </w:pPr>
            <w:r>
              <w:rPr>
                <w:rFonts w:hint="eastAsia" w:cs="Times New Roman"/>
                <w:color w:val="auto"/>
                <w:sz w:val="18"/>
                <w:szCs w:val="18"/>
                <w:lang w:val="en-US" w:eastAsia="zh-CN"/>
              </w:rPr>
              <w:t>50</w:t>
            </w:r>
          </w:p>
        </w:tc>
        <w:tc>
          <w:tcPr>
            <w:tcW w:w="178" w:type="pct"/>
            <w:tcBorders>
              <w:tl2br w:val="nil"/>
              <w:tr2bl w:val="nil"/>
            </w:tcBorders>
            <w:noWrap w:val="0"/>
            <w:vAlign w:val="center"/>
          </w:tcPr>
          <w:p w14:paraId="4B21482F">
            <w:pPr>
              <w:jc w:val="center"/>
              <w:rPr>
                <w:rFonts w:hint="eastAsia" w:cs="Times New Roman"/>
                <w:color w:val="auto"/>
                <w:sz w:val="18"/>
                <w:szCs w:val="18"/>
                <w:lang w:val="en-US" w:eastAsia="zh-CN"/>
              </w:rPr>
            </w:pPr>
            <w:r>
              <w:rPr>
                <w:rFonts w:hint="eastAsia" w:cs="Times New Roman"/>
                <w:color w:val="auto"/>
                <w:sz w:val="18"/>
                <w:szCs w:val="18"/>
                <w:lang w:val="en-US" w:eastAsia="zh-CN"/>
              </w:rPr>
              <w:t>6</w:t>
            </w:r>
          </w:p>
        </w:tc>
        <w:tc>
          <w:tcPr>
            <w:tcW w:w="176" w:type="pct"/>
            <w:tcBorders>
              <w:tl2br w:val="nil"/>
              <w:tr2bl w:val="nil"/>
            </w:tcBorders>
            <w:noWrap w:val="0"/>
            <w:vAlign w:val="center"/>
          </w:tcPr>
          <w:p w14:paraId="23AB4C93">
            <w:pPr>
              <w:jc w:val="center"/>
              <w:rPr>
                <w:rFonts w:hint="eastAsia" w:cs="Times New Roman"/>
                <w:color w:val="auto"/>
                <w:sz w:val="18"/>
                <w:szCs w:val="18"/>
                <w:lang w:val="en-US" w:eastAsia="zh-CN"/>
              </w:rPr>
            </w:pPr>
            <w:r>
              <w:rPr>
                <w:rFonts w:hint="eastAsia" w:cs="Times New Roman"/>
                <w:color w:val="auto"/>
                <w:sz w:val="18"/>
                <w:szCs w:val="18"/>
                <w:lang w:val="en-US" w:eastAsia="zh-CN"/>
              </w:rPr>
              <w:t>2</w:t>
            </w:r>
          </w:p>
        </w:tc>
        <w:tc>
          <w:tcPr>
            <w:tcW w:w="182" w:type="pct"/>
            <w:tcBorders>
              <w:tl2br w:val="nil"/>
              <w:tr2bl w:val="nil"/>
            </w:tcBorders>
            <w:noWrap w:val="0"/>
            <w:vAlign w:val="center"/>
          </w:tcPr>
          <w:p w14:paraId="35D82FD9">
            <w:pPr>
              <w:jc w:val="center"/>
              <w:rPr>
                <w:rFonts w:hint="eastAsia" w:cs="Times New Roman"/>
                <w:color w:val="auto"/>
                <w:sz w:val="18"/>
                <w:szCs w:val="18"/>
                <w:lang w:val="en-US" w:eastAsia="zh-CN"/>
              </w:rPr>
            </w:pPr>
            <w:r>
              <w:rPr>
                <w:rFonts w:hint="eastAsia" w:cs="Times New Roman"/>
                <w:color w:val="auto"/>
                <w:sz w:val="18"/>
                <w:szCs w:val="18"/>
                <w:lang w:val="en-US" w:eastAsia="zh-CN"/>
              </w:rPr>
              <w:t>10</w:t>
            </w:r>
          </w:p>
        </w:tc>
        <w:tc>
          <w:tcPr>
            <w:tcW w:w="489" w:type="dxa"/>
            <w:tcBorders>
              <w:tl2br w:val="nil"/>
              <w:tr2bl w:val="nil"/>
            </w:tcBorders>
            <w:noWrap w:val="0"/>
            <w:vAlign w:val="center"/>
          </w:tcPr>
          <w:p w14:paraId="74C95AEE">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23 </w:t>
            </w:r>
          </w:p>
        </w:tc>
        <w:tc>
          <w:tcPr>
            <w:tcW w:w="516" w:type="dxa"/>
            <w:tcBorders>
              <w:tl2br w:val="nil"/>
              <w:tr2bl w:val="nil"/>
            </w:tcBorders>
            <w:noWrap w:val="0"/>
            <w:vAlign w:val="center"/>
          </w:tcPr>
          <w:p w14:paraId="69BD8563">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41 </w:t>
            </w:r>
          </w:p>
        </w:tc>
        <w:tc>
          <w:tcPr>
            <w:tcW w:w="433" w:type="dxa"/>
            <w:tcBorders>
              <w:tl2br w:val="nil"/>
              <w:tr2bl w:val="nil"/>
            </w:tcBorders>
            <w:noWrap w:val="0"/>
            <w:vAlign w:val="center"/>
          </w:tcPr>
          <w:p w14:paraId="309A95DF">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51 </w:t>
            </w:r>
          </w:p>
        </w:tc>
        <w:tc>
          <w:tcPr>
            <w:tcW w:w="541" w:type="dxa"/>
            <w:tcBorders>
              <w:tl2br w:val="nil"/>
              <w:tr2bl w:val="nil"/>
            </w:tcBorders>
            <w:noWrap w:val="0"/>
            <w:vAlign w:val="center"/>
          </w:tcPr>
          <w:p w14:paraId="4A724BF2">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37 </w:t>
            </w:r>
          </w:p>
        </w:tc>
        <w:tc>
          <w:tcPr>
            <w:tcW w:w="163" w:type="pct"/>
            <w:vMerge w:val="continue"/>
            <w:tcBorders>
              <w:tl2br w:val="nil"/>
              <w:tr2bl w:val="nil"/>
            </w:tcBorders>
            <w:noWrap w:val="0"/>
            <w:vAlign w:val="center"/>
          </w:tcPr>
          <w:p w14:paraId="4FE9AB9D">
            <w:pPr>
              <w:spacing w:line="240" w:lineRule="auto"/>
              <w:jc w:val="center"/>
              <w:rPr>
                <w:rFonts w:hint="default" w:ascii="Times New Roman" w:hAnsi="Times New Roman" w:eastAsia="宋体" w:cs="Times New Roman"/>
                <w:color w:val="auto"/>
                <w:sz w:val="18"/>
                <w:szCs w:val="18"/>
                <w:lang w:val="en-US" w:eastAsia="zh-CN"/>
              </w:rPr>
            </w:pPr>
          </w:p>
        </w:tc>
        <w:tc>
          <w:tcPr>
            <w:tcW w:w="208" w:type="pct"/>
            <w:tcBorders>
              <w:tl2br w:val="nil"/>
              <w:tr2bl w:val="nil"/>
            </w:tcBorders>
            <w:noWrap w:val="0"/>
            <w:vAlign w:val="center"/>
          </w:tcPr>
          <w:p w14:paraId="2AE38F44">
            <w:pPr>
              <w:spacing w:line="240" w:lineRule="auto"/>
              <w:jc w:val="center"/>
              <w:rPr>
                <w:rFonts w:hint="eastAsia" w:cs="Times New Roman"/>
                <w:color w:val="auto"/>
                <w:sz w:val="18"/>
                <w:szCs w:val="18"/>
                <w:lang w:val="en-US" w:eastAsia="zh-CN"/>
              </w:rPr>
            </w:pPr>
            <w:r>
              <w:rPr>
                <w:rFonts w:hint="eastAsia" w:cs="Times New Roman"/>
                <w:color w:val="auto"/>
                <w:sz w:val="18"/>
                <w:szCs w:val="18"/>
                <w:lang w:val="en-US" w:eastAsia="zh-CN"/>
              </w:rPr>
              <w:t>20</w:t>
            </w:r>
          </w:p>
        </w:tc>
        <w:tc>
          <w:tcPr>
            <w:tcW w:w="501" w:type="dxa"/>
            <w:tcBorders>
              <w:tl2br w:val="nil"/>
              <w:tr2bl w:val="nil"/>
            </w:tcBorders>
            <w:noWrap w:val="0"/>
            <w:vAlign w:val="center"/>
          </w:tcPr>
          <w:p w14:paraId="5A8A58D8">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3 </w:t>
            </w:r>
          </w:p>
        </w:tc>
        <w:tc>
          <w:tcPr>
            <w:tcW w:w="555" w:type="dxa"/>
            <w:tcBorders>
              <w:tl2br w:val="nil"/>
              <w:tr2bl w:val="nil"/>
            </w:tcBorders>
            <w:noWrap w:val="0"/>
            <w:vAlign w:val="center"/>
          </w:tcPr>
          <w:p w14:paraId="7C43C728">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21 </w:t>
            </w:r>
          </w:p>
        </w:tc>
        <w:tc>
          <w:tcPr>
            <w:tcW w:w="561" w:type="dxa"/>
            <w:tcBorders>
              <w:tl2br w:val="nil"/>
              <w:tr2bl w:val="nil"/>
            </w:tcBorders>
            <w:noWrap w:val="0"/>
            <w:vAlign w:val="center"/>
          </w:tcPr>
          <w:p w14:paraId="6FF82F20">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31 </w:t>
            </w:r>
          </w:p>
        </w:tc>
        <w:tc>
          <w:tcPr>
            <w:tcW w:w="555" w:type="dxa"/>
            <w:tcBorders>
              <w:tl2br w:val="nil"/>
              <w:tr2bl w:val="nil"/>
            </w:tcBorders>
            <w:noWrap w:val="0"/>
            <w:vAlign w:val="center"/>
          </w:tcPr>
          <w:p w14:paraId="09ADFFE5">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17 </w:t>
            </w:r>
          </w:p>
        </w:tc>
        <w:tc>
          <w:tcPr>
            <w:tcW w:w="169" w:type="pct"/>
            <w:tcBorders>
              <w:tl2br w:val="nil"/>
              <w:tr2bl w:val="nil"/>
            </w:tcBorders>
            <w:noWrap w:val="0"/>
            <w:vAlign w:val="center"/>
          </w:tcPr>
          <w:p w14:paraId="49AF76AC">
            <w:pPr>
              <w:spacing w:line="240" w:lineRule="auto"/>
              <w:jc w:val="center"/>
              <w:rPr>
                <w:rFonts w:hint="eastAsia" w:eastAsia="宋体"/>
                <w:color w:val="auto"/>
                <w:sz w:val="18"/>
                <w:szCs w:val="18"/>
                <w:lang w:val="en-US" w:eastAsia="zh-CN"/>
              </w:rPr>
            </w:pPr>
            <w:r>
              <w:rPr>
                <w:rFonts w:hint="eastAsia" w:eastAsia="宋体"/>
                <w:color w:val="auto"/>
                <w:sz w:val="18"/>
                <w:szCs w:val="18"/>
                <w:lang w:val="en-US" w:eastAsia="zh-CN"/>
              </w:rPr>
              <w:t>1</w:t>
            </w:r>
          </w:p>
        </w:tc>
      </w:tr>
      <w:tr w14:paraId="2DABB4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0" w:type="pct"/>
            <w:tcBorders>
              <w:tl2br w:val="nil"/>
              <w:tr2bl w:val="nil"/>
            </w:tcBorders>
            <w:noWrap w:val="0"/>
            <w:tcMar>
              <w:left w:w="0" w:type="dxa"/>
              <w:right w:w="0" w:type="dxa"/>
            </w:tcMar>
            <w:vAlign w:val="center"/>
          </w:tcPr>
          <w:p w14:paraId="6581B4BD">
            <w:pPr>
              <w:spacing w:line="240" w:lineRule="auto"/>
              <w:jc w:val="center"/>
              <w:rPr>
                <w:rFonts w:hint="eastAsia" w:eastAsia="宋体"/>
                <w:color w:val="auto"/>
                <w:sz w:val="18"/>
                <w:szCs w:val="18"/>
                <w:lang w:val="en-US" w:eastAsia="zh-CN"/>
              </w:rPr>
            </w:pPr>
            <w:r>
              <w:rPr>
                <w:rFonts w:hint="eastAsia"/>
                <w:color w:val="auto"/>
                <w:sz w:val="18"/>
                <w:szCs w:val="18"/>
                <w:lang w:val="en-US" w:eastAsia="zh-CN"/>
              </w:rPr>
              <w:t>6</w:t>
            </w:r>
          </w:p>
        </w:tc>
        <w:tc>
          <w:tcPr>
            <w:tcW w:w="135" w:type="pct"/>
            <w:vMerge w:val="continue"/>
            <w:tcBorders>
              <w:tl2br w:val="nil"/>
              <w:tr2bl w:val="nil"/>
            </w:tcBorders>
            <w:noWrap w:val="0"/>
            <w:tcMar>
              <w:left w:w="0" w:type="dxa"/>
              <w:right w:w="0" w:type="dxa"/>
            </w:tcMar>
            <w:vAlign w:val="center"/>
          </w:tcPr>
          <w:p w14:paraId="1AAB4BA9">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p>
        </w:tc>
        <w:tc>
          <w:tcPr>
            <w:tcW w:w="405" w:type="pct"/>
            <w:tcBorders>
              <w:tl2br w:val="nil"/>
              <w:tr2bl w:val="nil"/>
            </w:tcBorders>
            <w:shd w:val="clear" w:color="auto" w:fill="auto"/>
            <w:noWrap w:val="0"/>
            <w:tcMar>
              <w:left w:w="0" w:type="dxa"/>
              <w:right w:w="0" w:type="dxa"/>
            </w:tcMar>
            <w:vAlign w:val="center"/>
          </w:tcPr>
          <w:p w14:paraId="155B6437">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HC</w:t>
            </w:r>
            <w:r>
              <w:rPr>
                <w:rStyle w:val="71"/>
                <w:color w:val="auto"/>
                <w:lang w:val="en-US" w:eastAsia="zh-CN" w:bidi="ar"/>
              </w:rPr>
              <w:t>光固化炉</w:t>
            </w:r>
          </w:p>
        </w:tc>
        <w:tc>
          <w:tcPr>
            <w:tcW w:w="342" w:type="pct"/>
            <w:tcBorders>
              <w:tl2br w:val="nil"/>
              <w:tr2bl w:val="nil"/>
            </w:tcBorders>
            <w:noWrap w:val="0"/>
            <w:tcMar>
              <w:left w:w="0" w:type="dxa"/>
              <w:right w:w="0" w:type="dxa"/>
            </w:tcMar>
            <w:vAlign w:val="center"/>
          </w:tcPr>
          <w:p w14:paraId="2FB69717">
            <w:pPr>
              <w:keepNext w:val="0"/>
              <w:keepLines w:val="0"/>
              <w:widowControl/>
              <w:suppressLineNumbers w:val="0"/>
              <w:spacing w:line="240" w:lineRule="auto"/>
              <w:jc w:val="center"/>
              <w:textAlignment w:val="center"/>
              <w:rPr>
                <w:rFonts w:hint="eastAsia" w:cs="Times New Roman"/>
                <w:b w:val="0"/>
                <w:bCs w:val="0"/>
                <w:color w:val="auto"/>
                <w:kern w:val="0"/>
                <w:sz w:val="18"/>
                <w:szCs w:val="18"/>
                <w:lang w:val="en-US" w:eastAsia="zh-CN" w:bidi="ar-SA"/>
              </w:rPr>
            </w:pPr>
            <w:r>
              <w:rPr>
                <w:rFonts w:hint="eastAsia" w:cs="Times New Roman"/>
                <w:b w:val="0"/>
                <w:bCs w:val="0"/>
                <w:color w:val="auto"/>
                <w:kern w:val="0"/>
                <w:sz w:val="18"/>
                <w:szCs w:val="18"/>
                <w:lang w:val="en-US" w:eastAsia="zh-CN" w:bidi="ar-SA"/>
              </w:rPr>
              <w:t>/</w:t>
            </w:r>
          </w:p>
        </w:tc>
        <w:tc>
          <w:tcPr>
            <w:tcW w:w="181" w:type="pct"/>
            <w:tcBorders>
              <w:tl2br w:val="nil"/>
              <w:tr2bl w:val="nil"/>
            </w:tcBorders>
            <w:noWrap w:val="0"/>
            <w:tcMar>
              <w:left w:w="0" w:type="dxa"/>
              <w:right w:w="0" w:type="dxa"/>
            </w:tcMar>
            <w:vAlign w:val="center"/>
          </w:tcPr>
          <w:p w14:paraId="11C49964">
            <w:pPr>
              <w:keepNext w:val="0"/>
              <w:keepLines w:val="0"/>
              <w:widowControl/>
              <w:suppressLineNumbers w:val="0"/>
              <w:jc w:val="center"/>
              <w:textAlignment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219" w:type="pct"/>
            <w:tcBorders>
              <w:tl2br w:val="nil"/>
              <w:tr2bl w:val="nil"/>
            </w:tcBorders>
            <w:noWrap w:val="0"/>
            <w:vAlign w:val="center"/>
          </w:tcPr>
          <w:p w14:paraId="13A02F4C">
            <w:pPr>
              <w:jc w:val="center"/>
              <w:rPr>
                <w:rFonts w:hint="default"/>
                <w:bCs/>
                <w:color w:val="auto"/>
                <w:sz w:val="18"/>
                <w:szCs w:val="18"/>
                <w:lang w:val="en-US" w:eastAsia="zh-CN"/>
              </w:rPr>
            </w:pPr>
            <w:r>
              <w:rPr>
                <w:rFonts w:hint="eastAsia"/>
                <w:bCs/>
                <w:color w:val="auto"/>
                <w:sz w:val="18"/>
                <w:szCs w:val="18"/>
                <w:lang w:val="en-US" w:eastAsia="zh-CN"/>
              </w:rPr>
              <w:t>75</w:t>
            </w:r>
          </w:p>
        </w:tc>
        <w:tc>
          <w:tcPr>
            <w:tcW w:w="627" w:type="dxa"/>
            <w:tcBorders>
              <w:tl2br w:val="nil"/>
              <w:tr2bl w:val="nil"/>
            </w:tcBorders>
            <w:noWrap w:val="0"/>
            <w:vAlign w:val="center"/>
          </w:tcPr>
          <w:p w14:paraId="51B35DCE">
            <w:pPr>
              <w:jc w:val="center"/>
              <w:rPr>
                <w:rFonts w:hint="eastAsia"/>
                <w:bCs/>
                <w:color w:val="auto"/>
                <w:sz w:val="18"/>
                <w:szCs w:val="18"/>
                <w:lang w:val="en-US" w:eastAsia="zh-CN"/>
              </w:rPr>
            </w:pPr>
            <w:r>
              <w:rPr>
                <w:rFonts w:hint="eastAsia"/>
                <w:bCs/>
                <w:color w:val="auto"/>
                <w:sz w:val="18"/>
                <w:szCs w:val="18"/>
                <w:lang w:val="en-US" w:eastAsia="zh-CN"/>
              </w:rPr>
              <w:t>75</w:t>
            </w:r>
          </w:p>
        </w:tc>
        <w:tc>
          <w:tcPr>
            <w:tcW w:w="164" w:type="pct"/>
            <w:vMerge w:val="continue"/>
            <w:tcBorders>
              <w:tl2br w:val="nil"/>
              <w:tr2bl w:val="nil"/>
            </w:tcBorders>
            <w:noWrap w:val="0"/>
            <w:vAlign w:val="center"/>
          </w:tcPr>
          <w:p w14:paraId="6E5451DC">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p>
        </w:tc>
        <w:tc>
          <w:tcPr>
            <w:tcW w:w="157" w:type="pct"/>
            <w:tcBorders>
              <w:tl2br w:val="nil"/>
              <w:tr2bl w:val="nil"/>
            </w:tcBorders>
            <w:noWrap w:val="0"/>
            <w:vAlign w:val="center"/>
          </w:tcPr>
          <w:p w14:paraId="67621C20">
            <w:pPr>
              <w:jc w:val="center"/>
              <w:rPr>
                <w:rFonts w:hint="eastAsia" w:cs="Times New Roman"/>
                <w:color w:val="auto"/>
                <w:sz w:val="18"/>
                <w:szCs w:val="18"/>
                <w:lang w:val="en-US" w:eastAsia="zh-CN"/>
              </w:rPr>
            </w:pPr>
            <w:r>
              <w:rPr>
                <w:rFonts w:hint="eastAsia" w:cs="Times New Roman"/>
                <w:color w:val="auto"/>
                <w:sz w:val="18"/>
                <w:szCs w:val="18"/>
                <w:lang w:val="en-US" w:eastAsia="zh-CN"/>
              </w:rPr>
              <w:t>2</w:t>
            </w:r>
          </w:p>
        </w:tc>
        <w:tc>
          <w:tcPr>
            <w:tcW w:w="171" w:type="pct"/>
            <w:tcBorders>
              <w:tl2br w:val="nil"/>
              <w:tr2bl w:val="nil"/>
            </w:tcBorders>
            <w:noWrap w:val="0"/>
            <w:vAlign w:val="center"/>
          </w:tcPr>
          <w:p w14:paraId="55AEB05C">
            <w:pPr>
              <w:jc w:val="center"/>
              <w:rPr>
                <w:rFonts w:hint="eastAsia" w:cs="Times New Roman"/>
                <w:color w:val="auto"/>
                <w:sz w:val="18"/>
                <w:szCs w:val="18"/>
                <w:lang w:val="en-US" w:eastAsia="zh-CN"/>
              </w:rPr>
            </w:pPr>
            <w:r>
              <w:rPr>
                <w:rFonts w:hint="eastAsia" w:cs="Times New Roman"/>
                <w:color w:val="auto"/>
                <w:sz w:val="18"/>
                <w:szCs w:val="18"/>
                <w:lang w:val="en-US" w:eastAsia="zh-CN"/>
              </w:rPr>
              <w:t>6</w:t>
            </w:r>
          </w:p>
        </w:tc>
        <w:tc>
          <w:tcPr>
            <w:tcW w:w="170" w:type="pct"/>
            <w:tcBorders>
              <w:tl2br w:val="nil"/>
              <w:tr2bl w:val="nil"/>
            </w:tcBorders>
            <w:noWrap w:val="0"/>
            <w:vAlign w:val="center"/>
          </w:tcPr>
          <w:p w14:paraId="1F30A01F">
            <w:pPr>
              <w:spacing w:line="240" w:lineRule="auto"/>
              <w:jc w:val="center"/>
              <w:rPr>
                <w:rFonts w:hint="eastAsia"/>
                <w:color w:val="auto"/>
                <w:sz w:val="18"/>
                <w:szCs w:val="18"/>
                <w:lang w:val="en-US" w:eastAsia="zh-CN"/>
              </w:rPr>
            </w:pPr>
            <w:r>
              <w:rPr>
                <w:rFonts w:hint="eastAsia"/>
                <w:color w:val="auto"/>
                <w:sz w:val="18"/>
                <w:szCs w:val="18"/>
                <w:lang w:val="en-US" w:eastAsia="zh-CN"/>
              </w:rPr>
              <w:t>0</w:t>
            </w:r>
          </w:p>
        </w:tc>
        <w:tc>
          <w:tcPr>
            <w:tcW w:w="177" w:type="pct"/>
            <w:tcBorders>
              <w:tl2br w:val="nil"/>
              <w:tr2bl w:val="nil"/>
            </w:tcBorders>
            <w:noWrap w:val="0"/>
            <w:vAlign w:val="center"/>
          </w:tcPr>
          <w:p w14:paraId="76D088B4">
            <w:pPr>
              <w:jc w:val="center"/>
              <w:rPr>
                <w:rFonts w:hint="eastAsia" w:cs="Times New Roman"/>
                <w:color w:val="auto"/>
                <w:sz w:val="18"/>
                <w:szCs w:val="18"/>
                <w:lang w:val="en-US" w:eastAsia="zh-CN"/>
              </w:rPr>
            </w:pPr>
            <w:r>
              <w:rPr>
                <w:rFonts w:hint="eastAsia" w:cs="Times New Roman"/>
                <w:color w:val="auto"/>
                <w:sz w:val="18"/>
                <w:szCs w:val="18"/>
                <w:lang w:val="en-US" w:eastAsia="zh-CN"/>
              </w:rPr>
              <w:t>50</w:t>
            </w:r>
          </w:p>
        </w:tc>
        <w:tc>
          <w:tcPr>
            <w:tcW w:w="178" w:type="pct"/>
            <w:tcBorders>
              <w:tl2br w:val="nil"/>
              <w:tr2bl w:val="nil"/>
            </w:tcBorders>
            <w:noWrap w:val="0"/>
            <w:vAlign w:val="center"/>
          </w:tcPr>
          <w:p w14:paraId="20107364">
            <w:pPr>
              <w:jc w:val="center"/>
              <w:rPr>
                <w:rFonts w:hint="eastAsia" w:cs="Times New Roman"/>
                <w:color w:val="auto"/>
                <w:sz w:val="18"/>
                <w:szCs w:val="18"/>
                <w:lang w:val="en-US" w:eastAsia="zh-CN"/>
              </w:rPr>
            </w:pPr>
            <w:r>
              <w:rPr>
                <w:rFonts w:hint="eastAsia" w:cs="Times New Roman"/>
                <w:color w:val="auto"/>
                <w:sz w:val="18"/>
                <w:szCs w:val="18"/>
                <w:lang w:val="en-US" w:eastAsia="zh-CN"/>
              </w:rPr>
              <w:t>6</w:t>
            </w:r>
          </w:p>
        </w:tc>
        <w:tc>
          <w:tcPr>
            <w:tcW w:w="176" w:type="pct"/>
            <w:tcBorders>
              <w:tl2br w:val="nil"/>
              <w:tr2bl w:val="nil"/>
            </w:tcBorders>
            <w:noWrap w:val="0"/>
            <w:vAlign w:val="center"/>
          </w:tcPr>
          <w:p w14:paraId="14DAF5AC">
            <w:pPr>
              <w:jc w:val="center"/>
              <w:rPr>
                <w:rFonts w:hint="eastAsia" w:cs="Times New Roman"/>
                <w:color w:val="auto"/>
                <w:sz w:val="18"/>
                <w:szCs w:val="18"/>
                <w:lang w:val="en-US" w:eastAsia="zh-CN"/>
              </w:rPr>
            </w:pPr>
            <w:r>
              <w:rPr>
                <w:rFonts w:hint="eastAsia" w:cs="Times New Roman"/>
                <w:color w:val="auto"/>
                <w:sz w:val="18"/>
                <w:szCs w:val="18"/>
                <w:lang w:val="en-US" w:eastAsia="zh-CN"/>
              </w:rPr>
              <w:t>2</w:t>
            </w:r>
          </w:p>
        </w:tc>
        <w:tc>
          <w:tcPr>
            <w:tcW w:w="182" w:type="pct"/>
            <w:tcBorders>
              <w:tl2br w:val="nil"/>
              <w:tr2bl w:val="nil"/>
            </w:tcBorders>
            <w:noWrap w:val="0"/>
            <w:vAlign w:val="center"/>
          </w:tcPr>
          <w:p w14:paraId="59C28FC7">
            <w:pPr>
              <w:jc w:val="center"/>
              <w:rPr>
                <w:rFonts w:hint="eastAsia" w:cs="Times New Roman"/>
                <w:color w:val="auto"/>
                <w:sz w:val="18"/>
                <w:szCs w:val="18"/>
                <w:lang w:val="en-US" w:eastAsia="zh-CN"/>
              </w:rPr>
            </w:pPr>
            <w:r>
              <w:rPr>
                <w:rFonts w:hint="eastAsia" w:cs="Times New Roman"/>
                <w:color w:val="auto"/>
                <w:sz w:val="18"/>
                <w:szCs w:val="18"/>
                <w:lang w:val="en-US" w:eastAsia="zh-CN"/>
              </w:rPr>
              <w:t>10</w:t>
            </w:r>
          </w:p>
        </w:tc>
        <w:tc>
          <w:tcPr>
            <w:tcW w:w="489" w:type="dxa"/>
            <w:tcBorders>
              <w:tl2br w:val="nil"/>
              <w:tr2bl w:val="nil"/>
            </w:tcBorders>
            <w:noWrap w:val="0"/>
            <w:vAlign w:val="center"/>
          </w:tcPr>
          <w:p w14:paraId="03301E29">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33 </w:t>
            </w:r>
          </w:p>
        </w:tc>
        <w:tc>
          <w:tcPr>
            <w:tcW w:w="516" w:type="dxa"/>
            <w:tcBorders>
              <w:tl2br w:val="nil"/>
              <w:tr2bl w:val="nil"/>
            </w:tcBorders>
            <w:noWrap w:val="0"/>
            <w:vAlign w:val="center"/>
          </w:tcPr>
          <w:p w14:paraId="075F3C57">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51 </w:t>
            </w:r>
          </w:p>
        </w:tc>
        <w:tc>
          <w:tcPr>
            <w:tcW w:w="433" w:type="dxa"/>
            <w:tcBorders>
              <w:tl2br w:val="nil"/>
              <w:tr2bl w:val="nil"/>
            </w:tcBorders>
            <w:noWrap w:val="0"/>
            <w:vAlign w:val="center"/>
          </w:tcPr>
          <w:p w14:paraId="4B0AABB9">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61 </w:t>
            </w:r>
          </w:p>
        </w:tc>
        <w:tc>
          <w:tcPr>
            <w:tcW w:w="541" w:type="dxa"/>
            <w:tcBorders>
              <w:tl2br w:val="nil"/>
              <w:tr2bl w:val="nil"/>
            </w:tcBorders>
            <w:noWrap w:val="0"/>
            <w:vAlign w:val="center"/>
          </w:tcPr>
          <w:p w14:paraId="48532413">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47 </w:t>
            </w:r>
          </w:p>
        </w:tc>
        <w:tc>
          <w:tcPr>
            <w:tcW w:w="163" w:type="pct"/>
            <w:vMerge w:val="continue"/>
            <w:tcBorders>
              <w:tl2br w:val="nil"/>
              <w:tr2bl w:val="nil"/>
            </w:tcBorders>
            <w:noWrap w:val="0"/>
            <w:vAlign w:val="center"/>
          </w:tcPr>
          <w:p w14:paraId="1940FA20">
            <w:pPr>
              <w:spacing w:line="240" w:lineRule="auto"/>
              <w:jc w:val="center"/>
              <w:rPr>
                <w:rFonts w:hint="default" w:ascii="Times New Roman" w:hAnsi="Times New Roman" w:eastAsia="宋体" w:cs="Times New Roman"/>
                <w:color w:val="auto"/>
                <w:sz w:val="18"/>
                <w:szCs w:val="18"/>
                <w:lang w:val="en-US" w:eastAsia="zh-CN"/>
              </w:rPr>
            </w:pPr>
          </w:p>
        </w:tc>
        <w:tc>
          <w:tcPr>
            <w:tcW w:w="208" w:type="pct"/>
            <w:tcBorders>
              <w:tl2br w:val="nil"/>
              <w:tr2bl w:val="nil"/>
            </w:tcBorders>
            <w:noWrap w:val="0"/>
            <w:vAlign w:val="center"/>
          </w:tcPr>
          <w:p w14:paraId="45C8B5DB">
            <w:pPr>
              <w:spacing w:line="240" w:lineRule="auto"/>
              <w:jc w:val="center"/>
              <w:rPr>
                <w:rFonts w:hint="eastAsia" w:cs="Times New Roman"/>
                <w:color w:val="auto"/>
                <w:sz w:val="18"/>
                <w:szCs w:val="18"/>
                <w:lang w:val="en-US" w:eastAsia="zh-CN"/>
              </w:rPr>
            </w:pPr>
            <w:r>
              <w:rPr>
                <w:rFonts w:hint="eastAsia" w:cs="Times New Roman"/>
                <w:color w:val="auto"/>
                <w:sz w:val="18"/>
                <w:szCs w:val="18"/>
                <w:lang w:val="en-US" w:eastAsia="zh-CN"/>
              </w:rPr>
              <w:t>20</w:t>
            </w:r>
          </w:p>
        </w:tc>
        <w:tc>
          <w:tcPr>
            <w:tcW w:w="501" w:type="dxa"/>
            <w:tcBorders>
              <w:tl2br w:val="nil"/>
              <w:tr2bl w:val="nil"/>
            </w:tcBorders>
            <w:noWrap w:val="0"/>
            <w:vAlign w:val="center"/>
          </w:tcPr>
          <w:p w14:paraId="00CB2FFC">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13 </w:t>
            </w:r>
          </w:p>
        </w:tc>
        <w:tc>
          <w:tcPr>
            <w:tcW w:w="555" w:type="dxa"/>
            <w:tcBorders>
              <w:tl2br w:val="nil"/>
              <w:tr2bl w:val="nil"/>
            </w:tcBorders>
            <w:noWrap w:val="0"/>
            <w:vAlign w:val="center"/>
          </w:tcPr>
          <w:p w14:paraId="79E7E9B5">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31 </w:t>
            </w:r>
          </w:p>
        </w:tc>
        <w:tc>
          <w:tcPr>
            <w:tcW w:w="561" w:type="dxa"/>
            <w:tcBorders>
              <w:tl2br w:val="nil"/>
              <w:tr2bl w:val="nil"/>
            </w:tcBorders>
            <w:noWrap w:val="0"/>
            <w:vAlign w:val="center"/>
          </w:tcPr>
          <w:p w14:paraId="56155A94">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41 </w:t>
            </w:r>
          </w:p>
        </w:tc>
        <w:tc>
          <w:tcPr>
            <w:tcW w:w="555" w:type="dxa"/>
            <w:tcBorders>
              <w:tl2br w:val="nil"/>
              <w:tr2bl w:val="nil"/>
            </w:tcBorders>
            <w:noWrap w:val="0"/>
            <w:vAlign w:val="center"/>
          </w:tcPr>
          <w:p w14:paraId="319DD786">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27 </w:t>
            </w:r>
          </w:p>
        </w:tc>
        <w:tc>
          <w:tcPr>
            <w:tcW w:w="169" w:type="pct"/>
            <w:tcBorders>
              <w:tl2br w:val="nil"/>
              <w:tr2bl w:val="nil"/>
            </w:tcBorders>
            <w:noWrap w:val="0"/>
            <w:vAlign w:val="center"/>
          </w:tcPr>
          <w:p w14:paraId="3FA6F74E">
            <w:pPr>
              <w:spacing w:line="240" w:lineRule="auto"/>
              <w:jc w:val="center"/>
              <w:rPr>
                <w:rFonts w:hint="eastAsia" w:eastAsia="宋体"/>
                <w:color w:val="auto"/>
                <w:sz w:val="18"/>
                <w:szCs w:val="18"/>
                <w:lang w:val="en-US" w:eastAsia="zh-CN"/>
              </w:rPr>
            </w:pPr>
            <w:r>
              <w:rPr>
                <w:rFonts w:hint="eastAsia" w:eastAsia="宋体"/>
                <w:color w:val="auto"/>
                <w:sz w:val="18"/>
                <w:szCs w:val="18"/>
                <w:lang w:val="en-US" w:eastAsia="zh-CN"/>
              </w:rPr>
              <w:t>1</w:t>
            </w:r>
          </w:p>
        </w:tc>
      </w:tr>
      <w:tr w14:paraId="6AE908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0" w:type="pct"/>
            <w:tcBorders>
              <w:tl2br w:val="nil"/>
              <w:tr2bl w:val="nil"/>
            </w:tcBorders>
            <w:noWrap w:val="0"/>
            <w:tcMar>
              <w:left w:w="0" w:type="dxa"/>
              <w:right w:w="0" w:type="dxa"/>
            </w:tcMar>
            <w:vAlign w:val="center"/>
          </w:tcPr>
          <w:p w14:paraId="3E672610">
            <w:pPr>
              <w:spacing w:line="240" w:lineRule="auto"/>
              <w:jc w:val="center"/>
              <w:rPr>
                <w:rFonts w:hint="eastAsia" w:eastAsia="宋体"/>
                <w:color w:val="auto"/>
                <w:sz w:val="18"/>
                <w:szCs w:val="18"/>
                <w:lang w:val="en-US" w:eastAsia="zh-CN"/>
              </w:rPr>
            </w:pPr>
            <w:r>
              <w:rPr>
                <w:rFonts w:hint="eastAsia"/>
                <w:color w:val="auto"/>
                <w:sz w:val="18"/>
                <w:szCs w:val="18"/>
                <w:lang w:val="en-US" w:eastAsia="zh-CN"/>
              </w:rPr>
              <w:t>7</w:t>
            </w:r>
          </w:p>
        </w:tc>
        <w:tc>
          <w:tcPr>
            <w:tcW w:w="135" w:type="pct"/>
            <w:vMerge w:val="continue"/>
            <w:tcBorders>
              <w:tl2br w:val="nil"/>
              <w:tr2bl w:val="nil"/>
            </w:tcBorders>
            <w:noWrap w:val="0"/>
            <w:tcMar>
              <w:left w:w="0" w:type="dxa"/>
              <w:right w:w="0" w:type="dxa"/>
            </w:tcMar>
            <w:vAlign w:val="center"/>
          </w:tcPr>
          <w:p w14:paraId="30318C7C">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p>
        </w:tc>
        <w:tc>
          <w:tcPr>
            <w:tcW w:w="405" w:type="pct"/>
            <w:tcBorders>
              <w:tl2br w:val="nil"/>
              <w:tr2bl w:val="nil"/>
            </w:tcBorders>
            <w:shd w:val="clear" w:color="auto" w:fill="auto"/>
            <w:noWrap w:val="0"/>
            <w:tcMar>
              <w:left w:w="0" w:type="dxa"/>
              <w:right w:w="0" w:type="dxa"/>
            </w:tcMar>
            <w:vAlign w:val="center"/>
          </w:tcPr>
          <w:p w14:paraId="3DE9154F">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防雾自动除尘</w:t>
            </w:r>
          </w:p>
        </w:tc>
        <w:tc>
          <w:tcPr>
            <w:tcW w:w="342" w:type="pct"/>
            <w:tcBorders>
              <w:tl2br w:val="nil"/>
              <w:tr2bl w:val="nil"/>
            </w:tcBorders>
            <w:noWrap w:val="0"/>
            <w:tcMar>
              <w:left w:w="0" w:type="dxa"/>
              <w:right w:w="0" w:type="dxa"/>
            </w:tcMar>
            <w:vAlign w:val="center"/>
          </w:tcPr>
          <w:p w14:paraId="3C3809AA">
            <w:pPr>
              <w:keepNext w:val="0"/>
              <w:keepLines w:val="0"/>
              <w:widowControl/>
              <w:suppressLineNumbers w:val="0"/>
              <w:spacing w:line="240" w:lineRule="auto"/>
              <w:jc w:val="center"/>
              <w:textAlignment w:val="center"/>
              <w:rPr>
                <w:rFonts w:hint="eastAsia" w:cs="Times New Roman"/>
                <w:b w:val="0"/>
                <w:bCs w:val="0"/>
                <w:color w:val="auto"/>
                <w:kern w:val="0"/>
                <w:sz w:val="18"/>
                <w:szCs w:val="18"/>
                <w:lang w:val="en-US" w:eastAsia="zh-CN" w:bidi="ar-SA"/>
              </w:rPr>
            </w:pPr>
            <w:r>
              <w:rPr>
                <w:rFonts w:hint="eastAsia" w:cs="Times New Roman"/>
                <w:b w:val="0"/>
                <w:bCs w:val="0"/>
                <w:color w:val="auto"/>
                <w:kern w:val="0"/>
                <w:sz w:val="18"/>
                <w:szCs w:val="18"/>
                <w:lang w:val="en-US" w:eastAsia="zh-CN" w:bidi="ar-SA"/>
              </w:rPr>
              <w:t>/</w:t>
            </w:r>
          </w:p>
        </w:tc>
        <w:tc>
          <w:tcPr>
            <w:tcW w:w="181" w:type="pct"/>
            <w:tcBorders>
              <w:tl2br w:val="nil"/>
              <w:tr2bl w:val="nil"/>
            </w:tcBorders>
            <w:noWrap w:val="0"/>
            <w:tcMar>
              <w:left w:w="0" w:type="dxa"/>
              <w:right w:w="0" w:type="dxa"/>
            </w:tcMar>
            <w:vAlign w:val="center"/>
          </w:tcPr>
          <w:p w14:paraId="6A9A821C">
            <w:pPr>
              <w:keepNext w:val="0"/>
              <w:keepLines w:val="0"/>
              <w:widowControl/>
              <w:suppressLineNumbers w:val="0"/>
              <w:jc w:val="center"/>
              <w:textAlignment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219" w:type="pct"/>
            <w:tcBorders>
              <w:tl2br w:val="nil"/>
              <w:tr2bl w:val="nil"/>
            </w:tcBorders>
            <w:noWrap w:val="0"/>
            <w:vAlign w:val="center"/>
          </w:tcPr>
          <w:p w14:paraId="6F025D77">
            <w:pPr>
              <w:jc w:val="center"/>
              <w:rPr>
                <w:rFonts w:hint="default"/>
                <w:bCs/>
                <w:color w:val="auto"/>
                <w:sz w:val="18"/>
                <w:szCs w:val="18"/>
                <w:lang w:val="en-US" w:eastAsia="zh-CN"/>
              </w:rPr>
            </w:pPr>
            <w:r>
              <w:rPr>
                <w:rFonts w:hint="eastAsia"/>
                <w:bCs/>
                <w:color w:val="auto"/>
                <w:sz w:val="18"/>
                <w:szCs w:val="18"/>
                <w:lang w:val="en-US" w:eastAsia="zh-CN"/>
              </w:rPr>
              <w:t>75</w:t>
            </w:r>
          </w:p>
        </w:tc>
        <w:tc>
          <w:tcPr>
            <w:tcW w:w="627" w:type="dxa"/>
            <w:tcBorders>
              <w:tl2br w:val="nil"/>
              <w:tr2bl w:val="nil"/>
            </w:tcBorders>
            <w:noWrap w:val="0"/>
            <w:vAlign w:val="center"/>
          </w:tcPr>
          <w:p w14:paraId="0BC42374">
            <w:pPr>
              <w:jc w:val="center"/>
              <w:rPr>
                <w:rFonts w:hint="eastAsia"/>
                <w:bCs/>
                <w:color w:val="auto"/>
                <w:sz w:val="18"/>
                <w:szCs w:val="18"/>
                <w:lang w:val="en-US" w:eastAsia="zh-CN"/>
              </w:rPr>
            </w:pPr>
            <w:r>
              <w:rPr>
                <w:rFonts w:hint="eastAsia"/>
                <w:bCs/>
                <w:color w:val="auto"/>
                <w:sz w:val="18"/>
                <w:szCs w:val="18"/>
                <w:lang w:val="en-US" w:eastAsia="zh-CN"/>
              </w:rPr>
              <w:t>75</w:t>
            </w:r>
          </w:p>
        </w:tc>
        <w:tc>
          <w:tcPr>
            <w:tcW w:w="164" w:type="pct"/>
            <w:vMerge w:val="continue"/>
            <w:tcBorders>
              <w:tl2br w:val="nil"/>
              <w:tr2bl w:val="nil"/>
            </w:tcBorders>
            <w:noWrap w:val="0"/>
            <w:vAlign w:val="center"/>
          </w:tcPr>
          <w:p w14:paraId="5CE8AD66">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p>
        </w:tc>
        <w:tc>
          <w:tcPr>
            <w:tcW w:w="157" w:type="pct"/>
            <w:tcBorders>
              <w:tl2br w:val="nil"/>
              <w:tr2bl w:val="nil"/>
            </w:tcBorders>
            <w:noWrap w:val="0"/>
            <w:vAlign w:val="center"/>
          </w:tcPr>
          <w:p w14:paraId="4B4F7024">
            <w:pPr>
              <w:jc w:val="center"/>
              <w:rPr>
                <w:rFonts w:hint="eastAsia" w:cs="Times New Roman"/>
                <w:color w:val="auto"/>
                <w:sz w:val="18"/>
                <w:szCs w:val="18"/>
                <w:lang w:val="en-US" w:eastAsia="zh-CN"/>
              </w:rPr>
            </w:pPr>
            <w:r>
              <w:rPr>
                <w:rFonts w:hint="eastAsia" w:cs="Times New Roman"/>
                <w:color w:val="auto"/>
                <w:sz w:val="18"/>
                <w:szCs w:val="18"/>
                <w:lang w:val="en-US" w:eastAsia="zh-CN"/>
              </w:rPr>
              <w:t>10</w:t>
            </w:r>
          </w:p>
        </w:tc>
        <w:tc>
          <w:tcPr>
            <w:tcW w:w="171" w:type="pct"/>
            <w:tcBorders>
              <w:tl2br w:val="nil"/>
              <w:tr2bl w:val="nil"/>
            </w:tcBorders>
            <w:noWrap w:val="0"/>
            <w:vAlign w:val="center"/>
          </w:tcPr>
          <w:p w14:paraId="06242521">
            <w:pPr>
              <w:jc w:val="center"/>
              <w:rPr>
                <w:rFonts w:hint="eastAsia" w:cs="Times New Roman"/>
                <w:color w:val="auto"/>
                <w:sz w:val="18"/>
                <w:szCs w:val="18"/>
                <w:lang w:val="en-US" w:eastAsia="zh-CN"/>
              </w:rPr>
            </w:pPr>
            <w:r>
              <w:rPr>
                <w:rFonts w:hint="eastAsia" w:cs="Times New Roman"/>
                <w:color w:val="auto"/>
                <w:sz w:val="18"/>
                <w:szCs w:val="18"/>
                <w:lang w:val="en-US" w:eastAsia="zh-CN"/>
              </w:rPr>
              <w:t>8</w:t>
            </w:r>
          </w:p>
        </w:tc>
        <w:tc>
          <w:tcPr>
            <w:tcW w:w="170" w:type="pct"/>
            <w:tcBorders>
              <w:tl2br w:val="nil"/>
              <w:tr2bl w:val="nil"/>
            </w:tcBorders>
            <w:noWrap w:val="0"/>
            <w:vAlign w:val="center"/>
          </w:tcPr>
          <w:p w14:paraId="638A9AFD">
            <w:pPr>
              <w:spacing w:line="240" w:lineRule="auto"/>
              <w:jc w:val="center"/>
              <w:rPr>
                <w:rFonts w:hint="eastAsia"/>
                <w:color w:val="auto"/>
                <w:sz w:val="18"/>
                <w:szCs w:val="18"/>
                <w:lang w:val="en-US" w:eastAsia="zh-CN"/>
              </w:rPr>
            </w:pPr>
            <w:r>
              <w:rPr>
                <w:rFonts w:hint="eastAsia"/>
                <w:color w:val="auto"/>
                <w:sz w:val="18"/>
                <w:szCs w:val="18"/>
                <w:lang w:val="en-US" w:eastAsia="zh-CN"/>
              </w:rPr>
              <w:t>0</w:t>
            </w:r>
          </w:p>
        </w:tc>
        <w:tc>
          <w:tcPr>
            <w:tcW w:w="177" w:type="pct"/>
            <w:tcBorders>
              <w:tl2br w:val="nil"/>
              <w:tr2bl w:val="nil"/>
            </w:tcBorders>
            <w:noWrap w:val="0"/>
            <w:vAlign w:val="center"/>
          </w:tcPr>
          <w:p w14:paraId="15B4D729">
            <w:pPr>
              <w:jc w:val="center"/>
              <w:rPr>
                <w:rFonts w:hint="eastAsia" w:cs="Times New Roman"/>
                <w:color w:val="auto"/>
                <w:sz w:val="18"/>
                <w:szCs w:val="18"/>
                <w:lang w:val="en-US" w:eastAsia="zh-CN"/>
              </w:rPr>
            </w:pPr>
            <w:r>
              <w:rPr>
                <w:rFonts w:hint="eastAsia" w:cs="Times New Roman"/>
                <w:color w:val="auto"/>
                <w:sz w:val="18"/>
                <w:szCs w:val="18"/>
                <w:lang w:val="en-US" w:eastAsia="zh-CN"/>
              </w:rPr>
              <w:t>40</w:t>
            </w:r>
          </w:p>
        </w:tc>
        <w:tc>
          <w:tcPr>
            <w:tcW w:w="178" w:type="pct"/>
            <w:tcBorders>
              <w:tl2br w:val="nil"/>
              <w:tr2bl w:val="nil"/>
            </w:tcBorders>
            <w:noWrap w:val="0"/>
            <w:vAlign w:val="center"/>
          </w:tcPr>
          <w:p w14:paraId="7F07F9B4">
            <w:pPr>
              <w:jc w:val="center"/>
              <w:rPr>
                <w:rFonts w:hint="eastAsia" w:cs="Times New Roman"/>
                <w:color w:val="auto"/>
                <w:sz w:val="18"/>
                <w:szCs w:val="18"/>
                <w:lang w:val="en-US" w:eastAsia="zh-CN"/>
              </w:rPr>
            </w:pPr>
            <w:r>
              <w:rPr>
                <w:rFonts w:hint="eastAsia" w:cs="Times New Roman"/>
                <w:color w:val="auto"/>
                <w:sz w:val="18"/>
                <w:szCs w:val="18"/>
                <w:lang w:val="en-US" w:eastAsia="zh-CN"/>
              </w:rPr>
              <w:t>8</w:t>
            </w:r>
          </w:p>
        </w:tc>
        <w:tc>
          <w:tcPr>
            <w:tcW w:w="176" w:type="pct"/>
            <w:tcBorders>
              <w:tl2br w:val="nil"/>
              <w:tr2bl w:val="nil"/>
            </w:tcBorders>
            <w:noWrap w:val="0"/>
            <w:vAlign w:val="center"/>
          </w:tcPr>
          <w:p w14:paraId="4E05B2C4">
            <w:pPr>
              <w:jc w:val="center"/>
              <w:rPr>
                <w:rFonts w:hint="eastAsia" w:cs="Times New Roman"/>
                <w:color w:val="auto"/>
                <w:sz w:val="18"/>
                <w:szCs w:val="18"/>
                <w:lang w:val="en-US" w:eastAsia="zh-CN"/>
              </w:rPr>
            </w:pPr>
            <w:r>
              <w:rPr>
                <w:rFonts w:hint="eastAsia" w:cs="Times New Roman"/>
                <w:color w:val="auto"/>
                <w:sz w:val="18"/>
                <w:szCs w:val="18"/>
                <w:lang w:val="en-US" w:eastAsia="zh-CN"/>
              </w:rPr>
              <w:t>10</w:t>
            </w:r>
          </w:p>
        </w:tc>
        <w:tc>
          <w:tcPr>
            <w:tcW w:w="182" w:type="pct"/>
            <w:tcBorders>
              <w:tl2br w:val="nil"/>
              <w:tr2bl w:val="nil"/>
            </w:tcBorders>
            <w:noWrap w:val="0"/>
            <w:vAlign w:val="center"/>
          </w:tcPr>
          <w:p w14:paraId="4B208C46">
            <w:pPr>
              <w:jc w:val="center"/>
              <w:rPr>
                <w:rFonts w:hint="eastAsia" w:cs="Times New Roman"/>
                <w:color w:val="auto"/>
                <w:sz w:val="18"/>
                <w:szCs w:val="18"/>
                <w:lang w:val="en-US" w:eastAsia="zh-CN"/>
              </w:rPr>
            </w:pPr>
            <w:r>
              <w:rPr>
                <w:rFonts w:hint="eastAsia" w:cs="Times New Roman"/>
                <w:color w:val="auto"/>
                <w:sz w:val="18"/>
                <w:szCs w:val="18"/>
                <w:lang w:val="en-US" w:eastAsia="zh-CN"/>
              </w:rPr>
              <w:t>9</w:t>
            </w:r>
          </w:p>
        </w:tc>
        <w:tc>
          <w:tcPr>
            <w:tcW w:w="489" w:type="dxa"/>
            <w:tcBorders>
              <w:tl2br w:val="nil"/>
              <w:tr2bl w:val="nil"/>
            </w:tcBorders>
            <w:noWrap w:val="0"/>
            <w:vAlign w:val="center"/>
          </w:tcPr>
          <w:p w14:paraId="48BA4AB8">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35 </w:t>
            </w:r>
          </w:p>
        </w:tc>
        <w:tc>
          <w:tcPr>
            <w:tcW w:w="516" w:type="dxa"/>
            <w:tcBorders>
              <w:tl2br w:val="nil"/>
              <w:tr2bl w:val="nil"/>
            </w:tcBorders>
            <w:noWrap w:val="0"/>
            <w:vAlign w:val="center"/>
          </w:tcPr>
          <w:p w14:paraId="06350089">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49 </w:t>
            </w:r>
          </w:p>
        </w:tc>
        <w:tc>
          <w:tcPr>
            <w:tcW w:w="433" w:type="dxa"/>
            <w:tcBorders>
              <w:tl2br w:val="nil"/>
              <w:tr2bl w:val="nil"/>
            </w:tcBorders>
            <w:noWrap w:val="0"/>
            <w:vAlign w:val="center"/>
          </w:tcPr>
          <w:p w14:paraId="00AA473B">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47 </w:t>
            </w:r>
          </w:p>
        </w:tc>
        <w:tc>
          <w:tcPr>
            <w:tcW w:w="541" w:type="dxa"/>
            <w:tcBorders>
              <w:tl2br w:val="nil"/>
              <w:tr2bl w:val="nil"/>
            </w:tcBorders>
            <w:noWrap w:val="0"/>
            <w:vAlign w:val="center"/>
          </w:tcPr>
          <w:p w14:paraId="44E7181A">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48 </w:t>
            </w:r>
          </w:p>
        </w:tc>
        <w:tc>
          <w:tcPr>
            <w:tcW w:w="163" w:type="pct"/>
            <w:vMerge w:val="continue"/>
            <w:tcBorders>
              <w:tl2br w:val="nil"/>
              <w:tr2bl w:val="nil"/>
            </w:tcBorders>
            <w:noWrap w:val="0"/>
            <w:vAlign w:val="center"/>
          </w:tcPr>
          <w:p w14:paraId="5301C7AC">
            <w:pPr>
              <w:spacing w:line="240" w:lineRule="auto"/>
              <w:jc w:val="center"/>
              <w:rPr>
                <w:rFonts w:hint="default" w:ascii="Times New Roman" w:hAnsi="Times New Roman" w:eastAsia="宋体" w:cs="Times New Roman"/>
                <w:color w:val="auto"/>
                <w:sz w:val="18"/>
                <w:szCs w:val="18"/>
                <w:lang w:val="en-US" w:eastAsia="zh-CN"/>
              </w:rPr>
            </w:pPr>
          </w:p>
        </w:tc>
        <w:tc>
          <w:tcPr>
            <w:tcW w:w="208" w:type="pct"/>
            <w:tcBorders>
              <w:tl2br w:val="nil"/>
              <w:tr2bl w:val="nil"/>
            </w:tcBorders>
            <w:noWrap w:val="0"/>
            <w:vAlign w:val="center"/>
          </w:tcPr>
          <w:p w14:paraId="7769A06F">
            <w:pPr>
              <w:spacing w:line="240" w:lineRule="auto"/>
              <w:jc w:val="center"/>
              <w:rPr>
                <w:rFonts w:hint="eastAsia" w:cs="Times New Roman"/>
                <w:color w:val="auto"/>
                <w:sz w:val="18"/>
                <w:szCs w:val="18"/>
                <w:lang w:val="en-US" w:eastAsia="zh-CN"/>
              </w:rPr>
            </w:pPr>
            <w:r>
              <w:rPr>
                <w:rFonts w:hint="eastAsia" w:cs="Times New Roman"/>
                <w:color w:val="auto"/>
                <w:sz w:val="18"/>
                <w:szCs w:val="18"/>
                <w:lang w:val="en-US" w:eastAsia="zh-CN"/>
              </w:rPr>
              <w:t>20</w:t>
            </w:r>
          </w:p>
        </w:tc>
        <w:tc>
          <w:tcPr>
            <w:tcW w:w="501" w:type="dxa"/>
            <w:tcBorders>
              <w:tl2br w:val="nil"/>
              <w:tr2bl w:val="nil"/>
            </w:tcBorders>
            <w:noWrap w:val="0"/>
            <w:vAlign w:val="center"/>
          </w:tcPr>
          <w:p w14:paraId="0BC99F68">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15 </w:t>
            </w:r>
          </w:p>
        </w:tc>
        <w:tc>
          <w:tcPr>
            <w:tcW w:w="555" w:type="dxa"/>
            <w:tcBorders>
              <w:tl2br w:val="nil"/>
              <w:tr2bl w:val="nil"/>
            </w:tcBorders>
            <w:noWrap w:val="0"/>
            <w:vAlign w:val="center"/>
          </w:tcPr>
          <w:p w14:paraId="06ACBDBB">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29 </w:t>
            </w:r>
          </w:p>
        </w:tc>
        <w:tc>
          <w:tcPr>
            <w:tcW w:w="561" w:type="dxa"/>
            <w:tcBorders>
              <w:tl2br w:val="nil"/>
              <w:tr2bl w:val="nil"/>
            </w:tcBorders>
            <w:noWrap w:val="0"/>
            <w:vAlign w:val="center"/>
          </w:tcPr>
          <w:p w14:paraId="34814BE4">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27 </w:t>
            </w:r>
          </w:p>
        </w:tc>
        <w:tc>
          <w:tcPr>
            <w:tcW w:w="555" w:type="dxa"/>
            <w:tcBorders>
              <w:tl2br w:val="nil"/>
              <w:tr2bl w:val="nil"/>
            </w:tcBorders>
            <w:noWrap w:val="0"/>
            <w:vAlign w:val="center"/>
          </w:tcPr>
          <w:p w14:paraId="1E15F159">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28 </w:t>
            </w:r>
          </w:p>
        </w:tc>
        <w:tc>
          <w:tcPr>
            <w:tcW w:w="169" w:type="pct"/>
            <w:tcBorders>
              <w:tl2br w:val="nil"/>
              <w:tr2bl w:val="nil"/>
            </w:tcBorders>
            <w:noWrap w:val="0"/>
            <w:vAlign w:val="center"/>
          </w:tcPr>
          <w:p w14:paraId="3FD92822">
            <w:pPr>
              <w:spacing w:line="240" w:lineRule="auto"/>
              <w:jc w:val="center"/>
              <w:rPr>
                <w:rFonts w:hint="eastAsia" w:eastAsia="宋体"/>
                <w:color w:val="auto"/>
                <w:sz w:val="18"/>
                <w:szCs w:val="18"/>
                <w:lang w:val="en-US" w:eastAsia="zh-CN"/>
              </w:rPr>
            </w:pPr>
            <w:r>
              <w:rPr>
                <w:rFonts w:hint="eastAsia" w:eastAsia="宋体"/>
                <w:color w:val="auto"/>
                <w:sz w:val="18"/>
                <w:szCs w:val="18"/>
                <w:lang w:val="en-US" w:eastAsia="zh-CN"/>
              </w:rPr>
              <w:t>1</w:t>
            </w:r>
          </w:p>
        </w:tc>
      </w:tr>
      <w:tr w14:paraId="374B98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0" w:type="pct"/>
            <w:tcBorders>
              <w:tl2br w:val="nil"/>
              <w:tr2bl w:val="nil"/>
            </w:tcBorders>
            <w:noWrap w:val="0"/>
            <w:tcMar>
              <w:left w:w="0" w:type="dxa"/>
              <w:right w:w="0" w:type="dxa"/>
            </w:tcMar>
            <w:vAlign w:val="center"/>
          </w:tcPr>
          <w:p w14:paraId="10FE27BB">
            <w:pPr>
              <w:spacing w:line="240" w:lineRule="auto"/>
              <w:jc w:val="center"/>
              <w:rPr>
                <w:rFonts w:hint="eastAsia" w:eastAsia="宋体"/>
                <w:color w:val="auto"/>
                <w:sz w:val="18"/>
                <w:szCs w:val="18"/>
                <w:lang w:val="en-US" w:eastAsia="zh-CN"/>
              </w:rPr>
            </w:pPr>
            <w:r>
              <w:rPr>
                <w:rFonts w:hint="eastAsia"/>
                <w:color w:val="auto"/>
                <w:sz w:val="18"/>
                <w:szCs w:val="18"/>
                <w:lang w:val="en-US" w:eastAsia="zh-CN"/>
              </w:rPr>
              <w:t>8</w:t>
            </w:r>
          </w:p>
        </w:tc>
        <w:tc>
          <w:tcPr>
            <w:tcW w:w="135" w:type="pct"/>
            <w:vMerge w:val="continue"/>
            <w:tcBorders>
              <w:tl2br w:val="nil"/>
              <w:tr2bl w:val="nil"/>
            </w:tcBorders>
            <w:noWrap w:val="0"/>
            <w:tcMar>
              <w:left w:w="0" w:type="dxa"/>
              <w:right w:w="0" w:type="dxa"/>
            </w:tcMar>
            <w:vAlign w:val="center"/>
          </w:tcPr>
          <w:p w14:paraId="297A50F8">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p>
        </w:tc>
        <w:tc>
          <w:tcPr>
            <w:tcW w:w="405" w:type="pct"/>
            <w:tcBorders>
              <w:tl2br w:val="nil"/>
              <w:tr2bl w:val="nil"/>
            </w:tcBorders>
            <w:shd w:val="clear" w:color="auto" w:fill="auto"/>
            <w:noWrap w:val="0"/>
            <w:tcMar>
              <w:left w:w="0" w:type="dxa"/>
              <w:right w:w="0" w:type="dxa"/>
            </w:tcMar>
            <w:vAlign w:val="center"/>
          </w:tcPr>
          <w:p w14:paraId="0E93FB92">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防雾喷涂转烘炉机器人</w:t>
            </w:r>
          </w:p>
        </w:tc>
        <w:tc>
          <w:tcPr>
            <w:tcW w:w="342" w:type="pct"/>
            <w:tcBorders>
              <w:tl2br w:val="nil"/>
              <w:tr2bl w:val="nil"/>
            </w:tcBorders>
            <w:noWrap w:val="0"/>
            <w:tcMar>
              <w:left w:w="0" w:type="dxa"/>
              <w:right w:w="0" w:type="dxa"/>
            </w:tcMar>
            <w:vAlign w:val="center"/>
          </w:tcPr>
          <w:p w14:paraId="6D36197E">
            <w:pPr>
              <w:keepNext w:val="0"/>
              <w:keepLines w:val="0"/>
              <w:widowControl/>
              <w:suppressLineNumbers w:val="0"/>
              <w:spacing w:line="240" w:lineRule="auto"/>
              <w:jc w:val="center"/>
              <w:textAlignment w:val="center"/>
              <w:rPr>
                <w:rFonts w:hint="eastAsia" w:cs="Times New Roman"/>
                <w:b w:val="0"/>
                <w:bCs w:val="0"/>
                <w:color w:val="auto"/>
                <w:kern w:val="0"/>
                <w:sz w:val="18"/>
                <w:szCs w:val="18"/>
                <w:lang w:val="en-US" w:eastAsia="zh-CN" w:bidi="ar-SA"/>
              </w:rPr>
            </w:pPr>
            <w:r>
              <w:rPr>
                <w:rFonts w:hint="eastAsia" w:cs="Times New Roman"/>
                <w:b w:val="0"/>
                <w:bCs w:val="0"/>
                <w:color w:val="auto"/>
                <w:kern w:val="0"/>
                <w:sz w:val="18"/>
                <w:szCs w:val="18"/>
                <w:lang w:val="en-US" w:eastAsia="zh-CN" w:bidi="ar-SA"/>
              </w:rPr>
              <w:t>/</w:t>
            </w:r>
          </w:p>
        </w:tc>
        <w:tc>
          <w:tcPr>
            <w:tcW w:w="181" w:type="pct"/>
            <w:tcBorders>
              <w:tl2br w:val="nil"/>
              <w:tr2bl w:val="nil"/>
            </w:tcBorders>
            <w:noWrap w:val="0"/>
            <w:tcMar>
              <w:left w:w="0" w:type="dxa"/>
              <w:right w:w="0" w:type="dxa"/>
            </w:tcMar>
            <w:vAlign w:val="center"/>
          </w:tcPr>
          <w:p w14:paraId="1D519384">
            <w:pPr>
              <w:keepNext w:val="0"/>
              <w:keepLines w:val="0"/>
              <w:widowControl/>
              <w:suppressLineNumbers w:val="0"/>
              <w:jc w:val="center"/>
              <w:textAlignment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219" w:type="pct"/>
            <w:tcBorders>
              <w:tl2br w:val="nil"/>
              <w:tr2bl w:val="nil"/>
            </w:tcBorders>
            <w:noWrap w:val="0"/>
            <w:vAlign w:val="center"/>
          </w:tcPr>
          <w:p w14:paraId="6B8553C5">
            <w:pPr>
              <w:jc w:val="center"/>
              <w:rPr>
                <w:rFonts w:hint="default"/>
                <w:bCs/>
                <w:color w:val="auto"/>
                <w:sz w:val="18"/>
                <w:szCs w:val="18"/>
                <w:lang w:val="en-US" w:eastAsia="zh-CN"/>
              </w:rPr>
            </w:pPr>
            <w:r>
              <w:rPr>
                <w:rFonts w:hint="eastAsia"/>
                <w:bCs/>
                <w:color w:val="auto"/>
                <w:sz w:val="18"/>
                <w:szCs w:val="18"/>
                <w:lang w:val="en-US" w:eastAsia="zh-CN"/>
              </w:rPr>
              <w:t>65</w:t>
            </w:r>
          </w:p>
        </w:tc>
        <w:tc>
          <w:tcPr>
            <w:tcW w:w="627" w:type="dxa"/>
            <w:tcBorders>
              <w:tl2br w:val="nil"/>
              <w:tr2bl w:val="nil"/>
            </w:tcBorders>
            <w:noWrap w:val="0"/>
            <w:vAlign w:val="center"/>
          </w:tcPr>
          <w:p w14:paraId="5B018DF2">
            <w:pPr>
              <w:jc w:val="center"/>
              <w:rPr>
                <w:rFonts w:hint="eastAsia"/>
                <w:bCs/>
                <w:color w:val="auto"/>
                <w:sz w:val="18"/>
                <w:szCs w:val="18"/>
                <w:lang w:val="en-US" w:eastAsia="zh-CN"/>
              </w:rPr>
            </w:pPr>
            <w:r>
              <w:rPr>
                <w:rFonts w:hint="eastAsia"/>
                <w:bCs/>
                <w:color w:val="auto"/>
                <w:sz w:val="18"/>
                <w:szCs w:val="18"/>
                <w:lang w:val="en-US" w:eastAsia="zh-CN"/>
              </w:rPr>
              <w:t>65</w:t>
            </w:r>
          </w:p>
        </w:tc>
        <w:tc>
          <w:tcPr>
            <w:tcW w:w="164" w:type="pct"/>
            <w:vMerge w:val="continue"/>
            <w:tcBorders>
              <w:tl2br w:val="nil"/>
              <w:tr2bl w:val="nil"/>
            </w:tcBorders>
            <w:noWrap w:val="0"/>
            <w:vAlign w:val="center"/>
          </w:tcPr>
          <w:p w14:paraId="69D1537D">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p>
        </w:tc>
        <w:tc>
          <w:tcPr>
            <w:tcW w:w="157" w:type="pct"/>
            <w:tcBorders>
              <w:tl2br w:val="nil"/>
              <w:tr2bl w:val="nil"/>
            </w:tcBorders>
            <w:noWrap w:val="0"/>
            <w:vAlign w:val="center"/>
          </w:tcPr>
          <w:p w14:paraId="32C47E2C">
            <w:pPr>
              <w:jc w:val="center"/>
              <w:rPr>
                <w:rFonts w:hint="eastAsia" w:cs="Times New Roman"/>
                <w:color w:val="auto"/>
                <w:sz w:val="18"/>
                <w:szCs w:val="18"/>
                <w:lang w:val="en-US" w:eastAsia="zh-CN"/>
              </w:rPr>
            </w:pPr>
            <w:r>
              <w:rPr>
                <w:rFonts w:hint="eastAsia" w:cs="Times New Roman"/>
                <w:color w:val="auto"/>
                <w:sz w:val="18"/>
                <w:szCs w:val="18"/>
                <w:lang w:val="en-US" w:eastAsia="zh-CN"/>
              </w:rPr>
              <w:t>10</w:t>
            </w:r>
          </w:p>
        </w:tc>
        <w:tc>
          <w:tcPr>
            <w:tcW w:w="171" w:type="pct"/>
            <w:tcBorders>
              <w:tl2br w:val="nil"/>
              <w:tr2bl w:val="nil"/>
            </w:tcBorders>
            <w:noWrap w:val="0"/>
            <w:vAlign w:val="center"/>
          </w:tcPr>
          <w:p w14:paraId="00A1594E">
            <w:pPr>
              <w:jc w:val="center"/>
              <w:rPr>
                <w:rFonts w:hint="eastAsia" w:cs="Times New Roman"/>
                <w:color w:val="auto"/>
                <w:sz w:val="18"/>
                <w:szCs w:val="18"/>
                <w:lang w:val="en-US" w:eastAsia="zh-CN"/>
              </w:rPr>
            </w:pPr>
            <w:r>
              <w:rPr>
                <w:rFonts w:hint="eastAsia" w:cs="Times New Roman"/>
                <w:color w:val="auto"/>
                <w:sz w:val="18"/>
                <w:szCs w:val="18"/>
                <w:lang w:val="en-US" w:eastAsia="zh-CN"/>
              </w:rPr>
              <w:t>8</w:t>
            </w:r>
          </w:p>
        </w:tc>
        <w:tc>
          <w:tcPr>
            <w:tcW w:w="170" w:type="pct"/>
            <w:tcBorders>
              <w:tl2br w:val="nil"/>
              <w:tr2bl w:val="nil"/>
            </w:tcBorders>
            <w:noWrap w:val="0"/>
            <w:vAlign w:val="center"/>
          </w:tcPr>
          <w:p w14:paraId="578D73A1">
            <w:pPr>
              <w:spacing w:line="240" w:lineRule="auto"/>
              <w:jc w:val="center"/>
              <w:rPr>
                <w:rFonts w:hint="eastAsia"/>
                <w:color w:val="auto"/>
                <w:sz w:val="18"/>
                <w:szCs w:val="18"/>
                <w:lang w:val="en-US" w:eastAsia="zh-CN"/>
              </w:rPr>
            </w:pPr>
            <w:r>
              <w:rPr>
                <w:rFonts w:hint="eastAsia"/>
                <w:color w:val="auto"/>
                <w:sz w:val="18"/>
                <w:szCs w:val="18"/>
                <w:lang w:val="en-US" w:eastAsia="zh-CN"/>
              </w:rPr>
              <w:t>0</w:t>
            </w:r>
          </w:p>
        </w:tc>
        <w:tc>
          <w:tcPr>
            <w:tcW w:w="177" w:type="pct"/>
            <w:tcBorders>
              <w:tl2br w:val="nil"/>
              <w:tr2bl w:val="nil"/>
            </w:tcBorders>
            <w:noWrap w:val="0"/>
            <w:vAlign w:val="center"/>
          </w:tcPr>
          <w:p w14:paraId="0AA70277">
            <w:pPr>
              <w:jc w:val="center"/>
              <w:rPr>
                <w:rFonts w:hint="eastAsia" w:cs="Times New Roman"/>
                <w:color w:val="auto"/>
                <w:sz w:val="18"/>
                <w:szCs w:val="18"/>
                <w:lang w:val="en-US" w:eastAsia="zh-CN"/>
              </w:rPr>
            </w:pPr>
            <w:r>
              <w:rPr>
                <w:rFonts w:hint="eastAsia" w:cs="Times New Roman"/>
                <w:color w:val="auto"/>
                <w:sz w:val="18"/>
                <w:szCs w:val="18"/>
                <w:lang w:val="en-US" w:eastAsia="zh-CN"/>
              </w:rPr>
              <w:t>40</w:t>
            </w:r>
          </w:p>
        </w:tc>
        <w:tc>
          <w:tcPr>
            <w:tcW w:w="178" w:type="pct"/>
            <w:tcBorders>
              <w:tl2br w:val="nil"/>
              <w:tr2bl w:val="nil"/>
            </w:tcBorders>
            <w:noWrap w:val="0"/>
            <w:vAlign w:val="center"/>
          </w:tcPr>
          <w:p w14:paraId="67B1DA6F">
            <w:pPr>
              <w:jc w:val="center"/>
              <w:rPr>
                <w:rFonts w:hint="eastAsia" w:cs="Times New Roman"/>
                <w:color w:val="auto"/>
                <w:sz w:val="18"/>
                <w:szCs w:val="18"/>
                <w:lang w:val="en-US" w:eastAsia="zh-CN"/>
              </w:rPr>
            </w:pPr>
            <w:r>
              <w:rPr>
                <w:rFonts w:hint="eastAsia" w:cs="Times New Roman"/>
                <w:color w:val="auto"/>
                <w:sz w:val="18"/>
                <w:szCs w:val="18"/>
                <w:lang w:val="en-US" w:eastAsia="zh-CN"/>
              </w:rPr>
              <w:t>8</w:t>
            </w:r>
          </w:p>
        </w:tc>
        <w:tc>
          <w:tcPr>
            <w:tcW w:w="176" w:type="pct"/>
            <w:tcBorders>
              <w:tl2br w:val="nil"/>
              <w:tr2bl w:val="nil"/>
            </w:tcBorders>
            <w:noWrap w:val="0"/>
            <w:vAlign w:val="center"/>
          </w:tcPr>
          <w:p w14:paraId="474F25AE">
            <w:pPr>
              <w:jc w:val="center"/>
              <w:rPr>
                <w:rFonts w:hint="eastAsia" w:cs="Times New Roman"/>
                <w:color w:val="auto"/>
                <w:sz w:val="18"/>
                <w:szCs w:val="18"/>
                <w:lang w:val="en-US" w:eastAsia="zh-CN"/>
              </w:rPr>
            </w:pPr>
            <w:r>
              <w:rPr>
                <w:rFonts w:hint="eastAsia" w:cs="Times New Roman"/>
                <w:color w:val="auto"/>
                <w:sz w:val="18"/>
                <w:szCs w:val="18"/>
                <w:lang w:val="en-US" w:eastAsia="zh-CN"/>
              </w:rPr>
              <w:t>10</w:t>
            </w:r>
          </w:p>
        </w:tc>
        <w:tc>
          <w:tcPr>
            <w:tcW w:w="182" w:type="pct"/>
            <w:tcBorders>
              <w:tl2br w:val="nil"/>
              <w:tr2bl w:val="nil"/>
            </w:tcBorders>
            <w:noWrap w:val="0"/>
            <w:vAlign w:val="center"/>
          </w:tcPr>
          <w:p w14:paraId="67030B66">
            <w:pPr>
              <w:jc w:val="center"/>
              <w:rPr>
                <w:rFonts w:hint="eastAsia" w:cs="Times New Roman"/>
                <w:color w:val="auto"/>
                <w:sz w:val="18"/>
                <w:szCs w:val="18"/>
                <w:lang w:val="en-US" w:eastAsia="zh-CN"/>
              </w:rPr>
            </w:pPr>
            <w:r>
              <w:rPr>
                <w:rFonts w:hint="eastAsia" w:cs="Times New Roman"/>
                <w:color w:val="auto"/>
                <w:sz w:val="18"/>
                <w:szCs w:val="18"/>
                <w:lang w:val="en-US" w:eastAsia="zh-CN"/>
              </w:rPr>
              <w:t>9</w:t>
            </w:r>
          </w:p>
        </w:tc>
        <w:tc>
          <w:tcPr>
            <w:tcW w:w="489" w:type="dxa"/>
            <w:tcBorders>
              <w:tl2br w:val="nil"/>
              <w:tr2bl w:val="nil"/>
            </w:tcBorders>
            <w:noWrap w:val="0"/>
            <w:vAlign w:val="center"/>
          </w:tcPr>
          <w:p w14:paraId="4B03965B">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25 </w:t>
            </w:r>
          </w:p>
        </w:tc>
        <w:tc>
          <w:tcPr>
            <w:tcW w:w="516" w:type="dxa"/>
            <w:tcBorders>
              <w:tl2br w:val="nil"/>
              <w:tr2bl w:val="nil"/>
            </w:tcBorders>
            <w:noWrap w:val="0"/>
            <w:vAlign w:val="center"/>
          </w:tcPr>
          <w:p w14:paraId="2257409C">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39 </w:t>
            </w:r>
          </w:p>
        </w:tc>
        <w:tc>
          <w:tcPr>
            <w:tcW w:w="433" w:type="dxa"/>
            <w:tcBorders>
              <w:tl2br w:val="nil"/>
              <w:tr2bl w:val="nil"/>
            </w:tcBorders>
            <w:noWrap w:val="0"/>
            <w:vAlign w:val="center"/>
          </w:tcPr>
          <w:p w14:paraId="3CE95759">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37 </w:t>
            </w:r>
          </w:p>
        </w:tc>
        <w:tc>
          <w:tcPr>
            <w:tcW w:w="541" w:type="dxa"/>
            <w:tcBorders>
              <w:tl2br w:val="nil"/>
              <w:tr2bl w:val="nil"/>
            </w:tcBorders>
            <w:noWrap w:val="0"/>
            <w:vAlign w:val="center"/>
          </w:tcPr>
          <w:p w14:paraId="5D18C471">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38 </w:t>
            </w:r>
          </w:p>
        </w:tc>
        <w:tc>
          <w:tcPr>
            <w:tcW w:w="163" w:type="pct"/>
            <w:vMerge w:val="continue"/>
            <w:tcBorders>
              <w:tl2br w:val="nil"/>
              <w:tr2bl w:val="nil"/>
            </w:tcBorders>
            <w:noWrap w:val="0"/>
            <w:vAlign w:val="center"/>
          </w:tcPr>
          <w:p w14:paraId="2EC9F6F0">
            <w:pPr>
              <w:spacing w:line="240" w:lineRule="auto"/>
              <w:jc w:val="center"/>
              <w:rPr>
                <w:rFonts w:hint="default" w:ascii="Times New Roman" w:hAnsi="Times New Roman" w:eastAsia="宋体" w:cs="Times New Roman"/>
                <w:color w:val="auto"/>
                <w:sz w:val="18"/>
                <w:szCs w:val="18"/>
                <w:lang w:val="en-US" w:eastAsia="zh-CN"/>
              </w:rPr>
            </w:pPr>
          </w:p>
        </w:tc>
        <w:tc>
          <w:tcPr>
            <w:tcW w:w="208" w:type="pct"/>
            <w:tcBorders>
              <w:tl2br w:val="nil"/>
              <w:tr2bl w:val="nil"/>
            </w:tcBorders>
            <w:noWrap w:val="0"/>
            <w:vAlign w:val="center"/>
          </w:tcPr>
          <w:p w14:paraId="06472E04">
            <w:pPr>
              <w:spacing w:line="240" w:lineRule="auto"/>
              <w:jc w:val="center"/>
              <w:rPr>
                <w:rFonts w:hint="eastAsia" w:cs="Times New Roman"/>
                <w:color w:val="auto"/>
                <w:sz w:val="18"/>
                <w:szCs w:val="18"/>
                <w:lang w:val="en-US" w:eastAsia="zh-CN"/>
              </w:rPr>
            </w:pPr>
            <w:r>
              <w:rPr>
                <w:rFonts w:hint="eastAsia" w:cs="Times New Roman"/>
                <w:color w:val="auto"/>
                <w:sz w:val="18"/>
                <w:szCs w:val="18"/>
                <w:lang w:val="en-US" w:eastAsia="zh-CN"/>
              </w:rPr>
              <w:t>20</w:t>
            </w:r>
          </w:p>
        </w:tc>
        <w:tc>
          <w:tcPr>
            <w:tcW w:w="501" w:type="dxa"/>
            <w:tcBorders>
              <w:tl2br w:val="nil"/>
              <w:tr2bl w:val="nil"/>
            </w:tcBorders>
            <w:noWrap w:val="0"/>
            <w:vAlign w:val="center"/>
          </w:tcPr>
          <w:p w14:paraId="06266B2C">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5 </w:t>
            </w:r>
          </w:p>
        </w:tc>
        <w:tc>
          <w:tcPr>
            <w:tcW w:w="555" w:type="dxa"/>
            <w:tcBorders>
              <w:tl2br w:val="nil"/>
              <w:tr2bl w:val="nil"/>
            </w:tcBorders>
            <w:noWrap w:val="0"/>
            <w:vAlign w:val="center"/>
          </w:tcPr>
          <w:p w14:paraId="4A4D7C1B">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19 </w:t>
            </w:r>
          </w:p>
        </w:tc>
        <w:tc>
          <w:tcPr>
            <w:tcW w:w="561" w:type="dxa"/>
            <w:tcBorders>
              <w:tl2br w:val="nil"/>
              <w:tr2bl w:val="nil"/>
            </w:tcBorders>
            <w:noWrap w:val="0"/>
            <w:vAlign w:val="center"/>
          </w:tcPr>
          <w:p w14:paraId="2C896F28">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17 </w:t>
            </w:r>
          </w:p>
        </w:tc>
        <w:tc>
          <w:tcPr>
            <w:tcW w:w="555" w:type="dxa"/>
            <w:tcBorders>
              <w:tl2br w:val="nil"/>
              <w:tr2bl w:val="nil"/>
            </w:tcBorders>
            <w:noWrap w:val="0"/>
            <w:vAlign w:val="center"/>
          </w:tcPr>
          <w:p w14:paraId="77DA559C">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18 </w:t>
            </w:r>
          </w:p>
        </w:tc>
        <w:tc>
          <w:tcPr>
            <w:tcW w:w="169" w:type="pct"/>
            <w:tcBorders>
              <w:tl2br w:val="nil"/>
              <w:tr2bl w:val="nil"/>
            </w:tcBorders>
            <w:noWrap w:val="0"/>
            <w:vAlign w:val="center"/>
          </w:tcPr>
          <w:p w14:paraId="4DF8CEA0">
            <w:pPr>
              <w:spacing w:line="240" w:lineRule="auto"/>
              <w:jc w:val="center"/>
              <w:rPr>
                <w:rFonts w:hint="eastAsia" w:eastAsia="宋体"/>
                <w:color w:val="auto"/>
                <w:sz w:val="18"/>
                <w:szCs w:val="18"/>
                <w:lang w:val="en-US" w:eastAsia="zh-CN"/>
              </w:rPr>
            </w:pPr>
            <w:r>
              <w:rPr>
                <w:rFonts w:hint="eastAsia" w:eastAsia="宋体"/>
                <w:color w:val="auto"/>
                <w:sz w:val="18"/>
                <w:szCs w:val="18"/>
                <w:lang w:val="en-US" w:eastAsia="zh-CN"/>
              </w:rPr>
              <w:t>1</w:t>
            </w:r>
          </w:p>
        </w:tc>
      </w:tr>
      <w:tr w14:paraId="0AB5DF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0" w:type="pct"/>
            <w:tcBorders>
              <w:tl2br w:val="nil"/>
              <w:tr2bl w:val="nil"/>
            </w:tcBorders>
            <w:noWrap w:val="0"/>
            <w:tcMar>
              <w:left w:w="0" w:type="dxa"/>
              <w:right w:w="0" w:type="dxa"/>
            </w:tcMar>
            <w:vAlign w:val="center"/>
          </w:tcPr>
          <w:p w14:paraId="6220700E">
            <w:pPr>
              <w:spacing w:line="240" w:lineRule="auto"/>
              <w:jc w:val="center"/>
              <w:rPr>
                <w:rFonts w:hint="eastAsia" w:eastAsia="宋体"/>
                <w:color w:val="auto"/>
                <w:sz w:val="18"/>
                <w:szCs w:val="18"/>
                <w:lang w:val="en-US" w:eastAsia="zh-CN"/>
              </w:rPr>
            </w:pPr>
            <w:r>
              <w:rPr>
                <w:rFonts w:hint="eastAsia"/>
                <w:color w:val="auto"/>
                <w:sz w:val="18"/>
                <w:szCs w:val="18"/>
                <w:lang w:val="en-US" w:eastAsia="zh-CN"/>
              </w:rPr>
              <w:t>9</w:t>
            </w:r>
          </w:p>
        </w:tc>
        <w:tc>
          <w:tcPr>
            <w:tcW w:w="135" w:type="pct"/>
            <w:vMerge w:val="continue"/>
            <w:tcBorders>
              <w:tl2br w:val="nil"/>
              <w:tr2bl w:val="nil"/>
            </w:tcBorders>
            <w:noWrap w:val="0"/>
            <w:tcMar>
              <w:left w:w="0" w:type="dxa"/>
              <w:right w:w="0" w:type="dxa"/>
            </w:tcMar>
            <w:vAlign w:val="center"/>
          </w:tcPr>
          <w:p w14:paraId="2821F3FD">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p>
        </w:tc>
        <w:tc>
          <w:tcPr>
            <w:tcW w:w="405" w:type="pct"/>
            <w:tcBorders>
              <w:tl2br w:val="nil"/>
              <w:tr2bl w:val="nil"/>
            </w:tcBorders>
            <w:shd w:val="clear" w:color="auto" w:fill="auto"/>
            <w:noWrap w:val="0"/>
            <w:tcMar>
              <w:left w:w="0" w:type="dxa"/>
              <w:right w:w="0" w:type="dxa"/>
            </w:tcMar>
            <w:vAlign w:val="center"/>
          </w:tcPr>
          <w:p w14:paraId="405DF5BA">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防雾烘箱</w:t>
            </w:r>
          </w:p>
        </w:tc>
        <w:tc>
          <w:tcPr>
            <w:tcW w:w="342" w:type="pct"/>
            <w:tcBorders>
              <w:tl2br w:val="nil"/>
              <w:tr2bl w:val="nil"/>
            </w:tcBorders>
            <w:noWrap w:val="0"/>
            <w:tcMar>
              <w:left w:w="0" w:type="dxa"/>
              <w:right w:w="0" w:type="dxa"/>
            </w:tcMar>
            <w:vAlign w:val="center"/>
          </w:tcPr>
          <w:p w14:paraId="387846F1">
            <w:pPr>
              <w:keepNext w:val="0"/>
              <w:keepLines w:val="0"/>
              <w:widowControl/>
              <w:suppressLineNumbers w:val="0"/>
              <w:spacing w:line="240" w:lineRule="auto"/>
              <w:jc w:val="center"/>
              <w:textAlignment w:val="center"/>
              <w:rPr>
                <w:rFonts w:hint="eastAsia" w:cs="Times New Roman"/>
                <w:b w:val="0"/>
                <w:bCs w:val="0"/>
                <w:color w:val="auto"/>
                <w:kern w:val="0"/>
                <w:sz w:val="18"/>
                <w:szCs w:val="18"/>
                <w:lang w:val="en-US" w:eastAsia="zh-CN" w:bidi="ar-SA"/>
              </w:rPr>
            </w:pPr>
            <w:r>
              <w:rPr>
                <w:rFonts w:hint="eastAsia" w:cs="Times New Roman"/>
                <w:b w:val="0"/>
                <w:bCs w:val="0"/>
                <w:color w:val="auto"/>
                <w:kern w:val="0"/>
                <w:sz w:val="18"/>
                <w:szCs w:val="18"/>
                <w:lang w:val="en-US" w:eastAsia="zh-CN" w:bidi="ar-SA"/>
              </w:rPr>
              <w:t>/</w:t>
            </w:r>
          </w:p>
        </w:tc>
        <w:tc>
          <w:tcPr>
            <w:tcW w:w="181" w:type="pct"/>
            <w:tcBorders>
              <w:tl2br w:val="nil"/>
              <w:tr2bl w:val="nil"/>
            </w:tcBorders>
            <w:noWrap w:val="0"/>
            <w:tcMar>
              <w:left w:w="0" w:type="dxa"/>
              <w:right w:w="0" w:type="dxa"/>
            </w:tcMar>
            <w:vAlign w:val="center"/>
          </w:tcPr>
          <w:p w14:paraId="1D32D809">
            <w:pPr>
              <w:keepNext w:val="0"/>
              <w:keepLines w:val="0"/>
              <w:widowControl/>
              <w:suppressLineNumbers w:val="0"/>
              <w:jc w:val="center"/>
              <w:textAlignment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219" w:type="pct"/>
            <w:tcBorders>
              <w:tl2br w:val="nil"/>
              <w:tr2bl w:val="nil"/>
            </w:tcBorders>
            <w:noWrap w:val="0"/>
            <w:vAlign w:val="center"/>
          </w:tcPr>
          <w:p w14:paraId="5ADB38FF">
            <w:pPr>
              <w:jc w:val="center"/>
              <w:rPr>
                <w:rFonts w:hint="default"/>
                <w:bCs/>
                <w:color w:val="auto"/>
                <w:sz w:val="18"/>
                <w:szCs w:val="18"/>
                <w:lang w:val="en-US" w:eastAsia="zh-CN"/>
              </w:rPr>
            </w:pPr>
            <w:r>
              <w:rPr>
                <w:rFonts w:hint="eastAsia"/>
                <w:bCs/>
                <w:color w:val="auto"/>
                <w:sz w:val="18"/>
                <w:szCs w:val="18"/>
                <w:lang w:val="en-US" w:eastAsia="zh-CN"/>
              </w:rPr>
              <w:t>75</w:t>
            </w:r>
          </w:p>
        </w:tc>
        <w:tc>
          <w:tcPr>
            <w:tcW w:w="627" w:type="dxa"/>
            <w:tcBorders>
              <w:tl2br w:val="nil"/>
              <w:tr2bl w:val="nil"/>
            </w:tcBorders>
            <w:noWrap w:val="0"/>
            <w:vAlign w:val="center"/>
          </w:tcPr>
          <w:p w14:paraId="6CB0E17D">
            <w:pPr>
              <w:jc w:val="center"/>
              <w:rPr>
                <w:rFonts w:hint="eastAsia"/>
                <w:bCs/>
                <w:color w:val="auto"/>
                <w:sz w:val="18"/>
                <w:szCs w:val="18"/>
                <w:lang w:val="en-US" w:eastAsia="zh-CN"/>
              </w:rPr>
            </w:pPr>
            <w:r>
              <w:rPr>
                <w:rFonts w:hint="eastAsia"/>
                <w:bCs/>
                <w:color w:val="auto"/>
                <w:sz w:val="18"/>
                <w:szCs w:val="18"/>
                <w:lang w:val="en-US" w:eastAsia="zh-CN"/>
              </w:rPr>
              <w:t>75</w:t>
            </w:r>
          </w:p>
        </w:tc>
        <w:tc>
          <w:tcPr>
            <w:tcW w:w="164" w:type="pct"/>
            <w:vMerge w:val="continue"/>
            <w:tcBorders>
              <w:tl2br w:val="nil"/>
              <w:tr2bl w:val="nil"/>
            </w:tcBorders>
            <w:noWrap w:val="0"/>
            <w:vAlign w:val="center"/>
          </w:tcPr>
          <w:p w14:paraId="02BA337D">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18"/>
                <w:szCs w:val="18"/>
                <w:lang w:val="en-US" w:eastAsia="zh-CN" w:bidi="ar-SA"/>
              </w:rPr>
            </w:pPr>
          </w:p>
        </w:tc>
        <w:tc>
          <w:tcPr>
            <w:tcW w:w="157" w:type="pct"/>
            <w:tcBorders>
              <w:tl2br w:val="nil"/>
              <w:tr2bl w:val="nil"/>
            </w:tcBorders>
            <w:noWrap w:val="0"/>
            <w:vAlign w:val="center"/>
          </w:tcPr>
          <w:p w14:paraId="3311F0BF">
            <w:pPr>
              <w:jc w:val="center"/>
              <w:rPr>
                <w:rFonts w:hint="eastAsia" w:cs="Times New Roman"/>
                <w:color w:val="auto"/>
                <w:sz w:val="18"/>
                <w:szCs w:val="18"/>
                <w:lang w:val="en-US" w:eastAsia="zh-CN"/>
              </w:rPr>
            </w:pPr>
            <w:r>
              <w:rPr>
                <w:rFonts w:hint="eastAsia" w:cs="Times New Roman"/>
                <w:color w:val="auto"/>
                <w:sz w:val="18"/>
                <w:szCs w:val="18"/>
                <w:lang w:val="en-US" w:eastAsia="zh-CN"/>
              </w:rPr>
              <w:t>10</w:t>
            </w:r>
          </w:p>
        </w:tc>
        <w:tc>
          <w:tcPr>
            <w:tcW w:w="171" w:type="pct"/>
            <w:tcBorders>
              <w:tl2br w:val="nil"/>
              <w:tr2bl w:val="nil"/>
            </w:tcBorders>
            <w:noWrap w:val="0"/>
            <w:vAlign w:val="center"/>
          </w:tcPr>
          <w:p w14:paraId="789CE744">
            <w:pPr>
              <w:jc w:val="center"/>
              <w:rPr>
                <w:rFonts w:hint="eastAsia" w:cs="Times New Roman"/>
                <w:color w:val="auto"/>
                <w:sz w:val="18"/>
                <w:szCs w:val="18"/>
                <w:lang w:val="en-US" w:eastAsia="zh-CN"/>
              </w:rPr>
            </w:pPr>
            <w:r>
              <w:rPr>
                <w:rFonts w:hint="eastAsia" w:cs="Times New Roman"/>
                <w:color w:val="auto"/>
                <w:sz w:val="18"/>
                <w:szCs w:val="18"/>
                <w:lang w:val="en-US" w:eastAsia="zh-CN"/>
              </w:rPr>
              <w:t>8</w:t>
            </w:r>
          </w:p>
        </w:tc>
        <w:tc>
          <w:tcPr>
            <w:tcW w:w="170" w:type="pct"/>
            <w:tcBorders>
              <w:tl2br w:val="nil"/>
              <w:tr2bl w:val="nil"/>
            </w:tcBorders>
            <w:noWrap w:val="0"/>
            <w:vAlign w:val="center"/>
          </w:tcPr>
          <w:p w14:paraId="69F6825A">
            <w:pPr>
              <w:spacing w:line="240" w:lineRule="auto"/>
              <w:jc w:val="center"/>
              <w:rPr>
                <w:rFonts w:hint="eastAsia"/>
                <w:color w:val="auto"/>
                <w:sz w:val="18"/>
                <w:szCs w:val="18"/>
                <w:lang w:val="en-US" w:eastAsia="zh-CN"/>
              </w:rPr>
            </w:pPr>
            <w:r>
              <w:rPr>
                <w:rFonts w:hint="eastAsia"/>
                <w:color w:val="auto"/>
                <w:sz w:val="18"/>
                <w:szCs w:val="18"/>
                <w:lang w:val="en-US" w:eastAsia="zh-CN"/>
              </w:rPr>
              <w:t>0</w:t>
            </w:r>
          </w:p>
        </w:tc>
        <w:tc>
          <w:tcPr>
            <w:tcW w:w="177" w:type="pct"/>
            <w:tcBorders>
              <w:tl2br w:val="nil"/>
              <w:tr2bl w:val="nil"/>
            </w:tcBorders>
            <w:noWrap w:val="0"/>
            <w:vAlign w:val="center"/>
          </w:tcPr>
          <w:p w14:paraId="484B2029">
            <w:pPr>
              <w:jc w:val="center"/>
              <w:rPr>
                <w:rFonts w:hint="eastAsia" w:cs="Times New Roman"/>
                <w:color w:val="auto"/>
                <w:sz w:val="18"/>
                <w:szCs w:val="18"/>
                <w:lang w:val="en-US" w:eastAsia="zh-CN"/>
              </w:rPr>
            </w:pPr>
            <w:r>
              <w:rPr>
                <w:rFonts w:hint="eastAsia" w:cs="Times New Roman"/>
                <w:color w:val="auto"/>
                <w:sz w:val="18"/>
                <w:szCs w:val="18"/>
                <w:lang w:val="en-US" w:eastAsia="zh-CN"/>
              </w:rPr>
              <w:t>40</w:t>
            </w:r>
          </w:p>
        </w:tc>
        <w:tc>
          <w:tcPr>
            <w:tcW w:w="178" w:type="pct"/>
            <w:tcBorders>
              <w:tl2br w:val="nil"/>
              <w:tr2bl w:val="nil"/>
            </w:tcBorders>
            <w:noWrap w:val="0"/>
            <w:vAlign w:val="center"/>
          </w:tcPr>
          <w:p w14:paraId="47E252B7">
            <w:pPr>
              <w:jc w:val="center"/>
              <w:rPr>
                <w:rFonts w:hint="eastAsia" w:cs="Times New Roman"/>
                <w:color w:val="auto"/>
                <w:sz w:val="18"/>
                <w:szCs w:val="18"/>
                <w:lang w:val="en-US" w:eastAsia="zh-CN"/>
              </w:rPr>
            </w:pPr>
            <w:r>
              <w:rPr>
                <w:rFonts w:hint="eastAsia" w:cs="Times New Roman"/>
                <w:color w:val="auto"/>
                <w:sz w:val="18"/>
                <w:szCs w:val="18"/>
                <w:lang w:val="en-US" w:eastAsia="zh-CN"/>
              </w:rPr>
              <w:t>8</w:t>
            </w:r>
          </w:p>
        </w:tc>
        <w:tc>
          <w:tcPr>
            <w:tcW w:w="176" w:type="pct"/>
            <w:tcBorders>
              <w:tl2br w:val="nil"/>
              <w:tr2bl w:val="nil"/>
            </w:tcBorders>
            <w:noWrap w:val="0"/>
            <w:vAlign w:val="center"/>
          </w:tcPr>
          <w:p w14:paraId="450A8522">
            <w:pPr>
              <w:jc w:val="center"/>
              <w:rPr>
                <w:rFonts w:hint="eastAsia" w:cs="Times New Roman"/>
                <w:color w:val="auto"/>
                <w:sz w:val="18"/>
                <w:szCs w:val="18"/>
                <w:lang w:val="en-US" w:eastAsia="zh-CN"/>
              </w:rPr>
            </w:pPr>
            <w:r>
              <w:rPr>
                <w:rFonts w:hint="eastAsia" w:cs="Times New Roman"/>
                <w:color w:val="auto"/>
                <w:sz w:val="18"/>
                <w:szCs w:val="18"/>
                <w:lang w:val="en-US" w:eastAsia="zh-CN"/>
              </w:rPr>
              <w:t>10</w:t>
            </w:r>
          </w:p>
        </w:tc>
        <w:tc>
          <w:tcPr>
            <w:tcW w:w="182" w:type="pct"/>
            <w:tcBorders>
              <w:tl2br w:val="nil"/>
              <w:tr2bl w:val="nil"/>
            </w:tcBorders>
            <w:noWrap w:val="0"/>
            <w:vAlign w:val="center"/>
          </w:tcPr>
          <w:p w14:paraId="6324B0B0">
            <w:pPr>
              <w:jc w:val="center"/>
              <w:rPr>
                <w:rFonts w:hint="eastAsia" w:cs="Times New Roman"/>
                <w:color w:val="auto"/>
                <w:sz w:val="18"/>
                <w:szCs w:val="18"/>
                <w:lang w:val="en-US" w:eastAsia="zh-CN"/>
              </w:rPr>
            </w:pPr>
            <w:r>
              <w:rPr>
                <w:rFonts w:hint="eastAsia" w:cs="Times New Roman"/>
                <w:color w:val="auto"/>
                <w:sz w:val="18"/>
                <w:szCs w:val="18"/>
                <w:lang w:val="en-US" w:eastAsia="zh-CN"/>
              </w:rPr>
              <w:t>9</w:t>
            </w:r>
          </w:p>
        </w:tc>
        <w:tc>
          <w:tcPr>
            <w:tcW w:w="489" w:type="dxa"/>
            <w:tcBorders>
              <w:tl2br w:val="nil"/>
              <w:tr2bl w:val="nil"/>
            </w:tcBorders>
            <w:noWrap w:val="0"/>
            <w:vAlign w:val="center"/>
          </w:tcPr>
          <w:p w14:paraId="780DAE04">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35 </w:t>
            </w:r>
          </w:p>
        </w:tc>
        <w:tc>
          <w:tcPr>
            <w:tcW w:w="516" w:type="dxa"/>
            <w:tcBorders>
              <w:tl2br w:val="nil"/>
              <w:tr2bl w:val="nil"/>
            </w:tcBorders>
            <w:noWrap w:val="0"/>
            <w:vAlign w:val="center"/>
          </w:tcPr>
          <w:p w14:paraId="2225B24D">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49 </w:t>
            </w:r>
          </w:p>
        </w:tc>
        <w:tc>
          <w:tcPr>
            <w:tcW w:w="433" w:type="dxa"/>
            <w:tcBorders>
              <w:tl2br w:val="nil"/>
              <w:tr2bl w:val="nil"/>
            </w:tcBorders>
            <w:noWrap w:val="0"/>
            <w:vAlign w:val="center"/>
          </w:tcPr>
          <w:p w14:paraId="47F4F09B">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47 </w:t>
            </w:r>
          </w:p>
        </w:tc>
        <w:tc>
          <w:tcPr>
            <w:tcW w:w="541" w:type="dxa"/>
            <w:tcBorders>
              <w:tl2br w:val="nil"/>
              <w:tr2bl w:val="nil"/>
            </w:tcBorders>
            <w:noWrap w:val="0"/>
            <w:vAlign w:val="center"/>
          </w:tcPr>
          <w:p w14:paraId="4461232E">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48 </w:t>
            </w:r>
          </w:p>
        </w:tc>
        <w:tc>
          <w:tcPr>
            <w:tcW w:w="163" w:type="pct"/>
            <w:vMerge w:val="continue"/>
            <w:tcBorders>
              <w:tl2br w:val="nil"/>
              <w:tr2bl w:val="nil"/>
            </w:tcBorders>
            <w:noWrap w:val="0"/>
            <w:vAlign w:val="center"/>
          </w:tcPr>
          <w:p w14:paraId="4391A9B5">
            <w:pPr>
              <w:spacing w:line="240" w:lineRule="auto"/>
              <w:jc w:val="center"/>
              <w:rPr>
                <w:rFonts w:hint="default" w:ascii="Times New Roman" w:hAnsi="Times New Roman" w:eastAsia="宋体" w:cs="Times New Roman"/>
                <w:color w:val="auto"/>
                <w:sz w:val="18"/>
                <w:szCs w:val="18"/>
                <w:lang w:val="en-US" w:eastAsia="zh-CN"/>
              </w:rPr>
            </w:pPr>
          </w:p>
        </w:tc>
        <w:tc>
          <w:tcPr>
            <w:tcW w:w="208" w:type="pct"/>
            <w:tcBorders>
              <w:tl2br w:val="nil"/>
              <w:tr2bl w:val="nil"/>
            </w:tcBorders>
            <w:noWrap w:val="0"/>
            <w:vAlign w:val="center"/>
          </w:tcPr>
          <w:p w14:paraId="1B0E8206">
            <w:pPr>
              <w:spacing w:line="240" w:lineRule="auto"/>
              <w:jc w:val="center"/>
              <w:rPr>
                <w:rFonts w:hint="eastAsia" w:cs="Times New Roman"/>
                <w:color w:val="auto"/>
                <w:sz w:val="18"/>
                <w:szCs w:val="18"/>
                <w:lang w:val="en-US" w:eastAsia="zh-CN"/>
              </w:rPr>
            </w:pPr>
            <w:r>
              <w:rPr>
                <w:rFonts w:hint="eastAsia" w:cs="Times New Roman"/>
                <w:color w:val="auto"/>
                <w:sz w:val="18"/>
                <w:szCs w:val="18"/>
                <w:lang w:val="en-US" w:eastAsia="zh-CN"/>
              </w:rPr>
              <w:t>20</w:t>
            </w:r>
          </w:p>
        </w:tc>
        <w:tc>
          <w:tcPr>
            <w:tcW w:w="501" w:type="dxa"/>
            <w:tcBorders>
              <w:tl2br w:val="nil"/>
              <w:tr2bl w:val="nil"/>
            </w:tcBorders>
            <w:noWrap w:val="0"/>
            <w:vAlign w:val="center"/>
          </w:tcPr>
          <w:p w14:paraId="73FD845E">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15 </w:t>
            </w:r>
          </w:p>
        </w:tc>
        <w:tc>
          <w:tcPr>
            <w:tcW w:w="555" w:type="dxa"/>
            <w:tcBorders>
              <w:tl2br w:val="nil"/>
              <w:tr2bl w:val="nil"/>
            </w:tcBorders>
            <w:noWrap w:val="0"/>
            <w:vAlign w:val="center"/>
          </w:tcPr>
          <w:p w14:paraId="741AE39A">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29 </w:t>
            </w:r>
          </w:p>
        </w:tc>
        <w:tc>
          <w:tcPr>
            <w:tcW w:w="561" w:type="dxa"/>
            <w:tcBorders>
              <w:tl2br w:val="nil"/>
              <w:tr2bl w:val="nil"/>
            </w:tcBorders>
            <w:noWrap w:val="0"/>
            <w:vAlign w:val="center"/>
          </w:tcPr>
          <w:p w14:paraId="7F707DEA">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27 </w:t>
            </w:r>
          </w:p>
        </w:tc>
        <w:tc>
          <w:tcPr>
            <w:tcW w:w="555" w:type="dxa"/>
            <w:tcBorders>
              <w:tl2br w:val="nil"/>
              <w:tr2bl w:val="nil"/>
            </w:tcBorders>
            <w:noWrap w:val="0"/>
            <w:vAlign w:val="center"/>
          </w:tcPr>
          <w:p w14:paraId="6EB896A7">
            <w:pPr>
              <w:spacing w:line="240" w:lineRule="auto"/>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 xml:space="preserve">28 </w:t>
            </w:r>
          </w:p>
        </w:tc>
        <w:tc>
          <w:tcPr>
            <w:tcW w:w="169" w:type="pct"/>
            <w:tcBorders>
              <w:tl2br w:val="nil"/>
              <w:tr2bl w:val="nil"/>
            </w:tcBorders>
            <w:noWrap w:val="0"/>
            <w:vAlign w:val="center"/>
          </w:tcPr>
          <w:p w14:paraId="45FE4CF8">
            <w:pPr>
              <w:spacing w:line="240" w:lineRule="auto"/>
              <w:jc w:val="center"/>
              <w:rPr>
                <w:rFonts w:hint="eastAsia" w:eastAsia="宋体"/>
                <w:color w:val="auto"/>
                <w:sz w:val="18"/>
                <w:szCs w:val="18"/>
                <w:lang w:val="en-US" w:eastAsia="zh-CN"/>
              </w:rPr>
            </w:pPr>
            <w:r>
              <w:rPr>
                <w:rFonts w:hint="eastAsia" w:eastAsia="宋体"/>
                <w:color w:val="auto"/>
                <w:sz w:val="18"/>
                <w:szCs w:val="18"/>
                <w:lang w:val="en-US" w:eastAsia="zh-CN"/>
              </w:rPr>
              <w:t>1</w:t>
            </w:r>
          </w:p>
        </w:tc>
      </w:tr>
    </w:tbl>
    <w:p w14:paraId="63292B13">
      <w:pPr>
        <w:pStyle w:val="4"/>
        <w:rPr>
          <w:rFonts w:hint="default"/>
          <w:color w:val="auto"/>
          <w:lang w:val="en-US" w:eastAsia="zh-CN"/>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0"/>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9"/>
        <w:gridCol w:w="8339"/>
      </w:tblGrid>
      <w:tr w14:paraId="32774E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28" w:hRule="atLeast"/>
          <w:jc w:val="center"/>
        </w:trPr>
        <w:tc>
          <w:tcPr>
            <w:tcW w:w="569" w:type="dxa"/>
            <w:noWrap w:val="0"/>
            <w:tcMar>
              <w:left w:w="28" w:type="dxa"/>
              <w:right w:w="28" w:type="dxa"/>
            </w:tcMar>
            <w:vAlign w:val="center"/>
          </w:tcPr>
          <w:p w14:paraId="219BAF1F">
            <w:pPr>
              <w:adjustRightInd w:val="0"/>
              <w:snapToGrid w:val="0"/>
              <w:jc w:val="both"/>
              <w:rPr>
                <w:rFonts w:ascii="宋体" w:hAnsi="宋体" w:cs="宋体"/>
                <w:bCs/>
                <w:color w:val="auto"/>
                <w:szCs w:val="21"/>
              </w:rPr>
            </w:pPr>
          </w:p>
        </w:tc>
        <w:tc>
          <w:tcPr>
            <w:tcW w:w="8339" w:type="dxa"/>
            <w:noWrap w:val="0"/>
            <w:vAlign w:val="center"/>
          </w:tcPr>
          <w:p w14:paraId="0038E4F3">
            <w:pPr>
              <w:pStyle w:val="4"/>
              <w:bidi w:val="0"/>
              <w:spacing w:line="240" w:lineRule="auto"/>
              <w:jc w:val="center"/>
              <w:rPr>
                <w:rFonts w:hint="eastAsia"/>
                <w:color w:val="auto"/>
                <w:lang w:eastAsia="zh-CN"/>
              </w:rPr>
            </w:pPr>
            <w:r>
              <w:rPr>
                <w:rFonts w:hint="default" w:ascii="Times New Roman" w:hAnsi="Times New Roman" w:cs="Times New Roman"/>
                <w:b/>
                <w:color w:val="auto"/>
                <w:sz w:val="21"/>
                <w:szCs w:val="21"/>
                <w:highlight w:val="none"/>
              </w:rPr>
              <w:t>表4-</w:t>
            </w:r>
            <w:r>
              <w:rPr>
                <w:rFonts w:hint="eastAsia" w:cs="Times New Roman"/>
                <w:b/>
                <w:color w:val="auto"/>
                <w:sz w:val="21"/>
                <w:szCs w:val="21"/>
                <w:highlight w:val="none"/>
                <w:lang w:val="en-US" w:eastAsia="zh-CN"/>
              </w:rPr>
              <w:t>14</w:t>
            </w:r>
            <w:r>
              <w:rPr>
                <w:rFonts w:hint="default" w:ascii="Times New Roman" w:hAnsi="Times New Roman" w:cs="Times New Roman"/>
                <w:b/>
                <w:color w:val="auto"/>
                <w:sz w:val="21"/>
                <w:szCs w:val="21"/>
                <w:highlight w:val="none"/>
              </w:rPr>
              <w:t xml:space="preserve"> </w:t>
            </w:r>
            <w:r>
              <w:rPr>
                <w:rFonts w:hint="eastAsia" w:ascii="Times New Roman" w:hAnsi="Times New Roman" w:cs="Times New Roman"/>
                <w:b/>
                <w:color w:val="auto"/>
                <w:sz w:val="21"/>
                <w:szCs w:val="21"/>
                <w:highlight w:val="none"/>
                <w:lang w:val="en-US" w:eastAsia="zh-CN"/>
              </w:rPr>
              <w:t>本</w:t>
            </w:r>
            <w:r>
              <w:rPr>
                <w:rFonts w:hint="default" w:ascii="Times New Roman" w:hAnsi="Times New Roman" w:cs="Times New Roman"/>
                <w:b/>
                <w:color w:val="auto"/>
                <w:sz w:val="21"/>
                <w:szCs w:val="21"/>
                <w:highlight w:val="none"/>
              </w:rPr>
              <w:t>项目主要</w:t>
            </w:r>
            <w:r>
              <w:rPr>
                <w:rFonts w:hint="eastAsia" w:cs="Times New Roman"/>
                <w:b/>
                <w:color w:val="auto"/>
                <w:sz w:val="21"/>
                <w:szCs w:val="21"/>
                <w:highlight w:val="none"/>
                <w:lang w:val="en-US" w:eastAsia="zh-CN"/>
              </w:rPr>
              <w:t>室外</w:t>
            </w:r>
            <w:r>
              <w:rPr>
                <w:rFonts w:hint="default" w:ascii="Times New Roman" w:hAnsi="Times New Roman" w:cs="Times New Roman"/>
                <w:b/>
                <w:color w:val="auto"/>
                <w:sz w:val="21"/>
                <w:szCs w:val="21"/>
                <w:highlight w:val="none"/>
              </w:rPr>
              <w:t>设备噪声源强一览表</w:t>
            </w:r>
          </w:p>
          <w:tbl>
            <w:tblPr>
              <w:tblStyle w:val="20"/>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8"/>
              <w:gridCol w:w="387"/>
              <w:gridCol w:w="534"/>
              <w:gridCol w:w="630"/>
              <w:gridCol w:w="651"/>
              <w:gridCol w:w="945"/>
              <w:gridCol w:w="902"/>
              <w:gridCol w:w="904"/>
              <w:gridCol w:w="915"/>
              <w:gridCol w:w="915"/>
              <w:gridCol w:w="915"/>
            </w:tblGrid>
            <w:tr w14:paraId="3F37DF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6" w:hRule="exact"/>
                <w:jc w:val="center"/>
              </w:trPr>
              <w:tc>
                <w:tcPr>
                  <w:tcW w:w="257" w:type="pct"/>
                  <w:noWrap w:val="0"/>
                  <w:vAlign w:val="center"/>
                </w:tcPr>
                <w:p w14:paraId="5DAB7C7C">
                  <w:pPr>
                    <w:adjustRightInd w:val="0"/>
                    <w:snapToGrid w:val="0"/>
                    <w:jc w:val="center"/>
                    <w:rPr>
                      <w:rFonts w:ascii="Times New Roman" w:hAnsi="Times New Roman"/>
                      <w:b/>
                      <w:bCs/>
                      <w:color w:val="auto"/>
                      <w:sz w:val="18"/>
                      <w:szCs w:val="18"/>
                      <w:highlight w:val="none"/>
                    </w:rPr>
                  </w:pPr>
                  <w:r>
                    <w:rPr>
                      <w:rFonts w:ascii="Times New Roman" w:hAnsi="Times New Roman"/>
                      <w:b/>
                      <w:bCs/>
                      <w:color w:val="auto"/>
                      <w:sz w:val="18"/>
                      <w:szCs w:val="18"/>
                      <w:highlight w:val="none"/>
                    </w:rPr>
                    <w:t>序号</w:t>
                  </w:r>
                </w:p>
              </w:tc>
              <w:tc>
                <w:tcPr>
                  <w:tcW w:w="238" w:type="pct"/>
                  <w:noWrap w:val="0"/>
                  <w:vAlign w:val="center"/>
                </w:tcPr>
                <w:p w14:paraId="2EF2EBB0">
                  <w:pPr>
                    <w:adjustRightInd w:val="0"/>
                    <w:snapToGrid w:val="0"/>
                    <w:jc w:val="center"/>
                    <w:rPr>
                      <w:rFonts w:ascii="Times New Roman" w:hAnsi="Times New Roman"/>
                      <w:b/>
                      <w:bCs/>
                      <w:color w:val="auto"/>
                      <w:sz w:val="18"/>
                      <w:szCs w:val="18"/>
                      <w:highlight w:val="none"/>
                    </w:rPr>
                  </w:pPr>
                  <w:r>
                    <w:rPr>
                      <w:rFonts w:ascii="Times New Roman" w:hAnsi="Times New Roman"/>
                      <w:b/>
                      <w:bCs/>
                      <w:color w:val="auto"/>
                      <w:sz w:val="18"/>
                      <w:szCs w:val="18"/>
                      <w:highlight w:val="none"/>
                    </w:rPr>
                    <w:t>名称</w:t>
                  </w:r>
                </w:p>
              </w:tc>
              <w:tc>
                <w:tcPr>
                  <w:tcW w:w="328" w:type="pct"/>
                  <w:noWrap w:val="0"/>
                  <w:vAlign w:val="center"/>
                </w:tcPr>
                <w:p w14:paraId="52F90711">
                  <w:pPr>
                    <w:adjustRightInd w:val="0"/>
                    <w:snapToGrid w:val="0"/>
                    <w:jc w:val="center"/>
                    <w:rPr>
                      <w:rFonts w:hint="eastAsia" w:ascii="Times New Roman" w:hAnsi="Times New Roman" w:eastAsia="宋体"/>
                      <w:b/>
                      <w:bCs/>
                      <w:color w:val="auto"/>
                      <w:sz w:val="18"/>
                      <w:szCs w:val="18"/>
                      <w:highlight w:val="none"/>
                      <w:lang w:val="en-US" w:eastAsia="zh-CN"/>
                    </w:rPr>
                  </w:pPr>
                  <w:r>
                    <w:rPr>
                      <w:rFonts w:hint="eastAsia"/>
                      <w:b/>
                      <w:bCs/>
                      <w:color w:val="auto"/>
                      <w:sz w:val="18"/>
                      <w:szCs w:val="18"/>
                      <w:highlight w:val="none"/>
                      <w:lang w:val="en-US" w:eastAsia="zh-CN"/>
                    </w:rPr>
                    <w:t>型号</w:t>
                  </w:r>
                </w:p>
              </w:tc>
              <w:tc>
                <w:tcPr>
                  <w:tcW w:w="388" w:type="pct"/>
                  <w:noWrap w:val="0"/>
                  <w:vAlign w:val="center"/>
                </w:tcPr>
                <w:p w14:paraId="6FD6A16F">
                  <w:pPr>
                    <w:adjustRightInd w:val="0"/>
                    <w:snapToGrid w:val="0"/>
                    <w:jc w:val="center"/>
                    <w:rPr>
                      <w:rFonts w:hint="eastAsia" w:ascii="Times New Roman" w:hAnsi="Times New Roman" w:eastAsia="宋体"/>
                      <w:b/>
                      <w:bCs/>
                      <w:color w:val="auto"/>
                      <w:sz w:val="18"/>
                      <w:szCs w:val="18"/>
                      <w:highlight w:val="none"/>
                      <w:lang w:val="en-US" w:eastAsia="zh-CN"/>
                    </w:rPr>
                  </w:pPr>
                  <w:r>
                    <w:rPr>
                      <w:rFonts w:hint="eastAsia"/>
                      <w:b/>
                      <w:bCs/>
                      <w:color w:val="auto"/>
                      <w:sz w:val="18"/>
                      <w:szCs w:val="18"/>
                      <w:highlight w:val="none"/>
                      <w:lang w:val="en-US" w:eastAsia="zh-CN"/>
                    </w:rPr>
                    <w:t>位置</w:t>
                  </w:r>
                </w:p>
              </w:tc>
              <w:tc>
                <w:tcPr>
                  <w:tcW w:w="401" w:type="pct"/>
                  <w:noWrap w:val="0"/>
                  <w:vAlign w:val="center"/>
                </w:tcPr>
                <w:p w14:paraId="10E8D0AF">
                  <w:pPr>
                    <w:adjustRightInd w:val="0"/>
                    <w:snapToGrid w:val="0"/>
                    <w:jc w:val="center"/>
                    <w:rPr>
                      <w:rFonts w:ascii="Times New Roman" w:hAnsi="Times New Roman"/>
                      <w:b/>
                      <w:bCs/>
                      <w:color w:val="auto"/>
                      <w:sz w:val="18"/>
                      <w:szCs w:val="18"/>
                      <w:highlight w:val="none"/>
                    </w:rPr>
                  </w:pPr>
                  <w:r>
                    <w:rPr>
                      <w:rFonts w:ascii="Times New Roman" w:hAnsi="Times New Roman"/>
                      <w:b/>
                      <w:bCs/>
                      <w:color w:val="auto"/>
                      <w:sz w:val="18"/>
                      <w:szCs w:val="18"/>
                      <w:highlight w:val="none"/>
                    </w:rPr>
                    <w:t>数量</w:t>
                  </w:r>
                </w:p>
                <w:p w14:paraId="5B1C941B">
                  <w:pPr>
                    <w:adjustRightInd w:val="0"/>
                    <w:snapToGrid w:val="0"/>
                    <w:jc w:val="center"/>
                    <w:rPr>
                      <w:rFonts w:ascii="Times New Roman" w:hAnsi="Times New Roman"/>
                      <w:b/>
                      <w:bCs/>
                      <w:color w:val="auto"/>
                      <w:sz w:val="18"/>
                      <w:szCs w:val="18"/>
                      <w:highlight w:val="none"/>
                    </w:rPr>
                  </w:pPr>
                  <w:r>
                    <w:rPr>
                      <w:rFonts w:ascii="Times New Roman" w:hAnsi="Times New Roman"/>
                      <w:b/>
                      <w:bCs/>
                      <w:color w:val="auto"/>
                      <w:sz w:val="18"/>
                      <w:szCs w:val="18"/>
                      <w:highlight w:val="none"/>
                    </w:rPr>
                    <w:t>（台/套）</w:t>
                  </w:r>
                </w:p>
              </w:tc>
              <w:tc>
                <w:tcPr>
                  <w:tcW w:w="582" w:type="pct"/>
                  <w:noWrap w:val="0"/>
                  <w:vAlign w:val="center"/>
                </w:tcPr>
                <w:p w14:paraId="58A0011D">
                  <w:pPr>
                    <w:adjustRightInd w:val="0"/>
                    <w:snapToGrid w:val="0"/>
                    <w:jc w:val="center"/>
                    <w:rPr>
                      <w:rFonts w:ascii="Times New Roman" w:hAnsi="Times New Roman"/>
                      <w:b/>
                      <w:bCs/>
                      <w:color w:val="auto"/>
                      <w:sz w:val="18"/>
                      <w:szCs w:val="18"/>
                      <w:highlight w:val="none"/>
                    </w:rPr>
                  </w:pPr>
                  <w:r>
                    <w:rPr>
                      <w:rFonts w:hint="eastAsia" w:ascii="Times New Roman" w:hAnsi="Times New Roman"/>
                      <w:b/>
                      <w:bCs/>
                      <w:color w:val="auto"/>
                      <w:sz w:val="18"/>
                      <w:szCs w:val="18"/>
                      <w:highlight w:val="none"/>
                      <w:lang w:eastAsia="zh-CN"/>
                    </w:rPr>
                    <w:t>单台设备源强</w:t>
                  </w:r>
                  <w:r>
                    <w:rPr>
                      <w:rFonts w:ascii="Times New Roman" w:hAnsi="Times New Roman"/>
                      <w:b/>
                      <w:bCs/>
                      <w:color w:val="auto"/>
                      <w:sz w:val="18"/>
                      <w:szCs w:val="18"/>
                      <w:highlight w:val="none"/>
                    </w:rPr>
                    <w:t>dB(A)</w:t>
                  </w:r>
                </w:p>
              </w:tc>
              <w:tc>
                <w:tcPr>
                  <w:tcW w:w="555" w:type="pct"/>
                  <w:noWrap w:val="0"/>
                  <w:vAlign w:val="center"/>
                </w:tcPr>
                <w:p w14:paraId="3F2A7DA9">
                  <w:pPr>
                    <w:adjustRightInd w:val="0"/>
                    <w:snapToGrid w:val="0"/>
                    <w:jc w:val="center"/>
                    <w:rPr>
                      <w:rFonts w:hint="eastAsia" w:ascii="Times New Roman" w:hAnsi="Times New Roman" w:eastAsia="宋体"/>
                      <w:b/>
                      <w:bCs/>
                      <w:color w:val="auto"/>
                      <w:sz w:val="18"/>
                      <w:szCs w:val="18"/>
                      <w:highlight w:val="none"/>
                      <w:lang w:eastAsia="zh-CN"/>
                    </w:rPr>
                  </w:pPr>
                  <w:r>
                    <w:rPr>
                      <w:rFonts w:hint="eastAsia" w:ascii="Times New Roman" w:hAnsi="Times New Roman"/>
                      <w:b/>
                      <w:bCs/>
                      <w:color w:val="auto"/>
                      <w:sz w:val="18"/>
                      <w:szCs w:val="18"/>
                      <w:highlight w:val="none"/>
                      <w:lang w:eastAsia="zh-CN"/>
                    </w:rPr>
                    <w:t>与厂界距离</w:t>
                  </w:r>
                </w:p>
              </w:tc>
              <w:tc>
                <w:tcPr>
                  <w:tcW w:w="556" w:type="pct"/>
                  <w:noWrap w:val="0"/>
                  <w:vAlign w:val="center"/>
                </w:tcPr>
                <w:p w14:paraId="35736084">
                  <w:pPr>
                    <w:adjustRightInd w:val="0"/>
                    <w:snapToGrid w:val="0"/>
                    <w:jc w:val="center"/>
                    <w:rPr>
                      <w:rFonts w:ascii="Times New Roman" w:hAnsi="Times New Roman"/>
                      <w:b/>
                      <w:bCs/>
                      <w:color w:val="auto"/>
                      <w:sz w:val="18"/>
                      <w:szCs w:val="18"/>
                      <w:highlight w:val="none"/>
                    </w:rPr>
                  </w:pPr>
                  <w:r>
                    <w:rPr>
                      <w:rFonts w:ascii="Times New Roman" w:hAnsi="Times New Roman"/>
                      <w:b/>
                      <w:bCs/>
                      <w:color w:val="auto"/>
                      <w:sz w:val="18"/>
                      <w:szCs w:val="18"/>
                      <w:highlight w:val="none"/>
                    </w:rPr>
                    <w:t>防噪措施</w:t>
                  </w:r>
                </w:p>
              </w:tc>
              <w:tc>
                <w:tcPr>
                  <w:tcW w:w="563" w:type="pct"/>
                  <w:noWrap w:val="0"/>
                  <w:vAlign w:val="center"/>
                </w:tcPr>
                <w:p w14:paraId="1108AA71">
                  <w:pPr>
                    <w:adjustRightInd w:val="0"/>
                    <w:snapToGrid w:val="0"/>
                    <w:jc w:val="center"/>
                    <w:rPr>
                      <w:rFonts w:ascii="Times New Roman" w:hAnsi="Times New Roman"/>
                      <w:b/>
                      <w:bCs/>
                      <w:color w:val="auto"/>
                      <w:sz w:val="18"/>
                      <w:szCs w:val="18"/>
                      <w:highlight w:val="none"/>
                    </w:rPr>
                  </w:pPr>
                  <w:r>
                    <w:rPr>
                      <w:rFonts w:ascii="Times New Roman" w:hAnsi="Times New Roman"/>
                      <w:b/>
                      <w:bCs/>
                      <w:color w:val="auto"/>
                      <w:sz w:val="18"/>
                      <w:szCs w:val="18"/>
                      <w:highlight w:val="none"/>
                    </w:rPr>
                    <w:t>降噪效果dB(A)</w:t>
                  </w:r>
                </w:p>
              </w:tc>
              <w:tc>
                <w:tcPr>
                  <w:tcW w:w="563" w:type="pct"/>
                  <w:noWrap w:val="0"/>
                  <w:vAlign w:val="center"/>
                </w:tcPr>
                <w:p w14:paraId="0538CCE5">
                  <w:pPr>
                    <w:adjustRightInd w:val="0"/>
                    <w:snapToGrid w:val="0"/>
                    <w:jc w:val="center"/>
                    <w:rPr>
                      <w:rFonts w:hint="eastAsia" w:ascii="Times New Roman" w:hAnsi="Times New Roman" w:eastAsia="宋体"/>
                      <w:b/>
                      <w:bCs/>
                      <w:color w:val="auto"/>
                      <w:sz w:val="18"/>
                      <w:szCs w:val="18"/>
                      <w:highlight w:val="none"/>
                      <w:lang w:eastAsia="zh-CN"/>
                    </w:rPr>
                  </w:pPr>
                  <w:r>
                    <w:rPr>
                      <w:rFonts w:hint="eastAsia" w:ascii="Times New Roman" w:hAnsi="Times New Roman"/>
                      <w:b/>
                      <w:bCs/>
                      <w:color w:val="auto"/>
                      <w:sz w:val="18"/>
                      <w:szCs w:val="18"/>
                      <w:highlight w:val="none"/>
                      <w:lang w:eastAsia="zh-CN"/>
                    </w:rPr>
                    <w:t>总排放强度</w:t>
                  </w:r>
                  <w:r>
                    <w:rPr>
                      <w:rFonts w:ascii="Times New Roman" w:hAnsi="Times New Roman"/>
                      <w:b/>
                      <w:bCs/>
                      <w:color w:val="auto"/>
                      <w:sz w:val="18"/>
                      <w:szCs w:val="18"/>
                      <w:highlight w:val="none"/>
                    </w:rPr>
                    <w:t>dB(A)</w:t>
                  </w:r>
                </w:p>
              </w:tc>
              <w:tc>
                <w:tcPr>
                  <w:tcW w:w="563" w:type="pct"/>
                  <w:noWrap w:val="0"/>
                  <w:vAlign w:val="center"/>
                </w:tcPr>
                <w:p w14:paraId="20D868D4">
                  <w:pPr>
                    <w:adjustRightInd w:val="0"/>
                    <w:snapToGrid w:val="0"/>
                    <w:jc w:val="center"/>
                    <w:rPr>
                      <w:rFonts w:hint="default" w:ascii="Times New Roman" w:hAnsi="Times New Roman" w:eastAsia="宋体"/>
                      <w:b/>
                      <w:bCs/>
                      <w:color w:val="auto"/>
                      <w:sz w:val="18"/>
                      <w:szCs w:val="18"/>
                      <w:highlight w:val="none"/>
                      <w:lang w:val="en-US" w:eastAsia="zh-CN"/>
                    </w:rPr>
                  </w:pPr>
                  <w:r>
                    <w:rPr>
                      <w:rFonts w:hint="eastAsia"/>
                      <w:b/>
                      <w:bCs/>
                      <w:color w:val="auto"/>
                      <w:sz w:val="18"/>
                      <w:szCs w:val="18"/>
                      <w:highlight w:val="none"/>
                      <w:lang w:val="en-US" w:eastAsia="zh-CN"/>
                    </w:rPr>
                    <w:t>运行时段</w:t>
                  </w:r>
                </w:p>
              </w:tc>
            </w:tr>
            <w:tr w14:paraId="5A83D9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257" w:type="pct"/>
                  <w:noWrap w:val="0"/>
                  <w:vAlign w:val="center"/>
                </w:tcPr>
                <w:p w14:paraId="2408A5C0">
                  <w:pPr>
                    <w:adjustRightInd w:val="0"/>
                    <w:snapToGrid w:val="0"/>
                    <w:jc w:val="center"/>
                    <w:rPr>
                      <w:rFonts w:ascii="Times New Roman" w:hAnsi="Times New Roman"/>
                      <w:color w:val="auto"/>
                      <w:sz w:val="18"/>
                      <w:szCs w:val="18"/>
                      <w:highlight w:val="none"/>
                    </w:rPr>
                  </w:pPr>
                  <w:r>
                    <w:rPr>
                      <w:rFonts w:ascii="Times New Roman" w:hAnsi="Times New Roman"/>
                      <w:color w:val="auto"/>
                      <w:sz w:val="18"/>
                      <w:szCs w:val="18"/>
                      <w:highlight w:val="none"/>
                    </w:rPr>
                    <w:t>1</w:t>
                  </w:r>
                </w:p>
              </w:tc>
              <w:tc>
                <w:tcPr>
                  <w:tcW w:w="238" w:type="pct"/>
                  <w:noWrap w:val="0"/>
                  <w:vAlign w:val="center"/>
                </w:tcPr>
                <w:p w14:paraId="254D280C">
                  <w:pPr>
                    <w:snapToGrid w:val="0"/>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风机</w:t>
                  </w:r>
                </w:p>
              </w:tc>
              <w:tc>
                <w:tcPr>
                  <w:tcW w:w="328" w:type="pct"/>
                  <w:noWrap w:val="0"/>
                  <w:vAlign w:val="center"/>
                </w:tcPr>
                <w:p w14:paraId="6ADA8238">
                  <w:pPr>
                    <w:snapToGrid w:val="0"/>
                    <w:jc w:val="center"/>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BREF-580型</w:t>
                  </w:r>
                </w:p>
              </w:tc>
              <w:tc>
                <w:tcPr>
                  <w:tcW w:w="388" w:type="pct"/>
                  <w:noWrap w:val="0"/>
                  <w:vAlign w:val="center"/>
                </w:tcPr>
                <w:p w14:paraId="38090CC5">
                  <w:pPr>
                    <w:snapToGrid w:val="0"/>
                    <w:jc w:val="center"/>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注塑车间一</w:t>
                  </w:r>
                </w:p>
              </w:tc>
              <w:tc>
                <w:tcPr>
                  <w:tcW w:w="401" w:type="pct"/>
                  <w:noWrap w:val="0"/>
                  <w:vAlign w:val="center"/>
                </w:tcPr>
                <w:p w14:paraId="3F1B0024">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582" w:type="pct"/>
                  <w:noWrap w:val="0"/>
                  <w:vAlign w:val="center"/>
                </w:tcPr>
                <w:p w14:paraId="43869FE8">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85</w:t>
                  </w:r>
                </w:p>
              </w:tc>
              <w:tc>
                <w:tcPr>
                  <w:tcW w:w="555" w:type="pct"/>
                  <w:noWrap w:val="0"/>
                  <w:vAlign w:val="center"/>
                </w:tcPr>
                <w:p w14:paraId="579467DE">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eastAsia="zh-CN"/>
                    </w:rPr>
                    <w:t>东：</w:t>
                  </w:r>
                  <w:r>
                    <w:rPr>
                      <w:rFonts w:hint="eastAsia" w:cs="Times New Roman"/>
                      <w:color w:val="auto"/>
                      <w:sz w:val="18"/>
                      <w:szCs w:val="18"/>
                      <w:lang w:val="en-US" w:eastAsia="zh-CN"/>
                    </w:rPr>
                    <w:t>120</w:t>
                  </w:r>
                </w:p>
                <w:p w14:paraId="65D7D839">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南</w:t>
                  </w:r>
                  <w:r>
                    <w:rPr>
                      <w:rFonts w:hint="default" w:ascii="Times New Roman" w:hAnsi="Times New Roman" w:eastAsia="宋体" w:cs="Times New Roman"/>
                      <w:color w:val="auto"/>
                      <w:sz w:val="18"/>
                      <w:szCs w:val="18"/>
                      <w:lang w:eastAsia="zh-CN"/>
                    </w:rPr>
                    <w:t>：</w:t>
                  </w:r>
                  <w:r>
                    <w:rPr>
                      <w:rFonts w:hint="eastAsia" w:cs="Times New Roman"/>
                      <w:color w:val="auto"/>
                      <w:sz w:val="18"/>
                      <w:szCs w:val="18"/>
                      <w:lang w:val="en-US" w:eastAsia="zh-CN"/>
                    </w:rPr>
                    <w:t>75</w:t>
                  </w:r>
                </w:p>
                <w:p w14:paraId="074659E7">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西</w:t>
                  </w:r>
                  <w:r>
                    <w:rPr>
                      <w:rFonts w:hint="default" w:ascii="Times New Roman" w:hAnsi="Times New Roman" w:eastAsia="宋体" w:cs="Times New Roman"/>
                      <w:color w:val="auto"/>
                      <w:sz w:val="18"/>
                      <w:szCs w:val="18"/>
                      <w:lang w:eastAsia="zh-CN"/>
                    </w:rPr>
                    <w:t>：</w:t>
                  </w:r>
                  <w:r>
                    <w:rPr>
                      <w:rFonts w:hint="eastAsia" w:cs="Times New Roman"/>
                      <w:color w:val="auto"/>
                      <w:sz w:val="18"/>
                      <w:szCs w:val="18"/>
                      <w:lang w:val="en-US" w:eastAsia="zh-CN"/>
                    </w:rPr>
                    <w:t>20</w:t>
                  </w:r>
                </w:p>
                <w:p w14:paraId="20D7B670">
                  <w:pPr>
                    <w:adjustRightInd w:val="0"/>
                    <w:snapToGrid w:val="0"/>
                    <w:jc w:val="center"/>
                    <w:textAlignment w:val="center"/>
                    <w:rPr>
                      <w:rFonts w:hint="default" w:ascii="Times New Roman" w:hAnsi="Times New Roman" w:eastAsia="宋体"/>
                      <w:color w:val="auto"/>
                      <w:kern w:val="0"/>
                      <w:sz w:val="18"/>
                      <w:szCs w:val="18"/>
                      <w:highlight w:val="none"/>
                      <w:lang w:val="en-US" w:eastAsia="zh-CN" w:bidi="ar"/>
                    </w:rPr>
                  </w:pPr>
                  <w:r>
                    <w:rPr>
                      <w:rFonts w:hint="default" w:ascii="Times New Roman" w:hAnsi="Times New Roman" w:eastAsia="宋体" w:cs="Times New Roman"/>
                      <w:color w:val="auto"/>
                      <w:sz w:val="18"/>
                      <w:szCs w:val="18"/>
                      <w:lang w:eastAsia="zh-CN"/>
                    </w:rPr>
                    <w:t>北：</w:t>
                  </w:r>
                  <w:r>
                    <w:rPr>
                      <w:rFonts w:hint="eastAsia" w:cs="Times New Roman"/>
                      <w:color w:val="auto"/>
                      <w:sz w:val="18"/>
                      <w:szCs w:val="18"/>
                      <w:lang w:val="en-US" w:eastAsia="zh-CN"/>
                    </w:rPr>
                    <w:t>15</w:t>
                  </w:r>
                </w:p>
              </w:tc>
              <w:tc>
                <w:tcPr>
                  <w:tcW w:w="556" w:type="pct"/>
                  <w:noWrap w:val="0"/>
                  <w:vAlign w:val="center"/>
                </w:tcPr>
                <w:p w14:paraId="7D533CBB">
                  <w:pPr>
                    <w:widowControl/>
                    <w:adjustRightInd w:val="0"/>
                    <w:snapToGrid w:val="0"/>
                    <w:jc w:val="center"/>
                    <w:textAlignment w:val="center"/>
                    <w:rPr>
                      <w:rFonts w:ascii="Times New Roman" w:hAnsi="Times New Roman"/>
                      <w:color w:val="auto"/>
                      <w:kern w:val="0"/>
                      <w:sz w:val="18"/>
                      <w:szCs w:val="18"/>
                      <w:highlight w:val="none"/>
                      <w:lang w:bidi="ar"/>
                    </w:rPr>
                  </w:pPr>
                  <w:r>
                    <w:rPr>
                      <w:rFonts w:ascii="Times New Roman" w:hAnsi="Times New Roman"/>
                      <w:color w:val="auto"/>
                      <w:kern w:val="0"/>
                      <w:sz w:val="18"/>
                      <w:szCs w:val="18"/>
                      <w:highlight w:val="none"/>
                      <w:lang w:bidi="ar"/>
                    </w:rPr>
                    <w:t>减振、</w:t>
                  </w:r>
                  <w:r>
                    <w:rPr>
                      <w:rFonts w:hint="eastAsia" w:ascii="Times New Roman" w:hAnsi="Times New Roman"/>
                      <w:color w:val="auto"/>
                      <w:kern w:val="0"/>
                      <w:sz w:val="18"/>
                      <w:szCs w:val="18"/>
                      <w:highlight w:val="none"/>
                      <w:lang w:eastAsia="zh-CN" w:bidi="ar"/>
                    </w:rPr>
                    <w:t>消声、</w:t>
                  </w:r>
                  <w:r>
                    <w:rPr>
                      <w:rFonts w:ascii="Times New Roman" w:hAnsi="Times New Roman"/>
                      <w:color w:val="auto"/>
                      <w:kern w:val="0"/>
                      <w:sz w:val="18"/>
                      <w:szCs w:val="18"/>
                      <w:highlight w:val="none"/>
                      <w:lang w:bidi="ar"/>
                    </w:rPr>
                    <w:t>绿化</w:t>
                  </w:r>
                </w:p>
              </w:tc>
              <w:tc>
                <w:tcPr>
                  <w:tcW w:w="563" w:type="pct"/>
                  <w:noWrap w:val="0"/>
                  <w:vAlign w:val="center"/>
                </w:tcPr>
                <w:p w14:paraId="06056D5A">
                  <w:pPr>
                    <w:adjustRightInd w:val="0"/>
                    <w:snapToGrid w:val="0"/>
                    <w:jc w:val="center"/>
                    <w:textAlignment w:val="center"/>
                    <w:rPr>
                      <w:rFonts w:hint="eastAsia" w:ascii="Times New Roman" w:hAnsi="Times New Roman" w:eastAsia="宋体"/>
                      <w:color w:val="auto"/>
                      <w:kern w:val="0"/>
                      <w:sz w:val="18"/>
                      <w:szCs w:val="18"/>
                      <w:highlight w:val="none"/>
                      <w:lang w:val="en-US" w:eastAsia="zh-CN" w:bidi="ar"/>
                    </w:rPr>
                  </w:pPr>
                  <w:r>
                    <w:rPr>
                      <w:rFonts w:ascii="Times New Roman" w:hAnsi="Times New Roman"/>
                      <w:color w:val="auto"/>
                      <w:kern w:val="0"/>
                      <w:sz w:val="18"/>
                      <w:szCs w:val="18"/>
                      <w:highlight w:val="none"/>
                      <w:lang w:bidi="ar"/>
                    </w:rPr>
                    <w:t>2</w:t>
                  </w:r>
                  <w:r>
                    <w:rPr>
                      <w:rFonts w:hint="eastAsia" w:ascii="Times New Roman" w:hAnsi="Times New Roman"/>
                      <w:color w:val="auto"/>
                      <w:kern w:val="0"/>
                      <w:sz w:val="18"/>
                      <w:szCs w:val="18"/>
                      <w:highlight w:val="none"/>
                      <w:lang w:val="en-US" w:eastAsia="zh-CN" w:bidi="ar"/>
                    </w:rPr>
                    <w:t>5</w:t>
                  </w:r>
                </w:p>
              </w:tc>
              <w:tc>
                <w:tcPr>
                  <w:tcW w:w="563" w:type="pct"/>
                  <w:noWrap w:val="0"/>
                  <w:vAlign w:val="center"/>
                </w:tcPr>
                <w:p w14:paraId="570170C5">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eastAsia="zh-CN"/>
                    </w:rPr>
                    <w:t>东：</w:t>
                  </w:r>
                  <w:r>
                    <w:rPr>
                      <w:rFonts w:hint="eastAsia" w:cs="Times New Roman"/>
                      <w:color w:val="auto"/>
                      <w:sz w:val="18"/>
                      <w:szCs w:val="18"/>
                      <w:lang w:val="en-US" w:eastAsia="zh-CN"/>
                    </w:rPr>
                    <w:t>10</w:t>
                  </w:r>
                </w:p>
                <w:p w14:paraId="76640166">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南</w:t>
                  </w:r>
                  <w:r>
                    <w:rPr>
                      <w:rFonts w:hint="default" w:ascii="Times New Roman" w:hAnsi="Times New Roman" w:eastAsia="宋体" w:cs="Times New Roman"/>
                      <w:color w:val="auto"/>
                      <w:sz w:val="18"/>
                      <w:szCs w:val="18"/>
                      <w:lang w:eastAsia="zh-CN"/>
                    </w:rPr>
                    <w:t>：</w:t>
                  </w:r>
                  <w:r>
                    <w:rPr>
                      <w:rFonts w:hint="eastAsia" w:cs="Times New Roman"/>
                      <w:color w:val="auto"/>
                      <w:sz w:val="18"/>
                      <w:szCs w:val="18"/>
                      <w:lang w:val="en-US" w:eastAsia="zh-CN"/>
                    </w:rPr>
                    <w:t>14</w:t>
                  </w:r>
                </w:p>
                <w:p w14:paraId="6BE235A8">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西</w:t>
                  </w:r>
                  <w:r>
                    <w:rPr>
                      <w:rFonts w:hint="default" w:ascii="Times New Roman" w:hAnsi="Times New Roman" w:eastAsia="宋体" w:cs="Times New Roman"/>
                      <w:color w:val="auto"/>
                      <w:sz w:val="18"/>
                      <w:szCs w:val="18"/>
                      <w:lang w:eastAsia="zh-CN"/>
                    </w:rPr>
                    <w:t>：</w:t>
                  </w:r>
                  <w:r>
                    <w:rPr>
                      <w:rFonts w:hint="eastAsia" w:cs="Times New Roman"/>
                      <w:color w:val="auto"/>
                      <w:sz w:val="18"/>
                      <w:szCs w:val="18"/>
                      <w:lang w:val="en-US" w:eastAsia="zh-CN"/>
                    </w:rPr>
                    <w:t>26</w:t>
                  </w:r>
                </w:p>
                <w:p w14:paraId="2C8EE74F">
                  <w:pPr>
                    <w:adjustRightInd w:val="0"/>
                    <w:snapToGrid w:val="0"/>
                    <w:jc w:val="center"/>
                    <w:textAlignment w:val="center"/>
                    <w:rPr>
                      <w:rFonts w:hint="default" w:ascii="Times New Roman" w:hAnsi="Times New Roman" w:eastAsia="宋体"/>
                      <w:color w:val="auto"/>
                      <w:kern w:val="0"/>
                      <w:sz w:val="18"/>
                      <w:szCs w:val="18"/>
                      <w:highlight w:val="none"/>
                      <w:lang w:val="en-US" w:eastAsia="zh-CN" w:bidi="ar"/>
                    </w:rPr>
                  </w:pPr>
                  <w:r>
                    <w:rPr>
                      <w:rFonts w:hint="default" w:ascii="Times New Roman" w:hAnsi="Times New Roman" w:eastAsia="宋体" w:cs="Times New Roman"/>
                      <w:color w:val="auto"/>
                      <w:sz w:val="18"/>
                      <w:szCs w:val="18"/>
                      <w:lang w:eastAsia="zh-CN"/>
                    </w:rPr>
                    <w:t>北：</w:t>
                  </w:r>
                  <w:r>
                    <w:rPr>
                      <w:rFonts w:hint="eastAsia" w:cs="Times New Roman"/>
                      <w:color w:val="auto"/>
                      <w:sz w:val="18"/>
                      <w:szCs w:val="18"/>
                      <w:lang w:val="en-US" w:eastAsia="zh-CN"/>
                    </w:rPr>
                    <w:t>28</w:t>
                  </w:r>
                </w:p>
              </w:tc>
              <w:tc>
                <w:tcPr>
                  <w:tcW w:w="563" w:type="pct"/>
                  <w:noWrap w:val="0"/>
                  <w:vAlign w:val="center"/>
                </w:tcPr>
                <w:p w14:paraId="016EDD90">
                  <w:pPr>
                    <w:adjustRightInd w:val="0"/>
                    <w:snapToGrid w:val="0"/>
                    <w:jc w:val="center"/>
                    <w:textAlignment w:val="center"/>
                    <w:rPr>
                      <w:rFonts w:hint="default" w:ascii="Times New Roman" w:hAnsi="Times New Roman" w:eastAsia="宋体"/>
                      <w:color w:val="auto"/>
                      <w:kern w:val="0"/>
                      <w:sz w:val="18"/>
                      <w:szCs w:val="18"/>
                      <w:highlight w:val="none"/>
                      <w:lang w:val="en-US" w:eastAsia="zh-CN" w:bidi="ar"/>
                    </w:rPr>
                  </w:pPr>
                  <w:r>
                    <w:rPr>
                      <w:rFonts w:hint="eastAsia"/>
                      <w:color w:val="auto"/>
                      <w:kern w:val="0"/>
                      <w:sz w:val="18"/>
                      <w:szCs w:val="18"/>
                      <w:highlight w:val="none"/>
                      <w:lang w:val="en-US" w:eastAsia="zh-CN" w:bidi="ar"/>
                    </w:rPr>
                    <w:t>8:00~17:00</w:t>
                  </w:r>
                </w:p>
              </w:tc>
            </w:tr>
          </w:tbl>
          <w:p w14:paraId="64640B0A">
            <w:pPr>
              <w:pStyle w:val="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2、噪声防治措施</w:t>
            </w:r>
          </w:p>
          <w:p w14:paraId="54C47361">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firstLine="420" w:firstLineChars="200"/>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噪声评价建议对高噪声设备采取减振、隔声、消声措施，噪声防治措施如下：</w:t>
            </w:r>
          </w:p>
          <w:p w14:paraId="2E6E1955">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（1）合理布局，车间选用低噪声设备，沿厂界侧不设门、窗，最大程度上降低生产噪声对外环境的影响。</w:t>
            </w:r>
          </w:p>
          <w:p w14:paraId="4F446FB2">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（2）加强设备的维护，确保设备处于良好的运转状态，杜绝因设备不正常运转时产生的高噪声现象。</w:t>
            </w:r>
          </w:p>
          <w:p w14:paraId="75355BAF">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（3）加强绿化，不仅可以进一步削减厂界噪声及降低噪声对周围敏感点的影响，又可以美化环境。</w:t>
            </w:r>
          </w:p>
          <w:p w14:paraId="2ABABF5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0" w:rightChars="0"/>
              <w:jc w:val="left"/>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（4）对高噪音设备安装高性能消声器，并进行基础减震处理，安装橡胶间隔垫或减震台座等。</w:t>
            </w:r>
          </w:p>
          <w:p w14:paraId="756E6DF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auto"/>
              <w:ind w:right="0" w:rightChars="0"/>
              <w:jc w:val="left"/>
              <w:textAlignment w:val="auto"/>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w:t>
            </w:r>
            <w:r>
              <w:rPr>
                <w:rFonts w:hint="default" w:ascii="Times New Roman" w:hAnsi="Times New Roman" w:cs="Times New Roman"/>
                <w:color w:val="auto"/>
                <w:kern w:val="0"/>
                <w:sz w:val="21"/>
                <w:szCs w:val="21"/>
                <w:highlight w:val="none"/>
                <w:lang w:val="en-US" w:eastAsia="zh-CN"/>
              </w:rPr>
              <w:t>采用“闹静分开”和合理布置的设施原则，尽量将高噪声源远离噪声敏感区或厂界。厂区周围建设一定高度的隔声屏障，如围墙，减少对车间外或厂区外声环境的影响，种植高大乔木、灌木林，亦有较好的降噪效果。</w:t>
            </w:r>
          </w:p>
          <w:p w14:paraId="0B3456C0">
            <w:pPr>
              <w:pStyle w:val="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w:t>
            </w:r>
            <w:r>
              <w:rPr>
                <w:rFonts w:hint="eastAsia" w:ascii="Times New Roman" w:hAnsi="Times New Roman" w:cs="Times New Roman"/>
                <w:color w:val="auto"/>
                <w:lang w:val="en-US" w:eastAsia="zh-CN"/>
              </w:rPr>
              <w:t>噪声影响预测</w:t>
            </w:r>
          </w:p>
          <w:p w14:paraId="63DC12CC">
            <w:pPr>
              <w:keepNext w:val="0"/>
              <w:keepLines w:val="0"/>
              <w:pageBreakBefore w:val="0"/>
              <w:widowControl w:val="0"/>
              <w:kinsoku/>
              <w:wordWrap/>
              <w:overflowPunct/>
              <w:topLinePunct w:val="0"/>
              <w:autoSpaceDE/>
              <w:autoSpaceDN/>
              <w:bidi w:val="0"/>
              <w:adjustRightInd/>
              <w:snapToGrid/>
              <w:spacing w:line="360" w:lineRule="auto"/>
              <w:ind w:firstLine="380" w:firstLineChars="200"/>
              <w:jc w:val="left"/>
              <w:textAlignment w:val="auto"/>
              <w:rPr>
                <w:rFonts w:hint="default" w:ascii="Times New Roman" w:hAnsi="Times New Roman" w:cs="Times New Roman"/>
                <w:bCs/>
                <w:color w:val="auto"/>
                <w:spacing w:val="-10"/>
                <w:sz w:val="21"/>
                <w:szCs w:val="21"/>
              </w:rPr>
            </w:pPr>
            <w:r>
              <w:rPr>
                <w:rFonts w:hint="default" w:ascii="Times New Roman" w:hAnsi="Times New Roman" w:cs="Times New Roman"/>
                <w:bCs/>
                <w:color w:val="auto"/>
                <w:spacing w:val="-10"/>
                <w:sz w:val="21"/>
                <w:szCs w:val="21"/>
                <w:lang w:eastAsia="zh-CN"/>
              </w:rPr>
              <w:t>本</w:t>
            </w:r>
            <w:r>
              <w:rPr>
                <w:rFonts w:hint="default" w:ascii="Times New Roman" w:hAnsi="Times New Roman" w:cs="Times New Roman"/>
                <w:bCs/>
                <w:color w:val="auto"/>
                <w:spacing w:val="-10"/>
                <w:sz w:val="21"/>
                <w:szCs w:val="21"/>
              </w:rPr>
              <w:t>项目建成后，选择东、南、西、北厂界作为关心点，进行噪声影响预测。</w:t>
            </w:r>
          </w:p>
          <w:p w14:paraId="165BFA7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预测模式：</w:t>
            </w:r>
          </w:p>
          <w:p w14:paraId="01B7E06D">
            <w:pPr>
              <w:keepNext w:val="0"/>
              <w:keepLines w:val="0"/>
              <w:pageBreakBefore w:val="0"/>
              <w:widowControl w:val="0"/>
              <w:tabs>
                <w:tab w:val="center" w:pos="4353"/>
              </w:tabs>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①</w:t>
            </w:r>
            <w:r>
              <w:rPr>
                <w:rFonts w:hint="default" w:ascii="Times New Roman" w:hAnsi="Times New Roman" w:eastAsia="宋体" w:cs="Times New Roman"/>
                <w:color w:val="auto"/>
                <w:sz w:val="21"/>
                <w:szCs w:val="21"/>
              </w:rPr>
              <w:t>室内声源等效室外声源声功率级计算方法</w:t>
            </w:r>
          </w:p>
          <w:p w14:paraId="73D700C9">
            <w:pPr>
              <w:keepNext w:val="0"/>
              <w:keepLines w:val="0"/>
              <w:pageBreakBefore w:val="0"/>
              <w:widowControl w:val="0"/>
              <w:tabs>
                <w:tab w:val="center" w:pos="4353"/>
              </w:tabs>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本项目机械设备至于厂房内，噪声</w:t>
            </w:r>
            <w:r>
              <w:rPr>
                <w:rFonts w:hint="default" w:ascii="Times New Roman" w:hAnsi="Times New Roman" w:cs="Times New Roman"/>
                <w:color w:val="auto"/>
                <w:sz w:val="21"/>
                <w:szCs w:val="21"/>
              </w:rPr>
              <w:t>计算采用《环境影响评价技术导则—声环境</w:t>
            </w:r>
            <w:r>
              <w:rPr>
                <w:rFonts w:hint="default" w:ascii="Times New Roman" w:hAnsi="Times New Roman" w:cs="Times New Roman"/>
                <w:color w:val="auto"/>
                <w:sz w:val="21"/>
                <w:szCs w:val="21"/>
                <w:highlight w:val="none"/>
              </w:rPr>
              <w:t>》（HJ2.4-2</w:t>
            </w:r>
            <w:r>
              <w:rPr>
                <w:rFonts w:hint="default" w:ascii="Times New Roman" w:hAnsi="Times New Roman" w:cs="Times New Roman"/>
                <w:color w:val="auto"/>
                <w:sz w:val="21"/>
                <w:szCs w:val="21"/>
                <w:highlight w:val="none"/>
                <w:lang w:val="en-US" w:eastAsia="zh-CN"/>
              </w:rPr>
              <w:t>021代替</w:t>
            </w:r>
            <w:r>
              <w:rPr>
                <w:rFonts w:hint="default" w:ascii="Times New Roman" w:hAnsi="Times New Roman" w:cs="Times New Roman"/>
                <w:color w:val="auto"/>
                <w:sz w:val="21"/>
                <w:szCs w:val="21"/>
                <w:highlight w:val="none"/>
              </w:rPr>
              <w:t>HJ2.4-2009）中</w:t>
            </w:r>
            <w:r>
              <w:rPr>
                <w:rFonts w:hint="default" w:ascii="Times New Roman" w:hAnsi="Times New Roman" w:cs="Times New Roman"/>
                <w:color w:val="auto"/>
                <w:sz w:val="21"/>
                <w:szCs w:val="21"/>
              </w:rPr>
              <w:t>推荐的室内声源等效室外声源声功率级计算方法</w:t>
            </w:r>
            <w:r>
              <w:rPr>
                <w:rFonts w:hint="default" w:ascii="Times New Roman" w:hAnsi="Times New Roman" w:cs="Times New Roman"/>
                <w:color w:val="auto"/>
                <w:sz w:val="21"/>
                <w:szCs w:val="21"/>
                <w:lang w:eastAsia="zh-CN"/>
              </w:rPr>
              <w:t>。</w:t>
            </w:r>
          </w:p>
          <w:p w14:paraId="5D4AC5A8">
            <w:pPr>
              <w:keepNext w:val="0"/>
              <w:keepLines w:val="0"/>
              <w:widowControl/>
              <w:suppressLineNumbers w:val="0"/>
              <w:spacing w:line="360" w:lineRule="auto"/>
              <w:ind w:firstLine="420"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1"/>
                <w:szCs w:val="21"/>
                <w:lang w:val="en-US" w:eastAsia="zh-CN" w:bidi="ar"/>
              </w:rPr>
              <w:t>室外的倍频带声压级可按式（B.1）近似求出：</w:t>
            </w:r>
          </w:p>
          <w:p w14:paraId="5EEF0C88">
            <w:pPr>
              <w:keepNext w:val="0"/>
              <w:keepLines w:val="0"/>
              <w:pageBreakBefore w:val="0"/>
              <w:widowControl w:val="0"/>
              <w:tabs>
                <w:tab w:val="center" w:pos="4353"/>
              </w:tabs>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     </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val="en-US" w:eastAsia="zh-CN"/>
              </w:rPr>
              <w:t xml:space="preserve">   L</w:t>
            </w:r>
            <w:r>
              <w:rPr>
                <w:rFonts w:hint="default" w:ascii="Times New Roman" w:hAnsi="Times New Roman" w:cs="Times New Roman"/>
                <w:color w:val="auto"/>
                <w:sz w:val="21"/>
                <w:szCs w:val="21"/>
                <w:vertAlign w:val="subscript"/>
                <w:lang w:val="en-US" w:eastAsia="zh-CN"/>
              </w:rPr>
              <w:t xml:space="preserve">P2 </w:t>
            </w:r>
            <w:r>
              <w:rPr>
                <w:rFonts w:hint="default" w:ascii="Times New Roman" w:hAnsi="Times New Roman" w:eastAsia="微软雅黑" w:cs="Times New Roman"/>
                <w:color w:val="auto"/>
                <w:sz w:val="21"/>
                <w:szCs w:val="21"/>
                <w:lang w:val="en-US" w:eastAsia="zh-CN"/>
              </w:rPr>
              <w:t xml:space="preserve">= </w:t>
            </w:r>
            <w:r>
              <w:rPr>
                <w:rFonts w:hint="default" w:ascii="Times New Roman" w:hAnsi="Times New Roman" w:cs="Times New Roman"/>
                <w:color w:val="auto"/>
                <w:sz w:val="21"/>
                <w:szCs w:val="21"/>
                <w:lang w:val="en-US" w:eastAsia="zh-CN"/>
              </w:rPr>
              <w:t>L</w:t>
            </w:r>
            <w:r>
              <w:rPr>
                <w:rFonts w:hint="default" w:ascii="Times New Roman" w:hAnsi="Times New Roman" w:cs="Times New Roman"/>
                <w:color w:val="auto"/>
                <w:sz w:val="21"/>
                <w:szCs w:val="21"/>
                <w:vertAlign w:val="subscript"/>
                <w:lang w:val="en-US" w:eastAsia="zh-CN"/>
              </w:rPr>
              <w:t xml:space="preserve">P1 </w:t>
            </w:r>
            <w:r>
              <w:rPr>
                <w:rFonts w:hint="default" w:ascii="Times New Roman" w:hAnsi="Times New Roman" w:eastAsia="宋体" w:cs="Times New Roman"/>
                <w:color w:val="auto"/>
                <w:sz w:val="21"/>
                <w:szCs w:val="21"/>
                <w:vertAlign w:val="baseline"/>
                <w:lang w:val="en-US" w:eastAsia="zh-CN"/>
              </w:rPr>
              <w:t>－</w:t>
            </w:r>
            <w:r>
              <w:rPr>
                <w:rFonts w:hint="default" w:ascii="Times New Roman" w:hAnsi="Times New Roman" w:cs="Times New Roman"/>
                <w:color w:val="auto"/>
                <w:sz w:val="21"/>
                <w:szCs w:val="21"/>
                <w:lang w:val="en-US" w:eastAsia="zh-CN"/>
              </w:rPr>
              <w:t>（TL</w:t>
            </w:r>
            <w:r>
              <w:rPr>
                <w:rFonts w:hint="default" w:ascii="Times New Roman" w:hAnsi="Times New Roman" w:eastAsia="微软雅黑" w:cs="Times New Roman"/>
                <w:color w:val="auto"/>
                <w:sz w:val="21"/>
                <w:szCs w:val="21"/>
                <w:lang w:val="en-US" w:eastAsia="zh-CN"/>
              </w:rPr>
              <w:t>+</w:t>
            </w:r>
            <w:r>
              <w:rPr>
                <w:rFonts w:hint="default" w:ascii="Times New Roman" w:hAnsi="Times New Roman" w:cs="Times New Roman"/>
                <w:color w:val="auto"/>
                <w:sz w:val="21"/>
                <w:szCs w:val="21"/>
                <w:lang w:val="en-US" w:eastAsia="zh-CN"/>
              </w:rPr>
              <w:t xml:space="preserve">6）   </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val="en-US" w:eastAsia="zh-CN"/>
              </w:rPr>
              <w:t xml:space="preserve">     （B.1）</w:t>
            </w:r>
          </w:p>
          <w:p w14:paraId="21241371">
            <w:pPr>
              <w:keepNext w:val="0"/>
              <w:keepLines w:val="0"/>
              <w:pageBreakBefore w:val="0"/>
              <w:widowControl w:val="0"/>
              <w:tabs>
                <w:tab w:val="center" w:pos="4353"/>
              </w:tabs>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color w:val="auto"/>
                <w:sz w:val="21"/>
                <w:szCs w:val="21"/>
                <w:vertAlign w:val="subscript"/>
                <w:lang w:val="en-US" w:eastAsia="zh-CN"/>
              </w:rPr>
            </w:pPr>
            <w:r>
              <w:rPr>
                <w:rFonts w:hint="default" w:ascii="Times New Roman" w:hAnsi="Times New Roman" w:cs="Times New Roman"/>
                <w:color w:val="auto"/>
                <w:sz w:val="21"/>
                <w:szCs w:val="21"/>
                <w:lang w:val="en-US" w:eastAsia="zh-CN"/>
              </w:rPr>
              <w:t>式中：L</w:t>
            </w:r>
            <w:r>
              <w:rPr>
                <w:rFonts w:hint="default" w:ascii="Times New Roman" w:hAnsi="Times New Roman" w:cs="Times New Roman"/>
                <w:color w:val="auto"/>
                <w:sz w:val="21"/>
                <w:szCs w:val="21"/>
                <w:vertAlign w:val="subscript"/>
                <w:lang w:val="en-US" w:eastAsia="zh-CN"/>
              </w:rPr>
              <w:t xml:space="preserve">P2 </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vertAlign w:val="baseline"/>
                <w:lang w:val="en-US" w:eastAsia="zh-CN"/>
              </w:rPr>
              <w:t>靠近开口处（或窗户）室内某倍频带的声压级或 A 声级，dB；</w:t>
            </w:r>
          </w:p>
          <w:p w14:paraId="04506D1E">
            <w:pPr>
              <w:keepNext w:val="0"/>
              <w:keepLines w:val="0"/>
              <w:pageBreakBefore w:val="0"/>
              <w:widowControl w:val="0"/>
              <w:tabs>
                <w:tab w:val="center" w:pos="4353"/>
              </w:tabs>
              <w:kinsoku/>
              <w:wordWrap/>
              <w:overflowPunct/>
              <w:topLinePunct w:val="0"/>
              <w:autoSpaceDE/>
              <w:autoSpaceDN/>
              <w:bidi w:val="0"/>
              <w:adjustRightInd w:val="0"/>
              <w:snapToGrid w:val="0"/>
              <w:spacing w:line="360" w:lineRule="auto"/>
              <w:ind w:firstLine="630" w:firstLineChars="300"/>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lang w:val="en-US" w:eastAsia="zh-CN"/>
              </w:rPr>
              <w:t>L</w:t>
            </w:r>
            <w:r>
              <w:rPr>
                <w:rFonts w:hint="default" w:ascii="Times New Roman" w:hAnsi="Times New Roman" w:cs="Times New Roman"/>
                <w:color w:val="auto"/>
                <w:sz w:val="21"/>
                <w:szCs w:val="21"/>
                <w:vertAlign w:val="subscript"/>
                <w:lang w:val="en-US" w:eastAsia="zh-CN"/>
              </w:rPr>
              <w:t xml:space="preserve">P1 </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vertAlign w:val="baseline"/>
                <w:lang w:val="en-US" w:eastAsia="zh-CN"/>
              </w:rPr>
              <w:t>靠近开口处（或窗户）室外某倍频带的声压级或 A 声级，dB；</w:t>
            </w:r>
          </w:p>
          <w:p w14:paraId="6A5F1337">
            <w:pPr>
              <w:keepNext w:val="0"/>
              <w:keepLines w:val="0"/>
              <w:pageBreakBefore w:val="0"/>
              <w:widowControl w:val="0"/>
              <w:tabs>
                <w:tab w:val="center" w:pos="4353"/>
              </w:tabs>
              <w:kinsoku/>
              <w:wordWrap/>
              <w:overflowPunct/>
              <w:topLinePunct w:val="0"/>
              <w:autoSpaceDE/>
              <w:autoSpaceDN/>
              <w:bidi w:val="0"/>
              <w:adjustRightInd w:val="0"/>
              <w:snapToGrid w:val="0"/>
              <w:spacing w:line="360" w:lineRule="auto"/>
              <w:ind w:firstLine="630" w:firstLineChars="300"/>
              <w:jc w:val="left"/>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 xml:space="preserve">TL </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vertAlign w:val="baseline"/>
                <w:lang w:val="en-US" w:eastAsia="zh-CN"/>
              </w:rPr>
              <w:t>隔墙（或窗户）倍频带或 A 声级的隔声量，dB。</w:t>
            </w:r>
          </w:p>
          <w:p w14:paraId="1A0C524D">
            <w:pPr>
              <w:keepNext w:val="0"/>
              <w:keepLines w:val="0"/>
              <w:pageBreakBefore w:val="0"/>
              <w:widowControl w:val="0"/>
              <w:tabs>
                <w:tab w:val="center" w:pos="4353"/>
              </w:tabs>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按式（B.2）计算某一室内声源靠近围护结构处产生的倍频带声压级或 A 声级：</w:t>
            </w:r>
          </w:p>
          <w:p w14:paraId="067E029A">
            <w:pPr>
              <w:keepNext w:val="0"/>
              <w:keepLines w:val="0"/>
              <w:pageBreakBefore w:val="0"/>
              <w:widowControl w:val="0"/>
              <w:tabs>
                <w:tab w:val="center" w:pos="4353"/>
              </w:tabs>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drawing>
                <wp:inline distT="0" distB="0" distL="114300" distR="114300">
                  <wp:extent cx="1423035" cy="355600"/>
                  <wp:effectExtent l="0" t="0" r="5715"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1423035" cy="355600"/>
                          </a:xfrm>
                          <a:prstGeom prst="rect">
                            <a:avLst/>
                          </a:prstGeom>
                          <a:noFill/>
                          <a:ln>
                            <a:noFill/>
                          </a:ln>
                        </pic:spPr>
                      </pic:pic>
                    </a:graphicData>
                  </a:graphic>
                </wp:inline>
              </w:drawing>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sz w:val="21"/>
                <w:szCs w:val="21"/>
                <w:lang w:val="en-US" w:eastAsia="zh-CN"/>
              </w:rPr>
              <w:t>（B.2）</w:t>
            </w:r>
          </w:p>
          <w:p w14:paraId="3ADCD5A6">
            <w:pPr>
              <w:keepNext w:val="0"/>
              <w:keepLines w:val="0"/>
              <w:pageBreakBefore w:val="0"/>
              <w:widowControl w:val="0"/>
              <w:tabs>
                <w:tab w:val="center" w:pos="4353"/>
              </w:tabs>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式中：</w:t>
            </w:r>
            <w:r>
              <w:rPr>
                <w:rFonts w:hint="default" w:ascii="Times New Roman" w:hAnsi="Times New Roman" w:cs="Times New Roman"/>
                <w:color w:val="auto"/>
                <w:sz w:val="21"/>
                <w:szCs w:val="21"/>
                <w:lang w:val="en-US" w:eastAsia="zh-CN"/>
              </w:rPr>
              <w:t>L</w:t>
            </w:r>
            <w:r>
              <w:rPr>
                <w:rFonts w:hint="default" w:ascii="Times New Roman" w:hAnsi="Times New Roman" w:cs="Times New Roman"/>
                <w:color w:val="auto"/>
                <w:sz w:val="21"/>
                <w:szCs w:val="21"/>
                <w:vertAlign w:val="subscript"/>
                <w:lang w:val="en-US" w:eastAsia="zh-CN"/>
              </w:rPr>
              <w:t>P1</w:t>
            </w:r>
            <w:r>
              <w:rPr>
                <w:rFonts w:hint="default" w:ascii="Times New Roman" w:hAnsi="Times New Roman" w:eastAsia="宋体" w:cs="Times New Roman"/>
                <w:color w:val="auto"/>
                <w:kern w:val="0"/>
                <w:sz w:val="21"/>
                <w:szCs w:val="21"/>
                <w:lang w:val="en-US" w:eastAsia="zh-CN" w:bidi="ar"/>
              </w:rPr>
              <w:t xml:space="preserve">——靠近开口处（或窗户）室内某倍频带的声压级或 A 声级，dB； </w:t>
            </w:r>
          </w:p>
          <w:p w14:paraId="61264B6A">
            <w:pPr>
              <w:keepNext w:val="0"/>
              <w:keepLines w:val="0"/>
              <w:widowControl/>
              <w:suppressLineNumbers w:val="0"/>
              <w:spacing w:line="360" w:lineRule="auto"/>
              <w:ind w:firstLine="630" w:firstLineChars="300"/>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L</w:t>
            </w:r>
            <w:r>
              <w:rPr>
                <w:rFonts w:hint="default" w:ascii="Times New Roman" w:hAnsi="Times New Roman" w:eastAsia="宋体" w:cs="Times New Roman"/>
                <w:color w:val="auto"/>
                <w:kern w:val="0"/>
                <w:sz w:val="21"/>
                <w:szCs w:val="21"/>
                <w:vertAlign w:val="subscript"/>
                <w:lang w:val="en-US" w:eastAsia="zh-CN" w:bidi="ar"/>
              </w:rPr>
              <w:t xml:space="preserve">W </w:t>
            </w:r>
            <w:r>
              <w:rPr>
                <w:rFonts w:hint="default" w:ascii="Times New Roman" w:hAnsi="Times New Roman" w:eastAsia="宋体" w:cs="Times New Roman"/>
                <w:color w:val="auto"/>
                <w:kern w:val="0"/>
                <w:sz w:val="21"/>
                <w:szCs w:val="21"/>
                <w:lang w:val="en-US" w:eastAsia="zh-CN" w:bidi="ar"/>
              </w:rPr>
              <w:t xml:space="preserve">——点声源声功率级（A 计权或倍频带），dB； </w:t>
            </w:r>
          </w:p>
          <w:p w14:paraId="07818D81">
            <w:pPr>
              <w:keepNext w:val="0"/>
              <w:keepLines w:val="0"/>
              <w:widowControl/>
              <w:suppressLineNumbers w:val="0"/>
              <w:spacing w:line="360" w:lineRule="auto"/>
              <w:ind w:left="1260" w:leftChars="300" w:hanging="630" w:hangingChars="300"/>
              <w:jc w:val="left"/>
              <w:rPr>
                <w:rFonts w:hint="default" w:ascii="Times New Roman" w:hAnsi="Times New Roman" w:cs="Times New Roman"/>
                <w:color w:val="auto"/>
                <w:sz w:val="21"/>
                <w:szCs w:val="21"/>
              </w:rPr>
            </w:pPr>
            <w:r>
              <w:rPr>
                <w:rFonts w:hint="default" w:ascii="Times New Roman" w:hAnsi="Times New Roman" w:eastAsia="宋体" w:cs="Times New Roman"/>
                <w:i/>
                <w:iCs/>
                <w:color w:val="auto"/>
                <w:kern w:val="0"/>
                <w:sz w:val="21"/>
                <w:szCs w:val="21"/>
                <w:lang w:val="en-US" w:eastAsia="zh-CN" w:bidi="ar"/>
              </w:rPr>
              <w:t xml:space="preserve">Q </w:t>
            </w:r>
            <w:r>
              <w:rPr>
                <w:rFonts w:hint="default" w:ascii="Times New Roman" w:hAnsi="Times New Roman" w:eastAsia="宋体" w:cs="Times New Roman"/>
                <w:color w:val="auto"/>
                <w:kern w:val="0"/>
                <w:sz w:val="21"/>
                <w:szCs w:val="21"/>
                <w:lang w:val="en-US" w:eastAsia="zh-CN" w:bidi="ar"/>
              </w:rPr>
              <w:t>——指向性因数；通常对无指向性声源，当声源放在房间中心时，</w:t>
            </w:r>
            <w:r>
              <w:rPr>
                <w:rFonts w:hint="default" w:ascii="Times New Roman" w:hAnsi="Times New Roman" w:eastAsia="宋体" w:cs="Times New Roman"/>
                <w:i/>
                <w:iCs/>
                <w:color w:val="auto"/>
                <w:kern w:val="0"/>
                <w:sz w:val="21"/>
                <w:szCs w:val="21"/>
                <w:lang w:val="en-US" w:eastAsia="zh-CN" w:bidi="ar"/>
              </w:rPr>
              <w:t>Q</w:t>
            </w:r>
            <w:r>
              <w:rPr>
                <w:rFonts w:hint="default" w:ascii="Times New Roman" w:hAnsi="Times New Roman" w:eastAsia="宋体" w:cs="Times New Roman"/>
                <w:color w:val="auto"/>
                <w:kern w:val="0"/>
                <w:sz w:val="21"/>
                <w:szCs w:val="21"/>
                <w:lang w:val="en-US" w:eastAsia="zh-CN" w:bidi="ar"/>
              </w:rPr>
              <w:t>=1；当放在一面墙的中心时，</w:t>
            </w:r>
            <w:r>
              <w:rPr>
                <w:rFonts w:hint="default" w:ascii="Times New Roman" w:hAnsi="Times New Roman" w:eastAsia="宋体" w:cs="Times New Roman"/>
                <w:i/>
                <w:iCs/>
                <w:color w:val="auto"/>
                <w:kern w:val="0"/>
                <w:sz w:val="21"/>
                <w:szCs w:val="21"/>
                <w:lang w:val="en-US" w:eastAsia="zh-CN" w:bidi="ar"/>
              </w:rPr>
              <w:t>Q</w:t>
            </w:r>
            <w:r>
              <w:rPr>
                <w:rFonts w:hint="default" w:ascii="Times New Roman" w:hAnsi="Times New Roman" w:eastAsia="宋体" w:cs="Times New Roman"/>
                <w:color w:val="auto"/>
                <w:kern w:val="0"/>
                <w:sz w:val="21"/>
                <w:szCs w:val="21"/>
                <w:lang w:val="en-US" w:eastAsia="zh-CN" w:bidi="ar"/>
              </w:rPr>
              <w:t>=2；当放在两面墙夹角处时，</w:t>
            </w:r>
            <w:r>
              <w:rPr>
                <w:rFonts w:hint="default" w:ascii="Times New Roman" w:hAnsi="Times New Roman" w:eastAsia="宋体" w:cs="Times New Roman"/>
                <w:i/>
                <w:iCs/>
                <w:color w:val="auto"/>
                <w:kern w:val="0"/>
                <w:sz w:val="21"/>
                <w:szCs w:val="21"/>
                <w:lang w:val="en-US" w:eastAsia="zh-CN" w:bidi="ar"/>
              </w:rPr>
              <w:t>Q</w:t>
            </w:r>
            <w:r>
              <w:rPr>
                <w:rFonts w:hint="default" w:ascii="Times New Roman" w:hAnsi="Times New Roman" w:eastAsia="宋体" w:cs="Times New Roman"/>
                <w:color w:val="auto"/>
                <w:kern w:val="0"/>
                <w:sz w:val="21"/>
                <w:szCs w:val="21"/>
                <w:lang w:val="en-US" w:eastAsia="zh-CN" w:bidi="ar"/>
              </w:rPr>
              <w:t>=4；当放在三面墙夹角处时，</w:t>
            </w:r>
            <w:r>
              <w:rPr>
                <w:rFonts w:hint="default" w:ascii="Times New Roman" w:hAnsi="Times New Roman" w:eastAsia="宋体" w:cs="Times New Roman"/>
                <w:i/>
                <w:iCs/>
                <w:color w:val="auto"/>
                <w:kern w:val="0"/>
                <w:sz w:val="21"/>
                <w:szCs w:val="21"/>
                <w:lang w:val="en-US" w:eastAsia="zh-CN" w:bidi="ar"/>
              </w:rPr>
              <w:t>Q</w:t>
            </w:r>
            <w:r>
              <w:rPr>
                <w:rFonts w:hint="default" w:ascii="Times New Roman" w:hAnsi="Times New Roman" w:eastAsia="宋体" w:cs="Times New Roman"/>
                <w:color w:val="auto"/>
                <w:kern w:val="0"/>
                <w:sz w:val="21"/>
                <w:szCs w:val="21"/>
                <w:lang w:val="en-US" w:eastAsia="zh-CN" w:bidi="ar"/>
              </w:rPr>
              <w:t xml:space="preserve">=8； </w:t>
            </w:r>
          </w:p>
          <w:p w14:paraId="0A98195C">
            <w:pPr>
              <w:keepNext w:val="0"/>
              <w:keepLines w:val="0"/>
              <w:widowControl/>
              <w:suppressLineNumbers w:val="0"/>
              <w:spacing w:line="360" w:lineRule="auto"/>
              <w:ind w:firstLine="630" w:firstLineChars="300"/>
              <w:jc w:val="left"/>
              <w:rPr>
                <w:rFonts w:hint="default" w:ascii="Times New Roman" w:hAnsi="Times New Roman" w:cs="Times New Roman"/>
                <w:color w:val="auto"/>
                <w:sz w:val="21"/>
                <w:szCs w:val="21"/>
              </w:rPr>
            </w:pPr>
            <w:r>
              <w:rPr>
                <w:rFonts w:hint="default" w:ascii="Times New Roman" w:hAnsi="Times New Roman" w:eastAsia="宋体" w:cs="Times New Roman"/>
                <w:i/>
                <w:iCs/>
                <w:color w:val="auto"/>
                <w:kern w:val="0"/>
                <w:sz w:val="21"/>
                <w:szCs w:val="21"/>
                <w:lang w:val="en-US" w:eastAsia="zh-CN" w:bidi="ar"/>
              </w:rPr>
              <w:t>R</w:t>
            </w:r>
            <w:r>
              <w:rPr>
                <w:rFonts w:hint="default" w:ascii="Times New Roman" w:hAnsi="Times New Roman" w:eastAsia="宋体" w:cs="Times New Roman"/>
                <w:color w:val="auto"/>
                <w:kern w:val="0"/>
                <w:sz w:val="21"/>
                <w:szCs w:val="21"/>
                <w:lang w:val="en-US" w:eastAsia="zh-CN" w:bidi="ar"/>
              </w:rPr>
              <w:t xml:space="preserve">——房间常数； </w:t>
            </w:r>
            <w:r>
              <w:rPr>
                <w:rFonts w:hint="default" w:ascii="Times New Roman" w:hAnsi="Times New Roman" w:eastAsia="宋体" w:cs="Times New Roman"/>
                <w:i/>
                <w:iCs/>
                <w:color w:val="auto"/>
                <w:kern w:val="0"/>
                <w:sz w:val="21"/>
                <w:szCs w:val="21"/>
                <w:lang w:val="en-US" w:eastAsia="zh-CN" w:bidi="ar"/>
              </w:rPr>
              <w:t>R</w:t>
            </w:r>
            <w:r>
              <w:rPr>
                <w:rFonts w:hint="eastAsia" w:ascii="Times New Roman" w:hAnsi="Times New Roman" w:cs="Times New Roman"/>
                <w:i/>
                <w:iCs/>
                <w:color w:val="auto"/>
                <w:kern w:val="0"/>
                <w:sz w:val="21"/>
                <w:szCs w:val="21"/>
                <w:lang w:val="en-US" w:eastAsia="zh-CN" w:bidi="ar"/>
              </w:rPr>
              <w:t xml:space="preserve"> = </w:t>
            </w:r>
            <w:r>
              <w:rPr>
                <w:rFonts w:hint="default" w:ascii="Times New Roman" w:hAnsi="Times New Roman" w:eastAsia="宋体" w:cs="Times New Roman"/>
                <w:i/>
                <w:iCs/>
                <w:color w:val="auto"/>
                <w:kern w:val="0"/>
                <w:sz w:val="21"/>
                <w:szCs w:val="21"/>
                <w:lang w:val="en-US" w:eastAsia="zh-CN" w:bidi="ar"/>
              </w:rPr>
              <w:t>S</w:t>
            </w:r>
            <w:r>
              <w:rPr>
                <w:rFonts w:hint="eastAsia" w:ascii="Times New Roman" w:hAnsi="Times New Roman" w:cs="Times New Roman"/>
                <w:i/>
                <w:iCs/>
                <w:color w:val="auto"/>
                <w:kern w:val="0"/>
                <w:sz w:val="21"/>
                <w:szCs w:val="21"/>
                <w:lang w:val="en-US" w:eastAsia="zh-CN" w:bidi="ar"/>
              </w:rPr>
              <w:t xml:space="preserve"> </w:t>
            </w:r>
            <w:r>
              <w:rPr>
                <w:rFonts w:hint="default" w:ascii="Times New Roman" w:hAnsi="Times New Roman" w:eastAsia="宋体" w:cs="Times New Roman"/>
                <w:i/>
                <w:iCs/>
                <w:color w:val="auto"/>
                <w:kern w:val="0"/>
                <w:sz w:val="21"/>
                <w:szCs w:val="21"/>
                <w:lang w:val="en-US" w:eastAsia="zh-CN" w:bidi="ar"/>
              </w:rPr>
              <w:t>α</w:t>
            </w:r>
            <w:r>
              <w:rPr>
                <w:rFonts w:hint="eastAsia" w:ascii="Times New Roman" w:hAnsi="Times New Roman" w:eastAsia="宋体" w:cs="Times New Roman"/>
                <w:i/>
                <w:iCs/>
                <w:color w:val="auto"/>
                <w:kern w:val="0"/>
                <w:sz w:val="21"/>
                <w:szCs w:val="21"/>
                <w:lang w:val="en-US" w:eastAsia="zh-CN" w:bidi="ar"/>
              </w:rPr>
              <w:t xml:space="preserve"> </w:t>
            </w:r>
            <w:r>
              <w:rPr>
                <w:rFonts w:hint="default" w:ascii="Times New Roman" w:hAnsi="Times New Roman" w:eastAsia="宋体" w:cs="Times New Roman"/>
                <w:i/>
                <w:iCs/>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 xml:space="preserve"> </w:t>
            </w:r>
            <w:r>
              <w:rPr>
                <w:rFonts w:hint="eastAsia" w:ascii="Times New Roman" w:hAnsi="Times New Roman" w:cs="Times New Roman"/>
                <w:color w:val="auto"/>
                <w:kern w:val="0"/>
                <w:sz w:val="21"/>
                <w:szCs w:val="21"/>
                <w:lang w:val="en-US" w:eastAsia="zh-CN" w:bidi="ar"/>
              </w:rPr>
              <w:t>（1-</w:t>
            </w:r>
            <w:r>
              <w:rPr>
                <w:rFonts w:hint="default" w:ascii="Times New Roman" w:hAnsi="Times New Roman" w:eastAsia="宋体" w:cs="Times New Roman"/>
                <w:i/>
                <w:iCs/>
                <w:color w:val="auto"/>
                <w:kern w:val="0"/>
                <w:sz w:val="21"/>
                <w:szCs w:val="21"/>
                <w:lang w:val="en-US" w:eastAsia="zh-CN" w:bidi="ar"/>
              </w:rPr>
              <w:t>α</w:t>
            </w:r>
            <w:r>
              <w:rPr>
                <w:rFonts w:hint="eastAsia"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i/>
                <w:iCs/>
                <w:color w:val="auto"/>
                <w:kern w:val="0"/>
                <w:sz w:val="21"/>
                <w:szCs w:val="21"/>
                <w:lang w:val="en-US" w:eastAsia="zh-CN" w:bidi="ar"/>
              </w:rPr>
              <w:t xml:space="preserve">S </w:t>
            </w:r>
            <w:r>
              <w:rPr>
                <w:rFonts w:hint="default" w:ascii="Times New Roman" w:hAnsi="Times New Roman" w:eastAsia="宋体" w:cs="Times New Roman"/>
                <w:color w:val="auto"/>
                <w:kern w:val="0"/>
                <w:sz w:val="21"/>
                <w:szCs w:val="21"/>
                <w:lang w:val="en-US" w:eastAsia="zh-CN" w:bidi="ar"/>
              </w:rPr>
              <w:t>为房间内表面面积，m</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i/>
                <w:iCs/>
                <w:color w:val="auto"/>
                <w:kern w:val="0"/>
                <w:sz w:val="21"/>
                <w:szCs w:val="21"/>
                <w:lang w:val="en-US" w:eastAsia="zh-CN" w:bidi="ar"/>
              </w:rPr>
              <w:t xml:space="preserve">α </w:t>
            </w:r>
            <w:r>
              <w:rPr>
                <w:rFonts w:hint="default" w:ascii="Times New Roman" w:hAnsi="Times New Roman" w:eastAsia="宋体" w:cs="Times New Roman"/>
                <w:color w:val="auto"/>
                <w:kern w:val="0"/>
                <w:sz w:val="21"/>
                <w:szCs w:val="21"/>
                <w:lang w:val="en-US" w:eastAsia="zh-CN" w:bidi="ar"/>
              </w:rPr>
              <w:t xml:space="preserve">为平均吸声系数； </w:t>
            </w:r>
          </w:p>
          <w:p w14:paraId="3028878C">
            <w:pPr>
              <w:keepNext w:val="0"/>
              <w:keepLines w:val="0"/>
              <w:pageBreakBefore w:val="0"/>
              <w:widowControl w:val="0"/>
              <w:tabs>
                <w:tab w:val="center" w:pos="4353"/>
              </w:tabs>
              <w:kinsoku/>
              <w:wordWrap/>
              <w:overflowPunct/>
              <w:topLinePunct w:val="0"/>
              <w:autoSpaceDE/>
              <w:autoSpaceDN/>
              <w:bidi w:val="0"/>
              <w:adjustRightInd w:val="0"/>
              <w:snapToGrid w:val="0"/>
              <w:spacing w:line="360" w:lineRule="auto"/>
              <w:ind w:firstLine="630" w:firstLineChars="30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r ——声源到靠近围护结构某点处的距离，m。</w:t>
            </w:r>
          </w:p>
          <w:p w14:paraId="488DA0BD">
            <w:pPr>
              <w:keepNext w:val="0"/>
              <w:keepLines w:val="0"/>
              <w:pageBreakBefore w:val="0"/>
              <w:widowControl w:val="0"/>
              <w:tabs>
                <w:tab w:val="center" w:pos="4353"/>
              </w:tabs>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然后按式（B.3）计算出所有室内声源在围护结构处产生的 i 倍频带叠加声压级：</w:t>
            </w:r>
          </w:p>
          <w:p w14:paraId="17076C93">
            <w:pPr>
              <w:keepNext w:val="0"/>
              <w:keepLines w:val="0"/>
              <w:pageBreakBefore w:val="0"/>
              <w:widowControl w:val="0"/>
              <w:tabs>
                <w:tab w:val="center" w:pos="4353"/>
              </w:tabs>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drawing>
                <wp:inline distT="0" distB="0" distL="114300" distR="114300">
                  <wp:extent cx="1717040" cy="473710"/>
                  <wp:effectExtent l="0" t="0" r="16510" b="254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6"/>
                          <a:stretch>
                            <a:fillRect/>
                          </a:stretch>
                        </pic:blipFill>
                        <pic:spPr>
                          <a:xfrm>
                            <a:off x="0" y="0"/>
                            <a:ext cx="1717040" cy="473710"/>
                          </a:xfrm>
                          <a:prstGeom prst="rect">
                            <a:avLst/>
                          </a:prstGeom>
                          <a:noFill/>
                          <a:ln>
                            <a:noFill/>
                          </a:ln>
                        </pic:spPr>
                      </pic:pic>
                    </a:graphicData>
                  </a:graphic>
                </wp:inline>
              </w:drawing>
            </w:r>
            <w:r>
              <w:rPr>
                <w:rFonts w:hint="default" w:ascii="Times New Roman" w:hAnsi="Times New Roman"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（B.3）</w:t>
            </w:r>
          </w:p>
          <w:p w14:paraId="656CDD78">
            <w:pPr>
              <w:keepNext w:val="0"/>
              <w:keepLines w:val="0"/>
              <w:pageBreakBefore w:val="0"/>
              <w:widowControl w:val="0"/>
              <w:tabs>
                <w:tab w:val="center" w:pos="4353"/>
              </w:tabs>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式中：</w:t>
            </w:r>
            <w:r>
              <w:rPr>
                <w:rFonts w:hint="default" w:ascii="Times New Roman" w:hAnsi="Times New Roman" w:cs="Times New Roman"/>
                <w:color w:val="auto"/>
                <w:sz w:val="21"/>
                <w:szCs w:val="21"/>
                <w:lang w:val="en-US" w:eastAsia="zh-CN"/>
              </w:rPr>
              <w:t>L</w:t>
            </w:r>
            <w:r>
              <w:rPr>
                <w:rFonts w:hint="default" w:ascii="Times New Roman" w:hAnsi="Times New Roman" w:cs="Times New Roman"/>
                <w:color w:val="auto"/>
                <w:sz w:val="21"/>
                <w:szCs w:val="21"/>
                <w:vertAlign w:val="subscript"/>
                <w:lang w:eastAsia="zh-CN"/>
              </w:rPr>
              <w:t>p1i</w:t>
            </w:r>
            <w:r>
              <w:rPr>
                <w:rFonts w:hint="default"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lang w:eastAsia="zh-CN"/>
              </w:rPr>
              <w:t>T</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eastAsia="zh-CN"/>
              </w:rPr>
              <w:t xml:space="preserve"> ——靠近围护结构处室内 N 个声源 i 倍频带的叠加声压级，dB；</w:t>
            </w:r>
          </w:p>
          <w:p w14:paraId="5D29515A">
            <w:pPr>
              <w:keepNext w:val="0"/>
              <w:keepLines w:val="0"/>
              <w:pageBreakBefore w:val="0"/>
              <w:widowControl w:val="0"/>
              <w:tabs>
                <w:tab w:val="center" w:pos="4353"/>
              </w:tabs>
              <w:kinsoku/>
              <w:wordWrap/>
              <w:overflowPunct/>
              <w:topLinePunct w:val="0"/>
              <w:autoSpaceDE/>
              <w:autoSpaceDN/>
              <w:bidi w:val="0"/>
              <w:adjustRightInd w:val="0"/>
              <w:snapToGrid w:val="0"/>
              <w:spacing w:line="360" w:lineRule="auto"/>
              <w:ind w:firstLine="630" w:firstLineChars="300"/>
              <w:jc w:val="both"/>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L</w:t>
            </w:r>
            <w:r>
              <w:rPr>
                <w:rFonts w:hint="default" w:ascii="Times New Roman" w:hAnsi="Times New Roman" w:cs="Times New Roman"/>
                <w:color w:val="auto"/>
                <w:sz w:val="21"/>
                <w:szCs w:val="21"/>
                <w:vertAlign w:val="subscript"/>
                <w:lang w:eastAsia="zh-CN"/>
              </w:rPr>
              <w:t>p1i</w:t>
            </w:r>
            <w:r>
              <w:rPr>
                <w:rFonts w:hint="default" w:ascii="Times New Roman" w:hAnsi="Times New Roman" w:cs="Times New Roman"/>
                <w:color w:val="auto"/>
                <w:sz w:val="21"/>
                <w:szCs w:val="21"/>
                <w:vertAlign w:val="subscript"/>
                <w:lang w:val="en-US" w:eastAsia="zh-CN"/>
              </w:rPr>
              <w:t xml:space="preserve">j </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eastAsia="zh-CN"/>
              </w:rPr>
              <w:t>室内 j 声源 i 倍频带的声压级，dB；</w:t>
            </w:r>
          </w:p>
          <w:p w14:paraId="1A70DE8A">
            <w:pPr>
              <w:keepNext w:val="0"/>
              <w:keepLines w:val="0"/>
              <w:pageBreakBefore w:val="0"/>
              <w:widowControl w:val="0"/>
              <w:tabs>
                <w:tab w:val="center" w:pos="4353"/>
              </w:tabs>
              <w:kinsoku/>
              <w:wordWrap/>
              <w:overflowPunct/>
              <w:topLinePunct w:val="0"/>
              <w:autoSpaceDE/>
              <w:autoSpaceDN/>
              <w:bidi w:val="0"/>
              <w:adjustRightInd w:val="0"/>
              <w:snapToGrid w:val="0"/>
              <w:spacing w:line="360" w:lineRule="auto"/>
              <w:ind w:firstLine="630" w:firstLineChars="300"/>
              <w:jc w:val="both"/>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 xml:space="preserve"> N ——室内声源总数。</w:t>
            </w:r>
          </w:p>
          <w:p w14:paraId="4A393524">
            <w:pPr>
              <w:keepNext w:val="0"/>
              <w:keepLines w:val="0"/>
              <w:pageBreakBefore w:val="0"/>
              <w:widowControl w:val="0"/>
              <w:tabs>
                <w:tab w:val="center" w:pos="4353"/>
              </w:tabs>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在室内近似为扩散声场时，按式（B.4）计算出靠近室外围护结构处的声压级：</w:t>
            </w:r>
          </w:p>
          <w:p w14:paraId="08E1C4D8">
            <w:pPr>
              <w:pStyle w:val="8"/>
              <w:spacing w:line="360" w:lineRule="auto"/>
              <w:jc w:val="center"/>
              <w:rPr>
                <w:rFonts w:hint="default" w:ascii="Times New Roman" w:hAnsi="Times New Roman" w:cs="Times New Roman"/>
                <w:color w:val="auto"/>
                <w:lang w:eastAsia="zh-CN"/>
              </w:rPr>
            </w:pP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val="en-US" w:eastAsia="zh-CN"/>
              </w:rPr>
              <w:t xml:space="preserve">  L</w:t>
            </w:r>
            <w:r>
              <w:rPr>
                <w:rFonts w:hint="default" w:ascii="Times New Roman" w:hAnsi="Times New Roman" w:cs="Times New Roman"/>
                <w:color w:val="auto"/>
                <w:sz w:val="21"/>
                <w:szCs w:val="21"/>
                <w:vertAlign w:val="subscript"/>
                <w:lang w:eastAsia="zh-CN"/>
              </w:rPr>
              <w:t>p</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vertAlign w:val="subscript"/>
                <w:lang w:eastAsia="zh-CN"/>
              </w:rPr>
              <w:t>i</w:t>
            </w:r>
            <w:r>
              <w:rPr>
                <w:rFonts w:hint="default"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lang w:eastAsia="zh-CN"/>
              </w:rPr>
              <w:t>T</w:t>
            </w:r>
            <w:r>
              <w:rPr>
                <w:rFonts w:hint="default" w:ascii="Times New Roman" w:hAnsi="Times New Roman" w:cs="Times New Roman"/>
                <w:color w:val="auto"/>
                <w:sz w:val="21"/>
                <w:szCs w:val="21"/>
                <w:lang w:val="en-US" w:eastAsia="zh-CN"/>
              </w:rPr>
              <w:t>)</w:t>
            </w:r>
            <w:r>
              <w:rPr>
                <w:rFonts w:hint="default" w:ascii="Times New Roman" w:hAnsi="Times New Roman" w:eastAsia="微软雅黑" w:cs="Times New Roman"/>
                <w:color w:val="auto"/>
                <w:sz w:val="21"/>
                <w:szCs w:val="21"/>
                <w:lang w:val="en-US" w:eastAsia="zh-CN"/>
              </w:rPr>
              <w:t>=</w:t>
            </w:r>
            <w:r>
              <w:rPr>
                <w:rFonts w:hint="default" w:ascii="Times New Roman" w:hAnsi="Times New Roman" w:cs="Times New Roman"/>
                <w:color w:val="auto"/>
                <w:sz w:val="21"/>
                <w:szCs w:val="21"/>
                <w:lang w:val="en-US" w:eastAsia="zh-CN"/>
              </w:rPr>
              <w:t>L</w:t>
            </w:r>
            <w:r>
              <w:rPr>
                <w:rFonts w:hint="default" w:ascii="Times New Roman" w:hAnsi="Times New Roman" w:cs="Times New Roman"/>
                <w:color w:val="auto"/>
                <w:sz w:val="21"/>
                <w:szCs w:val="21"/>
                <w:vertAlign w:val="subscript"/>
                <w:lang w:eastAsia="zh-CN"/>
              </w:rPr>
              <w:t>p1i</w:t>
            </w:r>
            <w:r>
              <w:rPr>
                <w:rFonts w:hint="default"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lang w:eastAsia="zh-CN"/>
              </w:rPr>
              <w:t>T</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vertAlign w:val="subscript"/>
                <w:lang w:val="en-US" w:eastAsia="zh-CN"/>
              </w:rPr>
              <w:t xml:space="preserve"> </w:t>
            </w:r>
            <w:r>
              <w:rPr>
                <w:rFonts w:hint="default" w:ascii="Times New Roman" w:hAnsi="Times New Roman" w:eastAsia="宋体" w:cs="Times New Roman"/>
                <w:color w:val="auto"/>
                <w:sz w:val="21"/>
                <w:szCs w:val="21"/>
                <w:vertAlign w:val="baseline"/>
                <w:lang w:val="en-US" w:eastAsia="zh-CN"/>
              </w:rPr>
              <w:t>－(</w:t>
            </w:r>
            <w:r>
              <w:rPr>
                <w:rFonts w:hint="default" w:ascii="Times New Roman" w:hAnsi="Times New Roman" w:cs="Times New Roman"/>
                <w:color w:val="auto"/>
                <w:sz w:val="21"/>
                <w:szCs w:val="21"/>
                <w:lang w:val="en-US" w:eastAsia="zh-CN"/>
              </w:rPr>
              <w:t>TL</w:t>
            </w:r>
            <w:r>
              <w:rPr>
                <w:rFonts w:hint="default" w:ascii="Times New Roman" w:hAnsi="Times New Roman" w:eastAsia="微软雅黑" w:cs="Times New Roman"/>
                <w:color w:val="auto"/>
                <w:sz w:val="21"/>
                <w:szCs w:val="21"/>
                <w:lang w:val="en-US" w:eastAsia="zh-CN"/>
              </w:rPr>
              <w:t>+</w:t>
            </w:r>
            <w:r>
              <w:rPr>
                <w:rFonts w:hint="default" w:ascii="Times New Roman" w:hAnsi="Times New Roman" w:cs="Times New Roman"/>
                <w:color w:val="auto"/>
                <w:sz w:val="21"/>
                <w:szCs w:val="21"/>
                <w:lang w:val="en-US" w:eastAsia="zh-CN"/>
              </w:rPr>
              <w:t xml:space="preserve">6)                  </w:t>
            </w:r>
            <w:r>
              <w:rPr>
                <w:rFonts w:hint="default" w:ascii="Times New Roman" w:hAnsi="Times New Roman" w:eastAsia="宋体" w:cs="Times New Roman"/>
                <w:color w:val="auto"/>
                <w:sz w:val="21"/>
                <w:szCs w:val="21"/>
                <w:lang w:val="en-US" w:eastAsia="zh-CN"/>
              </w:rPr>
              <w:t>（B.4）</w:t>
            </w:r>
          </w:p>
          <w:p w14:paraId="2D944FF0">
            <w:pPr>
              <w:keepNext w:val="0"/>
              <w:keepLines w:val="0"/>
              <w:pageBreakBefore w:val="0"/>
              <w:widowControl w:val="0"/>
              <w:tabs>
                <w:tab w:val="center" w:pos="4353"/>
              </w:tabs>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 xml:space="preserve">式中： </w:t>
            </w:r>
            <w:r>
              <w:rPr>
                <w:rFonts w:hint="default" w:ascii="Times New Roman" w:hAnsi="Times New Roman" w:cs="Times New Roman"/>
                <w:color w:val="auto"/>
                <w:sz w:val="21"/>
                <w:szCs w:val="21"/>
                <w:lang w:val="en-US" w:eastAsia="zh-CN"/>
              </w:rPr>
              <w:t>L</w:t>
            </w:r>
            <w:r>
              <w:rPr>
                <w:rFonts w:hint="default" w:ascii="Times New Roman" w:hAnsi="Times New Roman" w:cs="Times New Roman"/>
                <w:color w:val="auto"/>
                <w:sz w:val="21"/>
                <w:szCs w:val="21"/>
                <w:vertAlign w:val="subscript"/>
                <w:lang w:eastAsia="zh-CN"/>
              </w:rPr>
              <w:t>p</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vertAlign w:val="subscript"/>
                <w:lang w:eastAsia="zh-CN"/>
              </w:rPr>
              <w:t>i</w:t>
            </w:r>
            <w:r>
              <w:rPr>
                <w:rFonts w:hint="default"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lang w:eastAsia="zh-CN"/>
              </w:rPr>
              <w:t>T</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eastAsia="zh-CN"/>
              </w:rPr>
              <w:t>——靠近围护结构处室外 N 个声源 i 倍频带的叠加声压级，dB；</w:t>
            </w:r>
          </w:p>
          <w:p w14:paraId="277878B5">
            <w:pPr>
              <w:keepNext w:val="0"/>
              <w:keepLines w:val="0"/>
              <w:pageBreakBefore w:val="0"/>
              <w:widowControl w:val="0"/>
              <w:tabs>
                <w:tab w:val="center" w:pos="4353"/>
              </w:tabs>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 </w:t>
            </w:r>
            <w:r>
              <w:rPr>
                <w:rFonts w:hint="default" w:ascii="Times New Roman" w:hAnsi="Times New Roman" w:cs="Times New Roman"/>
                <w:color w:val="auto"/>
                <w:sz w:val="21"/>
                <w:szCs w:val="21"/>
                <w:lang w:val="en-US" w:eastAsia="zh-CN"/>
              </w:rPr>
              <w:t xml:space="preserve">    L</w:t>
            </w:r>
            <w:r>
              <w:rPr>
                <w:rFonts w:hint="default" w:ascii="Times New Roman" w:hAnsi="Times New Roman" w:cs="Times New Roman"/>
                <w:color w:val="auto"/>
                <w:sz w:val="21"/>
                <w:szCs w:val="21"/>
                <w:vertAlign w:val="subscript"/>
                <w:lang w:eastAsia="zh-CN"/>
              </w:rPr>
              <w:t>p</w:t>
            </w:r>
            <w:r>
              <w:rPr>
                <w:rFonts w:hint="default" w:ascii="Times New Roman" w:hAnsi="Times New Roman" w:cs="Times New Roman"/>
                <w:color w:val="auto"/>
                <w:sz w:val="21"/>
                <w:szCs w:val="21"/>
                <w:vertAlign w:val="subscript"/>
                <w:lang w:val="en-US" w:eastAsia="zh-CN"/>
              </w:rPr>
              <w:t>1</w:t>
            </w:r>
            <w:r>
              <w:rPr>
                <w:rFonts w:hint="default" w:ascii="Times New Roman" w:hAnsi="Times New Roman" w:cs="Times New Roman"/>
                <w:color w:val="auto"/>
                <w:sz w:val="21"/>
                <w:szCs w:val="21"/>
                <w:vertAlign w:val="subscript"/>
                <w:lang w:eastAsia="zh-CN"/>
              </w:rPr>
              <w:t>i</w:t>
            </w:r>
            <w:r>
              <w:rPr>
                <w:rFonts w:hint="default"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lang w:eastAsia="zh-CN"/>
              </w:rPr>
              <w:t>T</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eastAsia="zh-CN"/>
              </w:rPr>
              <w:t xml:space="preserve"> ——靠近围护结构处室内 N 个声源 i 倍频带的叠加声压级，dB；</w:t>
            </w:r>
          </w:p>
          <w:p w14:paraId="433460AC">
            <w:pPr>
              <w:keepNext w:val="0"/>
              <w:keepLines w:val="0"/>
              <w:pageBreakBefore w:val="0"/>
              <w:widowControl w:val="0"/>
              <w:tabs>
                <w:tab w:val="center" w:pos="4353"/>
              </w:tabs>
              <w:kinsoku/>
              <w:wordWrap/>
              <w:overflowPunct/>
              <w:topLinePunct w:val="0"/>
              <w:autoSpaceDE/>
              <w:autoSpaceDN/>
              <w:bidi w:val="0"/>
              <w:adjustRightInd w:val="0"/>
              <w:snapToGrid w:val="0"/>
              <w:spacing w:line="360" w:lineRule="auto"/>
              <w:ind w:firstLine="630" w:firstLineChars="30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TL</w:t>
            </w:r>
            <w:r>
              <w:rPr>
                <w:rFonts w:hint="default" w:ascii="Times New Roman" w:hAnsi="Times New Roman" w:cs="Times New Roman"/>
                <w:color w:val="auto"/>
                <w:sz w:val="21"/>
                <w:szCs w:val="21"/>
                <w:vertAlign w:val="subscript"/>
                <w:lang w:eastAsia="zh-CN"/>
              </w:rPr>
              <w:t xml:space="preserve"> </w:t>
            </w:r>
            <w:r>
              <w:rPr>
                <w:rFonts w:hint="default" w:ascii="Times New Roman" w:hAnsi="Times New Roman" w:cs="Times New Roman"/>
                <w:color w:val="auto"/>
                <w:sz w:val="21"/>
                <w:szCs w:val="21"/>
                <w:vertAlign w:val="subscript"/>
                <w:lang w:val="en-US" w:eastAsia="zh-CN"/>
              </w:rPr>
              <w:t xml:space="preserve">i </w:t>
            </w:r>
            <w:r>
              <w:rPr>
                <w:rFonts w:hint="default" w:ascii="Times New Roman" w:hAnsi="Times New Roman" w:cs="Times New Roman"/>
                <w:color w:val="auto"/>
                <w:sz w:val="21"/>
                <w:szCs w:val="21"/>
                <w:lang w:eastAsia="zh-CN"/>
              </w:rPr>
              <w:t>——围护结构 i 倍频带的隔声量，dB。</w:t>
            </w:r>
          </w:p>
          <w:p w14:paraId="633A48EF">
            <w:pPr>
              <w:keepNext w:val="0"/>
              <w:keepLines w:val="0"/>
              <w:pageBreakBefore w:val="0"/>
              <w:widowControl w:val="0"/>
              <w:tabs>
                <w:tab w:val="center" w:pos="4353"/>
              </w:tabs>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然后按式（B.5）将室外声源的声压级和透过面积换算成等效的室外声源，计算出中心位置位于透声面积（S）处的等效声源的倍频带声功率级。</w:t>
            </w:r>
          </w:p>
          <w:p w14:paraId="691433BD">
            <w:pPr>
              <w:keepNext w:val="0"/>
              <w:keepLines w:val="0"/>
              <w:pageBreakBefore w:val="0"/>
              <w:widowControl w:val="0"/>
              <w:tabs>
                <w:tab w:val="center" w:pos="4353"/>
              </w:tabs>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 xml:space="preserve">  </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lang w:val="en-US" w:eastAsia="zh-CN"/>
              </w:rPr>
              <w:t>L</w:t>
            </w:r>
            <w:r>
              <w:rPr>
                <w:rFonts w:hint="default" w:ascii="Times New Roman" w:hAnsi="Times New Roman" w:cs="Times New Roman"/>
                <w:color w:val="auto"/>
                <w:sz w:val="21"/>
                <w:szCs w:val="21"/>
                <w:vertAlign w:val="subscript"/>
                <w:lang w:val="en-US" w:eastAsia="zh-CN"/>
              </w:rPr>
              <w:t>W</w:t>
            </w:r>
            <w:r>
              <w:rPr>
                <w:rFonts w:hint="default" w:ascii="Times New Roman" w:hAnsi="Times New Roman" w:cs="Times New Roman"/>
                <w:color w:val="auto"/>
                <w:sz w:val="21"/>
                <w:szCs w:val="21"/>
                <w:lang w:val="en-US" w:eastAsia="zh-CN"/>
              </w:rPr>
              <w:t>=L</w:t>
            </w:r>
            <w:r>
              <w:rPr>
                <w:rFonts w:hint="default" w:ascii="Times New Roman" w:hAnsi="Times New Roman" w:cs="Times New Roman"/>
                <w:color w:val="auto"/>
                <w:sz w:val="21"/>
                <w:szCs w:val="21"/>
                <w:vertAlign w:val="subscript"/>
                <w:lang w:val="en-US" w:eastAsia="zh-CN"/>
              </w:rPr>
              <w:t>P2</w:t>
            </w:r>
            <w:r>
              <w:rPr>
                <w:rFonts w:hint="default"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lang w:eastAsia="zh-CN"/>
              </w:rPr>
              <w:t>T</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vertAlign w:val="subscript"/>
                <w:lang w:val="en-US" w:eastAsia="zh-CN"/>
              </w:rPr>
              <w:t xml:space="preserve"> </w:t>
            </w:r>
            <w:r>
              <w:rPr>
                <w:rFonts w:hint="default" w:ascii="Times New Roman" w:hAnsi="Times New Roman" w:cs="Times New Roman"/>
                <w:color w:val="auto"/>
                <w:sz w:val="21"/>
                <w:szCs w:val="21"/>
                <w:lang w:val="en-US" w:eastAsia="zh-CN"/>
              </w:rPr>
              <w:t xml:space="preserve">+10lg(S)                      </w:t>
            </w:r>
            <w:r>
              <w:rPr>
                <w:rFonts w:hint="default" w:ascii="Times New Roman" w:hAnsi="Times New Roman" w:eastAsia="宋体" w:cs="Times New Roman"/>
                <w:color w:val="auto"/>
                <w:sz w:val="21"/>
                <w:szCs w:val="21"/>
                <w:lang w:val="en-US" w:eastAsia="zh-CN"/>
              </w:rPr>
              <w:t>（B.5）</w:t>
            </w:r>
          </w:p>
          <w:p w14:paraId="09E547CD">
            <w:pPr>
              <w:keepNext w:val="0"/>
              <w:keepLines w:val="0"/>
              <w:widowControl/>
              <w:suppressLineNumbers w:val="0"/>
              <w:spacing w:line="360" w:lineRule="auto"/>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式中：</w:t>
            </w:r>
            <w:r>
              <w:rPr>
                <w:rFonts w:hint="default" w:ascii="Times New Roman" w:hAnsi="Times New Roman" w:cs="Times New Roman"/>
                <w:color w:val="auto"/>
                <w:sz w:val="21"/>
                <w:szCs w:val="21"/>
                <w:lang w:val="en-US" w:eastAsia="zh-CN"/>
              </w:rPr>
              <w:t>L</w:t>
            </w:r>
            <w:r>
              <w:rPr>
                <w:rFonts w:hint="default" w:ascii="Times New Roman" w:hAnsi="Times New Roman" w:cs="Times New Roman"/>
                <w:color w:val="auto"/>
                <w:sz w:val="21"/>
                <w:szCs w:val="21"/>
                <w:vertAlign w:val="subscript"/>
                <w:lang w:val="en-US" w:eastAsia="zh-CN"/>
              </w:rPr>
              <w:t xml:space="preserve">W </w:t>
            </w:r>
            <w:r>
              <w:rPr>
                <w:rFonts w:hint="default" w:ascii="Times New Roman" w:hAnsi="Times New Roman" w:eastAsia="宋体" w:cs="Times New Roman"/>
                <w:color w:val="auto"/>
                <w:kern w:val="0"/>
                <w:sz w:val="21"/>
                <w:szCs w:val="21"/>
                <w:lang w:val="en-US" w:eastAsia="zh-CN" w:bidi="ar"/>
              </w:rPr>
              <w:t>——中心位置位于透声面积</w:t>
            </w:r>
            <w:r>
              <w:rPr>
                <w:rFonts w:hint="default" w:ascii="Times New Roman" w:hAnsi="Times New Roman" w:cs="Times New Roman"/>
                <w:color w:val="auto"/>
                <w:sz w:val="21"/>
                <w:szCs w:val="21"/>
                <w:lang w:val="en-US" w:eastAsia="zh-CN"/>
              </w:rPr>
              <w:t xml:space="preserve">(S) </w:t>
            </w:r>
            <w:r>
              <w:rPr>
                <w:rFonts w:hint="default" w:ascii="Times New Roman" w:hAnsi="Times New Roman" w:eastAsia="宋体" w:cs="Times New Roman"/>
                <w:color w:val="auto"/>
                <w:kern w:val="0"/>
                <w:sz w:val="21"/>
                <w:szCs w:val="21"/>
                <w:lang w:val="en-US" w:eastAsia="zh-CN" w:bidi="ar"/>
              </w:rPr>
              <w:t xml:space="preserve">处的等效声源的倍频带声功率级，dB； </w:t>
            </w:r>
          </w:p>
          <w:p w14:paraId="715C4A6D">
            <w:pPr>
              <w:keepNext w:val="0"/>
              <w:keepLines w:val="0"/>
              <w:widowControl/>
              <w:suppressLineNumbers w:val="0"/>
              <w:spacing w:line="360" w:lineRule="auto"/>
              <w:ind w:firstLine="630" w:firstLineChars="30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L</w:t>
            </w:r>
            <w:r>
              <w:rPr>
                <w:rFonts w:hint="default" w:ascii="Times New Roman" w:hAnsi="Times New Roman" w:cs="Times New Roman"/>
                <w:color w:val="auto"/>
                <w:sz w:val="21"/>
                <w:szCs w:val="21"/>
                <w:vertAlign w:val="subscript"/>
                <w:lang w:val="en-US" w:eastAsia="zh-CN"/>
              </w:rPr>
              <w:t>P2</w:t>
            </w:r>
            <w:r>
              <w:rPr>
                <w:rFonts w:hint="default"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lang w:eastAsia="zh-CN"/>
              </w:rPr>
              <w:t>T</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vertAlign w:val="subscript"/>
                <w:lang w:val="en-US" w:eastAsia="zh-CN"/>
              </w:rPr>
              <w:t xml:space="preserve"> </w:t>
            </w:r>
            <w:r>
              <w:rPr>
                <w:rFonts w:hint="default" w:ascii="Times New Roman" w:hAnsi="Times New Roman" w:eastAsia="宋体" w:cs="Times New Roman"/>
                <w:color w:val="auto"/>
                <w:kern w:val="0"/>
                <w:sz w:val="21"/>
                <w:szCs w:val="21"/>
                <w:lang w:val="en-US" w:eastAsia="zh-CN" w:bidi="ar"/>
              </w:rPr>
              <w:t xml:space="preserve">——靠近围护结构处室外声源的声压级，dB； </w:t>
            </w:r>
          </w:p>
          <w:p w14:paraId="1D1E696C">
            <w:pPr>
              <w:keepNext w:val="0"/>
              <w:keepLines w:val="0"/>
              <w:widowControl/>
              <w:suppressLineNumbers w:val="0"/>
              <w:spacing w:line="360" w:lineRule="auto"/>
              <w:ind w:firstLine="630" w:firstLineChars="300"/>
              <w:jc w:val="left"/>
              <w:rPr>
                <w:rFonts w:hint="default" w:ascii="Times New Roman" w:hAnsi="Times New Roman" w:cs="Times New Roman"/>
                <w:color w:val="auto"/>
                <w:sz w:val="21"/>
                <w:szCs w:val="21"/>
              </w:rPr>
            </w:pPr>
            <w:r>
              <w:rPr>
                <w:rFonts w:hint="default" w:ascii="Times New Roman" w:hAnsi="Times New Roman" w:eastAsia="宋体" w:cs="Times New Roman"/>
                <w:i/>
                <w:iCs/>
                <w:color w:val="auto"/>
                <w:kern w:val="0"/>
                <w:sz w:val="21"/>
                <w:szCs w:val="21"/>
                <w:lang w:val="en-US" w:eastAsia="zh-CN" w:bidi="ar"/>
              </w:rPr>
              <w:t>S</w:t>
            </w:r>
            <w:r>
              <w:rPr>
                <w:rFonts w:hint="default" w:ascii="Times New Roman" w:hAnsi="Times New Roman" w:eastAsia="宋体" w:cs="Times New Roman"/>
                <w:color w:val="auto"/>
                <w:kern w:val="0"/>
                <w:sz w:val="21"/>
                <w:szCs w:val="21"/>
                <w:lang w:val="en-US" w:eastAsia="zh-CN" w:bidi="ar"/>
              </w:rPr>
              <w:t>——透声面积，m</w:t>
            </w:r>
            <w:r>
              <w:rPr>
                <w:rFonts w:hint="default" w:ascii="Times New Roman" w:hAnsi="Times New Roman" w:eastAsia="宋体" w:cs="Times New Roman"/>
                <w:color w:val="auto"/>
                <w:kern w:val="0"/>
                <w:sz w:val="21"/>
                <w:szCs w:val="21"/>
                <w:vertAlign w:val="superscript"/>
                <w:lang w:val="en-US" w:eastAsia="zh-CN" w:bidi="ar"/>
              </w:rPr>
              <w:t>2</w:t>
            </w:r>
            <w:r>
              <w:rPr>
                <w:rFonts w:hint="default" w:ascii="Times New Roman" w:hAnsi="Times New Roman" w:eastAsia="宋体" w:cs="Times New Roman"/>
                <w:color w:val="auto"/>
                <w:kern w:val="0"/>
                <w:sz w:val="21"/>
                <w:szCs w:val="21"/>
                <w:lang w:val="en-US" w:eastAsia="zh-CN" w:bidi="ar"/>
              </w:rPr>
              <w:t xml:space="preserve">。 </w:t>
            </w:r>
          </w:p>
          <w:p w14:paraId="72D51B33">
            <w:pPr>
              <w:keepNext w:val="0"/>
              <w:keepLines w:val="0"/>
              <w:widowControl/>
              <w:suppressLineNumbers w:val="0"/>
              <w:spacing w:line="360" w:lineRule="auto"/>
              <w:ind w:firstLine="420" w:firstLineChars="20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然后按室外声源预测方法计算预测点处的 A 声级。</w:t>
            </w:r>
          </w:p>
          <w:p w14:paraId="19580460">
            <w:pPr>
              <w:keepNext w:val="0"/>
              <w:keepLines w:val="0"/>
              <w:widowControl/>
              <w:suppressLineNumbers w:val="0"/>
              <w:spacing w:line="360" w:lineRule="auto"/>
              <w:ind w:firstLine="420" w:firstLineChars="200"/>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sz w:val="21"/>
                <w:szCs w:val="21"/>
                <w:highlight w:val="none"/>
                <w:lang w:eastAsia="zh-CN"/>
              </w:rPr>
              <w:t>②</w:t>
            </w:r>
            <w:r>
              <w:rPr>
                <w:rFonts w:hint="default" w:ascii="Times New Roman" w:hAnsi="Times New Roman" w:eastAsia="宋体" w:cs="Times New Roman"/>
                <w:color w:val="auto"/>
                <w:kern w:val="0"/>
                <w:sz w:val="21"/>
                <w:szCs w:val="21"/>
                <w:highlight w:val="none"/>
                <w:lang w:val="en-US" w:eastAsia="zh-CN" w:bidi="ar"/>
              </w:rPr>
              <w:t>室外声源计算方法</w:t>
            </w:r>
          </w:p>
          <w:p w14:paraId="6FD9EDAE">
            <w:pPr>
              <w:keepNext w:val="0"/>
              <w:keepLines w:val="0"/>
              <w:widowControl/>
              <w:suppressLineNumbers w:val="0"/>
              <w:spacing w:line="360" w:lineRule="auto"/>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 xml:space="preserve">Lp(r)＝Lp(r0)+DC－(Adiv＋Aatm＋Agr＋Abar＋Amisc) </w:t>
            </w:r>
          </w:p>
          <w:p w14:paraId="0F60B428">
            <w:pPr>
              <w:keepNext w:val="0"/>
              <w:keepLines w:val="0"/>
              <w:widowControl/>
              <w:suppressLineNumbers w:val="0"/>
              <w:spacing w:line="360" w:lineRule="auto"/>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式中：Lp(r)——预测点处声压级，dB；</w:t>
            </w:r>
          </w:p>
          <w:p w14:paraId="42550ACF">
            <w:pPr>
              <w:keepNext w:val="0"/>
              <w:keepLines w:val="0"/>
              <w:widowControl/>
              <w:suppressLineNumbers w:val="0"/>
              <w:spacing w:line="360" w:lineRule="auto"/>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Lp(r0)——参考位置r0处的声压级，dB；</w:t>
            </w:r>
          </w:p>
          <w:p w14:paraId="1B54EEBF">
            <w:pPr>
              <w:keepNext w:val="0"/>
              <w:keepLines w:val="0"/>
              <w:widowControl/>
              <w:suppressLineNumbers w:val="0"/>
              <w:spacing w:line="360" w:lineRule="auto"/>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DC——指向性校正，它描述点声源的等效连续声压级与产生声功率级Lw的全向点声源在规定方向的声级的偏差程度，dB；</w:t>
            </w:r>
          </w:p>
          <w:p w14:paraId="7B0EA4FF">
            <w:pPr>
              <w:keepNext w:val="0"/>
              <w:keepLines w:val="0"/>
              <w:widowControl/>
              <w:suppressLineNumbers w:val="0"/>
              <w:spacing w:line="360" w:lineRule="auto"/>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Adiv——几何发散引起的衰减，dB；</w:t>
            </w:r>
          </w:p>
          <w:p w14:paraId="36418D87">
            <w:pPr>
              <w:keepNext w:val="0"/>
              <w:keepLines w:val="0"/>
              <w:widowControl/>
              <w:suppressLineNumbers w:val="0"/>
              <w:spacing w:line="360" w:lineRule="auto"/>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Aatm——大气吸收引起的衰减，dB；</w:t>
            </w:r>
          </w:p>
          <w:p w14:paraId="3B09E6E5">
            <w:pPr>
              <w:keepNext w:val="0"/>
              <w:keepLines w:val="0"/>
              <w:widowControl/>
              <w:suppressLineNumbers w:val="0"/>
              <w:spacing w:line="360" w:lineRule="auto"/>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Agr——地面效应引起的衰减，dB；</w:t>
            </w:r>
          </w:p>
          <w:p w14:paraId="4127EC85">
            <w:pPr>
              <w:keepNext w:val="0"/>
              <w:keepLines w:val="0"/>
              <w:widowControl/>
              <w:suppressLineNumbers w:val="0"/>
              <w:spacing w:line="360" w:lineRule="auto"/>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Abar——障碍物屏蔽引起的衰减，dB；</w:t>
            </w:r>
          </w:p>
          <w:p w14:paraId="0937DE0C">
            <w:pPr>
              <w:keepNext w:val="0"/>
              <w:keepLines w:val="0"/>
              <w:widowControl/>
              <w:suppressLineNumbers w:val="0"/>
              <w:spacing w:line="360" w:lineRule="auto"/>
              <w:ind w:firstLine="420" w:firstLineChars="200"/>
              <w:jc w:val="left"/>
              <w:rPr>
                <w:rFonts w:hint="default" w:ascii="Times New Roman" w:hAnsi="Times New Roman" w:cs="Times New Roman"/>
                <w:color w:val="auto"/>
                <w:sz w:val="21"/>
                <w:szCs w:val="21"/>
                <w:lang w:eastAsia="zh-CN"/>
              </w:rPr>
            </w:pPr>
            <w:r>
              <w:rPr>
                <w:rFonts w:hint="default" w:ascii="Times New Roman" w:hAnsi="Times New Roman" w:cs="Times New Roman"/>
                <w:color w:val="auto"/>
              </w:rPr>
              <w:t>Amisc——其他多方面效应引起的衰减，dB。</w:t>
            </w:r>
          </w:p>
          <w:p w14:paraId="3E75EF9B">
            <w:pPr>
              <w:keepNext w:val="0"/>
              <w:keepLines w:val="0"/>
              <w:widowControl/>
              <w:suppressLineNumbers w:val="0"/>
              <w:spacing w:line="360" w:lineRule="auto"/>
              <w:ind w:firstLine="420" w:firstLineChars="200"/>
              <w:jc w:val="left"/>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③拟建工程声源对预测点产生的贡献值（L</w:t>
            </w:r>
            <w:r>
              <w:rPr>
                <w:rFonts w:hint="default" w:ascii="Times New Roman" w:hAnsi="Times New Roman" w:cs="Times New Roman"/>
                <w:color w:val="auto"/>
                <w:sz w:val="21"/>
                <w:szCs w:val="21"/>
                <w:vertAlign w:val="subscript"/>
                <w:lang w:eastAsia="zh-CN"/>
              </w:rPr>
              <w:t>eqg</w:t>
            </w:r>
            <w:r>
              <w:rPr>
                <w:rFonts w:hint="default" w:ascii="Times New Roman" w:hAnsi="Times New Roman" w:cs="Times New Roman"/>
                <w:color w:val="auto"/>
                <w:sz w:val="21"/>
                <w:szCs w:val="21"/>
                <w:lang w:eastAsia="zh-CN"/>
              </w:rPr>
              <w:t>）为：</w:t>
            </w:r>
          </w:p>
          <w:p w14:paraId="0476CD79">
            <w:pPr>
              <w:keepNext w:val="0"/>
              <w:keepLines w:val="0"/>
              <w:widowControl/>
              <w:suppressLineNumbers w:val="0"/>
              <w:spacing w:line="360" w:lineRule="auto"/>
              <w:ind w:firstLine="420" w:firstLineChars="20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rPr>
              <w:drawing>
                <wp:inline distT="0" distB="0" distL="114300" distR="114300">
                  <wp:extent cx="2394585" cy="537845"/>
                  <wp:effectExtent l="0" t="0" r="5715" b="1460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7"/>
                          <a:stretch>
                            <a:fillRect/>
                          </a:stretch>
                        </pic:blipFill>
                        <pic:spPr>
                          <a:xfrm>
                            <a:off x="0" y="0"/>
                            <a:ext cx="2394585" cy="537845"/>
                          </a:xfrm>
                          <a:prstGeom prst="rect">
                            <a:avLst/>
                          </a:prstGeom>
                          <a:noFill/>
                          <a:ln>
                            <a:noFill/>
                          </a:ln>
                        </pic:spPr>
                      </pic:pic>
                    </a:graphicData>
                  </a:graphic>
                </wp:inline>
              </w:drawing>
            </w:r>
            <w:r>
              <w:rPr>
                <w:rFonts w:hint="default" w:ascii="Times New Roman" w:hAnsi="Times New Roman" w:cs="Times New Roman"/>
                <w:color w:val="auto"/>
                <w:lang w:val="en-US" w:eastAsia="zh-CN"/>
              </w:rPr>
              <w:t xml:space="preserve">     </w:t>
            </w:r>
            <w:r>
              <w:rPr>
                <w:rFonts w:hint="eastAsia" w:ascii="Times New Roman" w:hAnsi="Times New Roman" w:cs="Times New Roman"/>
                <w:color w:val="auto"/>
                <w:lang w:val="en-US" w:eastAsia="zh-CN"/>
              </w:rPr>
              <w:t xml:space="preserve">         </w:t>
            </w:r>
            <w:r>
              <w:rPr>
                <w:rFonts w:hint="default" w:ascii="Times New Roman" w:hAnsi="Times New Roman" w:eastAsia="宋体" w:cs="Times New Roman"/>
                <w:color w:val="auto"/>
                <w:sz w:val="21"/>
                <w:szCs w:val="21"/>
                <w:lang w:val="en-US" w:eastAsia="zh-CN"/>
              </w:rPr>
              <w:t>（B.</w:t>
            </w:r>
            <w:r>
              <w:rPr>
                <w:rFonts w:hint="default" w:ascii="Times New Roman" w:hAnsi="Times New Roman"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w:t>
            </w:r>
          </w:p>
          <w:p w14:paraId="75C18546">
            <w:pPr>
              <w:keepNext w:val="0"/>
              <w:keepLines w:val="0"/>
              <w:widowControl/>
              <w:suppressLineNumbers w:val="0"/>
              <w:spacing w:line="360" w:lineRule="auto"/>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式中：L</w:t>
            </w:r>
            <w:r>
              <w:rPr>
                <w:rFonts w:hint="default" w:ascii="Times New Roman" w:hAnsi="Times New Roman" w:cs="Times New Roman"/>
                <w:color w:val="auto"/>
                <w:vertAlign w:val="subscript"/>
                <w:lang w:val="en-US" w:eastAsia="zh-CN"/>
              </w:rPr>
              <w:t>eqg</w:t>
            </w:r>
            <w:r>
              <w:rPr>
                <w:rFonts w:hint="default" w:ascii="Times New Roman" w:hAnsi="Times New Roman" w:cs="Times New Roman"/>
                <w:color w:val="auto"/>
                <w:lang w:val="en-US" w:eastAsia="zh-CN"/>
              </w:rPr>
              <w:t>——建设项目声源在预测点产生的噪声贡献值，dB；</w:t>
            </w:r>
          </w:p>
          <w:p w14:paraId="21F0D1BC">
            <w:pPr>
              <w:keepNext w:val="0"/>
              <w:keepLines w:val="0"/>
              <w:widowControl/>
              <w:suppressLineNumbers w:val="0"/>
              <w:spacing w:line="360" w:lineRule="auto"/>
              <w:ind w:firstLine="630" w:firstLineChars="30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T ——用于计算等效声级的时间，s；</w:t>
            </w:r>
          </w:p>
          <w:p w14:paraId="269672BE">
            <w:pPr>
              <w:keepNext w:val="0"/>
              <w:keepLines w:val="0"/>
              <w:widowControl/>
              <w:suppressLineNumbers w:val="0"/>
              <w:spacing w:line="360" w:lineRule="auto"/>
              <w:ind w:firstLine="630" w:firstLineChars="30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 ——室外声源个数；</w:t>
            </w:r>
          </w:p>
          <w:p w14:paraId="78838397">
            <w:pPr>
              <w:keepNext w:val="0"/>
              <w:keepLines w:val="0"/>
              <w:widowControl/>
              <w:suppressLineNumbers w:val="0"/>
              <w:spacing w:line="360" w:lineRule="auto"/>
              <w:ind w:firstLine="630" w:firstLineChars="30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t</w:t>
            </w:r>
            <w:r>
              <w:rPr>
                <w:rFonts w:hint="default" w:ascii="Times New Roman" w:hAnsi="Times New Roman" w:cs="Times New Roman"/>
                <w:color w:val="auto"/>
                <w:vertAlign w:val="subscript"/>
                <w:lang w:val="en-US" w:eastAsia="zh-CN"/>
              </w:rPr>
              <w:t>i</w:t>
            </w:r>
            <w:r>
              <w:rPr>
                <w:rFonts w:hint="default" w:ascii="Times New Roman" w:hAnsi="Times New Roman" w:cs="Times New Roman"/>
                <w:color w:val="auto"/>
                <w:lang w:val="en-US" w:eastAsia="zh-CN"/>
              </w:rPr>
              <w:t xml:space="preserve"> ——在 T 时间内 i 声源工作时间，s；</w:t>
            </w:r>
          </w:p>
          <w:p w14:paraId="151012CD">
            <w:pPr>
              <w:keepNext w:val="0"/>
              <w:keepLines w:val="0"/>
              <w:widowControl/>
              <w:suppressLineNumbers w:val="0"/>
              <w:spacing w:line="360" w:lineRule="auto"/>
              <w:ind w:firstLine="630" w:firstLineChars="300"/>
              <w:jc w:val="both"/>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M ——等效室外声源个数；</w:t>
            </w:r>
          </w:p>
          <w:p w14:paraId="1EF9AE74">
            <w:pPr>
              <w:keepNext w:val="0"/>
              <w:keepLines w:val="0"/>
              <w:widowControl/>
              <w:suppressLineNumbers w:val="0"/>
              <w:spacing w:line="360" w:lineRule="auto"/>
              <w:ind w:firstLine="630" w:firstLineChars="300"/>
              <w:jc w:val="both"/>
              <w:rPr>
                <w:rFonts w:hint="default" w:ascii="Times New Roman" w:hAnsi="Times New Roman" w:cs="Times New Roman"/>
                <w:color w:val="auto"/>
              </w:rPr>
            </w:pPr>
            <w:r>
              <w:rPr>
                <w:rFonts w:hint="default" w:ascii="Times New Roman" w:hAnsi="Times New Roman" w:cs="Times New Roman"/>
                <w:color w:val="auto"/>
                <w:lang w:val="en-US" w:eastAsia="zh-CN"/>
              </w:rPr>
              <w:t>t</w:t>
            </w:r>
            <w:r>
              <w:rPr>
                <w:rFonts w:hint="default" w:ascii="Times New Roman" w:hAnsi="Times New Roman" w:cs="Times New Roman"/>
                <w:color w:val="auto"/>
                <w:vertAlign w:val="subscript"/>
                <w:lang w:val="en-US" w:eastAsia="zh-CN"/>
              </w:rPr>
              <w:t>j</w:t>
            </w:r>
            <w:r>
              <w:rPr>
                <w:rFonts w:hint="default" w:ascii="Times New Roman" w:hAnsi="Times New Roman" w:cs="Times New Roman"/>
                <w:color w:val="auto"/>
                <w:lang w:val="en-US" w:eastAsia="zh-CN"/>
              </w:rPr>
              <w:t xml:space="preserve"> ——在 T 时间内 j 声源工作时间，s。</w:t>
            </w:r>
          </w:p>
          <w:p w14:paraId="2FBC12D5">
            <w:pPr>
              <w:pageBreakBefore w:val="0"/>
              <w:widowControl w:val="0"/>
              <w:numPr>
                <w:ilvl w:val="0"/>
                <w:numId w:val="0"/>
              </w:numPr>
              <w:kinsoku/>
              <w:wordWrap/>
              <w:overflowPunct/>
              <w:topLinePunct w:val="0"/>
              <w:autoSpaceDE/>
              <w:autoSpaceDN/>
              <w:bidi w:val="0"/>
              <w:adjustRightInd/>
              <w:snapToGrid w:val="0"/>
              <w:spacing w:line="360" w:lineRule="auto"/>
              <w:ind w:leftChars="0" w:right="0" w:rightChars="0"/>
              <w:jc w:val="both"/>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（2）预测结果</w:t>
            </w:r>
          </w:p>
          <w:p w14:paraId="5E9CFCCD">
            <w:pPr>
              <w:pageBreakBefore w:val="0"/>
              <w:widowControl w:val="0"/>
              <w:numPr>
                <w:ilvl w:val="0"/>
                <w:numId w:val="0"/>
              </w:numPr>
              <w:kinsoku/>
              <w:wordWrap/>
              <w:overflowPunct/>
              <w:topLinePunct w:val="0"/>
              <w:autoSpaceDE/>
              <w:autoSpaceDN/>
              <w:bidi w:val="0"/>
              <w:adjustRightInd/>
              <w:snapToGrid w:val="0"/>
              <w:spacing w:line="360" w:lineRule="auto"/>
              <w:ind w:leftChars="0" w:right="0" w:rightChars="0" w:firstLine="420" w:firstLineChars="200"/>
              <w:jc w:val="both"/>
              <w:textAlignment w:val="auto"/>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本项目噪声</w:t>
            </w:r>
            <w:r>
              <w:rPr>
                <w:rFonts w:hint="eastAsia" w:cs="Times New Roman"/>
                <w:color w:val="auto"/>
                <w:kern w:val="0"/>
                <w:sz w:val="21"/>
                <w:szCs w:val="21"/>
                <w:highlight w:val="none"/>
                <w:lang w:val="en-US" w:eastAsia="zh-CN"/>
              </w:rPr>
              <w:t>现状值采用</w:t>
            </w:r>
            <w:r>
              <w:rPr>
                <w:rFonts w:hint="eastAsia" w:cs="Times New Roman"/>
                <w:color w:val="auto"/>
                <w:kern w:val="0"/>
                <w:sz w:val="21"/>
                <w:szCs w:val="21"/>
                <w:highlight w:val="none"/>
                <w:u w:val="none"/>
                <w:lang w:val="en-US" w:eastAsia="zh-CN"/>
              </w:rPr>
              <w:t>江苏华睿巨辉环境检测有限公司检测报告（JSHH（验）字第20200143号）的数据，</w:t>
            </w:r>
            <w:r>
              <w:rPr>
                <w:rFonts w:hint="default" w:ascii="Times New Roman" w:hAnsi="Times New Roman" w:cs="Times New Roman"/>
                <w:color w:val="auto"/>
                <w:kern w:val="0"/>
                <w:sz w:val="21"/>
                <w:szCs w:val="21"/>
                <w:highlight w:val="none"/>
                <w:lang w:val="en-US" w:eastAsia="zh-CN"/>
              </w:rPr>
              <w:t>对厂界</w:t>
            </w:r>
            <w:r>
              <w:rPr>
                <w:rFonts w:hint="eastAsia" w:cs="Times New Roman"/>
                <w:color w:val="auto"/>
                <w:kern w:val="0"/>
                <w:sz w:val="21"/>
                <w:szCs w:val="21"/>
                <w:highlight w:val="none"/>
                <w:lang w:val="en-US" w:eastAsia="zh-CN"/>
              </w:rPr>
              <w:t>的预测值</w:t>
            </w:r>
            <w:r>
              <w:rPr>
                <w:rFonts w:hint="default" w:ascii="Times New Roman" w:hAnsi="Times New Roman" w:cs="Times New Roman"/>
                <w:color w:val="auto"/>
                <w:kern w:val="0"/>
                <w:sz w:val="21"/>
                <w:szCs w:val="21"/>
                <w:highlight w:val="none"/>
                <w:lang w:val="en-US" w:eastAsia="zh-CN"/>
              </w:rPr>
              <w:t>见下表。</w:t>
            </w:r>
          </w:p>
          <w:p w14:paraId="6D941079">
            <w:pPr>
              <w:pageBreakBefore w:val="0"/>
              <w:widowControl w:val="0"/>
              <w:numPr>
                <w:ilvl w:val="0"/>
                <w:numId w:val="0"/>
              </w:numPr>
              <w:kinsoku/>
              <w:wordWrap/>
              <w:overflowPunct/>
              <w:topLinePunct w:val="0"/>
              <w:autoSpaceDE/>
              <w:autoSpaceDN/>
              <w:bidi w:val="0"/>
              <w:adjustRightInd/>
              <w:snapToGrid w:val="0"/>
              <w:spacing w:line="240" w:lineRule="auto"/>
              <w:ind w:leftChars="0" w:right="0" w:rightChars="0" w:firstLine="422" w:firstLineChars="20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表4-</w:t>
            </w:r>
            <w:r>
              <w:rPr>
                <w:rFonts w:hint="eastAsia" w:cs="Times New Roman"/>
                <w:b/>
                <w:bCs/>
                <w:color w:val="auto"/>
                <w:sz w:val="21"/>
                <w:szCs w:val="21"/>
                <w:highlight w:val="none"/>
                <w:lang w:val="en-US" w:eastAsia="zh-CN"/>
              </w:rPr>
              <w:t>15</w:t>
            </w:r>
            <w:r>
              <w:rPr>
                <w:rFonts w:hint="default" w:ascii="Times New Roman" w:hAnsi="Times New Roman" w:cs="Times New Roman"/>
                <w:b/>
                <w:bCs/>
                <w:color w:val="auto"/>
                <w:sz w:val="21"/>
                <w:szCs w:val="21"/>
                <w:highlight w:val="none"/>
              </w:rPr>
              <w:t xml:space="preserve"> 本项目噪声预测结果（单位：dB(A)）</w:t>
            </w:r>
          </w:p>
          <w:tbl>
            <w:tblPr>
              <w:tblStyle w:val="20"/>
              <w:tblW w:w="502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04"/>
              <w:gridCol w:w="794"/>
              <w:gridCol w:w="616"/>
              <w:gridCol w:w="630"/>
              <w:gridCol w:w="743"/>
              <w:gridCol w:w="706"/>
              <w:gridCol w:w="767"/>
              <w:gridCol w:w="684"/>
              <w:gridCol w:w="500"/>
              <w:gridCol w:w="475"/>
              <w:gridCol w:w="637"/>
              <w:gridCol w:w="588"/>
              <w:gridCol w:w="513"/>
            </w:tblGrid>
            <w:tr w14:paraId="29556F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6" w:hRule="atLeast"/>
                <w:jc w:val="center"/>
              </w:trPr>
              <w:tc>
                <w:tcPr>
                  <w:tcW w:w="308" w:type="pct"/>
                  <w:vMerge w:val="restart"/>
                  <w:noWrap w:val="0"/>
                  <w:vAlign w:val="center"/>
                </w:tcPr>
                <w:p w14:paraId="387C9FEA">
                  <w:pPr>
                    <w:jc w:val="center"/>
                    <w:rPr>
                      <w:rFonts w:hint="default" w:ascii="Times New Roman" w:hAnsi="Times New Roman" w:cs="Times New Roman"/>
                      <w:b/>
                      <w:color w:val="auto"/>
                      <w:sz w:val="18"/>
                      <w:szCs w:val="18"/>
                      <w:highlight w:val="none"/>
                      <w:lang w:val="en-US" w:eastAsia="zh-CN"/>
                    </w:rPr>
                  </w:pPr>
                  <w:r>
                    <w:rPr>
                      <w:rFonts w:hint="default" w:ascii="Times New Roman" w:hAnsi="Times New Roman" w:cs="Times New Roman"/>
                      <w:b/>
                      <w:color w:val="auto"/>
                      <w:sz w:val="18"/>
                      <w:szCs w:val="18"/>
                      <w:highlight w:val="none"/>
                      <w:lang w:val="en-US" w:eastAsia="zh-CN"/>
                    </w:rPr>
                    <w:t>点号</w:t>
                  </w:r>
                </w:p>
              </w:tc>
              <w:tc>
                <w:tcPr>
                  <w:tcW w:w="486" w:type="pct"/>
                  <w:vMerge w:val="restart"/>
                  <w:noWrap w:val="0"/>
                  <w:vAlign w:val="center"/>
                </w:tcPr>
                <w:p w14:paraId="193C79C8">
                  <w:pPr>
                    <w:jc w:val="center"/>
                    <w:rPr>
                      <w:rFonts w:hint="default" w:ascii="Times New Roman" w:hAnsi="Times New Roman" w:eastAsia="宋体" w:cs="Times New Roman"/>
                      <w:b/>
                      <w:color w:val="auto"/>
                      <w:sz w:val="18"/>
                      <w:szCs w:val="18"/>
                      <w:highlight w:val="none"/>
                      <w:lang w:val="en-US" w:eastAsia="zh-CN"/>
                    </w:rPr>
                  </w:pPr>
                  <w:r>
                    <w:rPr>
                      <w:rFonts w:hint="default" w:ascii="Times New Roman" w:hAnsi="Times New Roman" w:cs="Times New Roman"/>
                      <w:b/>
                      <w:color w:val="auto"/>
                      <w:sz w:val="18"/>
                      <w:szCs w:val="18"/>
                      <w:highlight w:val="none"/>
                      <w:lang w:val="en-US" w:eastAsia="zh-CN"/>
                    </w:rPr>
                    <w:t>预测点位置</w:t>
                  </w:r>
                </w:p>
              </w:tc>
              <w:tc>
                <w:tcPr>
                  <w:tcW w:w="763" w:type="pct"/>
                  <w:gridSpan w:val="2"/>
                  <w:noWrap w:val="0"/>
                  <w:vAlign w:val="center"/>
                </w:tcPr>
                <w:p w14:paraId="2C199A4C">
                  <w:pPr>
                    <w:jc w:val="center"/>
                    <w:rPr>
                      <w:rFonts w:hint="default" w:ascii="Times New Roman" w:hAnsi="Times New Roman" w:cs="Times New Roman"/>
                      <w:b/>
                      <w:color w:val="auto"/>
                      <w:sz w:val="18"/>
                      <w:szCs w:val="18"/>
                      <w:highlight w:val="none"/>
                      <w:lang w:val="en-US" w:eastAsia="zh-CN"/>
                    </w:rPr>
                  </w:pPr>
                  <w:r>
                    <w:rPr>
                      <w:rFonts w:hint="eastAsia" w:cs="Times New Roman"/>
                      <w:b/>
                      <w:color w:val="auto"/>
                      <w:sz w:val="18"/>
                      <w:szCs w:val="18"/>
                      <w:highlight w:val="none"/>
                      <w:lang w:val="en-US" w:eastAsia="zh-CN"/>
                    </w:rPr>
                    <w:t>噪声现状值</w:t>
                  </w:r>
                </w:p>
              </w:tc>
              <w:tc>
                <w:tcPr>
                  <w:tcW w:w="888" w:type="pct"/>
                  <w:gridSpan w:val="2"/>
                  <w:noWrap w:val="0"/>
                  <w:vAlign w:val="center"/>
                </w:tcPr>
                <w:p w14:paraId="3A24F983">
                  <w:pPr>
                    <w:jc w:val="center"/>
                    <w:rPr>
                      <w:rFonts w:hint="default" w:ascii="Times New Roman" w:hAnsi="Times New Roman" w:cs="Times New Roman"/>
                      <w:b/>
                      <w:color w:val="auto"/>
                      <w:sz w:val="18"/>
                      <w:szCs w:val="18"/>
                      <w:highlight w:val="none"/>
                      <w:lang w:val="en-US" w:eastAsia="zh-CN"/>
                    </w:rPr>
                  </w:pPr>
                  <w:r>
                    <w:rPr>
                      <w:rFonts w:hint="default" w:ascii="Times New Roman" w:hAnsi="Times New Roman" w:cs="Times New Roman"/>
                      <w:b/>
                      <w:color w:val="auto"/>
                      <w:sz w:val="18"/>
                      <w:szCs w:val="18"/>
                      <w:highlight w:val="none"/>
                      <w:lang w:val="en-US" w:eastAsia="zh-CN"/>
                    </w:rPr>
                    <w:t>噪声贡献值</w:t>
                  </w:r>
                </w:p>
              </w:tc>
              <w:tc>
                <w:tcPr>
                  <w:tcW w:w="889" w:type="pct"/>
                  <w:gridSpan w:val="2"/>
                  <w:noWrap w:val="0"/>
                  <w:vAlign w:val="center"/>
                </w:tcPr>
                <w:p w14:paraId="498420CC">
                  <w:pPr>
                    <w:jc w:val="center"/>
                    <w:rPr>
                      <w:rFonts w:hint="default" w:ascii="Times New Roman" w:hAnsi="Times New Roman" w:cs="Times New Roman"/>
                      <w:b/>
                      <w:color w:val="auto"/>
                      <w:sz w:val="18"/>
                      <w:szCs w:val="18"/>
                      <w:highlight w:val="none"/>
                      <w:lang w:val="en-US" w:eastAsia="zh-CN"/>
                    </w:rPr>
                  </w:pPr>
                  <w:r>
                    <w:rPr>
                      <w:rFonts w:hint="eastAsia" w:cs="Times New Roman"/>
                      <w:b/>
                      <w:color w:val="auto"/>
                      <w:sz w:val="18"/>
                      <w:szCs w:val="18"/>
                      <w:highlight w:val="none"/>
                      <w:lang w:val="en-US" w:eastAsia="zh-CN"/>
                    </w:rPr>
                    <w:t>噪声预测值</w:t>
                  </w:r>
                </w:p>
              </w:tc>
              <w:tc>
                <w:tcPr>
                  <w:tcW w:w="597" w:type="pct"/>
                  <w:gridSpan w:val="2"/>
                  <w:noWrap w:val="0"/>
                  <w:vAlign w:val="center"/>
                </w:tcPr>
                <w:p w14:paraId="50265482">
                  <w:pPr>
                    <w:jc w:val="center"/>
                    <w:rPr>
                      <w:rFonts w:hint="default" w:ascii="Times New Roman" w:hAnsi="Times New Roman" w:cs="Times New Roman"/>
                      <w:b/>
                      <w:color w:val="auto"/>
                      <w:sz w:val="18"/>
                      <w:szCs w:val="18"/>
                      <w:highlight w:val="none"/>
                      <w:lang w:val="en-US" w:eastAsia="zh-CN"/>
                    </w:rPr>
                  </w:pPr>
                  <w:r>
                    <w:rPr>
                      <w:rFonts w:hint="default" w:ascii="Times New Roman" w:hAnsi="Times New Roman" w:cs="Times New Roman"/>
                      <w:b/>
                      <w:color w:val="auto"/>
                      <w:sz w:val="18"/>
                      <w:szCs w:val="18"/>
                      <w:highlight w:val="none"/>
                      <w:lang w:val="en-US" w:eastAsia="zh-CN"/>
                    </w:rPr>
                    <w:t>评价标准</w:t>
                  </w:r>
                </w:p>
              </w:tc>
              <w:tc>
                <w:tcPr>
                  <w:tcW w:w="750" w:type="pct"/>
                  <w:gridSpan w:val="2"/>
                  <w:noWrap w:val="0"/>
                  <w:vAlign w:val="center"/>
                </w:tcPr>
                <w:p w14:paraId="25CA0C1C">
                  <w:pPr>
                    <w:jc w:val="center"/>
                    <w:rPr>
                      <w:rFonts w:hint="default" w:ascii="Times New Roman" w:hAnsi="Times New Roman" w:cs="Times New Roman"/>
                      <w:b/>
                      <w:color w:val="auto"/>
                      <w:sz w:val="18"/>
                      <w:szCs w:val="18"/>
                      <w:highlight w:val="none"/>
                      <w:lang w:val="en-US" w:eastAsia="zh-CN"/>
                    </w:rPr>
                  </w:pPr>
                  <w:r>
                    <w:rPr>
                      <w:rFonts w:hint="eastAsia" w:cs="Times New Roman"/>
                      <w:b/>
                      <w:color w:val="auto"/>
                      <w:sz w:val="18"/>
                      <w:szCs w:val="18"/>
                      <w:highlight w:val="none"/>
                      <w:lang w:val="en-US" w:eastAsia="zh-CN"/>
                    </w:rPr>
                    <w:t>较现状增量</w:t>
                  </w:r>
                </w:p>
              </w:tc>
              <w:tc>
                <w:tcPr>
                  <w:tcW w:w="314" w:type="pct"/>
                  <w:vMerge w:val="restart"/>
                  <w:noWrap w:val="0"/>
                  <w:vAlign w:val="center"/>
                </w:tcPr>
                <w:p w14:paraId="7C8E5DE7">
                  <w:pPr>
                    <w:jc w:val="center"/>
                    <w:rPr>
                      <w:rFonts w:hint="default" w:ascii="Times New Roman" w:hAnsi="Times New Roman" w:eastAsia="宋体" w:cs="Times New Roman"/>
                      <w:b/>
                      <w:color w:val="auto"/>
                      <w:sz w:val="18"/>
                      <w:szCs w:val="18"/>
                      <w:highlight w:val="none"/>
                      <w:lang w:val="en-US" w:eastAsia="zh-CN"/>
                    </w:rPr>
                  </w:pPr>
                  <w:r>
                    <w:rPr>
                      <w:rFonts w:hint="default" w:ascii="Times New Roman" w:hAnsi="Times New Roman" w:cs="Times New Roman"/>
                      <w:b/>
                      <w:color w:val="auto"/>
                      <w:sz w:val="18"/>
                      <w:szCs w:val="18"/>
                      <w:highlight w:val="none"/>
                      <w:lang w:val="en-US" w:eastAsia="zh-CN"/>
                    </w:rPr>
                    <w:t>评价结果</w:t>
                  </w:r>
                </w:p>
              </w:tc>
            </w:tr>
            <w:tr w14:paraId="420CFF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308" w:type="pct"/>
                  <w:vMerge w:val="continue"/>
                  <w:noWrap w:val="0"/>
                  <w:vAlign w:val="center"/>
                </w:tcPr>
                <w:p w14:paraId="67547679">
                  <w:pPr>
                    <w:jc w:val="center"/>
                    <w:rPr>
                      <w:rFonts w:hint="default" w:ascii="Times New Roman" w:hAnsi="Times New Roman" w:cs="Times New Roman"/>
                      <w:color w:val="auto"/>
                      <w:sz w:val="18"/>
                      <w:szCs w:val="18"/>
                      <w:highlight w:val="none"/>
                    </w:rPr>
                  </w:pPr>
                </w:p>
              </w:tc>
              <w:tc>
                <w:tcPr>
                  <w:tcW w:w="486" w:type="pct"/>
                  <w:vMerge w:val="continue"/>
                  <w:noWrap w:val="0"/>
                  <w:vAlign w:val="center"/>
                </w:tcPr>
                <w:p w14:paraId="1A7A334A">
                  <w:pPr>
                    <w:jc w:val="center"/>
                    <w:rPr>
                      <w:rFonts w:hint="default" w:ascii="Times New Roman" w:hAnsi="Times New Roman" w:cs="Times New Roman"/>
                      <w:color w:val="auto"/>
                      <w:sz w:val="18"/>
                      <w:szCs w:val="18"/>
                      <w:highlight w:val="none"/>
                    </w:rPr>
                  </w:pPr>
                </w:p>
              </w:tc>
              <w:tc>
                <w:tcPr>
                  <w:tcW w:w="377" w:type="pct"/>
                  <w:noWrap w:val="0"/>
                  <w:vAlign w:val="center"/>
                </w:tcPr>
                <w:p w14:paraId="4BC4FC90">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昼间</w:t>
                  </w:r>
                </w:p>
              </w:tc>
              <w:tc>
                <w:tcPr>
                  <w:tcW w:w="386" w:type="pct"/>
                  <w:noWrap w:val="0"/>
                  <w:vAlign w:val="center"/>
                </w:tcPr>
                <w:p w14:paraId="543ADEEF">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夜间</w:t>
                  </w:r>
                </w:p>
              </w:tc>
              <w:tc>
                <w:tcPr>
                  <w:tcW w:w="455" w:type="pct"/>
                  <w:noWrap w:val="0"/>
                  <w:vAlign w:val="center"/>
                </w:tcPr>
                <w:p w14:paraId="04850DE7">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昼间</w:t>
                  </w:r>
                </w:p>
              </w:tc>
              <w:tc>
                <w:tcPr>
                  <w:tcW w:w="432" w:type="pct"/>
                  <w:noWrap w:val="0"/>
                  <w:vAlign w:val="center"/>
                </w:tcPr>
                <w:p w14:paraId="76C25CA6">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夜间</w:t>
                  </w:r>
                </w:p>
              </w:tc>
              <w:tc>
                <w:tcPr>
                  <w:tcW w:w="470" w:type="pct"/>
                  <w:noWrap w:val="0"/>
                  <w:vAlign w:val="center"/>
                </w:tcPr>
                <w:p w14:paraId="3E7ABD1E">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昼间</w:t>
                  </w:r>
                </w:p>
              </w:tc>
              <w:tc>
                <w:tcPr>
                  <w:tcW w:w="419" w:type="pct"/>
                  <w:noWrap w:val="0"/>
                  <w:vAlign w:val="center"/>
                </w:tcPr>
                <w:p w14:paraId="0F2B5321">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夜间</w:t>
                  </w:r>
                </w:p>
              </w:tc>
              <w:tc>
                <w:tcPr>
                  <w:tcW w:w="306" w:type="pct"/>
                  <w:noWrap w:val="0"/>
                  <w:vAlign w:val="center"/>
                </w:tcPr>
                <w:p w14:paraId="5E196F01">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昼间</w:t>
                  </w:r>
                </w:p>
              </w:tc>
              <w:tc>
                <w:tcPr>
                  <w:tcW w:w="291" w:type="pct"/>
                  <w:noWrap w:val="0"/>
                  <w:vAlign w:val="center"/>
                </w:tcPr>
                <w:p w14:paraId="46323BAD">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夜间</w:t>
                  </w:r>
                </w:p>
              </w:tc>
              <w:tc>
                <w:tcPr>
                  <w:tcW w:w="390" w:type="pct"/>
                  <w:noWrap w:val="0"/>
                  <w:vAlign w:val="center"/>
                </w:tcPr>
                <w:p w14:paraId="3F274494">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昼间</w:t>
                  </w:r>
                </w:p>
              </w:tc>
              <w:tc>
                <w:tcPr>
                  <w:tcW w:w="360" w:type="pct"/>
                  <w:noWrap w:val="0"/>
                  <w:vAlign w:val="center"/>
                </w:tcPr>
                <w:p w14:paraId="7406295D">
                  <w:pPr>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夜间</w:t>
                  </w:r>
                </w:p>
              </w:tc>
              <w:tc>
                <w:tcPr>
                  <w:tcW w:w="314" w:type="pct"/>
                  <w:vMerge w:val="continue"/>
                  <w:noWrap w:val="0"/>
                  <w:vAlign w:val="center"/>
                </w:tcPr>
                <w:p w14:paraId="2BFAED6B">
                  <w:pPr>
                    <w:jc w:val="center"/>
                    <w:rPr>
                      <w:rFonts w:hint="default" w:ascii="Times New Roman" w:hAnsi="Times New Roman" w:cs="Times New Roman"/>
                      <w:color w:val="auto"/>
                      <w:sz w:val="18"/>
                      <w:szCs w:val="18"/>
                      <w:highlight w:val="none"/>
                    </w:rPr>
                  </w:pPr>
                </w:p>
              </w:tc>
            </w:tr>
            <w:tr w14:paraId="7BBDFD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3" w:hRule="atLeast"/>
                <w:jc w:val="center"/>
              </w:trPr>
              <w:tc>
                <w:tcPr>
                  <w:tcW w:w="308" w:type="pct"/>
                  <w:noWrap w:val="0"/>
                  <w:vAlign w:val="center"/>
                </w:tcPr>
                <w:p w14:paraId="24EF5EA1">
                  <w:pPr>
                    <w:ind w:left="0" w:leftChars="0" w:right="0" w:right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N1</w:t>
                  </w:r>
                </w:p>
              </w:tc>
              <w:tc>
                <w:tcPr>
                  <w:tcW w:w="486" w:type="pct"/>
                  <w:noWrap w:val="0"/>
                  <w:vAlign w:val="center"/>
                </w:tcPr>
                <w:p w14:paraId="2F6FCB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18"/>
                      <w:szCs w:val="18"/>
                      <w:highlight w:val="none"/>
                      <w:lang w:val="zh-CN" w:eastAsia="zh-CN" w:bidi="ar-SA"/>
                    </w:rPr>
                  </w:pPr>
                  <w:r>
                    <w:rPr>
                      <w:rFonts w:hint="eastAsia" w:cs="Times New Roman"/>
                      <w:color w:val="auto"/>
                      <w:spacing w:val="2"/>
                      <w:sz w:val="18"/>
                      <w:szCs w:val="18"/>
                      <w:highlight w:val="none"/>
                      <w:lang w:val="en-US" w:eastAsia="zh-CN"/>
                    </w:rPr>
                    <w:t>东</w:t>
                  </w:r>
                  <w:r>
                    <w:rPr>
                      <w:rFonts w:hint="default" w:ascii="Times New Roman" w:hAnsi="Times New Roman" w:eastAsia="宋体" w:cs="Times New Roman"/>
                      <w:color w:val="auto"/>
                      <w:spacing w:val="2"/>
                      <w:sz w:val="18"/>
                      <w:szCs w:val="18"/>
                      <w:highlight w:val="none"/>
                    </w:rPr>
                    <w:t>厂界外1米</w:t>
                  </w:r>
                </w:p>
              </w:tc>
              <w:tc>
                <w:tcPr>
                  <w:tcW w:w="377" w:type="pct"/>
                  <w:noWrap w:val="0"/>
                  <w:vAlign w:val="center"/>
                </w:tcPr>
                <w:p w14:paraId="376905E1">
                  <w:pPr>
                    <w:pStyle w:val="67"/>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pacing w:val="-4"/>
                      <w:sz w:val="18"/>
                      <w:szCs w:val="18"/>
                    </w:rPr>
                    <w:t>54</w:t>
                  </w:r>
                </w:p>
              </w:tc>
              <w:tc>
                <w:tcPr>
                  <w:tcW w:w="386" w:type="pct"/>
                  <w:noWrap w:val="0"/>
                  <w:vAlign w:val="center"/>
                </w:tcPr>
                <w:p w14:paraId="04B42FBB">
                  <w:pPr>
                    <w:pStyle w:val="67"/>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pacing w:val="-2"/>
                      <w:sz w:val="18"/>
                      <w:szCs w:val="18"/>
                    </w:rPr>
                    <w:t>46</w:t>
                  </w:r>
                </w:p>
              </w:tc>
              <w:tc>
                <w:tcPr>
                  <w:tcW w:w="455" w:type="pct"/>
                  <w:noWrap w:val="0"/>
                  <w:vAlign w:val="center"/>
                </w:tcPr>
                <w:p w14:paraId="7DC4D59E">
                  <w:pPr>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20</w:t>
                  </w:r>
                </w:p>
              </w:tc>
              <w:tc>
                <w:tcPr>
                  <w:tcW w:w="432" w:type="pct"/>
                  <w:noWrap w:val="0"/>
                  <w:vAlign w:val="center"/>
                </w:tcPr>
                <w:p w14:paraId="7F904941">
                  <w:pPr>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470" w:type="pct"/>
                  <w:noWrap w:val="0"/>
                  <w:vAlign w:val="center"/>
                </w:tcPr>
                <w:p w14:paraId="49063D11">
                  <w:pPr>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54</w:t>
                  </w:r>
                </w:p>
              </w:tc>
              <w:tc>
                <w:tcPr>
                  <w:tcW w:w="684" w:type="dxa"/>
                  <w:shd w:val="clear" w:color="auto" w:fill="auto"/>
                  <w:noWrap w:val="0"/>
                  <w:vAlign w:val="center"/>
                </w:tcPr>
                <w:p w14:paraId="5C11B91C">
                  <w:pPr>
                    <w:pStyle w:val="67"/>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pacing w:val="-2"/>
                      <w:sz w:val="18"/>
                      <w:szCs w:val="18"/>
                    </w:rPr>
                    <w:t>46</w:t>
                  </w:r>
                </w:p>
              </w:tc>
              <w:tc>
                <w:tcPr>
                  <w:tcW w:w="306" w:type="pct"/>
                  <w:noWrap w:val="0"/>
                  <w:vAlign w:val="center"/>
                </w:tcPr>
                <w:p w14:paraId="290EE4D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3"/>
                      <w:kern w:val="2"/>
                      <w:sz w:val="18"/>
                      <w:szCs w:val="18"/>
                      <w:highlight w:val="none"/>
                      <w:lang w:val="en-US" w:eastAsia="zh-CN" w:bidi="ar-SA"/>
                    </w:rPr>
                  </w:pPr>
                  <w:r>
                    <w:rPr>
                      <w:rFonts w:hint="eastAsia" w:cs="Times New Roman"/>
                      <w:color w:val="auto"/>
                      <w:spacing w:val="-3"/>
                      <w:kern w:val="2"/>
                      <w:sz w:val="18"/>
                      <w:szCs w:val="18"/>
                      <w:highlight w:val="none"/>
                      <w:lang w:val="en-US" w:eastAsia="zh-CN" w:bidi="ar-SA"/>
                    </w:rPr>
                    <w:t>65</w:t>
                  </w:r>
                </w:p>
              </w:tc>
              <w:tc>
                <w:tcPr>
                  <w:tcW w:w="291" w:type="pct"/>
                  <w:noWrap w:val="0"/>
                  <w:vAlign w:val="center"/>
                </w:tcPr>
                <w:p w14:paraId="749298F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2"/>
                      <w:kern w:val="2"/>
                      <w:sz w:val="18"/>
                      <w:szCs w:val="18"/>
                      <w:highlight w:val="none"/>
                      <w:lang w:val="en-US" w:eastAsia="zh-CN" w:bidi="ar-SA"/>
                    </w:rPr>
                  </w:pPr>
                  <w:r>
                    <w:rPr>
                      <w:rFonts w:hint="eastAsia" w:cs="Times New Roman"/>
                      <w:color w:val="auto"/>
                      <w:spacing w:val="-2"/>
                      <w:kern w:val="2"/>
                      <w:sz w:val="18"/>
                      <w:szCs w:val="18"/>
                      <w:highlight w:val="none"/>
                      <w:lang w:val="en-US" w:eastAsia="zh-CN" w:bidi="ar-SA"/>
                    </w:rPr>
                    <w:t>55</w:t>
                  </w:r>
                </w:p>
              </w:tc>
              <w:tc>
                <w:tcPr>
                  <w:tcW w:w="390" w:type="pct"/>
                  <w:noWrap w:val="0"/>
                  <w:vAlign w:val="center"/>
                </w:tcPr>
                <w:p w14:paraId="228578C4">
                  <w:pPr>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0</w:t>
                  </w:r>
                </w:p>
              </w:tc>
              <w:tc>
                <w:tcPr>
                  <w:tcW w:w="360" w:type="pct"/>
                  <w:noWrap w:val="0"/>
                  <w:vAlign w:val="center"/>
                </w:tcPr>
                <w:p w14:paraId="257CDF8C">
                  <w:pPr>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w:t>
                  </w:r>
                </w:p>
              </w:tc>
              <w:tc>
                <w:tcPr>
                  <w:tcW w:w="314" w:type="pct"/>
                  <w:noWrap w:val="0"/>
                  <w:vAlign w:val="center"/>
                </w:tcPr>
                <w:p w14:paraId="0C349BAB">
                  <w:pPr>
                    <w:widowControl/>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达标</w:t>
                  </w:r>
                </w:p>
              </w:tc>
            </w:tr>
            <w:tr w14:paraId="677949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3" w:hRule="atLeast"/>
                <w:jc w:val="center"/>
              </w:trPr>
              <w:tc>
                <w:tcPr>
                  <w:tcW w:w="308" w:type="pct"/>
                  <w:noWrap w:val="0"/>
                  <w:vAlign w:val="center"/>
                </w:tcPr>
                <w:p w14:paraId="029A5E91">
                  <w:pPr>
                    <w:ind w:left="0" w:leftChars="0" w:right="0" w:right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N2</w:t>
                  </w:r>
                </w:p>
              </w:tc>
              <w:tc>
                <w:tcPr>
                  <w:tcW w:w="486" w:type="pct"/>
                  <w:noWrap w:val="0"/>
                  <w:vAlign w:val="center"/>
                </w:tcPr>
                <w:p w14:paraId="1027E9B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18"/>
                      <w:szCs w:val="18"/>
                      <w:highlight w:val="none"/>
                      <w:lang w:val="zh-CN" w:eastAsia="zh-CN" w:bidi="ar-SA"/>
                    </w:rPr>
                  </w:pPr>
                  <w:r>
                    <w:rPr>
                      <w:rFonts w:hint="eastAsia" w:cs="Times New Roman"/>
                      <w:color w:val="auto"/>
                      <w:spacing w:val="2"/>
                      <w:sz w:val="18"/>
                      <w:szCs w:val="18"/>
                      <w:highlight w:val="none"/>
                      <w:lang w:val="en-US" w:eastAsia="zh-CN"/>
                    </w:rPr>
                    <w:t>南</w:t>
                  </w:r>
                  <w:r>
                    <w:rPr>
                      <w:rFonts w:hint="default" w:ascii="Times New Roman" w:hAnsi="Times New Roman" w:eastAsia="宋体" w:cs="Times New Roman"/>
                      <w:color w:val="auto"/>
                      <w:spacing w:val="2"/>
                      <w:sz w:val="18"/>
                      <w:szCs w:val="18"/>
                      <w:highlight w:val="none"/>
                    </w:rPr>
                    <w:t>厂界外1米</w:t>
                  </w:r>
                </w:p>
              </w:tc>
              <w:tc>
                <w:tcPr>
                  <w:tcW w:w="377" w:type="pct"/>
                  <w:noWrap w:val="0"/>
                  <w:vAlign w:val="center"/>
                </w:tcPr>
                <w:p w14:paraId="45EED905">
                  <w:pPr>
                    <w:pStyle w:val="67"/>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pacing w:val="-4"/>
                      <w:sz w:val="18"/>
                      <w:szCs w:val="18"/>
                    </w:rPr>
                    <w:t>57</w:t>
                  </w:r>
                </w:p>
              </w:tc>
              <w:tc>
                <w:tcPr>
                  <w:tcW w:w="386" w:type="pct"/>
                  <w:noWrap w:val="0"/>
                  <w:vAlign w:val="center"/>
                </w:tcPr>
                <w:p w14:paraId="464E531A">
                  <w:pPr>
                    <w:pStyle w:val="67"/>
                    <w:keepNext w:val="0"/>
                    <w:keepLines w:val="0"/>
                    <w:pageBreakBefore w:val="0"/>
                    <w:widowControl/>
                    <w:kinsoku w:val="0"/>
                    <w:wordWrap/>
                    <w:overflowPunct/>
                    <w:topLinePunct w:val="0"/>
                    <w:autoSpaceDE w:val="0"/>
                    <w:autoSpaceDN w:val="0"/>
                    <w:bidi w:val="0"/>
                    <w:adjustRightInd w:val="0"/>
                    <w:snapToGrid w:val="0"/>
                    <w:spacing w:line="241" w:lineRule="auto"/>
                    <w:ind w:left="0" w:leftChars="0" w:right="0" w:right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pacing w:val="-2"/>
                      <w:sz w:val="18"/>
                      <w:szCs w:val="18"/>
                    </w:rPr>
                    <w:t>42</w:t>
                  </w:r>
                </w:p>
              </w:tc>
              <w:tc>
                <w:tcPr>
                  <w:tcW w:w="455" w:type="pct"/>
                  <w:noWrap w:val="0"/>
                  <w:vAlign w:val="center"/>
                </w:tcPr>
                <w:p w14:paraId="077D4746">
                  <w:pPr>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36</w:t>
                  </w:r>
                </w:p>
              </w:tc>
              <w:tc>
                <w:tcPr>
                  <w:tcW w:w="432" w:type="pct"/>
                  <w:noWrap w:val="0"/>
                  <w:vAlign w:val="center"/>
                </w:tcPr>
                <w:p w14:paraId="225935C6">
                  <w:pPr>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470" w:type="pct"/>
                  <w:shd w:val="clear" w:color="auto" w:fill="auto"/>
                  <w:noWrap w:val="0"/>
                  <w:vAlign w:val="center"/>
                </w:tcPr>
                <w:p w14:paraId="638AE6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3"/>
                      <w:kern w:val="2"/>
                      <w:sz w:val="18"/>
                      <w:szCs w:val="18"/>
                      <w:highlight w:val="none"/>
                      <w:lang w:val="en-US" w:eastAsia="zh-CN" w:bidi="ar-SA"/>
                    </w:rPr>
                  </w:pPr>
                  <w:r>
                    <w:rPr>
                      <w:rFonts w:hint="eastAsia" w:cs="Times New Roman"/>
                      <w:color w:val="auto"/>
                      <w:spacing w:val="-3"/>
                      <w:kern w:val="2"/>
                      <w:sz w:val="18"/>
                      <w:szCs w:val="18"/>
                      <w:highlight w:val="none"/>
                      <w:lang w:val="en-US" w:eastAsia="zh-CN" w:bidi="ar-SA"/>
                    </w:rPr>
                    <w:t>57.03</w:t>
                  </w:r>
                </w:p>
              </w:tc>
              <w:tc>
                <w:tcPr>
                  <w:tcW w:w="684" w:type="dxa"/>
                  <w:shd w:val="clear" w:color="auto" w:fill="auto"/>
                  <w:noWrap w:val="0"/>
                  <w:vAlign w:val="center"/>
                </w:tcPr>
                <w:p w14:paraId="414101CD">
                  <w:pPr>
                    <w:pStyle w:val="67"/>
                    <w:keepNext w:val="0"/>
                    <w:keepLines w:val="0"/>
                    <w:pageBreakBefore w:val="0"/>
                    <w:widowControl/>
                    <w:kinsoku w:val="0"/>
                    <w:wordWrap/>
                    <w:overflowPunct/>
                    <w:topLinePunct w:val="0"/>
                    <w:autoSpaceDE w:val="0"/>
                    <w:autoSpaceDN w:val="0"/>
                    <w:bidi w:val="0"/>
                    <w:adjustRightInd w:val="0"/>
                    <w:snapToGrid w:val="0"/>
                    <w:spacing w:line="241" w:lineRule="auto"/>
                    <w:ind w:left="0" w:leftChars="0" w:right="0" w:right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pacing w:val="-2"/>
                      <w:sz w:val="18"/>
                      <w:szCs w:val="18"/>
                    </w:rPr>
                    <w:t>42</w:t>
                  </w:r>
                </w:p>
              </w:tc>
              <w:tc>
                <w:tcPr>
                  <w:tcW w:w="306" w:type="pct"/>
                  <w:noWrap w:val="0"/>
                  <w:vAlign w:val="center"/>
                </w:tcPr>
                <w:p w14:paraId="0AA52F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3"/>
                      <w:kern w:val="2"/>
                      <w:sz w:val="18"/>
                      <w:szCs w:val="18"/>
                      <w:highlight w:val="none"/>
                      <w:lang w:val="en-US" w:eastAsia="zh-CN" w:bidi="ar-SA"/>
                    </w:rPr>
                  </w:pPr>
                  <w:r>
                    <w:rPr>
                      <w:rFonts w:hint="eastAsia" w:cs="Times New Roman"/>
                      <w:color w:val="auto"/>
                      <w:spacing w:val="-3"/>
                      <w:kern w:val="2"/>
                      <w:sz w:val="18"/>
                      <w:szCs w:val="18"/>
                      <w:highlight w:val="none"/>
                      <w:lang w:val="en-US" w:eastAsia="zh-CN" w:bidi="ar-SA"/>
                    </w:rPr>
                    <w:t>65</w:t>
                  </w:r>
                </w:p>
              </w:tc>
              <w:tc>
                <w:tcPr>
                  <w:tcW w:w="291" w:type="pct"/>
                  <w:noWrap w:val="0"/>
                  <w:vAlign w:val="center"/>
                </w:tcPr>
                <w:p w14:paraId="01D901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2"/>
                      <w:kern w:val="2"/>
                      <w:sz w:val="18"/>
                      <w:szCs w:val="18"/>
                      <w:highlight w:val="none"/>
                      <w:lang w:val="en-US" w:eastAsia="zh-CN" w:bidi="ar-SA"/>
                    </w:rPr>
                  </w:pPr>
                  <w:r>
                    <w:rPr>
                      <w:rFonts w:hint="eastAsia" w:cs="Times New Roman"/>
                      <w:color w:val="auto"/>
                      <w:spacing w:val="-2"/>
                      <w:kern w:val="2"/>
                      <w:sz w:val="18"/>
                      <w:szCs w:val="18"/>
                      <w:highlight w:val="none"/>
                      <w:lang w:val="en-US" w:eastAsia="zh-CN" w:bidi="ar-SA"/>
                    </w:rPr>
                    <w:t>55</w:t>
                  </w:r>
                </w:p>
              </w:tc>
              <w:tc>
                <w:tcPr>
                  <w:tcW w:w="390" w:type="pct"/>
                  <w:noWrap w:val="0"/>
                  <w:vAlign w:val="center"/>
                </w:tcPr>
                <w:p w14:paraId="159A6F9D">
                  <w:pPr>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w:t>
                  </w:r>
                  <w:r>
                    <w:rPr>
                      <w:rFonts w:hint="eastAsia" w:cs="Times New Roman"/>
                      <w:color w:val="auto"/>
                      <w:kern w:val="2"/>
                      <w:sz w:val="18"/>
                      <w:szCs w:val="18"/>
                      <w:highlight w:val="none"/>
                      <w:lang w:val="en-US" w:eastAsia="zh-CN" w:bidi="ar-SA"/>
                    </w:rPr>
                    <w:t>03</w:t>
                  </w:r>
                </w:p>
              </w:tc>
              <w:tc>
                <w:tcPr>
                  <w:tcW w:w="360" w:type="pct"/>
                  <w:noWrap w:val="0"/>
                  <w:vAlign w:val="center"/>
                </w:tcPr>
                <w:p w14:paraId="0F866B50">
                  <w:pPr>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w:t>
                  </w:r>
                </w:p>
              </w:tc>
              <w:tc>
                <w:tcPr>
                  <w:tcW w:w="314" w:type="pct"/>
                  <w:noWrap w:val="0"/>
                  <w:vAlign w:val="center"/>
                </w:tcPr>
                <w:p w14:paraId="622E55B9">
                  <w:pPr>
                    <w:widowControl/>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达标</w:t>
                  </w:r>
                </w:p>
              </w:tc>
            </w:tr>
            <w:tr w14:paraId="220486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3" w:hRule="atLeast"/>
                <w:jc w:val="center"/>
              </w:trPr>
              <w:tc>
                <w:tcPr>
                  <w:tcW w:w="308" w:type="pct"/>
                  <w:noWrap w:val="0"/>
                  <w:vAlign w:val="center"/>
                </w:tcPr>
                <w:p w14:paraId="6205F654">
                  <w:pPr>
                    <w:ind w:left="0" w:leftChars="0" w:right="0" w:right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N3</w:t>
                  </w:r>
                </w:p>
              </w:tc>
              <w:tc>
                <w:tcPr>
                  <w:tcW w:w="486" w:type="pct"/>
                  <w:noWrap w:val="0"/>
                  <w:vAlign w:val="center"/>
                </w:tcPr>
                <w:p w14:paraId="1BABE6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18"/>
                      <w:szCs w:val="18"/>
                      <w:highlight w:val="none"/>
                      <w:lang w:val="zh-CN" w:eastAsia="zh-CN" w:bidi="ar-SA"/>
                    </w:rPr>
                  </w:pPr>
                  <w:r>
                    <w:rPr>
                      <w:rFonts w:hint="eastAsia" w:cs="Times New Roman"/>
                      <w:color w:val="auto"/>
                      <w:spacing w:val="2"/>
                      <w:sz w:val="18"/>
                      <w:szCs w:val="18"/>
                      <w:highlight w:val="none"/>
                      <w:lang w:val="en-US" w:eastAsia="zh-CN"/>
                    </w:rPr>
                    <w:t>西</w:t>
                  </w:r>
                  <w:r>
                    <w:rPr>
                      <w:rFonts w:hint="default" w:ascii="Times New Roman" w:hAnsi="Times New Roman" w:eastAsia="宋体" w:cs="Times New Roman"/>
                      <w:color w:val="auto"/>
                      <w:spacing w:val="2"/>
                      <w:sz w:val="18"/>
                      <w:szCs w:val="18"/>
                      <w:highlight w:val="none"/>
                    </w:rPr>
                    <w:t>厂界外1米</w:t>
                  </w:r>
                </w:p>
              </w:tc>
              <w:tc>
                <w:tcPr>
                  <w:tcW w:w="377" w:type="pct"/>
                  <w:noWrap w:val="0"/>
                  <w:vAlign w:val="center"/>
                </w:tcPr>
                <w:p w14:paraId="3F71D238">
                  <w:pPr>
                    <w:pStyle w:val="67"/>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pacing w:val="-4"/>
                      <w:sz w:val="18"/>
                      <w:szCs w:val="18"/>
                    </w:rPr>
                    <w:t>55</w:t>
                  </w:r>
                </w:p>
              </w:tc>
              <w:tc>
                <w:tcPr>
                  <w:tcW w:w="386" w:type="pct"/>
                  <w:noWrap w:val="0"/>
                  <w:vAlign w:val="center"/>
                </w:tcPr>
                <w:p w14:paraId="43B19E95">
                  <w:pPr>
                    <w:pStyle w:val="67"/>
                    <w:keepNext w:val="0"/>
                    <w:keepLines w:val="0"/>
                    <w:pageBreakBefore w:val="0"/>
                    <w:widowControl/>
                    <w:kinsoku w:val="0"/>
                    <w:wordWrap/>
                    <w:overflowPunct/>
                    <w:topLinePunct w:val="0"/>
                    <w:autoSpaceDE w:val="0"/>
                    <w:autoSpaceDN w:val="0"/>
                    <w:bidi w:val="0"/>
                    <w:adjustRightInd w:val="0"/>
                    <w:snapToGrid w:val="0"/>
                    <w:spacing w:line="241" w:lineRule="auto"/>
                    <w:ind w:left="0" w:leftChars="0" w:right="0" w:right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pacing w:val="-2"/>
                      <w:sz w:val="18"/>
                      <w:szCs w:val="18"/>
                    </w:rPr>
                    <w:t>44</w:t>
                  </w:r>
                </w:p>
              </w:tc>
              <w:tc>
                <w:tcPr>
                  <w:tcW w:w="455" w:type="pct"/>
                  <w:noWrap w:val="0"/>
                  <w:vAlign w:val="center"/>
                </w:tcPr>
                <w:p w14:paraId="01B2F39E">
                  <w:pPr>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46</w:t>
                  </w:r>
                </w:p>
              </w:tc>
              <w:tc>
                <w:tcPr>
                  <w:tcW w:w="432" w:type="pct"/>
                  <w:noWrap w:val="0"/>
                  <w:vAlign w:val="center"/>
                </w:tcPr>
                <w:p w14:paraId="2D563290">
                  <w:pPr>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470" w:type="pct"/>
                  <w:noWrap w:val="0"/>
                  <w:vAlign w:val="center"/>
                </w:tcPr>
                <w:p w14:paraId="7D710D6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55.51</w:t>
                  </w:r>
                </w:p>
              </w:tc>
              <w:tc>
                <w:tcPr>
                  <w:tcW w:w="684" w:type="dxa"/>
                  <w:shd w:val="clear" w:color="auto" w:fill="auto"/>
                  <w:noWrap w:val="0"/>
                  <w:vAlign w:val="center"/>
                </w:tcPr>
                <w:p w14:paraId="2BA91B76">
                  <w:pPr>
                    <w:pStyle w:val="67"/>
                    <w:keepNext w:val="0"/>
                    <w:keepLines w:val="0"/>
                    <w:pageBreakBefore w:val="0"/>
                    <w:widowControl/>
                    <w:kinsoku w:val="0"/>
                    <w:wordWrap/>
                    <w:overflowPunct/>
                    <w:topLinePunct w:val="0"/>
                    <w:autoSpaceDE w:val="0"/>
                    <w:autoSpaceDN w:val="0"/>
                    <w:bidi w:val="0"/>
                    <w:adjustRightInd w:val="0"/>
                    <w:snapToGrid w:val="0"/>
                    <w:spacing w:line="241" w:lineRule="auto"/>
                    <w:ind w:left="0" w:leftChars="0" w:right="0" w:right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pacing w:val="-2"/>
                      <w:sz w:val="18"/>
                      <w:szCs w:val="18"/>
                    </w:rPr>
                    <w:t>44</w:t>
                  </w:r>
                </w:p>
              </w:tc>
              <w:tc>
                <w:tcPr>
                  <w:tcW w:w="306" w:type="pct"/>
                  <w:noWrap w:val="0"/>
                  <w:vAlign w:val="center"/>
                </w:tcPr>
                <w:p w14:paraId="12B162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3"/>
                      <w:kern w:val="2"/>
                      <w:sz w:val="18"/>
                      <w:szCs w:val="18"/>
                      <w:highlight w:val="none"/>
                      <w:lang w:val="en-US" w:eastAsia="zh-CN" w:bidi="ar-SA"/>
                    </w:rPr>
                  </w:pPr>
                  <w:r>
                    <w:rPr>
                      <w:rFonts w:hint="eastAsia" w:cs="Times New Roman"/>
                      <w:color w:val="auto"/>
                      <w:spacing w:val="-3"/>
                      <w:kern w:val="2"/>
                      <w:sz w:val="18"/>
                      <w:szCs w:val="18"/>
                      <w:highlight w:val="none"/>
                      <w:lang w:val="en-US" w:eastAsia="zh-CN" w:bidi="ar-SA"/>
                    </w:rPr>
                    <w:t>65</w:t>
                  </w:r>
                </w:p>
              </w:tc>
              <w:tc>
                <w:tcPr>
                  <w:tcW w:w="291" w:type="pct"/>
                  <w:noWrap w:val="0"/>
                  <w:vAlign w:val="center"/>
                </w:tcPr>
                <w:p w14:paraId="5C973D1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2"/>
                      <w:kern w:val="2"/>
                      <w:sz w:val="18"/>
                      <w:szCs w:val="18"/>
                      <w:highlight w:val="none"/>
                      <w:lang w:val="en-US" w:eastAsia="zh-CN" w:bidi="ar-SA"/>
                    </w:rPr>
                  </w:pPr>
                  <w:r>
                    <w:rPr>
                      <w:rFonts w:hint="eastAsia" w:cs="Times New Roman"/>
                      <w:color w:val="auto"/>
                      <w:spacing w:val="-2"/>
                      <w:kern w:val="2"/>
                      <w:sz w:val="18"/>
                      <w:szCs w:val="18"/>
                      <w:highlight w:val="none"/>
                      <w:lang w:val="en-US" w:eastAsia="zh-CN" w:bidi="ar-SA"/>
                    </w:rPr>
                    <w:t>55</w:t>
                  </w:r>
                </w:p>
              </w:tc>
              <w:tc>
                <w:tcPr>
                  <w:tcW w:w="390" w:type="pct"/>
                  <w:noWrap w:val="0"/>
                  <w:vAlign w:val="center"/>
                </w:tcPr>
                <w:p w14:paraId="2B6A0F15">
                  <w:pPr>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w:t>
                  </w:r>
                  <w:r>
                    <w:rPr>
                      <w:rFonts w:hint="eastAsia" w:cs="Times New Roman"/>
                      <w:color w:val="auto"/>
                      <w:kern w:val="2"/>
                      <w:sz w:val="18"/>
                      <w:szCs w:val="18"/>
                      <w:highlight w:val="none"/>
                      <w:lang w:val="en-US" w:eastAsia="zh-CN" w:bidi="ar-SA"/>
                    </w:rPr>
                    <w:t>51</w:t>
                  </w:r>
                </w:p>
              </w:tc>
              <w:tc>
                <w:tcPr>
                  <w:tcW w:w="360" w:type="pct"/>
                  <w:noWrap w:val="0"/>
                  <w:vAlign w:val="center"/>
                </w:tcPr>
                <w:p w14:paraId="311D7B0D">
                  <w:pPr>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w:t>
                  </w:r>
                </w:p>
              </w:tc>
              <w:tc>
                <w:tcPr>
                  <w:tcW w:w="314" w:type="pct"/>
                  <w:noWrap w:val="0"/>
                  <w:vAlign w:val="center"/>
                </w:tcPr>
                <w:p w14:paraId="26BEDA95">
                  <w:pPr>
                    <w:widowControl/>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达标</w:t>
                  </w:r>
                </w:p>
              </w:tc>
            </w:tr>
            <w:tr w14:paraId="558360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4" w:hRule="atLeast"/>
                <w:jc w:val="center"/>
              </w:trPr>
              <w:tc>
                <w:tcPr>
                  <w:tcW w:w="308" w:type="pct"/>
                  <w:noWrap w:val="0"/>
                  <w:vAlign w:val="center"/>
                </w:tcPr>
                <w:p w14:paraId="38FFFDCE">
                  <w:pPr>
                    <w:ind w:left="0" w:leftChars="0" w:right="0" w:rightChars="0"/>
                    <w:jc w:val="center"/>
                    <w:rPr>
                      <w:rFonts w:hint="default" w:ascii="Times New Roman" w:hAnsi="Times New Roman" w:eastAsia="宋体"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N4</w:t>
                  </w:r>
                </w:p>
              </w:tc>
              <w:tc>
                <w:tcPr>
                  <w:tcW w:w="486" w:type="pct"/>
                  <w:noWrap w:val="0"/>
                  <w:vAlign w:val="center"/>
                </w:tcPr>
                <w:p w14:paraId="599156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2"/>
                      <w:sz w:val="18"/>
                      <w:szCs w:val="18"/>
                      <w:highlight w:val="none"/>
                      <w:lang w:val="zh-CN" w:eastAsia="zh-CN" w:bidi="ar-SA"/>
                    </w:rPr>
                  </w:pPr>
                  <w:r>
                    <w:rPr>
                      <w:rFonts w:hint="eastAsia" w:cs="Times New Roman"/>
                      <w:color w:val="auto"/>
                      <w:spacing w:val="2"/>
                      <w:sz w:val="18"/>
                      <w:szCs w:val="18"/>
                      <w:highlight w:val="none"/>
                      <w:lang w:val="en-US" w:eastAsia="zh-CN"/>
                    </w:rPr>
                    <w:t>北</w:t>
                  </w:r>
                  <w:r>
                    <w:rPr>
                      <w:rFonts w:hint="default" w:ascii="Times New Roman" w:hAnsi="Times New Roman" w:eastAsia="宋体" w:cs="Times New Roman"/>
                      <w:color w:val="auto"/>
                      <w:spacing w:val="2"/>
                      <w:sz w:val="18"/>
                      <w:szCs w:val="18"/>
                      <w:highlight w:val="none"/>
                    </w:rPr>
                    <w:t>厂界外1米</w:t>
                  </w:r>
                </w:p>
              </w:tc>
              <w:tc>
                <w:tcPr>
                  <w:tcW w:w="377" w:type="pct"/>
                  <w:noWrap w:val="0"/>
                  <w:vAlign w:val="center"/>
                </w:tcPr>
                <w:p w14:paraId="3C515A20">
                  <w:pPr>
                    <w:pStyle w:val="67"/>
                    <w:keepNext w:val="0"/>
                    <w:keepLines w:val="0"/>
                    <w:pageBreakBefore w:val="0"/>
                    <w:widowControl/>
                    <w:kinsoku w:val="0"/>
                    <w:wordWrap/>
                    <w:overflowPunct/>
                    <w:topLinePunct w:val="0"/>
                    <w:autoSpaceDE w:val="0"/>
                    <w:autoSpaceDN w:val="0"/>
                    <w:bidi w:val="0"/>
                    <w:adjustRightInd w:val="0"/>
                    <w:snapToGrid w:val="0"/>
                    <w:ind w:left="0" w:leftChars="0" w:right="0" w:right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pacing w:val="-4"/>
                      <w:sz w:val="18"/>
                      <w:szCs w:val="18"/>
                    </w:rPr>
                    <w:t>56</w:t>
                  </w:r>
                </w:p>
              </w:tc>
              <w:tc>
                <w:tcPr>
                  <w:tcW w:w="386" w:type="pct"/>
                  <w:noWrap w:val="0"/>
                  <w:vAlign w:val="center"/>
                </w:tcPr>
                <w:p w14:paraId="79F62E6A">
                  <w:pPr>
                    <w:pStyle w:val="67"/>
                    <w:keepNext w:val="0"/>
                    <w:keepLines w:val="0"/>
                    <w:pageBreakBefore w:val="0"/>
                    <w:widowControl/>
                    <w:kinsoku w:val="0"/>
                    <w:wordWrap/>
                    <w:overflowPunct/>
                    <w:topLinePunct w:val="0"/>
                    <w:autoSpaceDE w:val="0"/>
                    <w:autoSpaceDN w:val="0"/>
                    <w:bidi w:val="0"/>
                    <w:adjustRightInd w:val="0"/>
                    <w:snapToGrid w:val="0"/>
                    <w:spacing w:line="241" w:lineRule="auto"/>
                    <w:ind w:left="0" w:leftChars="0" w:right="0" w:right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pacing w:val="-2"/>
                      <w:sz w:val="18"/>
                      <w:szCs w:val="18"/>
                    </w:rPr>
                    <w:t>44</w:t>
                  </w:r>
                </w:p>
              </w:tc>
              <w:tc>
                <w:tcPr>
                  <w:tcW w:w="455" w:type="pct"/>
                  <w:noWrap w:val="0"/>
                  <w:vAlign w:val="center"/>
                </w:tcPr>
                <w:p w14:paraId="3C034AFC">
                  <w:pPr>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33</w:t>
                  </w:r>
                </w:p>
              </w:tc>
              <w:tc>
                <w:tcPr>
                  <w:tcW w:w="432" w:type="pct"/>
                  <w:noWrap w:val="0"/>
                  <w:vAlign w:val="center"/>
                </w:tcPr>
                <w:p w14:paraId="4EF9BDC2">
                  <w:pPr>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w:t>
                  </w:r>
                </w:p>
              </w:tc>
              <w:tc>
                <w:tcPr>
                  <w:tcW w:w="470" w:type="pct"/>
                  <w:noWrap w:val="0"/>
                  <w:vAlign w:val="center"/>
                </w:tcPr>
                <w:p w14:paraId="10127EF6">
                  <w:pPr>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56.02</w:t>
                  </w:r>
                </w:p>
              </w:tc>
              <w:tc>
                <w:tcPr>
                  <w:tcW w:w="684" w:type="dxa"/>
                  <w:shd w:val="clear" w:color="auto" w:fill="auto"/>
                  <w:noWrap w:val="0"/>
                  <w:vAlign w:val="center"/>
                </w:tcPr>
                <w:p w14:paraId="6C485C0C">
                  <w:pPr>
                    <w:pStyle w:val="67"/>
                    <w:keepNext w:val="0"/>
                    <w:keepLines w:val="0"/>
                    <w:pageBreakBefore w:val="0"/>
                    <w:widowControl/>
                    <w:kinsoku w:val="0"/>
                    <w:wordWrap/>
                    <w:overflowPunct/>
                    <w:topLinePunct w:val="0"/>
                    <w:autoSpaceDE w:val="0"/>
                    <w:autoSpaceDN w:val="0"/>
                    <w:bidi w:val="0"/>
                    <w:adjustRightInd w:val="0"/>
                    <w:snapToGrid w:val="0"/>
                    <w:spacing w:line="241" w:lineRule="auto"/>
                    <w:ind w:left="0" w:leftChars="0" w:right="0" w:rightChars="0"/>
                    <w:jc w:val="center"/>
                    <w:textAlignment w:val="baseline"/>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pacing w:val="-2"/>
                      <w:sz w:val="18"/>
                      <w:szCs w:val="18"/>
                    </w:rPr>
                    <w:t>44</w:t>
                  </w:r>
                </w:p>
              </w:tc>
              <w:tc>
                <w:tcPr>
                  <w:tcW w:w="306" w:type="pct"/>
                  <w:noWrap w:val="0"/>
                  <w:vAlign w:val="center"/>
                </w:tcPr>
                <w:p w14:paraId="55F563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3"/>
                      <w:kern w:val="2"/>
                      <w:sz w:val="18"/>
                      <w:szCs w:val="18"/>
                      <w:highlight w:val="none"/>
                      <w:lang w:val="en-US" w:eastAsia="zh-CN" w:bidi="ar-SA"/>
                    </w:rPr>
                  </w:pPr>
                  <w:r>
                    <w:rPr>
                      <w:rFonts w:hint="eastAsia" w:cs="Times New Roman"/>
                      <w:color w:val="auto"/>
                      <w:spacing w:val="-3"/>
                      <w:kern w:val="2"/>
                      <w:sz w:val="18"/>
                      <w:szCs w:val="18"/>
                      <w:highlight w:val="none"/>
                      <w:lang w:val="en-US" w:eastAsia="zh-CN" w:bidi="ar-SA"/>
                    </w:rPr>
                    <w:t>65</w:t>
                  </w:r>
                </w:p>
              </w:tc>
              <w:tc>
                <w:tcPr>
                  <w:tcW w:w="291" w:type="pct"/>
                  <w:noWrap w:val="0"/>
                  <w:vAlign w:val="center"/>
                </w:tcPr>
                <w:p w14:paraId="2E7B4C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pacing w:val="-2"/>
                      <w:kern w:val="2"/>
                      <w:sz w:val="18"/>
                      <w:szCs w:val="18"/>
                      <w:highlight w:val="none"/>
                      <w:lang w:val="en-US" w:eastAsia="zh-CN" w:bidi="ar-SA"/>
                    </w:rPr>
                  </w:pPr>
                  <w:r>
                    <w:rPr>
                      <w:rFonts w:hint="eastAsia" w:cs="Times New Roman"/>
                      <w:color w:val="auto"/>
                      <w:spacing w:val="-2"/>
                      <w:kern w:val="2"/>
                      <w:sz w:val="18"/>
                      <w:szCs w:val="18"/>
                      <w:highlight w:val="none"/>
                      <w:lang w:val="en-US" w:eastAsia="zh-CN" w:bidi="ar-SA"/>
                    </w:rPr>
                    <w:t>55</w:t>
                  </w:r>
                </w:p>
              </w:tc>
              <w:tc>
                <w:tcPr>
                  <w:tcW w:w="390" w:type="pct"/>
                  <w:noWrap w:val="0"/>
                  <w:vAlign w:val="center"/>
                </w:tcPr>
                <w:p w14:paraId="5AACACEA">
                  <w:pPr>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w:t>
                  </w:r>
                  <w:r>
                    <w:rPr>
                      <w:rFonts w:hint="eastAsia" w:cs="Times New Roman"/>
                      <w:color w:val="auto"/>
                      <w:kern w:val="2"/>
                      <w:sz w:val="18"/>
                      <w:szCs w:val="18"/>
                      <w:highlight w:val="none"/>
                      <w:lang w:val="en-US" w:eastAsia="zh-CN" w:bidi="ar-SA"/>
                    </w:rPr>
                    <w:t>.02</w:t>
                  </w:r>
                </w:p>
              </w:tc>
              <w:tc>
                <w:tcPr>
                  <w:tcW w:w="360" w:type="pct"/>
                  <w:noWrap w:val="0"/>
                  <w:vAlign w:val="center"/>
                </w:tcPr>
                <w:p w14:paraId="1D4F5A50">
                  <w:pPr>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0</w:t>
                  </w:r>
                </w:p>
              </w:tc>
              <w:tc>
                <w:tcPr>
                  <w:tcW w:w="314" w:type="pct"/>
                  <w:noWrap w:val="0"/>
                  <w:vAlign w:val="center"/>
                </w:tcPr>
                <w:p w14:paraId="5349DB2F">
                  <w:pPr>
                    <w:widowControl/>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达标</w:t>
                  </w:r>
                </w:p>
              </w:tc>
            </w:tr>
          </w:tbl>
          <w:p w14:paraId="00E74183">
            <w:pPr>
              <w:pageBreakBefore w:val="0"/>
              <w:widowControl w:val="0"/>
              <w:numPr>
                <w:ilvl w:val="0"/>
                <w:numId w:val="0"/>
              </w:numPr>
              <w:kinsoku/>
              <w:wordWrap/>
              <w:overflowPunct/>
              <w:topLinePunct w:val="0"/>
              <w:autoSpaceDE/>
              <w:autoSpaceDN/>
              <w:bidi w:val="0"/>
              <w:adjustRightInd/>
              <w:snapToGrid w:val="0"/>
              <w:spacing w:line="360" w:lineRule="auto"/>
              <w:ind w:right="0" w:rightChars="0" w:firstLine="420" w:firstLineChars="200"/>
              <w:jc w:val="both"/>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由上表可知，运营期项目厂界能够满足《工业企业厂界环境噪声排放标准》（GB12348-2008）中</w:t>
            </w:r>
            <w:r>
              <w:rPr>
                <w:rFonts w:hint="default" w:ascii="Times New Roman" w:hAnsi="Times New Roman" w:cs="Times New Roman"/>
                <w:color w:val="auto"/>
                <w:kern w:val="0"/>
                <w:sz w:val="21"/>
                <w:szCs w:val="21"/>
                <w:highlight w:val="none"/>
                <w:u w:val="none"/>
                <w:lang w:val="en-US" w:eastAsia="zh-CN"/>
              </w:rPr>
              <w:t>3类</w:t>
            </w:r>
            <w:r>
              <w:rPr>
                <w:rFonts w:hint="default" w:ascii="Times New Roman" w:hAnsi="Times New Roman" w:cs="Times New Roman"/>
                <w:color w:val="auto"/>
                <w:kern w:val="0"/>
                <w:sz w:val="21"/>
                <w:szCs w:val="21"/>
                <w:highlight w:val="none"/>
                <w:lang w:val="en-US" w:eastAsia="zh-CN"/>
              </w:rPr>
              <w:t>标准限值，达标排放。综上，项目的建设对周边声环境影响很小。</w:t>
            </w:r>
          </w:p>
          <w:p w14:paraId="6D8DB0E4">
            <w:pPr>
              <w:pStyle w:val="4"/>
              <w:bidi w:val="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4、噪声</w:t>
            </w:r>
            <w:r>
              <w:rPr>
                <w:rFonts w:hint="default" w:ascii="Times New Roman" w:hAnsi="Times New Roman" w:cs="Times New Roman"/>
                <w:color w:val="auto"/>
                <w:lang w:eastAsia="zh-CN"/>
              </w:rPr>
              <w:t>监测计划</w:t>
            </w:r>
          </w:p>
          <w:p w14:paraId="08381D4F">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w:t>
            </w:r>
            <w:r>
              <w:rPr>
                <w:rFonts w:hint="eastAsia" w:cs="Times New Roman"/>
                <w:color w:val="auto"/>
                <w:sz w:val="21"/>
                <w:szCs w:val="21"/>
                <w:lang w:eastAsia="zh-CN"/>
              </w:rPr>
              <w:t>排污单位自行监测技术指南 涂装</w:t>
            </w:r>
            <w:r>
              <w:rPr>
                <w:rFonts w:hint="default" w:ascii="Times New Roman" w:hAnsi="Times New Roman" w:cs="Times New Roman"/>
                <w:color w:val="auto"/>
                <w:sz w:val="21"/>
                <w:szCs w:val="21"/>
                <w:u w:val="none"/>
              </w:rPr>
              <w:t>》（</w:t>
            </w:r>
            <w:r>
              <w:rPr>
                <w:rFonts w:hint="eastAsia" w:cs="Times New Roman"/>
                <w:color w:val="auto"/>
                <w:sz w:val="21"/>
                <w:szCs w:val="21"/>
                <w:u w:val="none"/>
                <w:lang w:eastAsia="zh-CN"/>
              </w:rPr>
              <w:t>HJ 1086-2020</w:t>
            </w:r>
            <w:r>
              <w:rPr>
                <w:rFonts w:hint="default" w:ascii="Times New Roman" w:hAnsi="Times New Roman" w:cs="Times New Roman"/>
                <w:color w:val="auto"/>
                <w:sz w:val="21"/>
                <w:szCs w:val="21"/>
                <w:u w:val="none"/>
              </w:rPr>
              <w:t>）</w:t>
            </w:r>
            <w:r>
              <w:rPr>
                <w:rFonts w:hint="default" w:ascii="Times New Roman" w:hAnsi="Times New Roman" w:cs="Times New Roman"/>
                <w:color w:val="auto"/>
                <w:sz w:val="21"/>
                <w:szCs w:val="21"/>
              </w:rPr>
              <w:t>，厂界噪声最低监测频次为季度，厂界噪声监测频次为一季度开展一次。</w:t>
            </w:r>
          </w:p>
          <w:p w14:paraId="6E0A31B0">
            <w:pPr>
              <w:spacing w:line="240" w:lineRule="auto"/>
              <w:ind w:firstLine="422" w:firstLineChars="20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表4-</w:t>
            </w:r>
            <w:r>
              <w:rPr>
                <w:rFonts w:hint="eastAsia" w:cs="Times New Roman"/>
                <w:b/>
                <w:bCs/>
                <w:color w:val="auto"/>
                <w:kern w:val="0"/>
                <w:sz w:val="21"/>
                <w:szCs w:val="21"/>
                <w:lang w:val="en-US" w:eastAsia="zh-CN"/>
              </w:rPr>
              <w:t>16</w:t>
            </w:r>
            <w:r>
              <w:rPr>
                <w:rFonts w:hint="default" w:ascii="Times New Roman" w:hAnsi="Times New Roman" w:cs="Times New Roman"/>
                <w:b/>
                <w:bCs/>
                <w:color w:val="auto"/>
                <w:kern w:val="0"/>
                <w:sz w:val="21"/>
                <w:szCs w:val="21"/>
              </w:rPr>
              <w:t xml:space="preserve"> </w:t>
            </w:r>
            <w:r>
              <w:rPr>
                <w:rFonts w:hint="default" w:ascii="Times New Roman" w:hAnsi="Times New Roman" w:eastAsia="宋体" w:cs="Times New Roman"/>
                <w:b/>
                <w:bCs/>
                <w:snapToGrid w:val="0"/>
                <w:color w:val="auto"/>
                <w:sz w:val="21"/>
                <w:szCs w:val="21"/>
                <w:lang w:eastAsia="zh-CN"/>
              </w:rPr>
              <w:t>本项目</w:t>
            </w:r>
            <w:r>
              <w:rPr>
                <w:rFonts w:hint="default" w:ascii="Times New Roman" w:hAnsi="Times New Roman" w:cs="Times New Roman"/>
                <w:b/>
                <w:bCs/>
                <w:color w:val="auto"/>
                <w:kern w:val="0"/>
                <w:sz w:val="21"/>
                <w:szCs w:val="21"/>
              </w:rPr>
              <w:t>噪声监测计划</w:t>
            </w:r>
          </w:p>
          <w:tbl>
            <w:tblPr>
              <w:tblStyle w:val="20"/>
              <w:tblW w:w="811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37"/>
              <w:gridCol w:w="1657"/>
              <w:gridCol w:w="2108"/>
              <w:gridCol w:w="1708"/>
              <w:gridCol w:w="1708"/>
            </w:tblGrid>
            <w:tr w14:paraId="51CDC4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39" w:hRule="atLeast"/>
              </w:trPr>
              <w:tc>
                <w:tcPr>
                  <w:tcW w:w="937" w:type="dxa"/>
                  <w:noWrap w:val="0"/>
                  <w:vAlign w:val="center"/>
                </w:tcPr>
                <w:p w14:paraId="7299F89D">
                  <w:pPr>
                    <w:ind w:right="6"/>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类别</w:t>
                  </w:r>
                </w:p>
              </w:tc>
              <w:tc>
                <w:tcPr>
                  <w:tcW w:w="1657" w:type="dxa"/>
                  <w:noWrap w:val="0"/>
                  <w:vAlign w:val="center"/>
                </w:tcPr>
                <w:p w14:paraId="749F96D6">
                  <w:pPr>
                    <w:ind w:right="6"/>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监测位置</w:t>
                  </w:r>
                </w:p>
              </w:tc>
              <w:tc>
                <w:tcPr>
                  <w:tcW w:w="2108" w:type="dxa"/>
                  <w:noWrap w:val="0"/>
                  <w:vAlign w:val="center"/>
                </w:tcPr>
                <w:p w14:paraId="4651C83B">
                  <w:pPr>
                    <w:ind w:right="6"/>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监测项目</w:t>
                  </w:r>
                </w:p>
              </w:tc>
              <w:tc>
                <w:tcPr>
                  <w:tcW w:w="1708" w:type="dxa"/>
                  <w:noWrap w:val="0"/>
                  <w:vAlign w:val="center"/>
                </w:tcPr>
                <w:p w14:paraId="4B169A9C">
                  <w:pPr>
                    <w:ind w:right="6"/>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监测频次</w:t>
                  </w:r>
                </w:p>
              </w:tc>
              <w:tc>
                <w:tcPr>
                  <w:tcW w:w="1708" w:type="dxa"/>
                  <w:noWrap w:val="0"/>
                  <w:vAlign w:val="center"/>
                </w:tcPr>
                <w:p w14:paraId="5513CA02">
                  <w:pPr>
                    <w:ind w:right="6"/>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执行排放标准</w:t>
                  </w:r>
                </w:p>
              </w:tc>
            </w:tr>
            <w:tr w14:paraId="55375B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85" w:hRule="atLeast"/>
              </w:trPr>
              <w:tc>
                <w:tcPr>
                  <w:tcW w:w="937" w:type="dxa"/>
                  <w:noWrap w:val="0"/>
                  <w:vAlign w:val="center"/>
                </w:tcPr>
                <w:p w14:paraId="799E1624">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噪声</w:t>
                  </w:r>
                </w:p>
              </w:tc>
              <w:tc>
                <w:tcPr>
                  <w:tcW w:w="1657" w:type="dxa"/>
                  <w:noWrap w:val="0"/>
                  <w:vAlign w:val="center"/>
                </w:tcPr>
                <w:p w14:paraId="1E381BB3">
                  <w:pPr>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四周</w:t>
                  </w:r>
                  <w:r>
                    <w:rPr>
                      <w:rFonts w:hint="default" w:ascii="Times New Roman" w:hAnsi="Times New Roman" w:cs="Times New Roman"/>
                      <w:color w:val="auto"/>
                      <w:kern w:val="0"/>
                      <w:sz w:val="18"/>
                      <w:szCs w:val="18"/>
                    </w:rPr>
                    <w:t>厂界外1米</w:t>
                  </w:r>
                </w:p>
              </w:tc>
              <w:tc>
                <w:tcPr>
                  <w:tcW w:w="2108" w:type="dxa"/>
                  <w:noWrap w:val="0"/>
                  <w:vAlign w:val="center"/>
                </w:tcPr>
                <w:p w14:paraId="7306B149">
                  <w:pPr>
                    <w:jc w:val="center"/>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昼间</w:t>
                  </w:r>
                  <w:r>
                    <w:rPr>
                      <w:rFonts w:hint="default" w:ascii="Times New Roman" w:hAnsi="Times New Roman" w:cs="Times New Roman"/>
                      <w:color w:val="auto"/>
                      <w:kern w:val="0"/>
                      <w:sz w:val="18"/>
                      <w:szCs w:val="18"/>
                    </w:rPr>
                    <w:t>连续等效A声级</w:t>
                  </w:r>
                </w:p>
              </w:tc>
              <w:tc>
                <w:tcPr>
                  <w:tcW w:w="1708" w:type="dxa"/>
                  <w:noWrap w:val="0"/>
                  <w:vAlign w:val="center"/>
                </w:tcPr>
                <w:p w14:paraId="78DC8D04">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1次/季度；昼</w:t>
                  </w:r>
                  <w:r>
                    <w:rPr>
                      <w:rFonts w:hint="eastAsia" w:cs="Times New Roman"/>
                      <w:color w:val="auto"/>
                      <w:kern w:val="0"/>
                      <w:sz w:val="18"/>
                      <w:szCs w:val="18"/>
                      <w:lang w:val="en-US" w:eastAsia="zh-CN"/>
                    </w:rPr>
                    <w:t>间</w:t>
                  </w:r>
                  <w:r>
                    <w:rPr>
                      <w:rFonts w:hint="default" w:ascii="Times New Roman" w:hAnsi="Times New Roman" w:cs="Times New Roman"/>
                      <w:color w:val="auto"/>
                      <w:kern w:val="0"/>
                      <w:sz w:val="18"/>
                      <w:szCs w:val="18"/>
                    </w:rPr>
                    <w:t>一次/天</w:t>
                  </w:r>
                </w:p>
              </w:tc>
              <w:tc>
                <w:tcPr>
                  <w:tcW w:w="1708" w:type="dxa"/>
                  <w:noWrap w:val="0"/>
                  <w:vAlign w:val="center"/>
                </w:tcPr>
                <w:p w14:paraId="535C861F">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《工业企业厂界环境噪声排放标准》（GB12348-2008）</w:t>
                  </w:r>
                  <w:r>
                    <w:rPr>
                      <w:rFonts w:hint="default" w:ascii="Times New Roman" w:hAnsi="Times New Roman" w:cs="Times New Roman"/>
                      <w:color w:val="auto"/>
                      <w:kern w:val="0"/>
                      <w:sz w:val="18"/>
                      <w:szCs w:val="18"/>
                      <w:u w:val="none"/>
                    </w:rPr>
                    <w:t>3类标准</w:t>
                  </w:r>
                </w:p>
              </w:tc>
            </w:tr>
          </w:tbl>
          <w:p w14:paraId="40692D1B">
            <w:pPr>
              <w:adjustRightInd w:val="0"/>
              <w:snapToGrid w:val="0"/>
              <w:spacing w:line="240" w:lineRule="auto"/>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bCs/>
                <w:snapToGrid w:val="0"/>
                <w:color w:val="auto"/>
                <w:sz w:val="21"/>
                <w:szCs w:val="21"/>
              </w:rPr>
              <w:t>表</w:t>
            </w:r>
            <w:r>
              <w:rPr>
                <w:rFonts w:hint="default" w:ascii="Times New Roman" w:hAnsi="Times New Roman" w:eastAsia="宋体" w:cs="Times New Roman"/>
                <w:b/>
                <w:bCs/>
                <w:snapToGrid w:val="0"/>
                <w:color w:val="auto"/>
                <w:sz w:val="21"/>
                <w:szCs w:val="21"/>
                <w:lang w:val="en-US" w:eastAsia="zh-CN"/>
              </w:rPr>
              <w:t>4-</w:t>
            </w:r>
            <w:r>
              <w:rPr>
                <w:rFonts w:hint="eastAsia" w:cs="Times New Roman"/>
                <w:b/>
                <w:bCs/>
                <w:snapToGrid w:val="0"/>
                <w:color w:val="auto"/>
                <w:sz w:val="21"/>
                <w:szCs w:val="21"/>
                <w:lang w:val="en-US" w:eastAsia="zh-CN"/>
              </w:rPr>
              <w:t>17</w:t>
            </w:r>
            <w:r>
              <w:rPr>
                <w:rFonts w:hint="default" w:ascii="Times New Roman" w:hAnsi="Times New Roman" w:eastAsia="宋体" w:cs="Times New Roman"/>
                <w:b/>
                <w:bCs/>
                <w:snapToGrid w:val="0"/>
                <w:color w:val="auto"/>
                <w:sz w:val="21"/>
                <w:szCs w:val="21"/>
              </w:rPr>
              <w:t xml:space="preserve"> </w:t>
            </w:r>
            <w:r>
              <w:rPr>
                <w:rFonts w:hint="default" w:ascii="Times New Roman" w:hAnsi="Times New Roman" w:eastAsia="宋体" w:cs="Times New Roman"/>
                <w:b/>
                <w:bCs/>
                <w:snapToGrid w:val="0"/>
                <w:color w:val="auto"/>
                <w:sz w:val="21"/>
                <w:szCs w:val="21"/>
                <w:lang w:eastAsia="zh-CN"/>
              </w:rPr>
              <w:t>本项目噪声</w:t>
            </w:r>
            <w:r>
              <w:rPr>
                <w:rFonts w:hint="default" w:ascii="Times New Roman" w:hAnsi="Times New Roman" w:eastAsia="宋体" w:cs="Times New Roman"/>
                <w:b/>
                <w:bCs/>
                <w:snapToGrid w:val="0"/>
                <w:color w:val="auto"/>
                <w:sz w:val="21"/>
                <w:szCs w:val="21"/>
              </w:rPr>
              <w:t>验收监测</w:t>
            </w:r>
            <w:r>
              <w:rPr>
                <w:rFonts w:hint="default" w:ascii="Times New Roman" w:hAnsi="Times New Roman" w:eastAsia="宋体" w:cs="Times New Roman"/>
                <w:b/>
                <w:bCs/>
                <w:snapToGrid w:val="0"/>
                <w:color w:val="auto"/>
                <w:sz w:val="21"/>
                <w:szCs w:val="21"/>
                <w:lang w:eastAsia="zh-CN"/>
              </w:rPr>
              <w:t>计划</w:t>
            </w:r>
          </w:p>
          <w:tbl>
            <w:tblPr>
              <w:tblStyle w:val="20"/>
              <w:tblW w:w="494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900"/>
              <w:gridCol w:w="1665"/>
              <w:gridCol w:w="2145"/>
              <w:gridCol w:w="1605"/>
              <w:gridCol w:w="1722"/>
            </w:tblGrid>
            <w:tr w14:paraId="566E95E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60" w:type="pct"/>
                  <w:noWrap w:val="0"/>
                  <w:vAlign w:val="center"/>
                </w:tcPr>
                <w:p w14:paraId="61F10D52">
                  <w:pPr>
                    <w:pStyle w:val="53"/>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类别</w:t>
                  </w:r>
                </w:p>
              </w:tc>
              <w:tc>
                <w:tcPr>
                  <w:tcW w:w="1035" w:type="pct"/>
                  <w:noWrap w:val="0"/>
                  <w:vAlign w:val="center"/>
                </w:tcPr>
                <w:p w14:paraId="702ADA3E">
                  <w:pPr>
                    <w:pStyle w:val="53"/>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监测点位</w:t>
                  </w:r>
                </w:p>
              </w:tc>
              <w:tc>
                <w:tcPr>
                  <w:tcW w:w="1334" w:type="pct"/>
                  <w:noWrap w:val="0"/>
                  <w:vAlign w:val="center"/>
                </w:tcPr>
                <w:p w14:paraId="6C71DCB6">
                  <w:pPr>
                    <w:pStyle w:val="53"/>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监测项目</w:t>
                  </w:r>
                </w:p>
              </w:tc>
              <w:tc>
                <w:tcPr>
                  <w:tcW w:w="998" w:type="pct"/>
                  <w:noWrap w:val="0"/>
                  <w:vAlign w:val="center"/>
                </w:tcPr>
                <w:p w14:paraId="13B7AA32">
                  <w:pPr>
                    <w:jc w:val="center"/>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监测频次</w:t>
                  </w:r>
                </w:p>
              </w:tc>
              <w:tc>
                <w:tcPr>
                  <w:tcW w:w="1071" w:type="pct"/>
                  <w:noWrap w:val="0"/>
                  <w:vAlign w:val="center"/>
                </w:tcPr>
                <w:p w14:paraId="4F540EB3">
                  <w:pPr>
                    <w:jc w:val="center"/>
                    <w:rPr>
                      <w:rFonts w:hint="default" w:ascii="Times New Roman" w:hAnsi="Times New Roman" w:eastAsia="宋体" w:cs="Times New Roman"/>
                      <w:b/>
                      <w:color w:val="auto"/>
                      <w:sz w:val="18"/>
                      <w:szCs w:val="18"/>
                    </w:rPr>
                  </w:pPr>
                  <w:r>
                    <w:rPr>
                      <w:rFonts w:hint="default" w:ascii="Times New Roman" w:hAnsi="Times New Roman" w:cs="Times New Roman"/>
                      <w:b/>
                      <w:bCs/>
                      <w:color w:val="auto"/>
                      <w:kern w:val="0"/>
                      <w:sz w:val="18"/>
                      <w:szCs w:val="18"/>
                    </w:rPr>
                    <w:t>执行排放标准</w:t>
                  </w:r>
                </w:p>
              </w:tc>
            </w:tr>
            <w:tr w14:paraId="5121F2E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60" w:type="pct"/>
                  <w:noWrap w:val="0"/>
                  <w:vAlign w:val="center"/>
                </w:tcPr>
                <w:p w14:paraId="2DD80161">
                  <w:pPr>
                    <w:pStyle w:val="53"/>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噪声</w:t>
                  </w:r>
                </w:p>
              </w:tc>
              <w:tc>
                <w:tcPr>
                  <w:tcW w:w="1035" w:type="pct"/>
                  <w:noWrap w:val="0"/>
                  <w:vAlign w:val="center"/>
                </w:tcPr>
                <w:p w14:paraId="0B1BB6DA">
                  <w:pPr>
                    <w:spacing w:line="320" w:lineRule="exact"/>
                    <w:ind w:left="-8" w:leftChars="-4"/>
                    <w:jc w:val="center"/>
                    <w:rPr>
                      <w:rFonts w:hint="default" w:ascii="Times New Roman" w:hAnsi="Times New Roman" w:eastAsia="宋体" w:cs="Times New Roman"/>
                      <w:color w:val="auto"/>
                      <w:sz w:val="18"/>
                      <w:szCs w:val="18"/>
                      <w:lang w:bidi="ar"/>
                    </w:rPr>
                  </w:pPr>
                  <w:r>
                    <w:rPr>
                      <w:rFonts w:hint="eastAsia" w:ascii="Times New Roman" w:hAnsi="Times New Roman" w:cs="Times New Roman"/>
                      <w:color w:val="auto"/>
                      <w:sz w:val="18"/>
                      <w:szCs w:val="18"/>
                      <w:lang w:val="en-US" w:eastAsia="zh-CN"/>
                    </w:rPr>
                    <w:t>四周</w:t>
                  </w:r>
                  <w:r>
                    <w:rPr>
                      <w:rFonts w:hint="default" w:ascii="Times New Roman" w:hAnsi="Times New Roman" w:eastAsia="宋体" w:cs="Times New Roman"/>
                      <w:color w:val="auto"/>
                      <w:sz w:val="18"/>
                      <w:szCs w:val="18"/>
                    </w:rPr>
                    <w:t>厂界</w:t>
                  </w:r>
                  <w:r>
                    <w:rPr>
                      <w:rFonts w:hint="default" w:ascii="Times New Roman" w:hAnsi="Times New Roman" w:cs="Times New Roman"/>
                      <w:color w:val="auto"/>
                      <w:kern w:val="0"/>
                      <w:sz w:val="18"/>
                      <w:szCs w:val="18"/>
                    </w:rPr>
                    <w:t>外1米</w:t>
                  </w:r>
                </w:p>
              </w:tc>
              <w:tc>
                <w:tcPr>
                  <w:tcW w:w="1334" w:type="pct"/>
                  <w:noWrap w:val="0"/>
                  <w:vAlign w:val="center"/>
                </w:tcPr>
                <w:p w14:paraId="67FCEA20">
                  <w:pPr>
                    <w:spacing w:line="320" w:lineRule="exact"/>
                    <w:ind w:left="-8" w:leftChars="-4"/>
                    <w:jc w:val="center"/>
                    <w:rPr>
                      <w:rFonts w:hint="default" w:ascii="Times New Roman" w:hAnsi="Times New Roman" w:eastAsia="宋体" w:cs="Times New Roman"/>
                      <w:color w:val="auto"/>
                      <w:sz w:val="18"/>
                      <w:szCs w:val="18"/>
                      <w:lang w:bidi="ar"/>
                    </w:rPr>
                  </w:pPr>
                  <w:r>
                    <w:rPr>
                      <w:rFonts w:hint="eastAsia" w:ascii="Times New Roman" w:hAnsi="Times New Roman" w:cs="Times New Roman"/>
                      <w:color w:val="auto"/>
                      <w:kern w:val="0"/>
                      <w:sz w:val="18"/>
                      <w:szCs w:val="18"/>
                      <w:lang w:val="en-US" w:eastAsia="zh-CN"/>
                    </w:rPr>
                    <w:t>昼间</w:t>
                  </w:r>
                  <w:r>
                    <w:rPr>
                      <w:rFonts w:hint="default" w:ascii="Times New Roman" w:hAnsi="Times New Roman" w:cs="Times New Roman"/>
                      <w:color w:val="auto"/>
                      <w:kern w:val="0"/>
                      <w:sz w:val="18"/>
                      <w:szCs w:val="18"/>
                    </w:rPr>
                    <w:t>连续等效A声级</w:t>
                  </w:r>
                </w:p>
              </w:tc>
              <w:tc>
                <w:tcPr>
                  <w:tcW w:w="998" w:type="pct"/>
                  <w:noWrap w:val="0"/>
                  <w:vAlign w:val="center"/>
                </w:tcPr>
                <w:p w14:paraId="21565069">
                  <w:pPr>
                    <w:jc w:val="center"/>
                    <w:textAlignment w:val="center"/>
                    <w:rPr>
                      <w:rFonts w:hint="default" w:ascii="Times New Roman" w:hAnsi="Times New Roman" w:eastAsia="宋体" w:cs="Times New Roman"/>
                      <w:color w:val="auto"/>
                      <w:sz w:val="18"/>
                      <w:szCs w:val="18"/>
                      <w:lang w:eastAsia="zh-CN" w:bidi="ar"/>
                    </w:rPr>
                  </w:pPr>
                  <w:r>
                    <w:rPr>
                      <w:rFonts w:hint="default" w:ascii="Times New Roman" w:hAnsi="Times New Roman" w:eastAsia="Times New Roman" w:cs="Times New Roman"/>
                      <w:color w:val="auto"/>
                      <w:sz w:val="18"/>
                      <w:szCs w:val="18"/>
                    </w:rPr>
                    <w:t>2</w:t>
                  </w:r>
                  <w:r>
                    <w:rPr>
                      <w:rFonts w:hint="default" w:ascii="Times New Roman" w:hAnsi="Times New Roman" w:cs="Times New Roman"/>
                      <w:color w:val="auto"/>
                      <w:sz w:val="18"/>
                      <w:szCs w:val="18"/>
                    </w:rPr>
                    <w:t>天</w:t>
                  </w:r>
                  <w:r>
                    <w:rPr>
                      <w:rFonts w:hint="default" w:ascii="Times New Roman" w:hAnsi="Times New Roman" w:eastAsia="Times New Roman" w:cs="Times New Roman"/>
                      <w:color w:val="auto"/>
                      <w:sz w:val="18"/>
                      <w:szCs w:val="18"/>
                    </w:rPr>
                    <w:t>×1</w:t>
                  </w:r>
                  <w:r>
                    <w:rPr>
                      <w:rFonts w:hint="default" w:ascii="Times New Roman" w:hAnsi="Times New Roman" w:cs="Times New Roman"/>
                      <w:color w:val="auto"/>
                      <w:sz w:val="18"/>
                      <w:szCs w:val="18"/>
                    </w:rPr>
                    <w:t>次</w:t>
                  </w:r>
                  <w:r>
                    <w:rPr>
                      <w:rFonts w:hint="default" w:ascii="Times New Roman" w:hAnsi="Times New Roman" w:eastAsia="Times New Roman" w:cs="Times New Roman"/>
                      <w:color w:val="auto"/>
                      <w:sz w:val="18"/>
                      <w:szCs w:val="18"/>
                    </w:rPr>
                    <w:t>/</w:t>
                  </w:r>
                  <w:r>
                    <w:rPr>
                      <w:rFonts w:hint="default" w:ascii="Times New Roman" w:hAnsi="Times New Roman" w:cs="Times New Roman"/>
                      <w:color w:val="auto"/>
                      <w:sz w:val="18"/>
                      <w:szCs w:val="18"/>
                    </w:rPr>
                    <w:t>天</w:t>
                  </w:r>
                  <w:r>
                    <w:rPr>
                      <w:rFonts w:hint="default" w:ascii="Times New Roman" w:hAnsi="Times New Roman" w:cs="Times New Roman"/>
                      <w:color w:val="auto"/>
                      <w:sz w:val="18"/>
                      <w:szCs w:val="18"/>
                      <w:lang w:eastAsia="zh-CN"/>
                    </w:rPr>
                    <w:t>，昼</w:t>
                  </w:r>
                  <w:r>
                    <w:rPr>
                      <w:rFonts w:hint="eastAsia" w:cs="Times New Roman"/>
                      <w:color w:val="auto"/>
                      <w:sz w:val="18"/>
                      <w:szCs w:val="18"/>
                      <w:lang w:val="en-US" w:eastAsia="zh-CN"/>
                    </w:rPr>
                    <w:t>间</w:t>
                  </w:r>
                  <w:r>
                    <w:rPr>
                      <w:rFonts w:hint="default" w:ascii="Times New Roman" w:hAnsi="Times New Roman" w:cs="Times New Roman"/>
                      <w:color w:val="auto"/>
                      <w:sz w:val="18"/>
                      <w:szCs w:val="18"/>
                      <w:lang w:eastAsia="zh-CN"/>
                    </w:rPr>
                    <w:t>一次</w:t>
                  </w:r>
                </w:p>
              </w:tc>
              <w:tc>
                <w:tcPr>
                  <w:tcW w:w="1071" w:type="pct"/>
                  <w:noWrap w:val="0"/>
                  <w:vAlign w:val="center"/>
                </w:tcPr>
                <w:p w14:paraId="41594161">
                  <w:pPr>
                    <w:jc w:val="center"/>
                    <w:textAlignment w:val="center"/>
                    <w:rPr>
                      <w:rFonts w:hint="default" w:ascii="Times New Roman" w:hAnsi="Times New Roman" w:eastAsia="Times New Roman" w:cs="Times New Roman"/>
                      <w:color w:val="auto"/>
                      <w:sz w:val="18"/>
                      <w:szCs w:val="18"/>
                    </w:rPr>
                  </w:pPr>
                  <w:r>
                    <w:rPr>
                      <w:rFonts w:hint="default" w:ascii="Times New Roman" w:hAnsi="Times New Roman" w:cs="Times New Roman"/>
                      <w:color w:val="auto"/>
                      <w:kern w:val="0"/>
                      <w:sz w:val="18"/>
                      <w:szCs w:val="18"/>
                    </w:rPr>
                    <w:t>《工业企业厂界环境噪声排放标准》（GB12348-2008）</w:t>
                  </w:r>
                  <w:r>
                    <w:rPr>
                      <w:rFonts w:hint="default" w:ascii="Times New Roman" w:hAnsi="Times New Roman" w:cs="Times New Roman"/>
                      <w:color w:val="auto"/>
                      <w:kern w:val="0"/>
                      <w:sz w:val="18"/>
                      <w:szCs w:val="18"/>
                      <w:u w:val="none"/>
                    </w:rPr>
                    <w:t>3类标准</w:t>
                  </w:r>
                </w:p>
              </w:tc>
            </w:tr>
          </w:tbl>
          <w:p w14:paraId="157DE0D3">
            <w:pPr>
              <w:pStyle w:val="4"/>
              <w:bidi w:val="0"/>
              <w:rPr>
                <w:rFonts w:hint="default"/>
                <w:color w:val="auto"/>
                <w:lang w:val="en-US" w:eastAsia="zh-CN"/>
              </w:rPr>
            </w:pPr>
            <w:r>
              <w:rPr>
                <w:rFonts w:hint="default"/>
                <w:color w:val="auto"/>
                <w:lang w:val="en-US" w:eastAsia="zh-CN"/>
              </w:rPr>
              <w:t>5、声环境影响结论</w:t>
            </w:r>
          </w:p>
          <w:p w14:paraId="6DC7D431">
            <w:pPr>
              <w:numPr>
                <w:ilvl w:val="0"/>
                <w:numId w:val="0"/>
              </w:numPr>
              <w:spacing w:line="360" w:lineRule="auto"/>
              <w:ind w:right="0" w:right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    综上所述，本项目运营后，</w:t>
            </w:r>
            <w:r>
              <w:rPr>
                <w:rFonts w:hint="default" w:ascii="Times New Roman" w:hAnsi="Times New Roman" w:cs="Times New Roman"/>
                <w:bCs/>
                <w:color w:val="auto"/>
                <w:spacing w:val="-10"/>
                <w:sz w:val="21"/>
                <w:szCs w:val="21"/>
                <w:highlight w:val="none"/>
              </w:rPr>
              <w:t>在全面落实</w:t>
            </w:r>
            <w:r>
              <w:rPr>
                <w:rFonts w:hint="default" w:ascii="Times New Roman" w:hAnsi="Times New Roman" w:cs="Times New Roman"/>
                <w:bCs/>
                <w:color w:val="auto"/>
                <w:spacing w:val="-10"/>
                <w:sz w:val="21"/>
                <w:szCs w:val="21"/>
                <w:highlight w:val="none"/>
                <w:lang w:val="en-US" w:eastAsia="zh-CN"/>
              </w:rPr>
              <w:t>隔声减振等</w:t>
            </w:r>
            <w:r>
              <w:rPr>
                <w:rFonts w:hint="default" w:ascii="Times New Roman" w:hAnsi="Times New Roman" w:cs="Times New Roman"/>
                <w:bCs/>
                <w:color w:val="auto"/>
                <w:spacing w:val="-10"/>
                <w:sz w:val="21"/>
                <w:szCs w:val="21"/>
                <w:highlight w:val="none"/>
              </w:rPr>
              <w:t>环保措施的前提下</w:t>
            </w:r>
            <w:r>
              <w:rPr>
                <w:rFonts w:hint="default" w:ascii="Times New Roman" w:hAnsi="Times New Roman" w:cs="Times New Roman"/>
                <w:bCs/>
                <w:color w:val="auto"/>
                <w:spacing w:val="-10"/>
                <w:sz w:val="21"/>
                <w:szCs w:val="21"/>
                <w:highlight w:val="none"/>
                <w:lang w:eastAsia="zh-CN"/>
              </w:rPr>
              <w:t>，</w:t>
            </w:r>
            <w:r>
              <w:rPr>
                <w:rFonts w:hint="default" w:ascii="Times New Roman" w:hAnsi="Times New Roman" w:cs="Times New Roman"/>
                <w:color w:val="auto"/>
                <w:lang w:val="en-US" w:eastAsia="zh-CN"/>
              </w:rPr>
              <w:t>对四周厂界的噪声贡献值都能满足</w:t>
            </w:r>
            <w:r>
              <w:rPr>
                <w:rFonts w:hint="default" w:ascii="Times New Roman" w:hAnsi="Times New Roman" w:cs="Times New Roman"/>
                <w:color w:val="auto"/>
                <w:kern w:val="0"/>
                <w:sz w:val="21"/>
                <w:szCs w:val="21"/>
                <w:highlight w:val="none"/>
                <w:lang w:val="en-US" w:eastAsia="zh-CN"/>
              </w:rPr>
              <w:t>《工业企业厂界环境噪声排放标准》（GB12348-2008）</w:t>
            </w:r>
            <w:r>
              <w:rPr>
                <w:rFonts w:hint="default" w:ascii="Times New Roman" w:hAnsi="Times New Roman" w:cs="Times New Roman"/>
                <w:color w:val="auto"/>
                <w:kern w:val="0"/>
                <w:sz w:val="21"/>
                <w:szCs w:val="21"/>
                <w:highlight w:val="none"/>
                <w:u w:val="none"/>
                <w:lang w:val="en-US" w:eastAsia="zh-CN"/>
              </w:rPr>
              <w:t>3类</w:t>
            </w:r>
            <w:r>
              <w:rPr>
                <w:rFonts w:hint="default" w:ascii="Times New Roman" w:hAnsi="Times New Roman" w:cs="Times New Roman"/>
                <w:color w:val="auto"/>
                <w:kern w:val="0"/>
                <w:sz w:val="21"/>
                <w:szCs w:val="21"/>
                <w:highlight w:val="none"/>
                <w:lang w:val="en-US" w:eastAsia="zh-CN"/>
              </w:rPr>
              <w:t>标准限值，故声环境影响可接受。</w:t>
            </w:r>
          </w:p>
          <w:p w14:paraId="0A17FA84">
            <w:pPr>
              <w:pStyle w:val="3"/>
              <w:bidi w:val="0"/>
              <w:spacing w:line="360" w:lineRule="auto"/>
              <w:rPr>
                <w:rFonts w:hint="default" w:ascii="Times New Roman" w:hAnsi="Times New Roman" w:cs="Times New Roman"/>
                <w:color w:val="auto"/>
              </w:rPr>
            </w:pPr>
            <w:r>
              <w:rPr>
                <w:rFonts w:hint="default" w:ascii="Times New Roman" w:hAnsi="Times New Roman" w:cs="Times New Roman"/>
                <w:color w:val="auto"/>
                <w:lang w:eastAsia="zh-CN"/>
              </w:rPr>
              <w:t>（四）</w:t>
            </w:r>
            <w:r>
              <w:rPr>
                <w:rFonts w:hint="default" w:ascii="Times New Roman" w:hAnsi="Times New Roman" w:cs="Times New Roman"/>
                <w:color w:val="auto"/>
              </w:rPr>
              <w:t>固体废物</w:t>
            </w:r>
          </w:p>
          <w:p w14:paraId="2374DB82">
            <w:pPr>
              <w:pStyle w:val="4"/>
              <w:bidi w:val="0"/>
              <w:spacing w:line="360" w:lineRule="auto"/>
              <w:rPr>
                <w:rFonts w:hint="default" w:ascii="Times New Roman" w:hAnsi="Times New Roman" w:cs="Times New Roman"/>
                <w:color w:val="auto"/>
              </w:rPr>
            </w:pPr>
            <w:r>
              <w:rPr>
                <w:rFonts w:hint="default" w:ascii="Times New Roman" w:hAnsi="Times New Roman" w:cs="Times New Roman"/>
                <w:color w:val="auto"/>
              </w:rPr>
              <w:t>1、固体废物产生情况</w:t>
            </w:r>
          </w:p>
          <w:p w14:paraId="09449458">
            <w:pPr>
              <w:pStyle w:val="8"/>
              <w:keepNext w:val="0"/>
              <w:keepLines w:val="0"/>
              <w:pageBreakBefore w:val="0"/>
              <w:widowControl/>
              <w:kinsoku/>
              <w:wordWrap/>
              <w:overflowPunct/>
              <w:topLinePunct w:val="0"/>
              <w:autoSpaceDE/>
              <w:autoSpaceDN/>
              <w:bidi w:val="0"/>
              <w:adjustRightInd/>
              <w:snapToGrid w:val="0"/>
              <w:spacing w:before="139" w:line="360" w:lineRule="auto"/>
              <w:ind w:right="0" w:firstLine="420" w:firstLineChars="200"/>
              <w:jc w:val="both"/>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eastAsia="zh-CN"/>
              </w:rPr>
              <w:t>本</w:t>
            </w:r>
            <w:r>
              <w:rPr>
                <w:rFonts w:hint="default" w:ascii="Times New Roman" w:hAnsi="Times New Roman" w:cs="Times New Roman"/>
                <w:color w:val="auto"/>
                <w:sz w:val="21"/>
                <w:szCs w:val="21"/>
              </w:rPr>
              <w:t>项目运营期产生的</w:t>
            </w:r>
            <w:r>
              <w:rPr>
                <w:rFonts w:hint="default" w:ascii="Times New Roman" w:hAnsi="Times New Roman" w:cs="Times New Roman"/>
                <w:color w:val="auto"/>
                <w:sz w:val="21"/>
                <w:szCs w:val="21"/>
                <w:lang w:eastAsia="zh-CN"/>
              </w:rPr>
              <w:t>固废</w:t>
            </w:r>
            <w:r>
              <w:rPr>
                <w:rFonts w:hint="default" w:ascii="Times New Roman" w:hAnsi="Times New Roman" w:cs="Times New Roman"/>
                <w:color w:val="auto"/>
                <w:sz w:val="21"/>
                <w:szCs w:val="21"/>
              </w:rPr>
              <w:t>主要有</w:t>
            </w:r>
            <w:r>
              <w:rPr>
                <w:rFonts w:hint="eastAsia" w:cs="Times New Roman"/>
                <w:color w:val="auto"/>
                <w:sz w:val="21"/>
                <w:szCs w:val="21"/>
                <w:lang w:val="en-US" w:eastAsia="zh-CN"/>
              </w:rPr>
              <w:t>废包装、不合格品、废活性炭、废清洗剂、漆渣</w:t>
            </w:r>
            <w:r>
              <w:rPr>
                <w:rFonts w:hint="eastAsia"/>
                <w:color w:val="auto"/>
                <w:sz w:val="21"/>
                <w:szCs w:val="21"/>
                <w:lang w:eastAsia="zh-CN"/>
              </w:rPr>
              <w:t>、</w:t>
            </w:r>
            <w:r>
              <w:rPr>
                <w:rFonts w:hint="eastAsia" w:cs="Times New Roman"/>
                <w:color w:val="auto"/>
                <w:sz w:val="21"/>
                <w:szCs w:val="21"/>
                <w:lang w:val="en-US" w:eastAsia="zh-CN"/>
              </w:rPr>
              <w:t>废过滤棉、废润滑油、废紫外灯管</w:t>
            </w:r>
            <w:r>
              <w:rPr>
                <w:rFonts w:hint="default" w:cs="Times New Roman"/>
                <w:color w:val="auto"/>
                <w:sz w:val="21"/>
                <w:szCs w:val="21"/>
                <w:lang w:val="en-US" w:eastAsia="zh-CN"/>
              </w:rPr>
              <w:t>。</w:t>
            </w:r>
          </w:p>
          <w:p w14:paraId="6B8070B7">
            <w:pPr>
              <w:pStyle w:val="8"/>
              <w:keepNext w:val="0"/>
              <w:keepLines w:val="0"/>
              <w:pageBreakBefore w:val="0"/>
              <w:widowControl/>
              <w:kinsoku/>
              <w:wordWrap/>
              <w:overflowPunct/>
              <w:topLinePunct w:val="0"/>
              <w:autoSpaceDE/>
              <w:autoSpaceDN/>
              <w:bidi w:val="0"/>
              <w:adjustRightInd/>
              <w:snapToGrid w:val="0"/>
              <w:spacing w:before="139" w:line="360" w:lineRule="auto"/>
              <w:ind w:right="0" w:firstLine="420" w:firstLineChars="200"/>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根据《固体废物鉴别标准 通则》（</w:t>
            </w:r>
            <w:r>
              <w:rPr>
                <w:rFonts w:hint="eastAsia" w:cs="Times New Roman"/>
                <w:color w:val="auto"/>
                <w:sz w:val="21"/>
                <w:szCs w:val="21"/>
                <w:lang w:eastAsia="zh-CN"/>
              </w:rPr>
              <w:t>GB34330-2025</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eastAsia="zh-CN"/>
              </w:rPr>
              <w:t>、《国家危险废物名录》（2021年）以及危险废物鉴别标准</w:t>
            </w:r>
            <w:r>
              <w:rPr>
                <w:rFonts w:hint="default" w:ascii="Times New Roman" w:hAnsi="Times New Roman" w:cs="Times New Roman"/>
                <w:color w:val="auto"/>
                <w:sz w:val="21"/>
                <w:szCs w:val="21"/>
              </w:rPr>
              <w:t>的规定，对项目</w:t>
            </w:r>
            <w:r>
              <w:rPr>
                <w:rFonts w:hint="default" w:ascii="Times New Roman" w:hAnsi="Times New Roman" w:cs="Times New Roman"/>
                <w:color w:val="auto"/>
                <w:sz w:val="21"/>
                <w:szCs w:val="21"/>
                <w:lang w:eastAsia="zh-CN"/>
              </w:rPr>
              <w:t>固废属性</w:t>
            </w:r>
            <w:r>
              <w:rPr>
                <w:rFonts w:hint="default" w:ascii="Times New Roman" w:hAnsi="Times New Roman" w:cs="Times New Roman"/>
                <w:color w:val="auto"/>
                <w:sz w:val="21"/>
                <w:szCs w:val="21"/>
              </w:rPr>
              <w:t>进行判定，具体判定结果见</w:t>
            </w:r>
            <w:r>
              <w:rPr>
                <w:rFonts w:hint="eastAsia" w:ascii="Times New Roman" w:hAnsi="Times New Roman" w:cs="Times New Roman"/>
                <w:color w:val="auto"/>
                <w:sz w:val="21"/>
                <w:szCs w:val="21"/>
                <w:lang w:val="en-US" w:eastAsia="zh-CN"/>
              </w:rPr>
              <w:t>下表</w:t>
            </w:r>
            <w:r>
              <w:rPr>
                <w:rFonts w:hint="default" w:ascii="Times New Roman" w:hAnsi="Times New Roman" w:cs="Times New Roman"/>
                <w:color w:val="auto"/>
                <w:sz w:val="21"/>
                <w:szCs w:val="21"/>
                <w:lang w:val="en-US" w:eastAsia="zh-CN"/>
              </w:rPr>
              <w:t>。</w:t>
            </w:r>
          </w:p>
          <w:p w14:paraId="1D0A508D">
            <w:pPr>
              <w:spacing w:line="240" w:lineRule="auto"/>
              <w:ind w:firstLine="482"/>
              <w:jc w:val="center"/>
              <w:rPr>
                <w:rFonts w:hint="default" w:ascii="Times New Roman" w:hAnsi="Times New Roman" w:cs="Times New Roman"/>
                <w:color w:val="auto"/>
                <w:lang w:val="en-US" w:eastAsia="zh-CN"/>
              </w:rPr>
            </w:pPr>
            <w:r>
              <w:rPr>
                <w:rFonts w:hint="default" w:ascii="Times New Roman" w:hAnsi="Times New Roman" w:cs="Times New Roman"/>
                <w:b/>
                <w:color w:val="auto"/>
                <w:sz w:val="21"/>
                <w:szCs w:val="21"/>
                <w:highlight w:val="none"/>
              </w:rPr>
              <w:t>表</w:t>
            </w:r>
            <w:r>
              <w:rPr>
                <w:rFonts w:hint="eastAsia" w:cs="Times New Roman"/>
                <w:b/>
                <w:color w:val="auto"/>
                <w:sz w:val="21"/>
                <w:szCs w:val="21"/>
                <w:highlight w:val="none"/>
                <w:lang w:val="en-US" w:eastAsia="zh-CN"/>
              </w:rPr>
              <w:t>4-18</w:t>
            </w:r>
            <w:r>
              <w:rPr>
                <w:rFonts w:hint="default" w:ascii="Times New Roman" w:hAnsi="Times New Roman" w:cs="Times New Roman"/>
                <w:b/>
                <w:color w:val="auto"/>
                <w:sz w:val="21"/>
                <w:szCs w:val="21"/>
                <w:highlight w:val="none"/>
              </w:rPr>
              <w:t xml:space="preserve"> </w:t>
            </w:r>
            <w:r>
              <w:rPr>
                <w:rFonts w:hint="eastAsia" w:ascii="Times New Roman" w:hAnsi="Times New Roman" w:cs="Times New Roman"/>
                <w:b/>
                <w:color w:val="auto"/>
                <w:sz w:val="21"/>
                <w:szCs w:val="21"/>
                <w:highlight w:val="none"/>
                <w:lang w:val="en-US" w:eastAsia="zh-CN"/>
              </w:rPr>
              <w:t>本</w:t>
            </w:r>
            <w:r>
              <w:rPr>
                <w:rFonts w:hint="default" w:ascii="Times New Roman" w:hAnsi="Times New Roman" w:cs="Times New Roman"/>
                <w:b/>
                <w:color w:val="auto"/>
                <w:sz w:val="21"/>
                <w:szCs w:val="21"/>
                <w:highlight w:val="none"/>
              </w:rPr>
              <w:t>项目</w:t>
            </w:r>
            <w:r>
              <w:rPr>
                <w:rFonts w:hint="default" w:ascii="Times New Roman" w:hAnsi="Times New Roman" w:cs="Times New Roman"/>
                <w:b/>
                <w:color w:val="auto"/>
                <w:sz w:val="21"/>
                <w:szCs w:val="21"/>
                <w:highlight w:val="none"/>
                <w:lang w:eastAsia="zh-CN"/>
              </w:rPr>
              <w:t>固体废物</w:t>
            </w:r>
            <w:r>
              <w:rPr>
                <w:rFonts w:hint="default" w:ascii="Times New Roman" w:hAnsi="Times New Roman" w:cs="Times New Roman"/>
                <w:b/>
                <w:color w:val="auto"/>
                <w:sz w:val="21"/>
                <w:szCs w:val="21"/>
                <w:highlight w:val="none"/>
              </w:rPr>
              <w:t>产生</w:t>
            </w:r>
            <w:r>
              <w:rPr>
                <w:rFonts w:hint="eastAsia" w:cs="Times New Roman"/>
                <w:b/>
                <w:color w:val="auto"/>
                <w:sz w:val="21"/>
                <w:szCs w:val="21"/>
                <w:highlight w:val="none"/>
                <w:lang w:eastAsia="zh-CN"/>
              </w:rPr>
              <w:t>、</w:t>
            </w:r>
            <w:r>
              <w:rPr>
                <w:rFonts w:hint="eastAsia" w:cs="Times New Roman"/>
                <w:b/>
                <w:color w:val="auto"/>
                <w:sz w:val="21"/>
                <w:szCs w:val="21"/>
                <w:highlight w:val="none"/>
                <w:lang w:val="en-US" w:eastAsia="zh-CN"/>
              </w:rPr>
              <w:t>利用、处置</w:t>
            </w:r>
            <w:r>
              <w:rPr>
                <w:rFonts w:hint="default" w:ascii="Times New Roman" w:hAnsi="Times New Roman" w:cs="Times New Roman"/>
                <w:b/>
                <w:color w:val="auto"/>
                <w:sz w:val="21"/>
                <w:szCs w:val="21"/>
                <w:highlight w:val="none"/>
              </w:rPr>
              <w:t>情况</w:t>
            </w:r>
          </w:p>
          <w:tbl>
            <w:tblPr>
              <w:tblStyle w:val="20"/>
              <w:tblW w:w="501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3"/>
              <w:gridCol w:w="1007"/>
              <w:gridCol w:w="942"/>
              <w:gridCol w:w="433"/>
              <w:gridCol w:w="1000"/>
              <w:gridCol w:w="750"/>
              <w:gridCol w:w="909"/>
              <w:gridCol w:w="733"/>
              <w:gridCol w:w="817"/>
              <w:gridCol w:w="1108"/>
            </w:tblGrid>
            <w:tr w14:paraId="6AC069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277" w:type="pct"/>
                  <w:noWrap w:val="0"/>
                  <w:vAlign w:val="center"/>
                </w:tcPr>
                <w:p w14:paraId="7E936EDD">
                  <w:pPr>
                    <w:pStyle w:val="52"/>
                    <w:spacing w:line="240" w:lineRule="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序号</w:t>
                  </w:r>
                </w:p>
              </w:tc>
              <w:tc>
                <w:tcPr>
                  <w:tcW w:w="617" w:type="pct"/>
                  <w:noWrap w:val="0"/>
                  <w:vAlign w:val="center"/>
                </w:tcPr>
                <w:p w14:paraId="7C838A85">
                  <w:pPr>
                    <w:pStyle w:val="52"/>
                    <w:spacing w:line="240" w:lineRule="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固体废物名称</w:t>
                  </w:r>
                </w:p>
              </w:tc>
              <w:tc>
                <w:tcPr>
                  <w:tcW w:w="577" w:type="pct"/>
                  <w:noWrap w:val="0"/>
                  <w:vAlign w:val="center"/>
                </w:tcPr>
                <w:p w14:paraId="333AF4E5">
                  <w:pPr>
                    <w:pStyle w:val="52"/>
                    <w:spacing w:line="240" w:lineRule="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产生工序</w:t>
                  </w:r>
                </w:p>
              </w:tc>
              <w:tc>
                <w:tcPr>
                  <w:tcW w:w="265" w:type="pct"/>
                  <w:noWrap w:val="0"/>
                  <w:vAlign w:val="center"/>
                </w:tcPr>
                <w:p w14:paraId="71272A6E">
                  <w:pPr>
                    <w:pStyle w:val="52"/>
                    <w:spacing w:line="240" w:lineRule="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形态</w:t>
                  </w:r>
                </w:p>
              </w:tc>
              <w:tc>
                <w:tcPr>
                  <w:tcW w:w="613" w:type="pct"/>
                  <w:noWrap w:val="0"/>
                  <w:vAlign w:val="center"/>
                </w:tcPr>
                <w:p w14:paraId="5C912481">
                  <w:pPr>
                    <w:pStyle w:val="52"/>
                    <w:spacing w:line="240" w:lineRule="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主要成分</w:t>
                  </w:r>
                </w:p>
              </w:tc>
              <w:tc>
                <w:tcPr>
                  <w:tcW w:w="460" w:type="pct"/>
                  <w:noWrap w:val="0"/>
                  <w:vAlign w:val="center"/>
                </w:tcPr>
                <w:p w14:paraId="6C125E47">
                  <w:pPr>
                    <w:pStyle w:val="52"/>
                    <w:spacing w:line="240" w:lineRule="auto"/>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预测产生量（t/a）</w:t>
                  </w:r>
                </w:p>
              </w:tc>
              <w:tc>
                <w:tcPr>
                  <w:tcW w:w="557" w:type="pct"/>
                  <w:noWrap w:val="0"/>
                  <w:vAlign w:val="center"/>
                </w:tcPr>
                <w:p w14:paraId="0834E081">
                  <w:pPr>
                    <w:spacing w:line="240" w:lineRule="auto"/>
                    <w:jc w:val="center"/>
                    <w:rPr>
                      <w:rFonts w:hint="default" w:ascii="Times New Roman" w:hAnsi="Times New Roman" w:eastAsia="宋体" w:cs="Times New Roman"/>
                      <w:b/>
                      <w:color w:val="auto"/>
                      <w:sz w:val="18"/>
                      <w:szCs w:val="18"/>
                      <w:highlight w:val="none"/>
                      <w:lang w:eastAsia="zh-CN"/>
                    </w:rPr>
                  </w:pPr>
                  <w:r>
                    <w:rPr>
                      <w:rFonts w:hint="default" w:ascii="Times New Roman" w:hAnsi="Times New Roman" w:cs="Times New Roman"/>
                      <w:b/>
                      <w:color w:val="auto"/>
                      <w:sz w:val="18"/>
                      <w:szCs w:val="18"/>
                      <w:highlight w:val="none"/>
                    </w:rPr>
                    <w:t>固体</w:t>
                  </w:r>
                  <w:r>
                    <w:rPr>
                      <w:rFonts w:hint="default" w:ascii="Times New Roman" w:hAnsi="Times New Roman" w:cs="Times New Roman"/>
                      <w:b/>
                      <w:color w:val="auto"/>
                      <w:sz w:val="18"/>
                      <w:szCs w:val="18"/>
                      <w:highlight w:val="none"/>
                      <w:lang w:eastAsia="zh-CN"/>
                    </w:rPr>
                    <w:t>属性</w:t>
                  </w:r>
                </w:p>
              </w:tc>
              <w:tc>
                <w:tcPr>
                  <w:tcW w:w="449" w:type="pct"/>
                  <w:noWrap w:val="0"/>
                  <w:vAlign w:val="center"/>
                </w:tcPr>
                <w:p w14:paraId="427D527C">
                  <w:pPr>
                    <w:spacing w:line="240" w:lineRule="auto"/>
                    <w:jc w:val="center"/>
                    <w:rPr>
                      <w:rFonts w:hint="default" w:ascii="Times New Roman" w:hAnsi="Times New Roman" w:eastAsia="宋体" w:cs="Times New Roman"/>
                      <w:b/>
                      <w:color w:val="auto"/>
                      <w:sz w:val="18"/>
                      <w:szCs w:val="18"/>
                      <w:highlight w:val="none"/>
                      <w:lang w:eastAsia="zh-CN"/>
                    </w:rPr>
                  </w:pPr>
                  <w:r>
                    <w:rPr>
                      <w:rFonts w:hint="default" w:ascii="Times New Roman" w:hAnsi="Times New Roman" w:cs="Times New Roman"/>
                      <w:b/>
                      <w:color w:val="auto"/>
                      <w:sz w:val="18"/>
                      <w:szCs w:val="18"/>
                      <w:highlight w:val="none"/>
                      <w:lang w:eastAsia="zh-CN"/>
                    </w:rPr>
                    <w:t>废物类别</w:t>
                  </w:r>
                </w:p>
              </w:tc>
              <w:tc>
                <w:tcPr>
                  <w:tcW w:w="501" w:type="pct"/>
                  <w:noWrap w:val="0"/>
                  <w:vAlign w:val="center"/>
                </w:tcPr>
                <w:p w14:paraId="41011EE8">
                  <w:pPr>
                    <w:spacing w:line="240" w:lineRule="auto"/>
                    <w:jc w:val="center"/>
                    <w:rPr>
                      <w:rFonts w:hint="default" w:ascii="Times New Roman" w:hAnsi="Times New Roman" w:eastAsia="宋体" w:cs="Times New Roman"/>
                      <w:b/>
                      <w:color w:val="auto"/>
                      <w:sz w:val="18"/>
                      <w:szCs w:val="18"/>
                      <w:highlight w:val="none"/>
                      <w:lang w:eastAsia="zh-CN"/>
                    </w:rPr>
                  </w:pPr>
                  <w:r>
                    <w:rPr>
                      <w:rFonts w:hint="default" w:ascii="Times New Roman" w:hAnsi="Times New Roman" w:cs="Times New Roman"/>
                      <w:b/>
                      <w:color w:val="auto"/>
                      <w:sz w:val="18"/>
                      <w:szCs w:val="18"/>
                      <w:highlight w:val="none"/>
                      <w:lang w:eastAsia="zh-CN"/>
                    </w:rPr>
                    <w:t>废物代码</w:t>
                  </w:r>
                </w:p>
              </w:tc>
              <w:tc>
                <w:tcPr>
                  <w:tcW w:w="679" w:type="pct"/>
                  <w:noWrap w:val="0"/>
                  <w:vAlign w:val="center"/>
                </w:tcPr>
                <w:p w14:paraId="7A9063F8">
                  <w:pPr>
                    <w:spacing w:line="240" w:lineRule="auto"/>
                    <w:jc w:val="center"/>
                    <w:rPr>
                      <w:rFonts w:hint="default" w:ascii="Times New Roman" w:hAnsi="Times New Roman" w:cs="Times New Roman"/>
                      <w:b/>
                      <w:color w:val="auto"/>
                      <w:sz w:val="18"/>
                      <w:szCs w:val="18"/>
                      <w:highlight w:val="none"/>
                      <w:lang w:eastAsia="zh-CN"/>
                    </w:rPr>
                  </w:pPr>
                  <w:r>
                    <w:rPr>
                      <w:rFonts w:hint="default" w:ascii="Times New Roman" w:hAnsi="Times New Roman" w:cs="Times New Roman"/>
                      <w:b/>
                      <w:color w:val="auto"/>
                      <w:sz w:val="18"/>
                      <w:szCs w:val="18"/>
                      <w:highlight w:val="none"/>
                      <w:lang w:eastAsia="zh-CN"/>
                    </w:rPr>
                    <w:t>处理</w:t>
                  </w:r>
                  <w:r>
                    <w:rPr>
                      <w:rFonts w:hint="default" w:ascii="Times New Roman" w:hAnsi="Times New Roman" w:cs="Times New Roman"/>
                      <w:b/>
                      <w:color w:val="auto"/>
                      <w:sz w:val="18"/>
                      <w:szCs w:val="18"/>
                      <w:highlight w:val="none"/>
                      <w:lang w:val="en-US" w:eastAsia="zh-CN"/>
                    </w:rPr>
                    <w:t>/</w:t>
                  </w:r>
                  <w:r>
                    <w:rPr>
                      <w:rFonts w:hint="default" w:ascii="Times New Roman" w:hAnsi="Times New Roman" w:cs="Times New Roman"/>
                      <w:b/>
                      <w:color w:val="auto"/>
                      <w:sz w:val="18"/>
                      <w:szCs w:val="18"/>
                      <w:highlight w:val="none"/>
                      <w:lang w:eastAsia="zh-CN"/>
                    </w:rPr>
                    <w:t>处置方式</w:t>
                  </w:r>
                </w:p>
              </w:tc>
            </w:tr>
            <w:tr w14:paraId="39EC7F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77" w:type="pct"/>
                  <w:noWrap w:val="0"/>
                  <w:vAlign w:val="center"/>
                </w:tcPr>
                <w:p w14:paraId="2BD149D0">
                  <w:pPr>
                    <w:pStyle w:val="52"/>
                    <w:spacing w:line="240" w:lineRule="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617" w:type="pct"/>
                  <w:noWrap w:val="0"/>
                  <w:vAlign w:val="center"/>
                </w:tcPr>
                <w:p w14:paraId="2C7CFF08">
                  <w:pPr>
                    <w:pStyle w:val="57"/>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不合格品</w:t>
                  </w:r>
                </w:p>
              </w:tc>
              <w:tc>
                <w:tcPr>
                  <w:tcW w:w="577" w:type="pct"/>
                  <w:noWrap w:val="0"/>
                  <w:vAlign w:val="center"/>
                </w:tcPr>
                <w:p w14:paraId="220DE8CE">
                  <w:pPr>
                    <w:pStyle w:val="57"/>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检验</w:t>
                  </w:r>
                </w:p>
              </w:tc>
              <w:tc>
                <w:tcPr>
                  <w:tcW w:w="265" w:type="pct"/>
                  <w:noWrap w:val="0"/>
                  <w:vAlign w:val="center"/>
                </w:tcPr>
                <w:p w14:paraId="4D61D866">
                  <w:pPr>
                    <w:ind w:firstLine="0" w:firstLineChars="0"/>
                    <w:rPr>
                      <w:rFonts w:hint="default" w:ascii="Times New Roman" w:hAnsi="Times New Roman" w:eastAsia="宋体" w:cs="Times New Roman"/>
                      <w:color w:val="auto"/>
                      <w:kern w:val="2"/>
                      <w:sz w:val="18"/>
                      <w:szCs w:val="18"/>
                      <w:highlight w:val="none"/>
                      <w:lang w:val="zh-CN" w:eastAsia="zh-CN" w:bidi="ar-SA"/>
                    </w:rPr>
                  </w:pPr>
                  <w:r>
                    <w:rPr>
                      <w:rFonts w:hint="eastAsia" w:cs="Times New Roman"/>
                      <w:color w:val="auto"/>
                      <w:kern w:val="2"/>
                      <w:sz w:val="18"/>
                      <w:szCs w:val="18"/>
                      <w:highlight w:val="none"/>
                      <w:lang w:val="en-US" w:eastAsia="zh-CN" w:bidi="ar-SA"/>
                    </w:rPr>
                    <w:t>固</w:t>
                  </w:r>
                </w:p>
              </w:tc>
              <w:tc>
                <w:tcPr>
                  <w:tcW w:w="613" w:type="pct"/>
                  <w:noWrap w:val="0"/>
                  <w:vAlign w:val="center"/>
                </w:tcPr>
                <w:p w14:paraId="6F5954FD">
                  <w:pPr>
                    <w:pStyle w:val="51"/>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塑料</w:t>
                  </w:r>
                </w:p>
              </w:tc>
              <w:tc>
                <w:tcPr>
                  <w:tcW w:w="460" w:type="pct"/>
                  <w:noWrap w:val="0"/>
                  <w:vAlign w:val="center"/>
                </w:tcPr>
                <w:p w14:paraId="65BD2D1F">
                  <w:pPr>
                    <w:pStyle w:val="52"/>
                    <w:spacing w:line="240" w:lineRule="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4.7976</w:t>
                  </w:r>
                </w:p>
              </w:tc>
              <w:tc>
                <w:tcPr>
                  <w:tcW w:w="557" w:type="pct"/>
                  <w:noWrap w:val="0"/>
                  <w:vAlign w:val="center"/>
                </w:tcPr>
                <w:p w14:paraId="3AA32A94">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一般固废</w:t>
                  </w:r>
                </w:p>
              </w:tc>
              <w:tc>
                <w:tcPr>
                  <w:tcW w:w="449" w:type="pct"/>
                  <w:shd w:val="clear" w:color="auto" w:fill="auto"/>
                  <w:noWrap w:val="0"/>
                  <w:vAlign w:val="center"/>
                </w:tcPr>
                <w:p w14:paraId="341AA141">
                  <w:pPr>
                    <w:pStyle w:val="68"/>
                    <w:spacing w:beforeLines="0" w:afterLines="0"/>
                    <w:rPr>
                      <w:rFonts w:hint="default" w:ascii="Times New Roman" w:hAnsi="Times New Roman" w:eastAsia="宋体" w:cs="Times New Roman"/>
                      <w:color w:val="auto"/>
                      <w:kern w:val="2"/>
                      <w:sz w:val="18"/>
                      <w:szCs w:val="18"/>
                      <w:highlight w:val="none"/>
                      <w:lang w:val="en-US" w:eastAsia="zh-CN" w:bidi="ar-SA"/>
                    </w:rPr>
                  </w:pPr>
                  <w:r>
                    <w:rPr>
                      <w:rFonts w:hint="default" w:cs="Times New Roman"/>
                      <w:color w:val="auto"/>
                      <w:sz w:val="18"/>
                      <w:szCs w:val="18"/>
                      <w:highlight w:val="none"/>
                    </w:rPr>
                    <w:t>SW</w:t>
                  </w:r>
                  <w:r>
                    <w:rPr>
                      <w:rFonts w:hint="eastAsia" w:cs="Times New Roman"/>
                      <w:color w:val="auto"/>
                      <w:sz w:val="18"/>
                      <w:szCs w:val="18"/>
                      <w:highlight w:val="none"/>
                      <w:lang w:val="en-US" w:eastAsia="zh-CN"/>
                    </w:rPr>
                    <w:t>59</w:t>
                  </w:r>
                </w:p>
              </w:tc>
              <w:tc>
                <w:tcPr>
                  <w:tcW w:w="501" w:type="pct"/>
                  <w:shd w:val="clear" w:color="auto" w:fill="auto"/>
                  <w:noWrap w:val="0"/>
                  <w:vAlign w:val="center"/>
                </w:tcPr>
                <w:p w14:paraId="05DCFA21">
                  <w:pPr>
                    <w:pStyle w:val="68"/>
                    <w:spacing w:beforeLines="0" w:afterLines="0"/>
                    <w:rPr>
                      <w:rFonts w:hint="default" w:ascii="Times New Roman" w:hAnsi="Times New Roman" w:eastAsia="宋体" w:cs="Times New Roman"/>
                      <w:color w:val="auto"/>
                      <w:kern w:val="2"/>
                      <w:sz w:val="18"/>
                      <w:szCs w:val="18"/>
                      <w:highlight w:val="none"/>
                      <w:lang w:val="en-US" w:eastAsia="zh-CN" w:bidi="ar-SA"/>
                    </w:rPr>
                  </w:pPr>
                  <w:r>
                    <w:rPr>
                      <w:rFonts w:hint="default" w:cs="Times New Roman"/>
                      <w:color w:val="auto"/>
                      <w:sz w:val="18"/>
                      <w:szCs w:val="18"/>
                      <w:highlight w:val="none"/>
                    </w:rPr>
                    <w:t>900-0</w:t>
                  </w:r>
                  <w:r>
                    <w:rPr>
                      <w:rFonts w:hint="eastAsia" w:cs="Times New Roman"/>
                      <w:color w:val="auto"/>
                      <w:sz w:val="18"/>
                      <w:szCs w:val="18"/>
                      <w:highlight w:val="none"/>
                      <w:lang w:val="en-US" w:eastAsia="zh-CN"/>
                    </w:rPr>
                    <w:t>99</w:t>
                  </w:r>
                  <w:r>
                    <w:rPr>
                      <w:rFonts w:hint="default" w:cs="Times New Roman"/>
                      <w:color w:val="auto"/>
                      <w:sz w:val="18"/>
                      <w:szCs w:val="18"/>
                      <w:highlight w:val="none"/>
                    </w:rPr>
                    <w:t>-</w:t>
                  </w:r>
                  <w:r>
                    <w:rPr>
                      <w:rFonts w:hint="eastAsia" w:cs="Times New Roman"/>
                      <w:color w:val="auto"/>
                      <w:sz w:val="18"/>
                      <w:szCs w:val="18"/>
                      <w:highlight w:val="none"/>
                      <w:lang w:val="en-US" w:eastAsia="zh-CN"/>
                    </w:rPr>
                    <w:t>S59</w:t>
                  </w:r>
                </w:p>
              </w:tc>
              <w:tc>
                <w:tcPr>
                  <w:tcW w:w="679" w:type="pct"/>
                  <w:noWrap w:val="0"/>
                  <w:vAlign w:val="center"/>
                </w:tcPr>
                <w:p w14:paraId="2CEB5BA6">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回收外售</w:t>
                  </w:r>
                </w:p>
              </w:tc>
            </w:tr>
            <w:tr w14:paraId="7153A8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277" w:type="pct"/>
                  <w:shd w:val="clear" w:color="auto" w:fill="auto"/>
                  <w:noWrap w:val="0"/>
                  <w:vAlign w:val="center"/>
                </w:tcPr>
                <w:p w14:paraId="38CEF61A">
                  <w:pPr>
                    <w:pStyle w:val="52"/>
                    <w:spacing w:line="240" w:lineRule="auto"/>
                    <w:ind w:left="0" w:leftChars="0" w:right="0" w:rightChars="0"/>
                    <w:rPr>
                      <w:rFonts w:hint="default" w:ascii="Times New Roman" w:hAnsi="Times New Roman" w:eastAsia="宋体" w:cs="Times New Roman"/>
                      <w:color w:val="auto"/>
                      <w:kern w:val="18"/>
                      <w:sz w:val="18"/>
                      <w:szCs w:val="18"/>
                      <w:highlight w:val="none"/>
                      <w:lang w:val="en-US" w:eastAsia="zh-CN" w:bidi="zh-CN"/>
                    </w:rPr>
                  </w:pPr>
                  <w:r>
                    <w:rPr>
                      <w:rFonts w:hint="default" w:ascii="Times New Roman" w:hAnsi="Times New Roman" w:cs="Times New Roman"/>
                      <w:color w:val="auto"/>
                      <w:kern w:val="18"/>
                      <w:sz w:val="18"/>
                      <w:szCs w:val="18"/>
                      <w:highlight w:val="none"/>
                      <w:lang w:val="en-US" w:eastAsia="zh-CN" w:bidi="zh-CN"/>
                    </w:rPr>
                    <w:t>2</w:t>
                  </w:r>
                </w:p>
              </w:tc>
              <w:tc>
                <w:tcPr>
                  <w:tcW w:w="617" w:type="pct"/>
                  <w:shd w:val="clear" w:color="auto" w:fill="auto"/>
                  <w:noWrap w:val="0"/>
                  <w:vAlign w:val="center"/>
                </w:tcPr>
                <w:p w14:paraId="5FC22783">
                  <w:pPr>
                    <w:pStyle w:val="57"/>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废包装</w:t>
                  </w:r>
                </w:p>
              </w:tc>
              <w:tc>
                <w:tcPr>
                  <w:tcW w:w="577" w:type="pct"/>
                  <w:shd w:val="clear" w:color="auto" w:fill="auto"/>
                  <w:noWrap w:val="0"/>
                  <w:vAlign w:val="center"/>
                </w:tcPr>
                <w:p w14:paraId="6EFE4884">
                  <w:pPr>
                    <w:pStyle w:val="57"/>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涂装</w:t>
                  </w:r>
                </w:p>
              </w:tc>
              <w:tc>
                <w:tcPr>
                  <w:tcW w:w="265" w:type="pct"/>
                  <w:shd w:val="clear" w:color="auto" w:fill="auto"/>
                  <w:noWrap w:val="0"/>
                  <w:vAlign w:val="center"/>
                </w:tcPr>
                <w:p w14:paraId="040027DB">
                  <w:pPr>
                    <w:pStyle w:val="51"/>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固</w:t>
                  </w:r>
                </w:p>
              </w:tc>
              <w:tc>
                <w:tcPr>
                  <w:tcW w:w="613" w:type="pct"/>
                  <w:noWrap w:val="0"/>
                  <w:vAlign w:val="center"/>
                </w:tcPr>
                <w:p w14:paraId="7855972D">
                  <w:pPr>
                    <w:pStyle w:val="51"/>
                    <w:ind w:firstLine="0" w:firstLineChars="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铁</w:t>
                  </w:r>
                </w:p>
              </w:tc>
              <w:tc>
                <w:tcPr>
                  <w:tcW w:w="460" w:type="pct"/>
                  <w:noWrap w:val="0"/>
                  <w:vAlign w:val="center"/>
                </w:tcPr>
                <w:p w14:paraId="3C104C7B">
                  <w:pPr>
                    <w:pStyle w:val="52"/>
                    <w:spacing w:line="240" w:lineRule="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w:t>
                  </w:r>
                </w:p>
              </w:tc>
              <w:tc>
                <w:tcPr>
                  <w:tcW w:w="557" w:type="pct"/>
                  <w:vMerge w:val="restart"/>
                  <w:noWrap w:val="0"/>
                  <w:vAlign w:val="center"/>
                </w:tcPr>
                <w:p w14:paraId="16B3C252">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危险废物</w:t>
                  </w:r>
                </w:p>
              </w:tc>
              <w:tc>
                <w:tcPr>
                  <w:tcW w:w="449" w:type="pct"/>
                  <w:noWrap w:val="0"/>
                  <w:vAlign w:val="center"/>
                </w:tcPr>
                <w:p w14:paraId="04CA3FF9">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HW49</w:t>
                  </w:r>
                </w:p>
              </w:tc>
              <w:tc>
                <w:tcPr>
                  <w:tcW w:w="501" w:type="pct"/>
                  <w:noWrap w:val="0"/>
                  <w:vAlign w:val="center"/>
                </w:tcPr>
                <w:p w14:paraId="38D91374">
                  <w:pPr>
                    <w:spacing w:line="240" w:lineRule="auto"/>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900-041-49</w:t>
                  </w:r>
                </w:p>
              </w:tc>
              <w:tc>
                <w:tcPr>
                  <w:tcW w:w="679" w:type="pct"/>
                  <w:vMerge w:val="restart"/>
                  <w:noWrap w:val="0"/>
                  <w:vAlign w:val="center"/>
                </w:tcPr>
                <w:p w14:paraId="6D1872E0">
                  <w:pPr>
                    <w:pStyle w:val="52"/>
                    <w:spacing w:line="240" w:lineRule="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委托有资质单位处置</w:t>
                  </w:r>
                </w:p>
              </w:tc>
            </w:tr>
            <w:tr w14:paraId="5A230A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277" w:type="pct"/>
                  <w:shd w:val="clear" w:color="auto" w:fill="auto"/>
                  <w:noWrap w:val="0"/>
                  <w:vAlign w:val="center"/>
                </w:tcPr>
                <w:p w14:paraId="5C2EDC36">
                  <w:pPr>
                    <w:pStyle w:val="52"/>
                    <w:spacing w:line="240" w:lineRule="auto"/>
                    <w:ind w:left="0" w:leftChars="0" w:right="0" w:rightChars="0"/>
                    <w:rPr>
                      <w:rFonts w:hint="default" w:ascii="Times New Roman" w:hAnsi="Times New Roman" w:eastAsia="宋体" w:cs="Times New Roman"/>
                      <w:color w:val="auto"/>
                      <w:kern w:val="18"/>
                      <w:sz w:val="18"/>
                      <w:szCs w:val="18"/>
                      <w:highlight w:val="none"/>
                      <w:lang w:val="en-US" w:eastAsia="zh-CN" w:bidi="zh-CN"/>
                    </w:rPr>
                  </w:pPr>
                  <w:r>
                    <w:rPr>
                      <w:rFonts w:hint="default" w:ascii="Times New Roman" w:hAnsi="Times New Roman" w:cs="Times New Roman"/>
                      <w:color w:val="auto"/>
                      <w:sz w:val="18"/>
                      <w:szCs w:val="18"/>
                      <w:highlight w:val="none"/>
                      <w:lang w:val="en-US" w:eastAsia="zh-CN"/>
                    </w:rPr>
                    <w:t>3</w:t>
                  </w:r>
                </w:p>
              </w:tc>
              <w:tc>
                <w:tcPr>
                  <w:tcW w:w="617" w:type="pct"/>
                  <w:noWrap w:val="0"/>
                  <w:vAlign w:val="center"/>
                </w:tcPr>
                <w:p w14:paraId="60CAC1F1">
                  <w:pPr>
                    <w:pStyle w:val="57"/>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废活性炭</w:t>
                  </w:r>
                </w:p>
              </w:tc>
              <w:tc>
                <w:tcPr>
                  <w:tcW w:w="577" w:type="pct"/>
                  <w:noWrap w:val="0"/>
                  <w:vAlign w:val="center"/>
                </w:tcPr>
                <w:p w14:paraId="793D9023">
                  <w:pPr>
                    <w:pStyle w:val="57"/>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废气处理</w:t>
                  </w:r>
                </w:p>
              </w:tc>
              <w:tc>
                <w:tcPr>
                  <w:tcW w:w="265" w:type="pct"/>
                  <w:noWrap w:val="0"/>
                  <w:vAlign w:val="center"/>
                </w:tcPr>
                <w:p w14:paraId="09A5B955">
                  <w:pPr>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固</w:t>
                  </w:r>
                </w:p>
              </w:tc>
              <w:tc>
                <w:tcPr>
                  <w:tcW w:w="613" w:type="pct"/>
                  <w:noWrap w:val="0"/>
                  <w:vAlign w:val="center"/>
                </w:tcPr>
                <w:p w14:paraId="35D684B3">
                  <w:pPr>
                    <w:pStyle w:val="51"/>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活性炭</w:t>
                  </w:r>
                </w:p>
              </w:tc>
              <w:tc>
                <w:tcPr>
                  <w:tcW w:w="460" w:type="pct"/>
                  <w:noWrap w:val="0"/>
                  <w:vAlign w:val="center"/>
                </w:tcPr>
                <w:p w14:paraId="33FBC301">
                  <w:pPr>
                    <w:pStyle w:val="52"/>
                    <w:spacing w:line="240" w:lineRule="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31.9041</w:t>
                  </w:r>
                </w:p>
              </w:tc>
              <w:tc>
                <w:tcPr>
                  <w:tcW w:w="557" w:type="pct"/>
                  <w:vMerge w:val="continue"/>
                  <w:noWrap w:val="0"/>
                  <w:vAlign w:val="center"/>
                </w:tcPr>
                <w:p w14:paraId="771BDFF1">
                  <w:pPr>
                    <w:spacing w:line="240" w:lineRule="auto"/>
                    <w:jc w:val="center"/>
                    <w:rPr>
                      <w:rFonts w:hint="default" w:ascii="Times New Roman" w:hAnsi="Times New Roman" w:eastAsia="宋体" w:cs="Times New Roman"/>
                      <w:color w:val="auto"/>
                      <w:sz w:val="18"/>
                      <w:szCs w:val="18"/>
                      <w:highlight w:val="none"/>
                      <w:lang w:eastAsia="zh-CN"/>
                    </w:rPr>
                  </w:pPr>
                </w:p>
              </w:tc>
              <w:tc>
                <w:tcPr>
                  <w:tcW w:w="449" w:type="pct"/>
                  <w:shd w:val="clear" w:color="auto" w:fill="auto"/>
                  <w:noWrap w:val="0"/>
                  <w:vAlign w:val="center"/>
                </w:tcPr>
                <w:p w14:paraId="52F108AC">
                  <w:pPr>
                    <w:keepNext w:val="0"/>
                    <w:keepLines/>
                    <w:pageBreakBefore w:val="0"/>
                    <w:widowControl w:val="0"/>
                    <w:kinsoku/>
                    <w:wordWrap/>
                    <w:bidi w:val="0"/>
                    <w:adjustRightInd w:val="0"/>
                    <w:snapToGrid w:val="0"/>
                    <w:jc w:val="center"/>
                    <w:rPr>
                      <w:rFonts w:hint="default"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z w:val="18"/>
                      <w:szCs w:val="18"/>
                      <w:highlight w:val="none"/>
                    </w:rPr>
                    <w:t>HW49</w:t>
                  </w:r>
                </w:p>
              </w:tc>
              <w:tc>
                <w:tcPr>
                  <w:tcW w:w="501" w:type="pct"/>
                  <w:shd w:val="clear" w:color="auto" w:fill="auto"/>
                  <w:noWrap w:val="0"/>
                  <w:vAlign w:val="center"/>
                </w:tcPr>
                <w:p w14:paraId="0A23D67F">
                  <w:pPr>
                    <w:keepNext w:val="0"/>
                    <w:keepLines/>
                    <w:pageBreakBefore w:val="0"/>
                    <w:widowControl w:val="0"/>
                    <w:kinsoku/>
                    <w:wordWrap/>
                    <w:bidi w:val="0"/>
                    <w:adjustRightInd w:val="0"/>
                    <w:snapToGrid w:val="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900-039-49</w:t>
                  </w:r>
                </w:p>
              </w:tc>
              <w:tc>
                <w:tcPr>
                  <w:tcW w:w="679" w:type="pct"/>
                  <w:vMerge w:val="continue"/>
                  <w:noWrap w:val="0"/>
                  <w:vAlign w:val="center"/>
                </w:tcPr>
                <w:p w14:paraId="6BB3F0F4">
                  <w:pPr>
                    <w:pStyle w:val="52"/>
                    <w:spacing w:line="240" w:lineRule="auto"/>
                    <w:rPr>
                      <w:rFonts w:hint="default" w:ascii="Times New Roman" w:hAnsi="Times New Roman" w:eastAsia="宋体" w:cs="Times New Roman"/>
                      <w:color w:val="auto"/>
                      <w:sz w:val="18"/>
                      <w:szCs w:val="18"/>
                      <w:highlight w:val="none"/>
                      <w:lang w:val="en-US" w:eastAsia="zh-CN"/>
                    </w:rPr>
                  </w:pPr>
                </w:p>
              </w:tc>
            </w:tr>
            <w:tr w14:paraId="5F9878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277" w:type="pct"/>
                  <w:shd w:val="clear" w:color="auto" w:fill="auto"/>
                  <w:noWrap w:val="0"/>
                  <w:vAlign w:val="center"/>
                </w:tcPr>
                <w:p w14:paraId="043CDA34">
                  <w:pPr>
                    <w:pStyle w:val="52"/>
                    <w:spacing w:line="240" w:lineRule="auto"/>
                    <w:ind w:left="0" w:leftChars="0" w:right="0" w:rightChars="0"/>
                    <w:rPr>
                      <w:rFonts w:hint="default" w:ascii="Times New Roman" w:hAnsi="Times New Roman" w:eastAsia="宋体" w:cs="Times New Roman"/>
                      <w:color w:val="auto"/>
                      <w:kern w:val="18"/>
                      <w:sz w:val="18"/>
                      <w:szCs w:val="18"/>
                      <w:highlight w:val="none"/>
                      <w:lang w:val="en-US" w:eastAsia="zh-CN" w:bidi="zh-CN"/>
                    </w:rPr>
                  </w:pPr>
                  <w:r>
                    <w:rPr>
                      <w:rFonts w:hint="default" w:ascii="Times New Roman" w:hAnsi="Times New Roman" w:cs="Times New Roman"/>
                      <w:color w:val="auto"/>
                      <w:sz w:val="18"/>
                      <w:szCs w:val="18"/>
                      <w:highlight w:val="none"/>
                      <w:lang w:val="en-US" w:eastAsia="zh-CN"/>
                    </w:rPr>
                    <w:t>4</w:t>
                  </w:r>
                </w:p>
              </w:tc>
              <w:tc>
                <w:tcPr>
                  <w:tcW w:w="617" w:type="pct"/>
                  <w:noWrap w:val="0"/>
                  <w:vAlign w:val="center"/>
                </w:tcPr>
                <w:p w14:paraId="66D65161">
                  <w:pPr>
                    <w:pStyle w:val="57"/>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废清洗剂</w:t>
                  </w:r>
                </w:p>
              </w:tc>
              <w:tc>
                <w:tcPr>
                  <w:tcW w:w="577" w:type="pct"/>
                  <w:noWrap w:val="0"/>
                  <w:vAlign w:val="center"/>
                </w:tcPr>
                <w:p w14:paraId="440DFBC7">
                  <w:pPr>
                    <w:pStyle w:val="57"/>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清洗</w:t>
                  </w:r>
                </w:p>
              </w:tc>
              <w:tc>
                <w:tcPr>
                  <w:tcW w:w="265" w:type="pct"/>
                  <w:noWrap w:val="0"/>
                  <w:vAlign w:val="center"/>
                </w:tcPr>
                <w:p w14:paraId="37E94820">
                  <w:pPr>
                    <w:pStyle w:val="51"/>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液</w:t>
                  </w:r>
                </w:p>
              </w:tc>
              <w:tc>
                <w:tcPr>
                  <w:tcW w:w="613" w:type="pct"/>
                  <w:noWrap w:val="0"/>
                  <w:vAlign w:val="center"/>
                </w:tcPr>
                <w:p w14:paraId="3B3A8588">
                  <w:pPr>
                    <w:pStyle w:val="51"/>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清洗剂</w:t>
                  </w:r>
                </w:p>
              </w:tc>
              <w:tc>
                <w:tcPr>
                  <w:tcW w:w="460" w:type="pct"/>
                  <w:noWrap w:val="0"/>
                  <w:vAlign w:val="center"/>
                </w:tcPr>
                <w:p w14:paraId="72B25FDB">
                  <w:pPr>
                    <w:pStyle w:val="52"/>
                    <w:spacing w:line="240" w:lineRule="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0.2006</w:t>
                  </w:r>
                </w:p>
              </w:tc>
              <w:tc>
                <w:tcPr>
                  <w:tcW w:w="557" w:type="pct"/>
                  <w:vMerge w:val="continue"/>
                  <w:noWrap w:val="0"/>
                  <w:vAlign w:val="center"/>
                </w:tcPr>
                <w:p w14:paraId="7513940C">
                  <w:pPr>
                    <w:spacing w:line="240" w:lineRule="auto"/>
                    <w:jc w:val="center"/>
                    <w:rPr>
                      <w:rFonts w:hint="default" w:ascii="Times New Roman" w:hAnsi="Times New Roman" w:eastAsia="宋体" w:cs="Times New Roman"/>
                      <w:color w:val="auto"/>
                      <w:sz w:val="18"/>
                      <w:szCs w:val="18"/>
                      <w:highlight w:val="none"/>
                      <w:lang w:eastAsia="zh-CN"/>
                    </w:rPr>
                  </w:pPr>
                </w:p>
              </w:tc>
              <w:tc>
                <w:tcPr>
                  <w:tcW w:w="449" w:type="pct"/>
                  <w:shd w:val="clear" w:color="auto" w:fill="auto"/>
                  <w:noWrap w:val="0"/>
                  <w:vAlign w:val="center"/>
                </w:tcPr>
                <w:p w14:paraId="2539EC66">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HW49</w:t>
                  </w:r>
                </w:p>
              </w:tc>
              <w:tc>
                <w:tcPr>
                  <w:tcW w:w="501" w:type="pct"/>
                  <w:shd w:val="clear" w:color="auto" w:fill="auto"/>
                  <w:noWrap w:val="0"/>
                  <w:vAlign w:val="center"/>
                </w:tcPr>
                <w:p w14:paraId="62F482DD">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900-041-49</w:t>
                  </w:r>
                </w:p>
              </w:tc>
              <w:tc>
                <w:tcPr>
                  <w:tcW w:w="679" w:type="pct"/>
                  <w:vMerge w:val="continue"/>
                  <w:noWrap w:val="0"/>
                  <w:vAlign w:val="center"/>
                </w:tcPr>
                <w:p w14:paraId="0FBB30FC">
                  <w:pPr>
                    <w:pStyle w:val="52"/>
                    <w:spacing w:line="240" w:lineRule="auto"/>
                    <w:rPr>
                      <w:rFonts w:hint="default" w:ascii="Times New Roman" w:hAnsi="Times New Roman" w:eastAsia="宋体" w:cs="Times New Roman"/>
                      <w:color w:val="auto"/>
                      <w:sz w:val="18"/>
                      <w:szCs w:val="18"/>
                      <w:highlight w:val="none"/>
                      <w:lang w:val="en-US" w:eastAsia="zh-CN"/>
                    </w:rPr>
                  </w:pPr>
                </w:p>
              </w:tc>
            </w:tr>
            <w:tr w14:paraId="72E7BF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277" w:type="pct"/>
                  <w:shd w:val="clear" w:color="auto" w:fill="auto"/>
                  <w:noWrap w:val="0"/>
                  <w:vAlign w:val="center"/>
                </w:tcPr>
                <w:p w14:paraId="57A4AA5F">
                  <w:pPr>
                    <w:pStyle w:val="52"/>
                    <w:spacing w:line="240" w:lineRule="auto"/>
                    <w:ind w:left="0" w:leftChars="0" w:right="0" w:rightChars="0"/>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5</w:t>
                  </w:r>
                </w:p>
              </w:tc>
              <w:tc>
                <w:tcPr>
                  <w:tcW w:w="617" w:type="pct"/>
                  <w:shd w:val="clear" w:color="auto" w:fill="auto"/>
                  <w:noWrap w:val="0"/>
                  <w:vAlign w:val="center"/>
                </w:tcPr>
                <w:p w14:paraId="4724D76F">
                  <w:pPr>
                    <w:pStyle w:val="57"/>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漆渣</w:t>
                  </w:r>
                </w:p>
              </w:tc>
              <w:tc>
                <w:tcPr>
                  <w:tcW w:w="577" w:type="pct"/>
                  <w:shd w:val="clear" w:color="auto" w:fill="auto"/>
                  <w:noWrap w:val="0"/>
                  <w:vAlign w:val="center"/>
                </w:tcPr>
                <w:p w14:paraId="061DDA86">
                  <w:pPr>
                    <w:pStyle w:val="57"/>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涂装</w:t>
                  </w:r>
                </w:p>
              </w:tc>
              <w:tc>
                <w:tcPr>
                  <w:tcW w:w="265" w:type="pct"/>
                  <w:shd w:val="clear" w:color="auto" w:fill="auto"/>
                  <w:noWrap w:val="0"/>
                  <w:vAlign w:val="center"/>
                </w:tcPr>
                <w:p w14:paraId="0426ED15">
                  <w:pPr>
                    <w:pStyle w:val="51"/>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固</w:t>
                  </w:r>
                </w:p>
              </w:tc>
              <w:tc>
                <w:tcPr>
                  <w:tcW w:w="613" w:type="pct"/>
                  <w:shd w:val="clear" w:color="auto" w:fill="auto"/>
                  <w:noWrap w:val="0"/>
                  <w:vAlign w:val="center"/>
                </w:tcPr>
                <w:p w14:paraId="64E7A73E">
                  <w:pPr>
                    <w:pStyle w:val="51"/>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漆渣</w:t>
                  </w:r>
                </w:p>
              </w:tc>
              <w:tc>
                <w:tcPr>
                  <w:tcW w:w="460" w:type="pct"/>
                  <w:shd w:val="clear" w:color="auto" w:fill="auto"/>
                  <w:noWrap w:val="0"/>
                  <w:vAlign w:val="center"/>
                </w:tcPr>
                <w:p w14:paraId="1D618357">
                  <w:pPr>
                    <w:pStyle w:val="52"/>
                    <w:spacing w:line="240" w:lineRule="auto"/>
                    <w:rPr>
                      <w:rFonts w:hint="eastAsia"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0.9997‬</w:t>
                  </w:r>
                </w:p>
              </w:tc>
              <w:tc>
                <w:tcPr>
                  <w:tcW w:w="557" w:type="pct"/>
                  <w:vMerge w:val="continue"/>
                  <w:noWrap w:val="0"/>
                  <w:vAlign w:val="center"/>
                </w:tcPr>
                <w:p w14:paraId="29715705">
                  <w:pPr>
                    <w:spacing w:line="240" w:lineRule="auto"/>
                    <w:jc w:val="center"/>
                    <w:rPr>
                      <w:rFonts w:hint="default" w:ascii="Times New Roman" w:hAnsi="Times New Roman" w:eastAsia="宋体" w:cs="Times New Roman"/>
                      <w:color w:val="auto"/>
                      <w:sz w:val="18"/>
                      <w:szCs w:val="18"/>
                      <w:highlight w:val="none"/>
                      <w:lang w:eastAsia="zh-CN"/>
                    </w:rPr>
                  </w:pPr>
                </w:p>
              </w:tc>
              <w:tc>
                <w:tcPr>
                  <w:tcW w:w="449" w:type="pct"/>
                  <w:shd w:val="clear" w:color="auto" w:fill="auto"/>
                  <w:noWrap w:val="0"/>
                  <w:vAlign w:val="center"/>
                </w:tcPr>
                <w:p w14:paraId="602F8BF2">
                  <w:pPr>
                    <w:keepNext w:val="0"/>
                    <w:keepLines/>
                    <w:pageBreakBefore w:val="0"/>
                    <w:widowControl w:val="0"/>
                    <w:kinsoku/>
                    <w:wordWrap/>
                    <w:bidi w:val="0"/>
                    <w:adjustRightInd w:val="0"/>
                    <w:snapToGrid w:val="0"/>
                    <w:jc w:val="center"/>
                    <w:rPr>
                      <w:rFonts w:hint="eastAsia" w:ascii="Times New Roman" w:hAnsi="Times New Roman" w:eastAsia="宋体" w:cs="Times New Roman"/>
                      <w:color w:val="auto"/>
                      <w:spacing w:val="-6"/>
                      <w:kern w:val="44"/>
                      <w:sz w:val="18"/>
                      <w:szCs w:val="18"/>
                      <w:highlight w:val="none"/>
                      <w:lang w:val="en-US" w:eastAsia="zh-CN" w:bidi="ar-SA"/>
                    </w:rPr>
                  </w:pPr>
                  <w:r>
                    <w:rPr>
                      <w:rFonts w:hint="default" w:ascii="Times New Roman" w:hAnsi="Times New Roman" w:cs="Times New Roman"/>
                      <w:color w:val="auto"/>
                      <w:spacing w:val="-6"/>
                      <w:kern w:val="44"/>
                      <w:sz w:val="18"/>
                      <w:szCs w:val="18"/>
                      <w:highlight w:val="none"/>
                    </w:rPr>
                    <w:t>HW12</w:t>
                  </w:r>
                </w:p>
              </w:tc>
              <w:tc>
                <w:tcPr>
                  <w:tcW w:w="501" w:type="pct"/>
                  <w:shd w:val="clear" w:color="auto" w:fill="auto"/>
                  <w:noWrap w:val="0"/>
                  <w:vAlign w:val="center"/>
                </w:tcPr>
                <w:p w14:paraId="68804668">
                  <w:pPr>
                    <w:keepNext w:val="0"/>
                    <w:keepLines/>
                    <w:pageBreakBefore w:val="0"/>
                    <w:widowControl w:val="0"/>
                    <w:kinsoku/>
                    <w:wordWrap/>
                    <w:bidi w:val="0"/>
                    <w:adjustRightInd w:val="0"/>
                    <w:snapToGrid w:val="0"/>
                    <w:jc w:val="center"/>
                    <w:rPr>
                      <w:rFonts w:hint="eastAsia" w:ascii="Times New Roman" w:hAnsi="Times New Roman" w:eastAsia="宋体" w:cs="Times New Roman"/>
                      <w:color w:val="auto"/>
                      <w:spacing w:val="-6"/>
                      <w:kern w:val="44"/>
                      <w:sz w:val="18"/>
                      <w:szCs w:val="18"/>
                      <w:highlight w:val="none"/>
                      <w:lang w:val="en-US" w:eastAsia="zh-CN" w:bidi="ar-SA"/>
                    </w:rPr>
                  </w:pPr>
                  <w:r>
                    <w:rPr>
                      <w:rFonts w:hint="default" w:ascii="Times New Roman" w:hAnsi="Times New Roman" w:cs="Times New Roman"/>
                      <w:color w:val="auto"/>
                      <w:spacing w:val="-6"/>
                      <w:kern w:val="44"/>
                      <w:sz w:val="18"/>
                      <w:szCs w:val="18"/>
                      <w:highlight w:val="none"/>
                    </w:rPr>
                    <w:t>900-252-12</w:t>
                  </w:r>
                </w:p>
              </w:tc>
              <w:tc>
                <w:tcPr>
                  <w:tcW w:w="679" w:type="pct"/>
                  <w:vMerge w:val="continue"/>
                  <w:noWrap w:val="0"/>
                  <w:vAlign w:val="center"/>
                </w:tcPr>
                <w:p w14:paraId="0D24C9B0">
                  <w:pPr>
                    <w:pStyle w:val="52"/>
                    <w:spacing w:line="240" w:lineRule="auto"/>
                    <w:rPr>
                      <w:rFonts w:hint="default" w:ascii="Times New Roman" w:hAnsi="Times New Roman" w:eastAsia="宋体" w:cs="Times New Roman"/>
                      <w:color w:val="auto"/>
                      <w:sz w:val="18"/>
                      <w:szCs w:val="18"/>
                      <w:highlight w:val="none"/>
                      <w:lang w:val="en-US" w:eastAsia="zh-CN"/>
                    </w:rPr>
                  </w:pPr>
                </w:p>
              </w:tc>
            </w:tr>
            <w:tr w14:paraId="49B22C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277" w:type="pct"/>
                  <w:shd w:val="clear" w:color="auto" w:fill="auto"/>
                  <w:noWrap w:val="0"/>
                  <w:vAlign w:val="center"/>
                </w:tcPr>
                <w:p w14:paraId="40A87DC4">
                  <w:pPr>
                    <w:pStyle w:val="52"/>
                    <w:spacing w:line="240" w:lineRule="auto"/>
                    <w:ind w:left="0" w:leftChars="0" w:right="0" w:rightChars="0"/>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6</w:t>
                  </w:r>
                </w:p>
              </w:tc>
              <w:tc>
                <w:tcPr>
                  <w:tcW w:w="617" w:type="pct"/>
                  <w:noWrap w:val="0"/>
                  <w:vAlign w:val="center"/>
                </w:tcPr>
                <w:p w14:paraId="18443D8B">
                  <w:pPr>
                    <w:pStyle w:val="57"/>
                    <w:ind w:firstLine="0" w:firstLineChars="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废过滤棉</w:t>
                  </w:r>
                </w:p>
              </w:tc>
              <w:tc>
                <w:tcPr>
                  <w:tcW w:w="577" w:type="pct"/>
                  <w:noWrap w:val="0"/>
                  <w:vAlign w:val="center"/>
                </w:tcPr>
                <w:p w14:paraId="08EF3B6A">
                  <w:pPr>
                    <w:pStyle w:val="57"/>
                    <w:ind w:firstLine="0" w:firstLineChars="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废气处理</w:t>
                  </w:r>
                </w:p>
              </w:tc>
              <w:tc>
                <w:tcPr>
                  <w:tcW w:w="265" w:type="pct"/>
                  <w:noWrap w:val="0"/>
                  <w:vAlign w:val="center"/>
                </w:tcPr>
                <w:p w14:paraId="0097E6D1">
                  <w:pPr>
                    <w:pStyle w:val="51"/>
                    <w:ind w:firstLine="0" w:firstLineChars="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固</w:t>
                  </w:r>
                </w:p>
              </w:tc>
              <w:tc>
                <w:tcPr>
                  <w:tcW w:w="613" w:type="pct"/>
                  <w:noWrap w:val="0"/>
                  <w:vAlign w:val="center"/>
                </w:tcPr>
                <w:p w14:paraId="473EB397">
                  <w:pPr>
                    <w:pStyle w:val="51"/>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过滤棉</w:t>
                  </w:r>
                </w:p>
              </w:tc>
              <w:tc>
                <w:tcPr>
                  <w:tcW w:w="460" w:type="pct"/>
                  <w:noWrap w:val="0"/>
                  <w:vAlign w:val="center"/>
                </w:tcPr>
                <w:p w14:paraId="57C623F7">
                  <w:pPr>
                    <w:pStyle w:val="52"/>
                    <w:spacing w:line="240" w:lineRule="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1.3908‬‬</w:t>
                  </w:r>
                </w:p>
              </w:tc>
              <w:tc>
                <w:tcPr>
                  <w:tcW w:w="557" w:type="pct"/>
                  <w:vMerge w:val="continue"/>
                  <w:noWrap w:val="0"/>
                  <w:vAlign w:val="center"/>
                </w:tcPr>
                <w:p w14:paraId="1B5A3C93">
                  <w:pPr>
                    <w:spacing w:line="240" w:lineRule="auto"/>
                    <w:jc w:val="center"/>
                    <w:rPr>
                      <w:rFonts w:hint="default" w:ascii="Times New Roman" w:hAnsi="Times New Roman" w:eastAsia="宋体" w:cs="Times New Roman"/>
                      <w:color w:val="auto"/>
                      <w:sz w:val="18"/>
                      <w:szCs w:val="18"/>
                      <w:highlight w:val="none"/>
                      <w:lang w:eastAsia="zh-CN"/>
                    </w:rPr>
                  </w:pPr>
                </w:p>
              </w:tc>
              <w:tc>
                <w:tcPr>
                  <w:tcW w:w="449" w:type="pct"/>
                  <w:shd w:val="clear" w:color="auto" w:fill="auto"/>
                  <w:noWrap w:val="0"/>
                  <w:vAlign w:val="center"/>
                </w:tcPr>
                <w:p w14:paraId="19B45049">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HW49</w:t>
                  </w:r>
                </w:p>
              </w:tc>
              <w:tc>
                <w:tcPr>
                  <w:tcW w:w="501" w:type="pct"/>
                  <w:shd w:val="clear" w:color="auto" w:fill="auto"/>
                  <w:noWrap w:val="0"/>
                  <w:vAlign w:val="center"/>
                </w:tcPr>
                <w:p w14:paraId="154D3AD7">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900-041-49</w:t>
                  </w:r>
                </w:p>
              </w:tc>
              <w:tc>
                <w:tcPr>
                  <w:tcW w:w="679" w:type="pct"/>
                  <w:vMerge w:val="continue"/>
                  <w:shd w:val="clear" w:color="auto" w:fill="auto"/>
                  <w:noWrap w:val="0"/>
                  <w:vAlign w:val="center"/>
                </w:tcPr>
                <w:p w14:paraId="02C361C8">
                  <w:pPr>
                    <w:keepNext w:val="0"/>
                    <w:keepLines/>
                    <w:pageBreakBefore w:val="0"/>
                    <w:widowControl w:val="0"/>
                    <w:kinsoku/>
                    <w:wordWrap/>
                    <w:bidi w:val="0"/>
                    <w:adjustRightInd w:val="0"/>
                    <w:snapToGrid w:val="0"/>
                    <w:jc w:val="center"/>
                    <w:rPr>
                      <w:rFonts w:hint="default" w:ascii="Times New Roman" w:hAnsi="Times New Roman" w:eastAsia="宋体" w:cs="Times New Roman"/>
                      <w:color w:val="auto"/>
                      <w:kern w:val="2"/>
                      <w:sz w:val="18"/>
                      <w:szCs w:val="18"/>
                      <w:highlight w:val="none"/>
                      <w:lang w:val="en-US" w:eastAsia="zh-CN" w:bidi="ar-SA"/>
                    </w:rPr>
                  </w:pPr>
                </w:p>
              </w:tc>
            </w:tr>
            <w:tr w14:paraId="3D9C06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277" w:type="pct"/>
                  <w:shd w:val="clear" w:color="auto" w:fill="auto"/>
                  <w:noWrap w:val="0"/>
                  <w:vAlign w:val="center"/>
                </w:tcPr>
                <w:p w14:paraId="3EDCA712">
                  <w:pPr>
                    <w:pStyle w:val="52"/>
                    <w:spacing w:line="240" w:lineRule="auto"/>
                    <w:ind w:left="0" w:leftChars="0" w:right="0" w:rightChars="0"/>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7</w:t>
                  </w:r>
                </w:p>
              </w:tc>
              <w:tc>
                <w:tcPr>
                  <w:tcW w:w="617" w:type="pct"/>
                  <w:noWrap w:val="0"/>
                  <w:vAlign w:val="center"/>
                </w:tcPr>
                <w:p w14:paraId="27ECA9CF">
                  <w:pPr>
                    <w:pStyle w:val="57"/>
                    <w:ind w:firstLine="0" w:firstLineChars="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废润滑油</w:t>
                  </w:r>
                </w:p>
              </w:tc>
              <w:tc>
                <w:tcPr>
                  <w:tcW w:w="577" w:type="pct"/>
                  <w:noWrap w:val="0"/>
                  <w:vAlign w:val="center"/>
                </w:tcPr>
                <w:p w14:paraId="2EC65847">
                  <w:pPr>
                    <w:pStyle w:val="57"/>
                    <w:ind w:firstLine="0" w:firstLineChars="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设备维护</w:t>
                  </w:r>
                </w:p>
              </w:tc>
              <w:tc>
                <w:tcPr>
                  <w:tcW w:w="265" w:type="pct"/>
                  <w:noWrap w:val="0"/>
                  <w:vAlign w:val="center"/>
                </w:tcPr>
                <w:p w14:paraId="38E203FB">
                  <w:pPr>
                    <w:ind w:firstLine="0" w:firstLineChars="0"/>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固</w:t>
                  </w:r>
                </w:p>
              </w:tc>
              <w:tc>
                <w:tcPr>
                  <w:tcW w:w="613" w:type="pct"/>
                  <w:noWrap w:val="0"/>
                  <w:vAlign w:val="center"/>
                </w:tcPr>
                <w:p w14:paraId="44D40902">
                  <w:pPr>
                    <w:pStyle w:val="51"/>
                    <w:ind w:firstLine="0" w:firstLineChars="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润滑油</w:t>
                  </w:r>
                </w:p>
              </w:tc>
              <w:tc>
                <w:tcPr>
                  <w:tcW w:w="460" w:type="pct"/>
                  <w:noWrap w:val="0"/>
                  <w:vAlign w:val="center"/>
                </w:tcPr>
                <w:p w14:paraId="6D0D846E">
                  <w:pPr>
                    <w:pStyle w:val="52"/>
                    <w:spacing w:line="240" w:lineRule="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0.048</w:t>
                  </w:r>
                </w:p>
              </w:tc>
              <w:tc>
                <w:tcPr>
                  <w:tcW w:w="557" w:type="pct"/>
                  <w:vMerge w:val="continue"/>
                  <w:noWrap w:val="0"/>
                  <w:vAlign w:val="center"/>
                </w:tcPr>
                <w:p w14:paraId="0BFEAC5F">
                  <w:pPr>
                    <w:spacing w:line="240" w:lineRule="auto"/>
                    <w:jc w:val="center"/>
                    <w:rPr>
                      <w:rFonts w:hint="default" w:ascii="Times New Roman" w:hAnsi="Times New Roman" w:eastAsia="宋体" w:cs="Times New Roman"/>
                      <w:color w:val="auto"/>
                      <w:sz w:val="18"/>
                      <w:szCs w:val="18"/>
                      <w:highlight w:val="none"/>
                      <w:lang w:eastAsia="zh-CN"/>
                    </w:rPr>
                  </w:pPr>
                </w:p>
              </w:tc>
              <w:tc>
                <w:tcPr>
                  <w:tcW w:w="449" w:type="pct"/>
                  <w:shd w:val="clear" w:color="auto" w:fill="auto"/>
                  <w:noWrap w:val="0"/>
                  <w:vAlign w:val="center"/>
                </w:tcPr>
                <w:p w14:paraId="464B903B">
                  <w:pPr>
                    <w:spacing w:line="240" w:lineRule="auto"/>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HW08</w:t>
                  </w:r>
                </w:p>
              </w:tc>
              <w:tc>
                <w:tcPr>
                  <w:tcW w:w="501" w:type="pct"/>
                  <w:shd w:val="clear" w:color="auto" w:fill="auto"/>
                  <w:noWrap w:val="0"/>
                  <w:vAlign w:val="center"/>
                </w:tcPr>
                <w:p w14:paraId="48D4E2A1">
                  <w:pPr>
                    <w:spacing w:line="240" w:lineRule="auto"/>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900-217-08</w:t>
                  </w:r>
                </w:p>
              </w:tc>
              <w:tc>
                <w:tcPr>
                  <w:tcW w:w="679" w:type="pct"/>
                  <w:vMerge w:val="continue"/>
                  <w:shd w:val="clear" w:color="auto" w:fill="auto"/>
                  <w:noWrap w:val="0"/>
                  <w:vAlign w:val="center"/>
                </w:tcPr>
                <w:p w14:paraId="6DA0C871">
                  <w:pPr>
                    <w:keepNext w:val="0"/>
                    <w:keepLines/>
                    <w:pageBreakBefore w:val="0"/>
                    <w:widowControl w:val="0"/>
                    <w:kinsoku/>
                    <w:wordWrap/>
                    <w:bidi w:val="0"/>
                    <w:adjustRightInd w:val="0"/>
                    <w:snapToGrid w:val="0"/>
                    <w:jc w:val="center"/>
                    <w:rPr>
                      <w:rFonts w:hint="default" w:ascii="Times New Roman" w:hAnsi="Times New Roman" w:eastAsia="宋体" w:cs="Times New Roman"/>
                      <w:color w:val="auto"/>
                      <w:kern w:val="2"/>
                      <w:sz w:val="18"/>
                      <w:szCs w:val="18"/>
                      <w:highlight w:val="none"/>
                      <w:lang w:val="en-US" w:eastAsia="zh-CN" w:bidi="ar-SA"/>
                    </w:rPr>
                  </w:pPr>
                </w:p>
              </w:tc>
            </w:tr>
            <w:tr w14:paraId="357851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277" w:type="pct"/>
                  <w:shd w:val="clear" w:color="auto" w:fill="auto"/>
                  <w:noWrap w:val="0"/>
                  <w:vAlign w:val="center"/>
                </w:tcPr>
                <w:p w14:paraId="278EC393">
                  <w:pPr>
                    <w:pStyle w:val="52"/>
                    <w:spacing w:line="240" w:lineRule="auto"/>
                    <w:ind w:left="0" w:leftChars="0" w:right="0" w:rightChars="0"/>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8</w:t>
                  </w:r>
                </w:p>
              </w:tc>
              <w:tc>
                <w:tcPr>
                  <w:tcW w:w="617" w:type="pct"/>
                  <w:noWrap w:val="0"/>
                  <w:vAlign w:val="center"/>
                </w:tcPr>
                <w:p w14:paraId="6816FF15">
                  <w:pPr>
                    <w:pStyle w:val="57"/>
                    <w:ind w:firstLine="0" w:firstLineChars="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废紫外灯管</w:t>
                  </w:r>
                </w:p>
              </w:tc>
              <w:tc>
                <w:tcPr>
                  <w:tcW w:w="577" w:type="pct"/>
                  <w:noWrap w:val="0"/>
                  <w:vAlign w:val="center"/>
                </w:tcPr>
                <w:p w14:paraId="75886F41">
                  <w:pPr>
                    <w:pStyle w:val="57"/>
                    <w:ind w:firstLine="0" w:firstLineChars="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灯管更换</w:t>
                  </w:r>
                </w:p>
              </w:tc>
              <w:tc>
                <w:tcPr>
                  <w:tcW w:w="265" w:type="pct"/>
                  <w:noWrap w:val="0"/>
                  <w:vAlign w:val="center"/>
                </w:tcPr>
                <w:p w14:paraId="052DFD4F">
                  <w:pPr>
                    <w:ind w:firstLine="0" w:firstLineChars="0"/>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固</w:t>
                  </w:r>
                </w:p>
              </w:tc>
              <w:tc>
                <w:tcPr>
                  <w:tcW w:w="613" w:type="pct"/>
                  <w:noWrap w:val="0"/>
                  <w:vAlign w:val="center"/>
                </w:tcPr>
                <w:p w14:paraId="083B1876">
                  <w:pPr>
                    <w:pStyle w:val="51"/>
                    <w:ind w:firstLine="0" w:firstLineChars="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紫外灯管</w:t>
                  </w:r>
                </w:p>
              </w:tc>
              <w:tc>
                <w:tcPr>
                  <w:tcW w:w="460" w:type="pct"/>
                  <w:noWrap w:val="0"/>
                  <w:vAlign w:val="center"/>
                </w:tcPr>
                <w:p w14:paraId="1EF3F161">
                  <w:pPr>
                    <w:pStyle w:val="52"/>
                    <w:spacing w:line="240" w:lineRule="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0.06</w:t>
                  </w:r>
                </w:p>
              </w:tc>
              <w:tc>
                <w:tcPr>
                  <w:tcW w:w="557" w:type="pct"/>
                  <w:vMerge w:val="continue"/>
                  <w:noWrap w:val="0"/>
                  <w:vAlign w:val="center"/>
                </w:tcPr>
                <w:p w14:paraId="66E4D4F4">
                  <w:pPr>
                    <w:spacing w:line="240" w:lineRule="auto"/>
                    <w:jc w:val="center"/>
                    <w:rPr>
                      <w:rFonts w:hint="default" w:ascii="Times New Roman" w:hAnsi="Times New Roman" w:eastAsia="宋体" w:cs="Times New Roman"/>
                      <w:color w:val="auto"/>
                      <w:sz w:val="18"/>
                      <w:szCs w:val="18"/>
                      <w:highlight w:val="none"/>
                      <w:lang w:eastAsia="zh-CN"/>
                    </w:rPr>
                  </w:pPr>
                </w:p>
              </w:tc>
              <w:tc>
                <w:tcPr>
                  <w:tcW w:w="449" w:type="pct"/>
                  <w:shd w:val="clear" w:color="auto" w:fill="auto"/>
                  <w:noWrap w:val="0"/>
                  <w:vAlign w:val="center"/>
                </w:tcPr>
                <w:p w14:paraId="341A3889">
                  <w:pPr>
                    <w:spacing w:line="240" w:lineRule="auto"/>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HW29</w:t>
                  </w:r>
                </w:p>
              </w:tc>
              <w:tc>
                <w:tcPr>
                  <w:tcW w:w="501" w:type="pct"/>
                  <w:shd w:val="clear" w:color="auto" w:fill="auto"/>
                  <w:noWrap w:val="0"/>
                  <w:vAlign w:val="center"/>
                </w:tcPr>
                <w:p w14:paraId="749A05C4">
                  <w:pPr>
                    <w:spacing w:line="240" w:lineRule="auto"/>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900-023-29</w:t>
                  </w:r>
                </w:p>
              </w:tc>
              <w:tc>
                <w:tcPr>
                  <w:tcW w:w="679" w:type="pct"/>
                  <w:vMerge w:val="continue"/>
                  <w:shd w:val="clear" w:color="auto" w:fill="auto"/>
                  <w:noWrap w:val="0"/>
                  <w:vAlign w:val="center"/>
                </w:tcPr>
                <w:p w14:paraId="1A6E49D6">
                  <w:pPr>
                    <w:keepNext w:val="0"/>
                    <w:keepLines/>
                    <w:pageBreakBefore w:val="0"/>
                    <w:widowControl w:val="0"/>
                    <w:kinsoku/>
                    <w:wordWrap/>
                    <w:bidi w:val="0"/>
                    <w:adjustRightInd w:val="0"/>
                    <w:snapToGrid w:val="0"/>
                    <w:jc w:val="center"/>
                    <w:rPr>
                      <w:rFonts w:hint="default" w:ascii="Times New Roman" w:hAnsi="Times New Roman" w:eastAsia="宋体" w:cs="Times New Roman"/>
                      <w:color w:val="auto"/>
                      <w:kern w:val="2"/>
                      <w:sz w:val="18"/>
                      <w:szCs w:val="18"/>
                      <w:highlight w:val="none"/>
                      <w:lang w:val="en-US" w:eastAsia="zh-CN" w:bidi="ar-SA"/>
                    </w:rPr>
                  </w:pPr>
                </w:p>
              </w:tc>
            </w:tr>
          </w:tbl>
          <w:p w14:paraId="7FD0D63B">
            <w:pPr>
              <w:pStyle w:val="5"/>
              <w:bidi w:val="0"/>
              <w:ind w:left="0" w:leftChars="0" w:firstLine="0" w:firstLineChars="0"/>
              <w:rPr>
                <w:rFonts w:hint="default"/>
                <w:color w:val="auto"/>
                <w:lang w:val="en-US" w:eastAsia="zh-CN"/>
              </w:rPr>
            </w:pPr>
            <w:r>
              <w:rPr>
                <w:rFonts w:hint="eastAsia"/>
                <w:color w:val="auto"/>
                <w:lang w:val="en-US" w:eastAsia="zh-CN"/>
              </w:rPr>
              <w:t>本项目固废产生量核算如下：</w:t>
            </w:r>
          </w:p>
          <w:p w14:paraId="6987B35E">
            <w:pPr>
              <w:pStyle w:val="5"/>
              <w:keepNext/>
              <w:keepLines/>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 w:val="0"/>
                <w:bCs w:val="0"/>
                <w:color w:val="auto"/>
                <w:lang w:val="en-US" w:eastAsia="zh-CN"/>
              </w:rPr>
            </w:pPr>
            <w:r>
              <w:rPr>
                <w:rFonts w:hint="default" w:ascii="Times New Roman" w:hAnsi="Times New Roman" w:cs="Times New Roman"/>
                <w:b w:val="0"/>
                <w:bCs w:val="0"/>
                <w:color w:val="auto"/>
                <w:lang w:eastAsia="zh-CN"/>
              </w:rPr>
              <w:t>（</w:t>
            </w:r>
            <w:r>
              <w:rPr>
                <w:rFonts w:hint="default" w:ascii="Times New Roman" w:hAnsi="Times New Roman" w:cs="Times New Roman"/>
                <w:b w:val="0"/>
                <w:bCs w:val="0"/>
                <w:color w:val="auto"/>
                <w:lang w:val="en-US" w:eastAsia="zh-CN"/>
              </w:rPr>
              <w:t>1</w:t>
            </w:r>
            <w:r>
              <w:rPr>
                <w:rFonts w:hint="default" w:ascii="Times New Roman" w:hAnsi="Times New Roman" w:cs="Times New Roman"/>
                <w:b w:val="0"/>
                <w:bCs w:val="0"/>
                <w:color w:val="auto"/>
                <w:lang w:eastAsia="zh-CN"/>
              </w:rPr>
              <w:t>）</w:t>
            </w:r>
            <w:r>
              <w:rPr>
                <w:rFonts w:hint="eastAsia"/>
                <w:b w:val="0"/>
                <w:bCs w:val="0"/>
                <w:color w:val="auto"/>
                <w:szCs w:val="24"/>
                <w:lang w:val="en-US" w:eastAsia="zh-CN"/>
              </w:rPr>
              <w:t>不合格品：根据企业提供资料，不合格品约占2%，项目产品量约为239.88t/a，则产生不合格品4.7976‬t/a，回收后外售处置；</w:t>
            </w:r>
          </w:p>
          <w:p w14:paraId="6E168A41">
            <w:pPr>
              <w:pStyle w:val="5"/>
              <w:keepNext/>
              <w:keepLines/>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eastAsia="zh-CN"/>
              </w:rPr>
              <w:t>（</w:t>
            </w:r>
            <w:r>
              <w:rPr>
                <w:rFonts w:hint="default" w:ascii="Times New Roman" w:hAnsi="Times New Roman" w:eastAsia="宋体" w:cs="Times New Roman"/>
                <w:b w:val="0"/>
                <w:bCs w:val="0"/>
                <w:color w:val="auto"/>
                <w:lang w:val="en-US" w:eastAsia="zh-CN"/>
              </w:rPr>
              <w:t>2</w:t>
            </w:r>
            <w:r>
              <w:rPr>
                <w:rFonts w:hint="default" w:ascii="Times New Roman" w:hAnsi="Times New Roman" w:eastAsia="宋体" w:cs="Times New Roman"/>
                <w:b w:val="0"/>
                <w:bCs w:val="0"/>
                <w:color w:val="auto"/>
                <w:lang w:eastAsia="zh-CN"/>
              </w:rPr>
              <w:t>）</w:t>
            </w:r>
            <w:r>
              <w:rPr>
                <w:rFonts w:hint="eastAsia" w:cs="Times New Roman"/>
                <w:b w:val="0"/>
                <w:bCs w:val="0"/>
                <w:color w:val="auto"/>
                <w:lang w:val="en-US" w:eastAsia="zh-CN"/>
              </w:rPr>
              <w:t>废包装</w:t>
            </w:r>
            <w:r>
              <w:rPr>
                <w:rFonts w:hint="eastAsia" w:ascii="Times New Roman" w:hAnsi="Times New Roman" w:eastAsia="宋体" w:cs="Times New Roman"/>
                <w:b w:val="0"/>
                <w:bCs w:val="0"/>
                <w:color w:val="auto"/>
                <w:lang w:val="en-US" w:eastAsia="zh-CN"/>
              </w:rPr>
              <w:t>：</w:t>
            </w:r>
            <w:r>
              <w:rPr>
                <w:rFonts w:hint="eastAsia" w:cs="Times New Roman"/>
                <w:b w:val="0"/>
                <w:bCs w:val="0"/>
                <w:color w:val="auto"/>
                <w:highlight w:val="none"/>
                <w:lang w:val="en-US" w:eastAsia="zh-CN"/>
              </w:rPr>
              <w:t>本项目使用有机硅硬质涂层、防雾涂料均为桶装，每年约产生200个废包装桶，单个包装桶约5kg，则产生废包装约1t/a</w:t>
            </w:r>
            <w:r>
              <w:rPr>
                <w:rFonts w:hint="eastAsia" w:cs="Times New Roman"/>
                <w:b w:val="0"/>
                <w:bCs w:val="0"/>
                <w:color w:val="auto"/>
                <w:lang w:val="en-US" w:eastAsia="zh-CN"/>
              </w:rPr>
              <w:t>，委托有资质单位处置</w:t>
            </w:r>
            <w:r>
              <w:rPr>
                <w:rFonts w:hint="eastAsia" w:cs="Times New Roman"/>
                <w:b w:val="0"/>
                <w:bCs w:val="0"/>
                <w:color w:val="auto"/>
                <w:highlight w:val="none"/>
                <w:lang w:val="en-US" w:eastAsia="zh-CN"/>
              </w:rPr>
              <w:t>；</w:t>
            </w:r>
          </w:p>
          <w:p w14:paraId="1BBA2032">
            <w:pPr>
              <w:keepNext w:val="0"/>
              <w:keepLines w:val="0"/>
              <w:pageBreakBefore w:val="0"/>
              <w:widowControl w:val="0"/>
              <w:kinsoku/>
              <w:wordWrap/>
              <w:overflowPunct/>
              <w:topLinePunct w:val="0"/>
              <w:autoSpaceDE/>
              <w:autoSpaceDN/>
              <w:bidi w:val="0"/>
              <w:spacing w:line="360" w:lineRule="auto"/>
              <w:jc w:val="left"/>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eastAsia="zh-CN"/>
              </w:rPr>
              <w:t>（</w:t>
            </w:r>
            <w:r>
              <w:rPr>
                <w:rFonts w:hint="default" w:ascii="Times New Roman" w:hAnsi="Times New Roman" w:eastAsia="宋体" w:cs="Times New Roman"/>
                <w:b w:val="0"/>
                <w:bCs w:val="0"/>
                <w:color w:val="auto"/>
                <w:lang w:val="en-US" w:eastAsia="zh-CN"/>
              </w:rPr>
              <w:t>3</w:t>
            </w:r>
            <w:r>
              <w:rPr>
                <w:rFonts w:hint="default" w:ascii="Times New Roman" w:hAnsi="Times New Roman" w:eastAsia="宋体" w:cs="Times New Roman"/>
                <w:b w:val="0"/>
                <w:bCs w:val="0"/>
                <w:color w:val="auto"/>
                <w:lang w:eastAsia="zh-CN"/>
              </w:rPr>
              <w:t>）</w:t>
            </w:r>
            <w:r>
              <w:rPr>
                <w:rFonts w:hint="eastAsia" w:cs="Times New Roman"/>
                <w:b w:val="0"/>
                <w:bCs w:val="0"/>
                <w:color w:val="auto"/>
                <w:lang w:val="en-US" w:eastAsia="zh-CN"/>
              </w:rPr>
              <w:t>废活性炭：</w:t>
            </w:r>
            <w:r>
              <w:rPr>
                <w:rFonts w:hint="default" w:ascii="Times New Roman" w:hAnsi="Times New Roman" w:cs="Times New Roman"/>
                <w:color w:val="auto"/>
                <w:u w:val="none"/>
                <w:lang w:val="en-US" w:eastAsia="zh-CN"/>
              </w:rPr>
              <w:t>本项目活性炭吸附的有机废气量为</w:t>
            </w:r>
            <w:r>
              <w:rPr>
                <w:rFonts w:hint="eastAsia" w:cs="Times New Roman"/>
                <w:color w:val="auto"/>
                <w:u w:val="none"/>
                <w:lang w:val="en-US" w:eastAsia="zh-CN"/>
              </w:rPr>
              <w:t>2.6256‬</w:t>
            </w:r>
            <w:r>
              <w:rPr>
                <w:rFonts w:hint="default" w:ascii="Times New Roman" w:hAnsi="Times New Roman" w:cs="Times New Roman"/>
                <w:color w:val="auto"/>
                <w:u w:val="none"/>
                <w:lang w:val="en-US" w:eastAsia="zh-CN"/>
              </w:rPr>
              <w:t>t/a，</w:t>
            </w:r>
            <w:r>
              <w:rPr>
                <w:rFonts w:hint="eastAsia" w:cs="Times New Roman"/>
                <w:color w:val="auto"/>
                <w:u w:val="none"/>
                <w:lang w:val="en-US" w:eastAsia="zh-CN"/>
              </w:rPr>
              <w:t>DA016</w:t>
            </w:r>
            <w:r>
              <w:rPr>
                <w:rFonts w:hint="default" w:ascii="Times New Roman" w:hAnsi="Times New Roman" w:eastAsia="宋体" w:cs="Times New Roman"/>
                <w:color w:val="auto"/>
                <w:u w:val="none"/>
                <w:lang w:val="en-US" w:eastAsia="zh-CN"/>
              </w:rPr>
              <w:t>排气筒</w:t>
            </w:r>
            <w:r>
              <w:rPr>
                <w:rFonts w:hint="default" w:ascii="Times New Roman" w:hAnsi="Times New Roman" w:eastAsia="宋体" w:cs="Times New Roman"/>
                <w:color w:val="auto"/>
                <w:u w:val="none"/>
              </w:rPr>
              <w:t>活性炭吸附装置活性炭总装填量约</w:t>
            </w:r>
            <w:r>
              <w:rPr>
                <w:rFonts w:hint="eastAsia" w:cs="Times New Roman"/>
                <w:color w:val="auto"/>
                <w:u w:val="none"/>
                <w:lang w:val="en-US" w:eastAsia="zh-CN"/>
              </w:rPr>
              <w:t>3.24‬</w:t>
            </w:r>
            <w:r>
              <w:rPr>
                <w:rFonts w:hint="eastAsia" w:ascii="Times New Roman" w:hAnsi="Times New Roman" w:cs="Times New Roman"/>
                <w:color w:val="auto"/>
                <w:u w:val="none"/>
                <w:lang w:val="en-US" w:eastAsia="zh-CN"/>
              </w:rPr>
              <w:t>t</w:t>
            </w:r>
            <w:r>
              <w:rPr>
                <w:rFonts w:hint="default" w:ascii="Times New Roman" w:hAnsi="Times New Roman" w:eastAsia="宋体" w:cs="Times New Roman"/>
                <w:color w:val="auto"/>
                <w:u w:val="none"/>
              </w:rPr>
              <w:t>，</w:t>
            </w:r>
            <w:r>
              <w:rPr>
                <w:rFonts w:hint="eastAsia" w:cs="宋体"/>
                <w:color w:val="auto"/>
                <w:spacing w:val="0"/>
                <w:w w:val="100"/>
                <w:sz w:val="21"/>
                <w:u w:val="none"/>
                <w:lang w:val="en-US" w:eastAsia="zh-CN"/>
              </w:rPr>
              <w:t>年更换9次</w:t>
            </w:r>
            <w:r>
              <w:rPr>
                <w:rFonts w:hint="eastAsia" w:ascii="Times New Roman" w:hAnsi="Times New Roman" w:cs="Times New Roman"/>
                <w:color w:val="auto"/>
                <w:u w:val="none"/>
                <w:lang w:val="en-US" w:eastAsia="zh-CN"/>
              </w:rPr>
              <w:t>，</w:t>
            </w:r>
            <w:r>
              <w:rPr>
                <w:rFonts w:hint="eastAsia" w:cs="宋体"/>
                <w:color w:val="auto"/>
                <w:spacing w:val="0"/>
                <w:w w:val="100"/>
                <w:sz w:val="21"/>
                <w:u w:val="none"/>
                <w:lang w:val="en-US" w:eastAsia="zh-CN"/>
              </w:rPr>
              <w:t>则产生废活性炭31.7856‬t/a</w:t>
            </w:r>
            <w:r>
              <w:rPr>
                <w:rFonts w:hint="eastAsia" w:cs="Times New Roman"/>
                <w:b w:val="0"/>
                <w:bCs w:val="0"/>
                <w:color w:val="auto"/>
                <w:lang w:val="en-US" w:eastAsia="zh-CN"/>
              </w:rPr>
              <w:t>；现有</w:t>
            </w:r>
            <w:r>
              <w:rPr>
                <w:rFonts w:hint="eastAsia" w:ascii="Times New Roman" w:hAnsi="Times New Roman" w:eastAsia="宋体" w:cs="Times New Roman"/>
                <w:color w:val="auto"/>
                <w:kern w:val="2"/>
                <w:sz w:val="21"/>
                <w:szCs w:val="21"/>
                <w:lang w:val="en-US" w:eastAsia="zh-CN" w:bidi="zh-CN"/>
              </w:rPr>
              <w:t>危废仓库产生废气为0.</w:t>
            </w:r>
            <w:r>
              <w:rPr>
                <w:rFonts w:hint="eastAsia" w:cs="Times New Roman"/>
                <w:color w:val="auto"/>
                <w:kern w:val="2"/>
                <w:sz w:val="21"/>
                <w:szCs w:val="21"/>
                <w:lang w:val="en-US" w:eastAsia="zh-CN" w:bidi="zh-CN"/>
              </w:rPr>
              <w:t>2116</w:t>
            </w:r>
            <w:r>
              <w:rPr>
                <w:rFonts w:hint="eastAsia" w:ascii="Times New Roman" w:hAnsi="Times New Roman" w:eastAsia="宋体" w:cs="Times New Roman"/>
                <w:color w:val="auto"/>
                <w:kern w:val="2"/>
                <w:sz w:val="21"/>
                <w:szCs w:val="21"/>
                <w:lang w:val="en-US" w:eastAsia="zh-CN" w:bidi="zh-CN"/>
              </w:rPr>
              <w:t>t/a，</w:t>
            </w:r>
            <w:r>
              <w:rPr>
                <w:rFonts w:hint="eastAsia" w:cs="Times New Roman"/>
                <w:b w:val="0"/>
                <w:bCs w:val="0"/>
                <w:color w:val="auto"/>
                <w:lang w:val="en-US" w:eastAsia="zh-CN"/>
              </w:rPr>
              <w:t>1kg活性炭可吸附约0.3kg有机废气，</w:t>
            </w:r>
            <w:r>
              <w:rPr>
                <w:rFonts w:hint="eastAsia"/>
                <w:color w:val="auto"/>
                <w:lang w:val="en-US" w:eastAsia="zh-CN"/>
              </w:rPr>
              <w:t>DA010现有活性炭吸附装置年使用活性炭量为1t/a，则可吸附废气约0.3t/a，</w:t>
            </w:r>
            <w:r>
              <w:rPr>
                <w:rFonts w:hint="eastAsia" w:cs="Times New Roman"/>
                <w:b w:val="0"/>
                <w:bCs w:val="0"/>
                <w:color w:val="auto"/>
                <w:lang w:val="en-US" w:eastAsia="zh-CN"/>
              </w:rPr>
              <w:t>本项目危废仓库新增</w:t>
            </w:r>
            <w:r>
              <w:rPr>
                <w:rFonts w:hint="eastAsia" w:ascii="Times New Roman" w:hAnsi="Times New Roman" w:eastAsia="宋体" w:cs="Times New Roman"/>
                <w:color w:val="auto"/>
                <w:kern w:val="2"/>
                <w:sz w:val="21"/>
                <w:szCs w:val="21"/>
                <w:lang w:val="en-US" w:eastAsia="zh-CN" w:bidi="zh-CN"/>
              </w:rPr>
              <w:t>非甲烷总烃产生量为0.0178t/a，</w:t>
            </w:r>
            <w:r>
              <w:rPr>
                <w:rFonts w:hint="eastAsia"/>
                <w:color w:val="auto"/>
                <w:lang w:val="en-US" w:eastAsia="zh-CN"/>
              </w:rPr>
              <w:t>DA010现有活性炭吸附装置已吸附非甲烷总烃0.1185t/a，因此DA010现有活性炭吸附装置可以满足危废仓库新增废气的吸收，无需新增活性炭，活性炭更换频率无变化，则DA010新增废活性炭排放量等于DA010吸附废气量，因此本项目共计产生废活性炭31.9041t/a，</w:t>
            </w:r>
            <w:r>
              <w:rPr>
                <w:rFonts w:hint="eastAsia" w:cs="Times New Roman"/>
                <w:b w:val="0"/>
                <w:bCs w:val="0"/>
                <w:color w:val="auto"/>
                <w:lang w:val="en-US" w:eastAsia="zh-CN"/>
              </w:rPr>
              <w:t>委托有资质单位处置</w:t>
            </w:r>
            <w:r>
              <w:rPr>
                <w:rFonts w:hint="eastAsia"/>
                <w:color w:val="auto"/>
                <w:lang w:val="en-US" w:eastAsia="zh-CN"/>
              </w:rPr>
              <w:t>；</w:t>
            </w:r>
          </w:p>
          <w:p w14:paraId="2F43E0CB">
            <w:pPr>
              <w:pStyle w:val="5"/>
              <w:keepNext/>
              <w:keepLines/>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eastAsia="zh-CN"/>
              </w:rPr>
              <w:t>（</w:t>
            </w:r>
            <w:r>
              <w:rPr>
                <w:rFonts w:hint="eastAsia" w:ascii="Times New Roman" w:hAnsi="Times New Roman" w:eastAsia="宋体" w:cs="Times New Roman"/>
                <w:b w:val="0"/>
                <w:bCs w:val="0"/>
                <w:color w:val="auto"/>
                <w:lang w:val="en-US" w:eastAsia="zh-CN"/>
              </w:rPr>
              <w:t>4</w:t>
            </w:r>
            <w:r>
              <w:rPr>
                <w:rFonts w:hint="eastAsia" w:ascii="Times New Roman" w:hAnsi="Times New Roman" w:eastAsia="宋体" w:cs="Times New Roman"/>
                <w:b w:val="0"/>
                <w:bCs w:val="0"/>
                <w:color w:val="auto"/>
                <w:lang w:eastAsia="zh-CN"/>
              </w:rPr>
              <w:t>）</w:t>
            </w:r>
            <w:r>
              <w:rPr>
                <w:rFonts w:hint="eastAsia" w:cs="Times New Roman"/>
                <w:b w:val="0"/>
                <w:bCs w:val="0"/>
                <w:color w:val="auto"/>
                <w:lang w:val="en-US" w:eastAsia="zh-CN"/>
              </w:rPr>
              <w:t>废清洗剂：根据企业资料，清洗剂用量为0.5t/a，计算可得，清洗废气</w:t>
            </w:r>
            <w:r>
              <w:rPr>
                <w:rFonts w:hint="eastAsia" w:cs="Times New Roman"/>
                <w:color w:val="auto"/>
                <w:sz w:val="21"/>
                <w:szCs w:val="21"/>
                <w:highlight w:val="none"/>
                <w:lang w:val="en-US" w:eastAsia="zh-CN"/>
              </w:rPr>
              <w:t>0.2994t/a，</w:t>
            </w:r>
            <w:r>
              <w:rPr>
                <w:rFonts w:hint="eastAsia" w:cs="Times New Roman"/>
                <w:b w:val="0"/>
                <w:bCs w:val="0"/>
                <w:color w:val="auto"/>
                <w:lang w:val="en-US" w:eastAsia="zh-CN"/>
              </w:rPr>
              <w:t>则产生废清洗剂0.2006t/a，委托有资质单位处置</w:t>
            </w:r>
            <w:r>
              <w:rPr>
                <w:rFonts w:hint="eastAsia" w:ascii="Times New Roman" w:hAnsi="Times New Roman" w:eastAsia="宋体" w:cs="Times New Roman"/>
                <w:b w:val="0"/>
                <w:bCs w:val="0"/>
                <w:color w:val="auto"/>
                <w:lang w:val="en-US" w:eastAsia="zh-CN"/>
              </w:rPr>
              <w:t>；</w:t>
            </w:r>
          </w:p>
          <w:p w14:paraId="20C808F4">
            <w:pPr>
              <w:pStyle w:val="5"/>
              <w:keepNext/>
              <w:keepLines/>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cs="Times New Roman"/>
                <w:b w:val="0"/>
                <w:bCs w:val="0"/>
                <w:color w:val="auto"/>
                <w:lang w:val="en-US" w:eastAsia="zh-CN"/>
              </w:rPr>
            </w:pPr>
            <w:r>
              <w:rPr>
                <w:rFonts w:hint="eastAsia" w:ascii="Times New Roman" w:hAnsi="Times New Roman" w:eastAsia="宋体" w:cs="Times New Roman"/>
                <w:b w:val="0"/>
                <w:bCs w:val="0"/>
                <w:color w:val="auto"/>
                <w:lang w:val="en-US" w:eastAsia="zh-CN"/>
              </w:rPr>
              <w:t>（5）</w:t>
            </w:r>
            <w:r>
              <w:rPr>
                <w:rFonts w:hint="eastAsia" w:cs="Times New Roman"/>
                <w:b w:val="0"/>
                <w:bCs w:val="0"/>
                <w:color w:val="auto"/>
                <w:lang w:val="en-US" w:eastAsia="zh-CN"/>
              </w:rPr>
              <w:t>漆渣：漆渣年产生量为0.9997‬t/a，委托有资质单位处置；</w:t>
            </w:r>
          </w:p>
          <w:p w14:paraId="0DB37CF4">
            <w:pPr>
              <w:pStyle w:val="5"/>
              <w:keepNext/>
              <w:keepLines/>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cs="Times New Roman"/>
                <w:b w:val="0"/>
                <w:bCs w:val="0"/>
                <w:color w:val="auto"/>
                <w:lang w:val="en-US" w:eastAsia="zh-CN"/>
              </w:rPr>
            </w:pPr>
            <w:r>
              <w:rPr>
                <w:rFonts w:hint="eastAsia" w:cs="Times New Roman"/>
                <w:b w:val="0"/>
                <w:bCs w:val="0"/>
                <w:color w:val="auto"/>
                <w:lang w:val="en-US" w:eastAsia="zh-CN"/>
              </w:rPr>
              <w:t>（6）废过滤棉：根据企业资料，过滤棉用量为0.5t/a，吸附颗粒物0.8908t/a，则产生废过滤棉1.3908‬‬t/a，委托有资质单位处置。</w:t>
            </w:r>
          </w:p>
          <w:p w14:paraId="62BB9DE3">
            <w:pPr>
              <w:pStyle w:val="5"/>
              <w:keepNext/>
              <w:keepLines/>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cs="Times New Roman"/>
                <w:b w:val="0"/>
                <w:bCs w:val="0"/>
                <w:color w:val="auto"/>
                <w:lang w:val="en-US" w:eastAsia="zh-CN"/>
              </w:rPr>
            </w:pPr>
            <w:r>
              <w:rPr>
                <w:rFonts w:hint="eastAsia" w:cs="Times New Roman"/>
                <w:b w:val="0"/>
                <w:bCs w:val="0"/>
                <w:color w:val="auto"/>
                <w:lang w:val="en-US" w:eastAsia="zh-CN"/>
              </w:rPr>
              <w:t>（7）废润滑油：根据企业提供资料，项目产生废润滑油约4kg/月，则共产生废润滑油0.048t/a，委托有资质单位处置。</w:t>
            </w:r>
          </w:p>
          <w:p w14:paraId="6BFD0F76">
            <w:pPr>
              <w:pStyle w:val="5"/>
              <w:keepNext/>
              <w:keepLines/>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（8）废紫外灯管：根据企业提供资料，项目每月更换2支紫外灯管，单支紫外灯管约2.5kg，则产生废紫外灯管0.06t/a，委托有资质单位处置。</w:t>
            </w:r>
          </w:p>
          <w:p w14:paraId="560B6DA3">
            <w:pPr>
              <w:pStyle w:val="4"/>
              <w:bidi w:val="0"/>
              <w:rPr>
                <w:rFonts w:hint="default" w:ascii="Times New Roman" w:hAnsi="Times New Roman" w:cs="Times New Roman"/>
                <w:color w:val="auto"/>
                <w:lang w:val="en-US" w:eastAsia="zh-CN"/>
              </w:rPr>
            </w:pPr>
            <w:r>
              <w:rPr>
                <w:rFonts w:hint="eastAsia" w:cs="Times New Roman"/>
                <w:color w:val="auto"/>
                <w:lang w:val="en-US" w:eastAsia="zh-CN"/>
              </w:rPr>
              <w:t>2</w:t>
            </w:r>
            <w:r>
              <w:rPr>
                <w:rFonts w:hint="default" w:ascii="Times New Roman" w:hAnsi="Times New Roman" w:cs="Times New Roman"/>
                <w:color w:val="auto"/>
                <w:lang w:val="en-US" w:eastAsia="zh-CN"/>
              </w:rPr>
              <w:t>、危险废物</w:t>
            </w:r>
          </w:p>
          <w:p w14:paraId="62D5D76B">
            <w:pPr>
              <w:spacing w:line="240" w:lineRule="auto"/>
              <w:ind w:firstLine="482"/>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表4-</w:t>
            </w:r>
            <w:r>
              <w:rPr>
                <w:rFonts w:hint="eastAsia" w:cs="Times New Roman"/>
                <w:b/>
                <w:color w:val="auto"/>
                <w:sz w:val="21"/>
                <w:szCs w:val="21"/>
                <w:highlight w:val="none"/>
                <w:lang w:val="en-US" w:eastAsia="zh-CN"/>
              </w:rPr>
              <w:t>19</w:t>
            </w:r>
            <w:r>
              <w:rPr>
                <w:rFonts w:hint="default" w:ascii="Times New Roman" w:hAnsi="Times New Roman" w:cs="Times New Roman"/>
                <w:b/>
                <w:color w:val="auto"/>
                <w:sz w:val="21"/>
                <w:szCs w:val="21"/>
                <w:highlight w:val="none"/>
              </w:rPr>
              <w:t xml:space="preserve"> </w:t>
            </w:r>
            <w:r>
              <w:rPr>
                <w:rFonts w:hint="eastAsia" w:ascii="Times New Roman" w:hAnsi="Times New Roman" w:cs="Times New Roman"/>
                <w:b/>
                <w:color w:val="auto"/>
                <w:sz w:val="21"/>
                <w:szCs w:val="21"/>
                <w:highlight w:val="none"/>
                <w:lang w:val="en-US" w:eastAsia="zh-CN"/>
              </w:rPr>
              <w:t>本</w:t>
            </w:r>
            <w:r>
              <w:rPr>
                <w:rFonts w:hint="default" w:ascii="Times New Roman" w:hAnsi="Times New Roman" w:cs="Times New Roman"/>
                <w:b/>
                <w:color w:val="auto"/>
                <w:sz w:val="21"/>
                <w:szCs w:val="21"/>
                <w:highlight w:val="none"/>
              </w:rPr>
              <w:t>项目危险废物汇总表</w:t>
            </w:r>
          </w:p>
          <w:tbl>
            <w:tblPr>
              <w:tblStyle w:val="20"/>
              <w:tblW w:w="493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8"/>
              <w:gridCol w:w="846"/>
              <w:gridCol w:w="804"/>
              <w:gridCol w:w="825"/>
              <w:gridCol w:w="780"/>
              <w:gridCol w:w="735"/>
              <w:gridCol w:w="555"/>
              <w:gridCol w:w="720"/>
              <w:gridCol w:w="643"/>
              <w:gridCol w:w="634"/>
              <w:gridCol w:w="974"/>
            </w:tblGrid>
            <w:tr w14:paraId="7C7FBD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0" w:type="pct"/>
                  <w:noWrap w:val="0"/>
                  <w:vAlign w:val="center"/>
                </w:tcPr>
                <w:p w14:paraId="22F2A409">
                  <w:pPr>
                    <w:pStyle w:val="52"/>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序号</w:t>
                  </w:r>
                </w:p>
              </w:tc>
              <w:tc>
                <w:tcPr>
                  <w:tcW w:w="527" w:type="pct"/>
                  <w:noWrap w:val="0"/>
                  <w:vAlign w:val="center"/>
                </w:tcPr>
                <w:p w14:paraId="29935D53">
                  <w:pPr>
                    <w:pStyle w:val="52"/>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危险废物名称</w:t>
                  </w:r>
                </w:p>
              </w:tc>
              <w:tc>
                <w:tcPr>
                  <w:tcW w:w="501" w:type="pct"/>
                  <w:noWrap w:val="0"/>
                  <w:vAlign w:val="center"/>
                </w:tcPr>
                <w:p w14:paraId="7D6867D6">
                  <w:pPr>
                    <w:pStyle w:val="52"/>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产生工序</w:t>
                  </w:r>
                </w:p>
              </w:tc>
              <w:tc>
                <w:tcPr>
                  <w:tcW w:w="514" w:type="pct"/>
                  <w:noWrap w:val="0"/>
                  <w:vAlign w:val="center"/>
                </w:tcPr>
                <w:p w14:paraId="038E884D">
                  <w:pPr>
                    <w:pStyle w:val="52"/>
                    <w:rPr>
                      <w:rFonts w:hint="default" w:ascii="Times New Roman" w:hAnsi="Times New Roman" w:cs="Times New Roman"/>
                      <w:b/>
                      <w:color w:val="auto"/>
                      <w:kern w:val="18"/>
                      <w:sz w:val="18"/>
                      <w:szCs w:val="18"/>
                      <w:highlight w:val="none"/>
                      <w:lang w:val="en-US" w:eastAsia="zh-CN" w:bidi="ar-SA"/>
                    </w:rPr>
                  </w:pPr>
                  <w:r>
                    <w:rPr>
                      <w:rFonts w:hint="default" w:ascii="Times New Roman" w:hAnsi="Times New Roman" w:cs="Times New Roman"/>
                      <w:b/>
                      <w:color w:val="auto"/>
                      <w:sz w:val="18"/>
                      <w:szCs w:val="18"/>
                      <w:highlight w:val="none"/>
                    </w:rPr>
                    <w:t>危废类别</w:t>
                  </w:r>
                </w:p>
              </w:tc>
              <w:tc>
                <w:tcPr>
                  <w:tcW w:w="486" w:type="pct"/>
                  <w:noWrap w:val="0"/>
                  <w:vAlign w:val="center"/>
                </w:tcPr>
                <w:p w14:paraId="054B08B4">
                  <w:pPr>
                    <w:pStyle w:val="52"/>
                    <w:rPr>
                      <w:rFonts w:hint="default" w:ascii="Times New Roman" w:hAnsi="Times New Roman" w:cs="Times New Roman"/>
                      <w:b/>
                      <w:color w:val="auto"/>
                      <w:kern w:val="18"/>
                      <w:sz w:val="18"/>
                      <w:szCs w:val="18"/>
                      <w:highlight w:val="none"/>
                      <w:lang w:val="en-US" w:eastAsia="zh-CN" w:bidi="ar-SA"/>
                    </w:rPr>
                  </w:pPr>
                  <w:r>
                    <w:rPr>
                      <w:rFonts w:hint="default" w:ascii="Times New Roman" w:hAnsi="Times New Roman" w:cs="Times New Roman"/>
                      <w:b/>
                      <w:color w:val="auto"/>
                      <w:sz w:val="18"/>
                      <w:szCs w:val="18"/>
                      <w:highlight w:val="none"/>
                    </w:rPr>
                    <w:t>危废代码</w:t>
                  </w:r>
                </w:p>
              </w:tc>
              <w:tc>
                <w:tcPr>
                  <w:tcW w:w="458" w:type="pct"/>
                  <w:noWrap w:val="0"/>
                  <w:vAlign w:val="center"/>
                </w:tcPr>
                <w:p w14:paraId="0ACE1731">
                  <w:pPr>
                    <w:pStyle w:val="52"/>
                    <w:rPr>
                      <w:rFonts w:hint="default" w:ascii="Times New Roman" w:hAnsi="Times New Roman" w:cs="Times New Roman"/>
                      <w:b/>
                      <w:color w:val="auto"/>
                      <w:kern w:val="18"/>
                      <w:sz w:val="18"/>
                      <w:szCs w:val="18"/>
                      <w:highlight w:val="none"/>
                      <w:lang w:val="en-US" w:eastAsia="zh-CN" w:bidi="ar-SA"/>
                    </w:rPr>
                  </w:pPr>
                  <w:r>
                    <w:rPr>
                      <w:rFonts w:hint="default" w:ascii="Times New Roman" w:hAnsi="Times New Roman" w:cs="Times New Roman"/>
                      <w:b/>
                      <w:color w:val="auto"/>
                      <w:sz w:val="18"/>
                      <w:szCs w:val="18"/>
                      <w:highlight w:val="none"/>
                    </w:rPr>
                    <w:t>产生量（t/a）</w:t>
                  </w:r>
                </w:p>
              </w:tc>
              <w:tc>
                <w:tcPr>
                  <w:tcW w:w="346" w:type="pct"/>
                  <w:noWrap w:val="0"/>
                  <w:vAlign w:val="center"/>
                </w:tcPr>
                <w:p w14:paraId="17327DC1">
                  <w:pPr>
                    <w:pStyle w:val="52"/>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形态</w:t>
                  </w:r>
                </w:p>
              </w:tc>
              <w:tc>
                <w:tcPr>
                  <w:tcW w:w="449" w:type="pct"/>
                  <w:noWrap w:val="0"/>
                  <w:vAlign w:val="center"/>
                </w:tcPr>
                <w:p w14:paraId="138E940A">
                  <w:pPr>
                    <w:pStyle w:val="52"/>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有害成分</w:t>
                  </w:r>
                </w:p>
              </w:tc>
              <w:tc>
                <w:tcPr>
                  <w:tcW w:w="401" w:type="pct"/>
                  <w:noWrap w:val="0"/>
                  <w:vAlign w:val="center"/>
                </w:tcPr>
                <w:p w14:paraId="1D9B9020">
                  <w:pPr>
                    <w:pStyle w:val="52"/>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产废周期</w:t>
                  </w:r>
                </w:p>
              </w:tc>
              <w:tc>
                <w:tcPr>
                  <w:tcW w:w="395" w:type="pct"/>
                  <w:noWrap w:val="0"/>
                  <w:vAlign w:val="center"/>
                </w:tcPr>
                <w:p w14:paraId="5C1BD5EA">
                  <w:pPr>
                    <w:pStyle w:val="52"/>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危险特性</w:t>
                  </w:r>
                </w:p>
              </w:tc>
              <w:tc>
                <w:tcPr>
                  <w:tcW w:w="607" w:type="pct"/>
                  <w:noWrap w:val="0"/>
                  <w:vAlign w:val="center"/>
                </w:tcPr>
                <w:p w14:paraId="1D4EA2F4">
                  <w:pPr>
                    <w:pStyle w:val="52"/>
                    <w:rPr>
                      <w:rFonts w:hint="default" w:ascii="Times New Roman" w:hAnsi="Times New Roman" w:cs="Times New Roman"/>
                      <w:b/>
                      <w:bCs/>
                      <w:color w:val="auto"/>
                      <w:kern w:val="0"/>
                      <w:sz w:val="18"/>
                      <w:szCs w:val="18"/>
                      <w:highlight w:val="none"/>
                    </w:rPr>
                  </w:pPr>
                  <w:r>
                    <w:rPr>
                      <w:rFonts w:hint="default" w:ascii="Times New Roman" w:hAnsi="Times New Roman" w:cs="Times New Roman"/>
                      <w:b/>
                      <w:color w:val="auto"/>
                      <w:sz w:val="18"/>
                      <w:szCs w:val="18"/>
                      <w:highlight w:val="none"/>
                    </w:rPr>
                    <w:t>拟采取的处理处置方式</w:t>
                  </w:r>
                </w:p>
              </w:tc>
            </w:tr>
            <w:tr w14:paraId="4F55B5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310" w:type="pct"/>
                  <w:noWrap w:val="0"/>
                  <w:vAlign w:val="center"/>
                </w:tcPr>
                <w:p w14:paraId="6BA4B1DB">
                  <w:pPr>
                    <w:pStyle w:val="52"/>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1</w:t>
                  </w:r>
                </w:p>
              </w:tc>
              <w:tc>
                <w:tcPr>
                  <w:tcW w:w="527" w:type="pct"/>
                  <w:shd w:val="clear" w:color="auto" w:fill="auto"/>
                  <w:noWrap w:val="0"/>
                  <w:vAlign w:val="center"/>
                </w:tcPr>
                <w:p w14:paraId="3BFD0F39">
                  <w:pPr>
                    <w:pStyle w:val="57"/>
                    <w:ind w:firstLine="0" w:firstLineChars="0"/>
                    <w:rPr>
                      <w:rFonts w:hint="default" w:ascii="Times New Roman" w:hAnsi="Times New Roman" w:eastAsia="宋体" w:cs="Times New Roman"/>
                      <w:color w:val="auto"/>
                      <w:kern w:val="2"/>
                      <w:sz w:val="18"/>
                      <w:szCs w:val="18"/>
                      <w:highlight w:val="none"/>
                      <w:lang w:val="zh-CN" w:eastAsia="zh-CN" w:bidi="ar-SA"/>
                    </w:rPr>
                  </w:pPr>
                  <w:r>
                    <w:rPr>
                      <w:rFonts w:hint="eastAsia" w:cs="Times New Roman"/>
                      <w:color w:val="auto"/>
                      <w:kern w:val="2"/>
                      <w:sz w:val="18"/>
                      <w:szCs w:val="18"/>
                      <w:highlight w:val="none"/>
                      <w:lang w:val="en-US" w:eastAsia="zh-CN" w:bidi="ar-SA"/>
                    </w:rPr>
                    <w:t>废包装</w:t>
                  </w:r>
                </w:p>
              </w:tc>
              <w:tc>
                <w:tcPr>
                  <w:tcW w:w="501" w:type="pct"/>
                  <w:shd w:val="clear" w:color="auto" w:fill="auto"/>
                  <w:noWrap w:val="0"/>
                  <w:vAlign w:val="center"/>
                </w:tcPr>
                <w:p w14:paraId="6DA2CEDB">
                  <w:pPr>
                    <w:pStyle w:val="57"/>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涂装</w:t>
                  </w:r>
                </w:p>
              </w:tc>
              <w:tc>
                <w:tcPr>
                  <w:tcW w:w="514" w:type="pct"/>
                  <w:shd w:val="clear" w:color="auto" w:fill="auto"/>
                  <w:noWrap w:val="0"/>
                  <w:vAlign w:val="center"/>
                </w:tcPr>
                <w:p w14:paraId="3F923415">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HW49</w:t>
                  </w:r>
                </w:p>
              </w:tc>
              <w:tc>
                <w:tcPr>
                  <w:tcW w:w="486" w:type="pct"/>
                  <w:shd w:val="clear" w:color="auto" w:fill="auto"/>
                  <w:noWrap w:val="0"/>
                  <w:vAlign w:val="center"/>
                </w:tcPr>
                <w:p w14:paraId="4D90744E">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900-041-49</w:t>
                  </w:r>
                </w:p>
              </w:tc>
              <w:tc>
                <w:tcPr>
                  <w:tcW w:w="458" w:type="pct"/>
                  <w:shd w:val="clear" w:color="auto" w:fill="auto"/>
                  <w:noWrap w:val="0"/>
                  <w:vAlign w:val="center"/>
                </w:tcPr>
                <w:p w14:paraId="3E5BA3ED">
                  <w:pPr>
                    <w:pStyle w:val="52"/>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1</w:t>
                  </w:r>
                </w:p>
              </w:tc>
              <w:tc>
                <w:tcPr>
                  <w:tcW w:w="346" w:type="pct"/>
                  <w:shd w:val="clear" w:color="auto" w:fill="auto"/>
                  <w:noWrap w:val="0"/>
                  <w:vAlign w:val="center"/>
                </w:tcPr>
                <w:p w14:paraId="70D66455">
                  <w:pPr>
                    <w:pStyle w:val="51"/>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固</w:t>
                  </w:r>
                </w:p>
              </w:tc>
              <w:tc>
                <w:tcPr>
                  <w:tcW w:w="449" w:type="pct"/>
                  <w:shd w:val="clear" w:color="auto" w:fill="auto"/>
                  <w:noWrap w:val="0"/>
                  <w:vAlign w:val="center"/>
                </w:tcPr>
                <w:p w14:paraId="48948B2E">
                  <w:pPr>
                    <w:pStyle w:val="51"/>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有机溶剂</w:t>
                  </w:r>
                </w:p>
              </w:tc>
              <w:tc>
                <w:tcPr>
                  <w:tcW w:w="401" w:type="pct"/>
                  <w:noWrap w:val="0"/>
                  <w:vAlign w:val="center"/>
                </w:tcPr>
                <w:p w14:paraId="149F5EBA">
                  <w:pPr>
                    <w:pStyle w:val="52"/>
                    <w:rPr>
                      <w:rFonts w:hint="eastAsia"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每天</w:t>
                  </w:r>
                </w:p>
              </w:tc>
              <w:tc>
                <w:tcPr>
                  <w:tcW w:w="395" w:type="pct"/>
                  <w:noWrap w:val="0"/>
                  <w:vAlign w:val="center"/>
                </w:tcPr>
                <w:p w14:paraId="2BE2DC52">
                  <w:pP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T/In</w:t>
                  </w:r>
                </w:p>
              </w:tc>
              <w:tc>
                <w:tcPr>
                  <w:tcW w:w="607" w:type="pct"/>
                  <w:vMerge w:val="restart"/>
                  <w:noWrap w:val="0"/>
                  <w:vAlign w:val="center"/>
                </w:tcPr>
                <w:p w14:paraId="7BD5B221">
                  <w:pPr>
                    <w:pStyle w:val="52"/>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委托有资质单位处置</w:t>
                  </w:r>
                </w:p>
              </w:tc>
            </w:tr>
            <w:tr w14:paraId="590A9E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10" w:type="pct"/>
                  <w:noWrap w:val="0"/>
                  <w:vAlign w:val="center"/>
                </w:tcPr>
                <w:p w14:paraId="445D2AC1">
                  <w:pPr>
                    <w:pStyle w:val="52"/>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2</w:t>
                  </w:r>
                </w:p>
              </w:tc>
              <w:tc>
                <w:tcPr>
                  <w:tcW w:w="527" w:type="pct"/>
                  <w:shd w:val="clear" w:color="auto" w:fill="auto"/>
                  <w:noWrap w:val="0"/>
                  <w:vAlign w:val="center"/>
                </w:tcPr>
                <w:p w14:paraId="71A4B144">
                  <w:pPr>
                    <w:pStyle w:val="57"/>
                    <w:ind w:firstLine="0" w:firstLineChars="0"/>
                    <w:rPr>
                      <w:rFonts w:hint="default" w:ascii="Times New Roman" w:hAnsi="Times New Roman" w:eastAsia="宋体" w:cs="Times New Roman"/>
                      <w:color w:val="auto"/>
                      <w:kern w:val="2"/>
                      <w:sz w:val="18"/>
                      <w:szCs w:val="18"/>
                      <w:highlight w:val="none"/>
                      <w:lang w:val="zh-CN" w:eastAsia="zh-CN" w:bidi="ar-SA"/>
                    </w:rPr>
                  </w:pPr>
                  <w:r>
                    <w:rPr>
                      <w:rFonts w:hint="eastAsia" w:cs="Times New Roman"/>
                      <w:color w:val="auto"/>
                      <w:kern w:val="2"/>
                      <w:sz w:val="18"/>
                      <w:szCs w:val="18"/>
                      <w:highlight w:val="none"/>
                      <w:lang w:val="en-US" w:eastAsia="zh-CN" w:bidi="ar-SA"/>
                    </w:rPr>
                    <w:t>废活性炭</w:t>
                  </w:r>
                </w:p>
              </w:tc>
              <w:tc>
                <w:tcPr>
                  <w:tcW w:w="501" w:type="pct"/>
                  <w:shd w:val="clear" w:color="auto" w:fill="auto"/>
                  <w:noWrap w:val="0"/>
                  <w:vAlign w:val="center"/>
                </w:tcPr>
                <w:p w14:paraId="01B56F8F">
                  <w:pPr>
                    <w:pStyle w:val="57"/>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废气处理</w:t>
                  </w:r>
                </w:p>
              </w:tc>
              <w:tc>
                <w:tcPr>
                  <w:tcW w:w="514" w:type="pct"/>
                  <w:shd w:val="clear" w:color="auto" w:fill="auto"/>
                  <w:noWrap w:val="0"/>
                  <w:vAlign w:val="center"/>
                </w:tcPr>
                <w:p w14:paraId="79A275E9">
                  <w:pPr>
                    <w:keepNext w:val="0"/>
                    <w:keepLines/>
                    <w:pageBreakBefore w:val="0"/>
                    <w:widowControl w:val="0"/>
                    <w:kinsoku/>
                    <w:wordWrap/>
                    <w:bidi w:val="0"/>
                    <w:adjustRightInd w:val="0"/>
                    <w:snapToGrid w:val="0"/>
                    <w:jc w:val="center"/>
                    <w:rPr>
                      <w:rFonts w:hint="default"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z w:val="18"/>
                      <w:szCs w:val="18"/>
                      <w:highlight w:val="none"/>
                    </w:rPr>
                    <w:t>HW49</w:t>
                  </w:r>
                </w:p>
              </w:tc>
              <w:tc>
                <w:tcPr>
                  <w:tcW w:w="486" w:type="pct"/>
                  <w:shd w:val="clear" w:color="auto" w:fill="auto"/>
                  <w:noWrap w:val="0"/>
                  <w:vAlign w:val="center"/>
                </w:tcPr>
                <w:p w14:paraId="603C6E7E">
                  <w:pPr>
                    <w:keepNext w:val="0"/>
                    <w:keepLines/>
                    <w:pageBreakBefore w:val="0"/>
                    <w:widowControl w:val="0"/>
                    <w:kinsoku/>
                    <w:wordWrap/>
                    <w:bidi w:val="0"/>
                    <w:adjustRightInd w:val="0"/>
                    <w:snapToGrid w:val="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900-039-49</w:t>
                  </w:r>
                </w:p>
              </w:tc>
              <w:tc>
                <w:tcPr>
                  <w:tcW w:w="458" w:type="pct"/>
                  <w:shd w:val="clear" w:color="auto" w:fill="auto"/>
                  <w:noWrap w:val="0"/>
                  <w:vAlign w:val="center"/>
                </w:tcPr>
                <w:p w14:paraId="58D0BB76">
                  <w:pPr>
                    <w:pStyle w:val="52"/>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31.9041</w:t>
                  </w:r>
                </w:p>
              </w:tc>
              <w:tc>
                <w:tcPr>
                  <w:tcW w:w="346" w:type="pct"/>
                  <w:shd w:val="clear" w:color="auto" w:fill="auto"/>
                  <w:noWrap w:val="0"/>
                  <w:vAlign w:val="center"/>
                </w:tcPr>
                <w:p w14:paraId="7C04E25E">
                  <w:pPr>
                    <w:ind w:firstLine="0" w:firstLineChars="0"/>
                    <w:jc w:val="center"/>
                    <w:rPr>
                      <w:rFonts w:hint="default" w:ascii="Times New Roman" w:hAnsi="Times New Roman" w:eastAsia="宋体" w:cs="Times New Roman"/>
                      <w:color w:val="auto"/>
                      <w:kern w:val="2"/>
                      <w:sz w:val="18"/>
                      <w:szCs w:val="18"/>
                      <w:highlight w:val="none"/>
                      <w:lang w:val="zh-CN" w:eastAsia="zh-CN" w:bidi="ar-SA"/>
                    </w:rPr>
                  </w:pPr>
                  <w:r>
                    <w:rPr>
                      <w:rFonts w:hint="eastAsia" w:cs="Times New Roman"/>
                      <w:color w:val="auto"/>
                      <w:kern w:val="2"/>
                      <w:sz w:val="18"/>
                      <w:szCs w:val="18"/>
                      <w:highlight w:val="none"/>
                      <w:lang w:val="en-US" w:eastAsia="zh-CN" w:bidi="ar-SA"/>
                    </w:rPr>
                    <w:t>固</w:t>
                  </w:r>
                </w:p>
              </w:tc>
              <w:tc>
                <w:tcPr>
                  <w:tcW w:w="449" w:type="pct"/>
                  <w:shd w:val="clear" w:color="auto" w:fill="auto"/>
                  <w:noWrap w:val="0"/>
                  <w:vAlign w:val="center"/>
                </w:tcPr>
                <w:p w14:paraId="7745C6F0">
                  <w:pPr>
                    <w:pStyle w:val="51"/>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活性炭</w:t>
                  </w:r>
                </w:p>
              </w:tc>
              <w:tc>
                <w:tcPr>
                  <w:tcW w:w="401" w:type="pct"/>
                  <w:noWrap w:val="0"/>
                  <w:vAlign w:val="center"/>
                </w:tcPr>
                <w:p w14:paraId="5B992371">
                  <w:pPr>
                    <w:pStyle w:val="52"/>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26天</w:t>
                  </w:r>
                </w:p>
              </w:tc>
              <w:tc>
                <w:tcPr>
                  <w:tcW w:w="395" w:type="pct"/>
                  <w:noWrap w:val="0"/>
                  <w:vAlign w:val="center"/>
                </w:tcPr>
                <w:p w14:paraId="71F9F946">
                  <w:pPr>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T/In</w:t>
                  </w:r>
                </w:p>
              </w:tc>
              <w:tc>
                <w:tcPr>
                  <w:tcW w:w="607" w:type="pct"/>
                  <w:vMerge w:val="continue"/>
                  <w:noWrap w:val="0"/>
                  <w:vAlign w:val="center"/>
                </w:tcPr>
                <w:p w14:paraId="377C02DC">
                  <w:pPr>
                    <w:pStyle w:val="52"/>
                    <w:rPr>
                      <w:rFonts w:hint="default" w:ascii="Times New Roman" w:hAnsi="Times New Roman" w:cs="Times New Roman"/>
                      <w:color w:val="auto"/>
                      <w:sz w:val="18"/>
                      <w:szCs w:val="18"/>
                      <w:highlight w:val="none"/>
                    </w:rPr>
                  </w:pPr>
                </w:p>
              </w:tc>
            </w:tr>
            <w:tr w14:paraId="48CDB7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310" w:type="pct"/>
                  <w:noWrap w:val="0"/>
                  <w:vAlign w:val="center"/>
                </w:tcPr>
                <w:p w14:paraId="625BCB90">
                  <w:pPr>
                    <w:pStyle w:val="52"/>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3</w:t>
                  </w:r>
                </w:p>
              </w:tc>
              <w:tc>
                <w:tcPr>
                  <w:tcW w:w="527" w:type="pct"/>
                  <w:shd w:val="clear" w:color="auto" w:fill="auto"/>
                  <w:noWrap w:val="0"/>
                  <w:vAlign w:val="center"/>
                </w:tcPr>
                <w:p w14:paraId="32CA1A47">
                  <w:pPr>
                    <w:pStyle w:val="57"/>
                    <w:ind w:firstLine="0" w:firstLineChars="0"/>
                    <w:rPr>
                      <w:rFonts w:hint="default" w:ascii="Times New Roman" w:hAnsi="Times New Roman" w:eastAsia="宋体" w:cs="Times New Roman"/>
                      <w:color w:val="auto"/>
                      <w:kern w:val="2"/>
                      <w:sz w:val="18"/>
                      <w:szCs w:val="18"/>
                      <w:highlight w:val="none"/>
                      <w:lang w:val="zh-CN" w:eastAsia="zh-CN" w:bidi="ar-SA"/>
                    </w:rPr>
                  </w:pPr>
                  <w:r>
                    <w:rPr>
                      <w:rFonts w:hint="eastAsia" w:cs="Times New Roman"/>
                      <w:color w:val="auto"/>
                      <w:kern w:val="2"/>
                      <w:sz w:val="18"/>
                      <w:szCs w:val="18"/>
                      <w:highlight w:val="none"/>
                      <w:lang w:val="en-US" w:eastAsia="zh-CN" w:bidi="ar-SA"/>
                    </w:rPr>
                    <w:t>废清洗剂</w:t>
                  </w:r>
                </w:p>
              </w:tc>
              <w:tc>
                <w:tcPr>
                  <w:tcW w:w="501" w:type="pct"/>
                  <w:shd w:val="clear" w:color="auto" w:fill="auto"/>
                  <w:noWrap w:val="0"/>
                  <w:vAlign w:val="center"/>
                </w:tcPr>
                <w:p w14:paraId="1626B151">
                  <w:pPr>
                    <w:pStyle w:val="57"/>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清洗</w:t>
                  </w:r>
                </w:p>
              </w:tc>
              <w:tc>
                <w:tcPr>
                  <w:tcW w:w="514" w:type="pct"/>
                  <w:shd w:val="clear" w:color="auto" w:fill="auto"/>
                  <w:noWrap w:val="0"/>
                  <w:vAlign w:val="center"/>
                </w:tcPr>
                <w:p w14:paraId="6D30C163">
                  <w:pPr>
                    <w:spacing w:line="240" w:lineRule="auto"/>
                    <w:jc w:val="center"/>
                    <w:rPr>
                      <w:rFonts w:hint="default" w:ascii="Times New Roman" w:hAnsi="Times New Roman" w:eastAsia="宋体" w:cs="Times New Roman"/>
                      <w:color w:val="auto"/>
                      <w:kern w:val="2"/>
                      <w:sz w:val="18"/>
                      <w:szCs w:val="18"/>
                      <w:highlight w:val="none"/>
                      <w:lang w:val="zh-CN" w:eastAsia="zh-CN" w:bidi="ar-SA"/>
                    </w:rPr>
                  </w:pPr>
                  <w:r>
                    <w:rPr>
                      <w:rFonts w:hint="eastAsia" w:cs="Times New Roman"/>
                      <w:color w:val="auto"/>
                      <w:sz w:val="18"/>
                      <w:szCs w:val="18"/>
                      <w:highlight w:val="none"/>
                      <w:lang w:val="en-US" w:eastAsia="zh-CN"/>
                    </w:rPr>
                    <w:t>HW49</w:t>
                  </w:r>
                </w:p>
              </w:tc>
              <w:tc>
                <w:tcPr>
                  <w:tcW w:w="486" w:type="pct"/>
                  <w:shd w:val="clear" w:color="auto" w:fill="auto"/>
                  <w:noWrap w:val="0"/>
                  <w:vAlign w:val="center"/>
                </w:tcPr>
                <w:p w14:paraId="77B2BF70">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900-041-49</w:t>
                  </w:r>
                </w:p>
              </w:tc>
              <w:tc>
                <w:tcPr>
                  <w:tcW w:w="458" w:type="pct"/>
                  <w:shd w:val="clear" w:color="auto" w:fill="auto"/>
                  <w:noWrap w:val="0"/>
                  <w:vAlign w:val="center"/>
                </w:tcPr>
                <w:p w14:paraId="4BEA08C4">
                  <w:pPr>
                    <w:pStyle w:val="52"/>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0.2006</w:t>
                  </w:r>
                </w:p>
              </w:tc>
              <w:tc>
                <w:tcPr>
                  <w:tcW w:w="346" w:type="pct"/>
                  <w:shd w:val="clear" w:color="auto" w:fill="auto"/>
                  <w:noWrap w:val="0"/>
                  <w:vAlign w:val="center"/>
                </w:tcPr>
                <w:p w14:paraId="61702CBD">
                  <w:pPr>
                    <w:pStyle w:val="51"/>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液</w:t>
                  </w:r>
                </w:p>
              </w:tc>
              <w:tc>
                <w:tcPr>
                  <w:tcW w:w="449" w:type="pct"/>
                  <w:shd w:val="clear" w:color="auto" w:fill="auto"/>
                  <w:noWrap w:val="0"/>
                  <w:vAlign w:val="center"/>
                </w:tcPr>
                <w:p w14:paraId="5E7A1BB2">
                  <w:pPr>
                    <w:pStyle w:val="51"/>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清洗剂</w:t>
                  </w:r>
                </w:p>
              </w:tc>
              <w:tc>
                <w:tcPr>
                  <w:tcW w:w="401" w:type="pct"/>
                  <w:noWrap w:val="0"/>
                  <w:vAlign w:val="center"/>
                </w:tcPr>
                <w:p w14:paraId="6D3D42A9">
                  <w:pPr>
                    <w:rPr>
                      <w:rFonts w:hint="default" w:ascii="Times New Roman" w:hAnsi="Times New Roman" w:cs="Times New Roman"/>
                      <w:color w:val="auto"/>
                      <w:sz w:val="18"/>
                      <w:szCs w:val="18"/>
                      <w:highlight w:val="none"/>
                    </w:rPr>
                  </w:pPr>
                  <w:r>
                    <w:rPr>
                      <w:rFonts w:hint="eastAsia" w:cs="Times New Roman"/>
                      <w:color w:val="auto"/>
                      <w:sz w:val="18"/>
                      <w:szCs w:val="18"/>
                      <w:highlight w:val="none"/>
                      <w:lang w:val="en-US" w:eastAsia="zh-CN"/>
                    </w:rPr>
                    <w:t>每年</w:t>
                  </w:r>
                </w:p>
              </w:tc>
              <w:tc>
                <w:tcPr>
                  <w:tcW w:w="395" w:type="pct"/>
                  <w:noWrap w:val="0"/>
                  <w:vAlign w:val="center"/>
                </w:tcPr>
                <w:p w14:paraId="11E9B86F">
                  <w:pPr>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T/In</w:t>
                  </w:r>
                </w:p>
              </w:tc>
              <w:tc>
                <w:tcPr>
                  <w:tcW w:w="607" w:type="pct"/>
                  <w:vMerge w:val="continue"/>
                  <w:noWrap w:val="0"/>
                  <w:vAlign w:val="center"/>
                </w:tcPr>
                <w:p w14:paraId="2953EEB5">
                  <w:pPr>
                    <w:pStyle w:val="52"/>
                    <w:rPr>
                      <w:rFonts w:hint="default" w:ascii="Times New Roman" w:hAnsi="Times New Roman" w:cs="Times New Roman"/>
                      <w:color w:val="auto"/>
                      <w:sz w:val="18"/>
                      <w:szCs w:val="18"/>
                      <w:highlight w:val="none"/>
                    </w:rPr>
                  </w:pPr>
                </w:p>
              </w:tc>
            </w:tr>
            <w:tr w14:paraId="45717C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10" w:type="pct"/>
                  <w:noWrap w:val="0"/>
                  <w:vAlign w:val="center"/>
                </w:tcPr>
                <w:p w14:paraId="64B265A6">
                  <w:pPr>
                    <w:pStyle w:val="52"/>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w:t>
                  </w:r>
                </w:p>
              </w:tc>
              <w:tc>
                <w:tcPr>
                  <w:tcW w:w="527" w:type="pct"/>
                  <w:shd w:val="clear" w:color="auto" w:fill="auto"/>
                  <w:noWrap w:val="0"/>
                  <w:vAlign w:val="center"/>
                </w:tcPr>
                <w:p w14:paraId="2C9CFD0E">
                  <w:pPr>
                    <w:pStyle w:val="57"/>
                    <w:ind w:firstLine="0" w:firstLineChars="0"/>
                    <w:rPr>
                      <w:rFonts w:hint="default" w:ascii="Times New Roman" w:hAnsi="Times New Roman" w:eastAsia="宋体" w:cs="Times New Roman"/>
                      <w:color w:val="auto"/>
                      <w:kern w:val="2"/>
                      <w:sz w:val="18"/>
                      <w:szCs w:val="18"/>
                      <w:highlight w:val="none"/>
                      <w:lang w:val="zh-CN" w:eastAsia="zh-CN" w:bidi="ar-SA"/>
                    </w:rPr>
                  </w:pPr>
                  <w:r>
                    <w:rPr>
                      <w:rFonts w:hint="eastAsia" w:cs="Times New Roman"/>
                      <w:color w:val="auto"/>
                      <w:kern w:val="2"/>
                      <w:sz w:val="18"/>
                      <w:szCs w:val="18"/>
                      <w:highlight w:val="none"/>
                      <w:lang w:val="en-US" w:eastAsia="zh-CN" w:bidi="ar-SA"/>
                    </w:rPr>
                    <w:t>漆渣</w:t>
                  </w:r>
                </w:p>
              </w:tc>
              <w:tc>
                <w:tcPr>
                  <w:tcW w:w="501" w:type="pct"/>
                  <w:shd w:val="clear" w:color="auto" w:fill="auto"/>
                  <w:noWrap w:val="0"/>
                  <w:vAlign w:val="center"/>
                </w:tcPr>
                <w:p w14:paraId="214DC5DF">
                  <w:pPr>
                    <w:pStyle w:val="57"/>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涂装</w:t>
                  </w:r>
                </w:p>
              </w:tc>
              <w:tc>
                <w:tcPr>
                  <w:tcW w:w="514" w:type="pct"/>
                  <w:shd w:val="clear" w:color="auto" w:fill="auto"/>
                  <w:noWrap w:val="0"/>
                  <w:vAlign w:val="center"/>
                </w:tcPr>
                <w:p w14:paraId="2CC93E70">
                  <w:pPr>
                    <w:keepNext w:val="0"/>
                    <w:keepLines/>
                    <w:pageBreakBefore w:val="0"/>
                    <w:widowControl w:val="0"/>
                    <w:kinsoku/>
                    <w:wordWrap/>
                    <w:bidi w:val="0"/>
                    <w:adjustRightInd w:val="0"/>
                    <w:snapToGrid w:val="0"/>
                    <w:jc w:val="center"/>
                    <w:rPr>
                      <w:rFonts w:hint="default" w:ascii="Times New Roman" w:hAnsi="Times New Roman" w:eastAsia="宋体" w:cs="Times New Roman"/>
                      <w:color w:val="auto"/>
                      <w:spacing w:val="-6"/>
                      <w:kern w:val="44"/>
                      <w:sz w:val="18"/>
                      <w:szCs w:val="18"/>
                      <w:highlight w:val="none"/>
                      <w:lang w:val="zh-CN" w:eastAsia="zh-CN" w:bidi="ar-SA"/>
                    </w:rPr>
                  </w:pPr>
                  <w:r>
                    <w:rPr>
                      <w:rFonts w:hint="default" w:ascii="Times New Roman" w:hAnsi="Times New Roman" w:cs="Times New Roman"/>
                      <w:color w:val="auto"/>
                      <w:spacing w:val="-6"/>
                      <w:kern w:val="44"/>
                      <w:sz w:val="18"/>
                      <w:szCs w:val="18"/>
                      <w:highlight w:val="none"/>
                    </w:rPr>
                    <w:t>HW12</w:t>
                  </w:r>
                </w:p>
              </w:tc>
              <w:tc>
                <w:tcPr>
                  <w:tcW w:w="486" w:type="pct"/>
                  <w:shd w:val="clear" w:color="auto" w:fill="auto"/>
                  <w:noWrap w:val="0"/>
                  <w:vAlign w:val="center"/>
                </w:tcPr>
                <w:p w14:paraId="1A24E468">
                  <w:pPr>
                    <w:keepNext w:val="0"/>
                    <w:keepLines/>
                    <w:pageBreakBefore w:val="0"/>
                    <w:widowControl w:val="0"/>
                    <w:kinsoku/>
                    <w:wordWrap/>
                    <w:bidi w:val="0"/>
                    <w:adjustRightInd w:val="0"/>
                    <w:snapToGrid w:val="0"/>
                    <w:jc w:val="center"/>
                    <w:rPr>
                      <w:rFonts w:hint="default" w:ascii="Times New Roman" w:hAnsi="Times New Roman" w:eastAsia="宋体" w:cs="Times New Roman"/>
                      <w:color w:val="auto"/>
                      <w:spacing w:val="-6"/>
                      <w:kern w:val="44"/>
                      <w:sz w:val="18"/>
                      <w:szCs w:val="18"/>
                      <w:highlight w:val="none"/>
                      <w:lang w:val="en-US" w:eastAsia="zh-CN" w:bidi="ar-SA"/>
                    </w:rPr>
                  </w:pPr>
                  <w:r>
                    <w:rPr>
                      <w:rFonts w:hint="default" w:ascii="Times New Roman" w:hAnsi="Times New Roman" w:cs="Times New Roman"/>
                      <w:color w:val="auto"/>
                      <w:spacing w:val="-6"/>
                      <w:kern w:val="44"/>
                      <w:sz w:val="18"/>
                      <w:szCs w:val="18"/>
                      <w:highlight w:val="none"/>
                    </w:rPr>
                    <w:t>900-252-12</w:t>
                  </w:r>
                </w:p>
              </w:tc>
              <w:tc>
                <w:tcPr>
                  <w:tcW w:w="458" w:type="pct"/>
                  <w:shd w:val="clear" w:color="auto" w:fill="auto"/>
                  <w:noWrap w:val="0"/>
                  <w:vAlign w:val="center"/>
                </w:tcPr>
                <w:p w14:paraId="010B34F5">
                  <w:pPr>
                    <w:pStyle w:val="52"/>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0.9997‬</w:t>
                  </w:r>
                </w:p>
              </w:tc>
              <w:tc>
                <w:tcPr>
                  <w:tcW w:w="346" w:type="pct"/>
                  <w:shd w:val="clear" w:color="auto" w:fill="auto"/>
                  <w:noWrap w:val="0"/>
                  <w:vAlign w:val="center"/>
                </w:tcPr>
                <w:p w14:paraId="139A72ED">
                  <w:pPr>
                    <w:pStyle w:val="51"/>
                    <w:ind w:firstLine="0" w:firstLineChars="0"/>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固</w:t>
                  </w:r>
                </w:p>
              </w:tc>
              <w:tc>
                <w:tcPr>
                  <w:tcW w:w="449" w:type="pct"/>
                  <w:shd w:val="clear" w:color="auto" w:fill="auto"/>
                  <w:noWrap w:val="0"/>
                  <w:vAlign w:val="center"/>
                </w:tcPr>
                <w:p w14:paraId="3C92A779">
                  <w:pPr>
                    <w:pStyle w:val="51"/>
                    <w:ind w:firstLine="0" w:firstLineChars="0"/>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漆渣</w:t>
                  </w:r>
                </w:p>
              </w:tc>
              <w:tc>
                <w:tcPr>
                  <w:tcW w:w="401" w:type="pct"/>
                  <w:noWrap w:val="0"/>
                  <w:vAlign w:val="center"/>
                </w:tcPr>
                <w:p w14:paraId="64E0749B">
                  <w:pP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每天</w:t>
                  </w:r>
                </w:p>
              </w:tc>
              <w:tc>
                <w:tcPr>
                  <w:tcW w:w="395" w:type="pct"/>
                  <w:noWrap w:val="0"/>
                  <w:vAlign w:val="center"/>
                </w:tcPr>
                <w:p w14:paraId="27004AF1">
                  <w:pPr>
                    <w:pStyle w:val="52"/>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T，I</w:t>
                  </w:r>
                </w:p>
              </w:tc>
              <w:tc>
                <w:tcPr>
                  <w:tcW w:w="607" w:type="pct"/>
                  <w:vMerge w:val="continue"/>
                  <w:noWrap w:val="0"/>
                  <w:vAlign w:val="center"/>
                </w:tcPr>
                <w:p w14:paraId="10FFC14C">
                  <w:pPr>
                    <w:pStyle w:val="52"/>
                    <w:rPr>
                      <w:rFonts w:hint="default" w:ascii="Times New Roman" w:hAnsi="Times New Roman" w:cs="Times New Roman"/>
                      <w:color w:val="auto"/>
                      <w:sz w:val="18"/>
                      <w:szCs w:val="18"/>
                      <w:highlight w:val="none"/>
                    </w:rPr>
                  </w:pPr>
                </w:p>
              </w:tc>
            </w:tr>
            <w:tr w14:paraId="48029F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10" w:type="pct"/>
                  <w:noWrap w:val="0"/>
                  <w:vAlign w:val="center"/>
                </w:tcPr>
                <w:p w14:paraId="15C7F905">
                  <w:pPr>
                    <w:pStyle w:val="52"/>
                    <w:rPr>
                      <w:rFonts w:hint="default" w:ascii="Times New Roman" w:hAnsi="Times New Roman" w:cs="Times New Roman"/>
                      <w:color w:val="auto"/>
                      <w:sz w:val="18"/>
                      <w:szCs w:val="18"/>
                      <w:highlight w:val="none"/>
                      <w:lang w:val="en-US" w:eastAsia="zh-CN"/>
                    </w:rPr>
                  </w:pPr>
                  <w:r>
                    <w:rPr>
                      <w:rFonts w:hint="eastAsia" w:cs="Times New Roman"/>
                      <w:color w:val="auto"/>
                      <w:sz w:val="18"/>
                      <w:szCs w:val="18"/>
                      <w:highlight w:val="none"/>
                      <w:lang w:val="en-US" w:eastAsia="zh-CN"/>
                    </w:rPr>
                    <w:t>5</w:t>
                  </w:r>
                </w:p>
              </w:tc>
              <w:tc>
                <w:tcPr>
                  <w:tcW w:w="527" w:type="pct"/>
                  <w:shd w:val="clear" w:color="auto" w:fill="auto"/>
                  <w:noWrap w:val="0"/>
                  <w:vAlign w:val="center"/>
                </w:tcPr>
                <w:p w14:paraId="217EDD8F">
                  <w:pPr>
                    <w:pStyle w:val="57"/>
                    <w:ind w:firstLine="0" w:firstLineChars="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废过滤棉</w:t>
                  </w:r>
                </w:p>
              </w:tc>
              <w:tc>
                <w:tcPr>
                  <w:tcW w:w="501" w:type="pct"/>
                  <w:shd w:val="clear" w:color="auto" w:fill="auto"/>
                  <w:noWrap w:val="0"/>
                  <w:vAlign w:val="center"/>
                </w:tcPr>
                <w:p w14:paraId="63C4F506">
                  <w:pPr>
                    <w:pStyle w:val="57"/>
                    <w:ind w:firstLine="0" w:firstLineChars="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废气处理</w:t>
                  </w:r>
                </w:p>
              </w:tc>
              <w:tc>
                <w:tcPr>
                  <w:tcW w:w="514" w:type="pct"/>
                  <w:shd w:val="clear" w:color="auto" w:fill="auto"/>
                  <w:noWrap w:val="0"/>
                  <w:vAlign w:val="center"/>
                </w:tcPr>
                <w:p w14:paraId="30E00918">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HW49</w:t>
                  </w:r>
                </w:p>
              </w:tc>
              <w:tc>
                <w:tcPr>
                  <w:tcW w:w="486" w:type="pct"/>
                  <w:shd w:val="clear" w:color="auto" w:fill="auto"/>
                  <w:noWrap w:val="0"/>
                  <w:vAlign w:val="center"/>
                </w:tcPr>
                <w:p w14:paraId="371BE315">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900-041-49</w:t>
                  </w:r>
                </w:p>
              </w:tc>
              <w:tc>
                <w:tcPr>
                  <w:tcW w:w="458" w:type="pct"/>
                  <w:shd w:val="clear" w:color="auto" w:fill="auto"/>
                  <w:noWrap w:val="0"/>
                  <w:vAlign w:val="center"/>
                </w:tcPr>
                <w:p w14:paraId="75635428">
                  <w:pPr>
                    <w:pStyle w:val="52"/>
                    <w:spacing w:line="240" w:lineRule="auto"/>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1.3908‬‬</w:t>
                  </w:r>
                </w:p>
              </w:tc>
              <w:tc>
                <w:tcPr>
                  <w:tcW w:w="346" w:type="pct"/>
                  <w:shd w:val="clear" w:color="auto" w:fill="auto"/>
                  <w:noWrap w:val="0"/>
                  <w:vAlign w:val="center"/>
                </w:tcPr>
                <w:p w14:paraId="7F892418">
                  <w:pPr>
                    <w:pStyle w:val="51"/>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固</w:t>
                  </w:r>
                </w:p>
              </w:tc>
              <w:tc>
                <w:tcPr>
                  <w:tcW w:w="449" w:type="pct"/>
                  <w:shd w:val="clear" w:color="auto" w:fill="auto"/>
                  <w:noWrap w:val="0"/>
                  <w:vAlign w:val="center"/>
                </w:tcPr>
                <w:p w14:paraId="335B48CC">
                  <w:pPr>
                    <w:pStyle w:val="51"/>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过滤棉</w:t>
                  </w:r>
                </w:p>
              </w:tc>
              <w:tc>
                <w:tcPr>
                  <w:tcW w:w="401" w:type="pct"/>
                  <w:noWrap w:val="0"/>
                  <w:vAlign w:val="center"/>
                </w:tcPr>
                <w:p w14:paraId="14E55BF6">
                  <w:pPr>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每年</w:t>
                  </w:r>
                </w:p>
              </w:tc>
              <w:tc>
                <w:tcPr>
                  <w:tcW w:w="395" w:type="pct"/>
                  <w:shd w:val="clear" w:color="auto" w:fill="auto"/>
                  <w:noWrap w:val="0"/>
                  <w:vAlign w:val="center"/>
                </w:tcPr>
                <w:p w14:paraId="630E5D8A">
                  <w:pP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lang w:val="en-US" w:eastAsia="zh-CN"/>
                    </w:rPr>
                    <w:t>T/In</w:t>
                  </w:r>
                </w:p>
              </w:tc>
              <w:tc>
                <w:tcPr>
                  <w:tcW w:w="607" w:type="pct"/>
                  <w:vMerge w:val="continue"/>
                  <w:noWrap w:val="0"/>
                  <w:vAlign w:val="center"/>
                </w:tcPr>
                <w:p w14:paraId="23B37174">
                  <w:pPr>
                    <w:pStyle w:val="52"/>
                    <w:rPr>
                      <w:rFonts w:hint="default" w:ascii="Times New Roman" w:hAnsi="Times New Roman" w:cs="Times New Roman"/>
                      <w:color w:val="auto"/>
                      <w:sz w:val="18"/>
                      <w:szCs w:val="18"/>
                      <w:highlight w:val="none"/>
                    </w:rPr>
                  </w:pPr>
                </w:p>
              </w:tc>
            </w:tr>
            <w:tr w14:paraId="75A8E7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10" w:type="pct"/>
                  <w:noWrap w:val="0"/>
                  <w:vAlign w:val="center"/>
                </w:tcPr>
                <w:p w14:paraId="0612600C">
                  <w:pPr>
                    <w:pStyle w:val="52"/>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6</w:t>
                  </w:r>
                </w:p>
              </w:tc>
              <w:tc>
                <w:tcPr>
                  <w:tcW w:w="527" w:type="pct"/>
                  <w:shd w:val="clear" w:color="auto" w:fill="auto"/>
                  <w:noWrap w:val="0"/>
                  <w:vAlign w:val="center"/>
                </w:tcPr>
                <w:p w14:paraId="3426465F">
                  <w:pPr>
                    <w:pStyle w:val="57"/>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废润滑油</w:t>
                  </w:r>
                </w:p>
              </w:tc>
              <w:tc>
                <w:tcPr>
                  <w:tcW w:w="501" w:type="pct"/>
                  <w:shd w:val="clear" w:color="auto" w:fill="auto"/>
                  <w:noWrap w:val="0"/>
                  <w:vAlign w:val="center"/>
                </w:tcPr>
                <w:p w14:paraId="5A03A15C">
                  <w:pPr>
                    <w:pStyle w:val="57"/>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设备维护</w:t>
                  </w:r>
                </w:p>
              </w:tc>
              <w:tc>
                <w:tcPr>
                  <w:tcW w:w="514" w:type="pct"/>
                  <w:shd w:val="clear" w:color="auto" w:fill="auto"/>
                  <w:noWrap w:val="0"/>
                  <w:vAlign w:val="center"/>
                </w:tcPr>
                <w:p w14:paraId="3596A837">
                  <w:pPr>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HW08</w:t>
                  </w:r>
                </w:p>
              </w:tc>
              <w:tc>
                <w:tcPr>
                  <w:tcW w:w="486" w:type="pct"/>
                  <w:shd w:val="clear" w:color="auto" w:fill="auto"/>
                  <w:noWrap w:val="0"/>
                  <w:vAlign w:val="center"/>
                </w:tcPr>
                <w:p w14:paraId="2265619D">
                  <w:pPr>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900-217-08</w:t>
                  </w:r>
                </w:p>
              </w:tc>
              <w:tc>
                <w:tcPr>
                  <w:tcW w:w="458" w:type="pct"/>
                  <w:shd w:val="clear" w:color="auto" w:fill="auto"/>
                  <w:noWrap w:val="0"/>
                  <w:vAlign w:val="center"/>
                </w:tcPr>
                <w:p w14:paraId="1850EDF7">
                  <w:pPr>
                    <w:pStyle w:val="52"/>
                    <w:spacing w:line="240" w:lineRule="auto"/>
                    <w:rPr>
                      <w:rFonts w:hint="eastAsia"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0.048</w:t>
                  </w:r>
                </w:p>
              </w:tc>
              <w:tc>
                <w:tcPr>
                  <w:tcW w:w="346" w:type="pct"/>
                  <w:shd w:val="clear" w:color="auto" w:fill="auto"/>
                  <w:noWrap w:val="0"/>
                  <w:vAlign w:val="center"/>
                </w:tcPr>
                <w:p w14:paraId="698DFF5A">
                  <w:pPr>
                    <w:ind w:firstLine="0" w:firstLineChars="0"/>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固</w:t>
                  </w:r>
                </w:p>
              </w:tc>
              <w:tc>
                <w:tcPr>
                  <w:tcW w:w="449" w:type="pct"/>
                  <w:shd w:val="clear" w:color="auto" w:fill="auto"/>
                  <w:noWrap w:val="0"/>
                  <w:vAlign w:val="center"/>
                </w:tcPr>
                <w:p w14:paraId="3C4DD27F">
                  <w:pPr>
                    <w:pStyle w:val="51"/>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润滑油</w:t>
                  </w:r>
                </w:p>
              </w:tc>
              <w:tc>
                <w:tcPr>
                  <w:tcW w:w="401" w:type="pct"/>
                  <w:noWrap w:val="0"/>
                  <w:vAlign w:val="center"/>
                </w:tcPr>
                <w:p w14:paraId="34285258">
                  <w:pPr>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每月</w:t>
                  </w:r>
                </w:p>
              </w:tc>
              <w:tc>
                <w:tcPr>
                  <w:tcW w:w="395" w:type="pct"/>
                  <w:shd w:val="clear" w:color="auto" w:fill="auto"/>
                  <w:noWrap w:val="0"/>
                  <w:vAlign w:val="center"/>
                </w:tcPr>
                <w:p w14:paraId="27E46689">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T，I</w:t>
                  </w:r>
                </w:p>
              </w:tc>
              <w:tc>
                <w:tcPr>
                  <w:tcW w:w="607" w:type="pct"/>
                  <w:vMerge w:val="continue"/>
                  <w:noWrap w:val="0"/>
                  <w:vAlign w:val="center"/>
                </w:tcPr>
                <w:p w14:paraId="38D1769E">
                  <w:pPr>
                    <w:pStyle w:val="52"/>
                    <w:rPr>
                      <w:rFonts w:hint="default" w:ascii="Times New Roman" w:hAnsi="Times New Roman" w:cs="Times New Roman"/>
                      <w:color w:val="auto"/>
                      <w:sz w:val="18"/>
                      <w:szCs w:val="18"/>
                      <w:highlight w:val="none"/>
                    </w:rPr>
                  </w:pPr>
                </w:p>
              </w:tc>
            </w:tr>
            <w:tr w14:paraId="2D395C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310" w:type="pct"/>
                  <w:noWrap w:val="0"/>
                  <w:vAlign w:val="center"/>
                </w:tcPr>
                <w:p w14:paraId="2D6001E5">
                  <w:pPr>
                    <w:pStyle w:val="52"/>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7</w:t>
                  </w:r>
                </w:p>
              </w:tc>
              <w:tc>
                <w:tcPr>
                  <w:tcW w:w="527" w:type="pct"/>
                  <w:shd w:val="clear" w:color="auto" w:fill="auto"/>
                  <w:noWrap w:val="0"/>
                  <w:vAlign w:val="center"/>
                </w:tcPr>
                <w:p w14:paraId="5CAC5762">
                  <w:pPr>
                    <w:pStyle w:val="57"/>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废紫外灯管</w:t>
                  </w:r>
                </w:p>
              </w:tc>
              <w:tc>
                <w:tcPr>
                  <w:tcW w:w="501" w:type="pct"/>
                  <w:shd w:val="clear" w:color="auto" w:fill="auto"/>
                  <w:noWrap w:val="0"/>
                  <w:vAlign w:val="center"/>
                </w:tcPr>
                <w:p w14:paraId="319D6805">
                  <w:pPr>
                    <w:pStyle w:val="57"/>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灯管更换</w:t>
                  </w:r>
                </w:p>
              </w:tc>
              <w:tc>
                <w:tcPr>
                  <w:tcW w:w="514" w:type="pct"/>
                  <w:shd w:val="clear" w:color="auto" w:fill="auto"/>
                  <w:noWrap w:val="0"/>
                  <w:vAlign w:val="center"/>
                </w:tcPr>
                <w:p w14:paraId="76759039">
                  <w:pPr>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HW29</w:t>
                  </w:r>
                </w:p>
              </w:tc>
              <w:tc>
                <w:tcPr>
                  <w:tcW w:w="486" w:type="pct"/>
                  <w:shd w:val="clear" w:color="auto" w:fill="auto"/>
                  <w:noWrap w:val="0"/>
                  <w:vAlign w:val="center"/>
                </w:tcPr>
                <w:p w14:paraId="0F219D77">
                  <w:pPr>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900-023-29</w:t>
                  </w:r>
                </w:p>
              </w:tc>
              <w:tc>
                <w:tcPr>
                  <w:tcW w:w="458" w:type="pct"/>
                  <w:shd w:val="clear" w:color="auto" w:fill="auto"/>
                  <w:noWrap w:val="0"/>
                  <w:vAlign w:val="center"/>
                </w:tcPr>
                <w:p w14:paraId="3B1AE020">
                  <w:pPr>
                    <w:pStyle w:val="52"/>
                    <w:spacing w:line="240" w:lineRule="auto"/>
                    <w:rPr>
                      <w:rFonts w:hint="eastAsia"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0.06</w:t>
                  </w:r>
                </w:p>
              </w:tc>
              <w:tc>
                <w:tcPr>
                  <w:tcW w:w="346" w:type="pct"/>
                  <w:shd w:val="clear" w:color="auto" w:fill="auto"/>
                  <w:noWrap w:val="0"/>
                  <w:vAlign w:val="center"/>
                </w:tcPr>
                <w:p w14:paraId="2F06E323">
                  <w:pPr>
                    <w:ind w:firstLine="0" w:firstLineChars="0"/>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固</w:t>
                  </w:r>
                </w:p>
              </w:tc>
              <w:tc>
                <w:tcPr>
                  <w:tcW w:w="449" w:type="pct"/>
                  <w:shd w:val="clear" w:color="auto" w:fill="auto"/>
                  <w:noWrap w:val="0"/>
                  <w:vAlign w:val="center"/>
                </w:tcPr>
                <w:p w14:paraId="5E59D7FF">
                  <w:pPr>
                    <w:pStyle w:val="51"/>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紫外灯管</w:t>
                  </w:r>
                </w:p>
              </w:tc>
              <w:tc>
                <w:tcPr>
                  <w:tcW w:w="401" w:type="pct"/>
                  <w:noWrap w:val="0"/>
                  <w:vAlign w:val="center"/>
                </w:tcPr>
                <w:p w14:paraId="779AA2FE">
                  <w:pPr>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每月</w:t>
                  </w:r>
                </w:p>
              </w:tc>
              <w:tc>
                <w:tcPr>
                  <w:tcW w:w="395" w:type="pct"/>
                  <w:shd w:val="clear" w:color="auto" w:fill="auto"/>
                  <w:noWrap w:val="0"/>
                  <w:vAlign w:val="center"/>
                </w:tcPr>
                <w:p w14:paraId="00835CA3">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T</w:t>
                  </w:r>
                </w:p>
              </w:tc>
              <w:tc>
                <w:tcPr>
                  <w:tcW w:w="607" w:type="pct"/>
                  <w:vMerge w:val="continue"/>
                  <w:noWrap w:val="0"/>
                  <w:vAlign w:val="center"/>
                </w:tcPr>
                <w:p w14:paraId="7E03F0F6">
                  <w:pPr>
                    <w:pStyle w:val="52"/>
                    <w:rPr>
                      <w:rFonts w:hint="default" w:ascii="Times New Roman" w:hAnsi="Times New Roman" w:cs="Times New Roman"/>
                      <w:color w:val="auto"/>
                      <w:sz w:val="18"/>
                      <w:szCs w:val="18"/>
                      <w:highlight w:val="none"/>
                    </w:rPr>
                  </w:pPr>
                </w:p>
              </w:tc>
            </w:tr>
            <w:tr w14:paraId="30CE0C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340" w:type="pct"/>
                  <w:gridSpan w:val="3"/>
                  <w:noWrap w:val="0"/>
                  <w:vAlign w:val="center"/>
                </w:tcPr>
                <w:p w14:paraId="6B261430">
                  <w:pPr>
                    <w:pStyle w:val="52"/>
                    <w:rPr>
                      <w:rFonts w:hint="default" w:ascii="Times New Roman" w:hAnsi="Times New Roman" w:cs="Times New Roman"/>
                      <w:color w:val="auto"/>
                      <w:sz w:val="18"/>
                      <w:szCs w:val="18"/>
                      <w:highlight w:val="none"/>
                    </w:rPr>
                  </w:pPr>
                  <w:r>
                    <w:rPr>
                      <w:rFonts w:hint="default" w:ascii="Times New Roman" w:hAnsi="Times New Roman" w:cs="Times New Roman"/>
                      <w:b/>
                      <w:bCs/>
                      <w:color w:val="auto"/>
                      <w:sz w:val="18"/>
                      <w:szCs w:val="18"/>
                      <w:highlight w:val="none"/>
                      <w:lang w:val="en-US" w:eastAsia="zh-CN"/>
                    </w:rPr>
                    <w:t>汇总</w:t>
                  </w:r>
                  <w:r>
                    <w:rPr>
                      <w:rFonts w:hint="default" w:ascii="Times New Roman" w:hAnsi="Times New Roman" w:cs="Times New Roman"/>
                      <w:b/>
                      <w:color w:val="auto"/>
                      <w:sz w:val="18"/>
                      <w:szCs w:val="18"/>
                      <w:highlight w:val="none"/>
                    </w:rPr>
                    <w:t>（t/a）</w:t>
                  </w:r>
                </w:p>
              </w:tc>
              <w:tc>
                <w:tcPr>
                  <w:tcW w:w="3659" w:type="pct"/>
                  <w:gridSpan w:val="8"/>
                  <w:shd w:val="clear" w:color="auto" w:fill="auto"/>
                  <w:noWrap w:val="0"/>
                  <w:vAlign w:val="center"/>
                </w:tcPr>
                <w:p w14:paraId="785388EB">
                  <w:pPr>
                    <w:spacing w:line="240" w:lineRule="auto"/>
                    <w:jc w:val="center"/>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35.4946‬‬‬</w:t>
                  </w:r>
                </w:p>
              </w:tc>
            </w:tr>
          </w:tbl>
          <w:p w14:paraId="028156B6">
            <w:pPr>
              <w:pStyle w:val="4"/>
              <w:bidi w:val="0"/>
              <w:rPr>
                <w:rFonts w:hint="default" w:ascii="Times New Roman" w:hAnsi="Times New Roman" w:cs="Times New Roman"/>
                <w:color w:val="auto"/>
              </w:rPr>
            </w:pPr>
            <w:r>
              <w:rPr>
                <w:rFonts w:hint="eastAsia" w:cs="Times New Roman"/>
                <w:color w:val="auto"/>
                <w:lang w:val="en-US" w:eastAsia="zh-CN"/>
              </w:rPr>
              <w:t>3</w:t>
            </w:r>
            <w:r>
              <w:rPr>
                <w:rFonts w:hint="default" w:ascii="Times New Roman" w:hAnsi="Times New Roman" w:cs="Times New Roman"/>
                <w:color w:val="auto"/>
              </w:rPr>
              <w:t>、固体废物环境影响分析</w:t>
            </w:r>
          </w:p>
          <w:p w14:paraId="3D92F1B6">
            <w:pPr>
              <w:bidi w:val="0"/>
              <w:spacing w:line="360" w:lineRule="auto"/>
              <w:rPr>
                <w:rFonts w:hint="default"/>
                <w:color w:val="auto"/>
              </w:rPr>
            </w:pPr>
            <w:r>
              <w:rPr>
                <w:rFonts w:hint="default"/>
                <w:color w:val="auto"/>
                <w:lang w:eastAsia="zh-CN"/>
              </w:rPr>
              <w:t>（</w:t>
            </w:r>
            <w:r>
              <w:rPr>
                <w:rFonts w:hint="default"/>
                <w:color w:val="auto"/>
                <w:lang w:val="en-US" w:eastAsia="zh-CN"/>
              </w:rPr>
              <w:t>1</w:t>
            </w:r>
            <w:r>
              <w:rPr>
                <w:rFonts w:hint="default"/>
                <w:color w:val="auto"/>
                <w:lang w:eastAsia="zh-CN"/>
              </w:rPr>
              <w:t>）</w:t>
            </w:r>
            <w:r>
              <w:rPr>
                <w:rFonts w:hint="default"/>
                <w:color w:val="auto"/>
              </w:rPr>
              <w:t>一般工业固废贮存场所（设施）环境影响分析</w:t>
            </w:r>
          </w:p>
          <w:p w14:paraId="35553748">
            <w:pPr>
              <w:bidi w:val="0"/>
              <w:spacing w:line="360" w:lineRule="auto"/>
              <w:ind w:firstLine="420" w:firstLineChars="200"/>
              <w:rPr>
                <w:rFonts w:hint="default"/>
                <w:color w:val="auto"/>
                <w:u w:val="none"/>
              </w:rPr>
            </w:pPr>
            <w:r>
              <w:rPr>
                <w:rFonts w:hint="default"/>
                <w:color w:val="auto"/>
                <w:u w:val="none"/>
              </w:rPr>
              <w:t>本项目产生的</w:t>
            </w:r>
            <w:r>
              <w:rPr>
                <w:rFonts w:hint="eastAsia"/>
                <w:color w:val="auto"/>
                <w:u w:val="none"/>
                <w:lang w:val="en-US" w:eastAsia="zh-CN"/>
              </w:rPr>
              <w:t>不合格品</w:t>
            </w:r>
            <w:r>
              <w:rPr>
                <w:rFonts w:hint="default"/>
                <w:color w:val="auto"/>
                <w:u w:val="none"/>
              </w:rPr>
              <w:t>属于一般工业固废，收集后</w:t>
            </w:r>
            <w:r>
              <w:rPr>
                <w:rFonts w:hint="eastAsia"/>
                <w:color w:val="auto"/>
                <w:u w:val="none"/>
                <w:lang w:val="en-US" w:eastAsia="zh-CN"/>
              </w:rPr>
              <w:t>外售处置</w:t>
            </w:r>
            <w:r>
              <w:rPr>
                <w:rFonts w:hint="default"/>
                <w:color w:val="auto"/>
                <w:u w:val="none"/>
              </w:rPr>
              <w:t>。一般工业</w:t>
            </w:r>
            <w:r>
              <w:rPr>
                <w:rFonts w:hint="default"/>
                <w:color w:val="auto"/>
                <w:u w:val="none"/>
                <w:lang w:val="en-US" w:eastAsia="zh-CN"/>
              </w:rPr>
              <w:t>固废年产生量为</w:t>
            </w:r>
            <w:r>
              <w:rPr>
                <w:rFonts w:hint="eastAsia"/>
                <w:color w:val="auto"/>
                <w:u w:val="none"/>
                <w:lang w:val="en-US" w:eastAsia="zh-CN"/>
              </w:rPr>
              <w:t>4.7976</w:t>
            </w:r>
            <w:r>
              <w:rPr>
                <w:rFonts w:hint="default"/>
                <w:color w:val="auto"/>
                <w:u w:val="none"/>
                <w:lang w:val="en-US" w:eastAsia="zh-CN"/>
              </w:rPr>
              <w:t>t/a，年生产</w:t>
            </w:r>
            <w:r>
              <w:rPr>
                <w:rFonts w:hint="eastAsia"/>
                <w:color w:val="auto"/>
                <w:u w:val="none"/>
                <w:lang w:val="en-US" w:eastAsia="zh-CN"/>
              </w:rPr>
              <w:t>300</w:t>
            </w:r>
            <w:r>
              <w:rPr>
                <w:rFonts w:hint="default"/>
                <w:color w:val="auto"/>
                <w:u w:val="none"/>
                <w:lang w:val="en-US" w:eastAsia="zh-CN"/>
              </w:rPr>
              <w:t>天，日产生量为</w:t>
            </w:r>
            <w:r>
              <w:rPr>
                <w:rFonts w:hint="eastAsia"/>
                <w:color w:val="auto"/>
                <w:u w:val="none"/>
                <w:lang w:val="en-US" w:eastAsia="zh-CN"/>
              </w:rPr>
              <w:t>0.015992</w:t>
            </w:r>
            <w:r>
              <w:rPr>
                <w:rFonts w:hint="default"/>
                <w:color w:val="auto"/>
                <w:u w:val="none"/>
                <w:lang w:val="en-US" w:eastAsia="zh-CN"/>
              </w:rPr>
              <w:t>t，一般工业固废垃圾平均转运周期为一个月（按30天计），则暂存期内一般工业固废量最多为</w:t>
            </w:r>
            <w:r>
              <w:rPr>
                <w:rFonts w:hint="eastAsia"/>
                <w:color w:val="auto"/>
                <w:u w:val="none"/>
                <w:lang w:val="en-US" w:eastAsia="zh-CN"/>
              </w:rPr>
              <w:t>0.47976‬</w:t>
            </w:r>
            <w:r>
              <w:rPr>
                <w:rFonts w:hint="default"/>
                <w:color w:val="auto"/>
                <w:u w:val="none"/>
                <w:lang w:val="en-US" w:eastAsia="zh-CN"/>
              </w:rPr>
              <w:t>t，本项目一般工业固废主要是</w:t>
            </w:r>
            <w:r>
              <w:rPr>
                <w:rFonts w:hint="eastAsia"/>
                <w:color w:val="auto"/>
                <w:u w:val="none"/>
                <w:lang w:val="en-US" w:eastAsia="zh-CN"/>
              </w:rPr>
              <w:t>塑料</w:t>
            </w:r>
            <w:r>
              <w:rPr>
                <w:rFonts w:hint="default"/>
                <w:color w:val="auto"/>
                <w:u w:val="none"/>
                <w:lang w:val="en-US" w:eastAsia="zh-CN"/>
              </w:rPr>
              <w:t>，平均密度以</w:t>
            </w:r>
            <w:r>
              <w:rPr>
                <w:rFonts w:hint="eastAsia"/>
                <w:color w:val="auto"/>
                <w:u w:val="none"/>
                <w:lang w:val="en-US" w:eastAsia="zh-CN"/>
              </w:rPr>
              <w:t>0.8</w:t>
            </w:r>
            <w:r>
              <w:rPr>
                <w:rFonts w:hint="default"/>
                <w:color w:val="auto"/>
                <w:u w:val="none"/>
                <w:lang w:eastAsia="zh-CN"/>
              </w:rPr>
              <w:t>t/m</w:t>
            </w:r>
            <w:r>
              <w:rPr>
                <w:rFonts w:hint="default"/>
                <w:color w:val="auto"/>
                <w:u w:val="none"/>
                <w:vertAlign w:val="superscript"/>
                <w:lang w:eastAsia="zh-CN"/>
              </w:rPr>
              <w:t>3</w:t>
            </w:r>
            <w:r>
              <w:rPr>
                <w:rFonts w:hint="default"/>
                <w:color w:val="auto"/>
                <w:u w:val="none"/>
                <w:lang w:eastAsia="zh-CN"/>
              </w:rPr>
              <w:t>计，</w:t>
            </w:r>
            <w:r>
              <w:rPr>
                <w:rFonts w:hint="default"/>
                <w:color w:val="auto"/>
                <w:u w:val="none"/>
                <w:lang w:val="en-US" w:eastAsia="zh-CN"/>
              </w:rPr>
              <w:t>则最大暂存量为</w:t>
            </w:r>
            <w:r>
              <w:rPr>
                <w:rFonts w:hint="eastAsia"/>
                <w:color w:val="auto"/>
                <w:u w:val="none"/>
                <w:lang w:val="en-US" w:eastAsia="zh-CN"/>
              </w:rPr>
              <w:t>0.5997‬</w:t>
            </w:r>
            <w:r>
              <w:rPr>
                <w:rFonts w:hint="default"/>
                <w:color w:val="auto"/>
                <w:u w:val="none"/>
                <w:lang w:val="en-US" w:eastAsia="zh-CN"/>
              </w:rPr>
              <w:t>m</w:t>
            </w:r>
            <w:r>
              <w:rPr>
                <w:rFonts w:hint="default"/>
                <w:color w:val="auto"/>
                <w:u w:val="none"/>
                <w:vertAlign w:val="superscript"/>
                <w:lang w:val="en-US" w:eastAsia="zh-CN"/>
              </w:rPr>
              <w:t>3</w:t>
            </w:r>
            <w:r>
              <w:rPr>
                <w:rFonts w:hint="eastAsia"/>
                <w:color w:val="auto"/>
                <w:u w:val="none"/>
                <w:lang w:val="en-US" w:eastAsia="zh-CN"/>
              </w:rPr>
              <w:t>，</w:t>
            </w:r>
            <w:r>
              <w:rPr>
                <w:rFonts w:hint="default"/>
                <w:color w:val="auto"/>
                <w:u w:val="none"/>
              </w:rPr>
              <w:t>项目厂房内设置一般固废</w:t>
            </w:r>
            <w:r>
              <w:rPr>
                <w:rFonts w:hint="eastAsia"/>
                <w:color w:val="auto"/>
                <w:u w:val="none"/>
                <w:lang w:val="en-US" w:eastAsia="zh-CN"/>
              </w:rPr>
              <w:t>仓库</w:t>
            </w:r>
            <w:r>
              <w:rPr>
                <w:rFonts w:hint="default"/>
                <w:color w:val="auto"/>
                <w:u w:val="none"/>
              </w:rPr>
              <w:t>，面积为</w:t>
            </w:r>
            <w:r>
              <w:rPr>
                <w:rFonts w:hint="eastAsia"/>
                <w:color w:val="auto"/>
                <w:u w:val="none"/>
                <w:lang w:val="en-US" w:eastAsia="zh-CN"/>
              </w:rPr>
              <w:t>1000</w:t>
            </w:r>
            <w:r>
              <w:rPr>
                <w:rFonts w:hint="default"/>
                <w:color w:val="auto"/>
                <w:u w:val="none"/>
                <w:lang w:val="en-US" w:eastAsia="zh-CN"/>
              </w:rPr>
              <w:t>m</w:t>
            </w:r>
            <w:r>
              <w:rPr>
                <w:rFonts w:hint="default"/>
                <w:color w:val="auto"/>
                <w:u w:val="none"/>
                <w:vertAlign w:val="superscript"/>
                <w:lang w:val="en-US" w:eastAsia="zh-CN"/>
              </w:rPr>
              <w:t>2</w:t>
            </w:r>
            <w:r>
              <w:rPr>
                <w:rFonts w:hint="default"/>
                <w:color w:val="auto"/>
                <w:u w:val="none"/>
              </w:rPr>
              <w:t xml:space="preserve"> </w:t>
            </w:r>
            <w:r>
              <w:rPr>
                <w:rFonts w:hint="default"/>
                <w:color w:val="auto"/>
                <w:u w:val="none"/>
                <w:lang w:eastAsia="zh-CN"/>
              </w:rPr>
              <w:t>，</w:t>
            </w:r>
            <w:r>
              <w:rPr>
                <w:rFonts w:hint="eastAsia"/>
                <w:color w:val="auto"/>
                <w:lang w:val="en-US" w:eastAsia="zh-CN"/>
              </w:rPr>
              <w:t>现有一般固废暂存面积为63.625</w:t>
            </w:r>
            <w:r>
              <w:rPr>
                <w:rFonts w:hint="eastAsia"/>
                <w:color w:val="auto"/>
                <w:u w:val="none"/>
                <w:lang w:val="en-US" w:eastAsia="zh-CN"/>
              </w:rPr>
              <w:t>‬</w:t>
            </w:r>
            <w:r>
              <w:rPr>
                <w:rFonts w:hint="default"/>
                <w:color w:val="auto"/>
                <w:u w:val="none"/>
                <w:lang w:val="en-US" w:eastAsia="zh-CN"/>
              </w:rPr>
              <w:t>m</w:t>
            </w:r>
            <w:r>
              <w:rPr>
                <w:rFonts w:hint="default"/>
                <w:color w:val="auto"/>
                <w:u w:val="none"/>
                <w:vertAlign w:val="superscript"/>
                <w:lang w:val="en-US" w:eastAsia="zh-CN"/>
              </w:rPr>
              <w:t>3</w:t>
            </w:r>
            <w:r>
              <w:rPr>
                <w:rFonts w:hint="eastAsia"/>
                <w:color w:val="auto"/>
                <w:lang w:val="en-US" w:eastAsia="zh-CN"/>
              </w:rPr>
              <w:t>，剩余面积‬</w:t>
            </w:r>
            <w:r>
              <w:rPr>
                <w:rFonts w:hint="default"/>
                <w:color w:val="auto"/>
                <w:u w:val="none"/>
                <w:lang w:val="en-US" w:eastAsia="zh-CN"/>
              </w:rPr>
              <w:t>足够</w:t>
            </w:r>
            <w:r>
              <w:rPr>
                <w:rFonts w:hint="eastAsia"/>
                <w:color w:val="auto"/>
                <w:u w:val="none"/>
                <w:lang w:val="en-US" w:eastAsia="zh-CN"/>
              </w:rPr>
              <w:t>新增的一般固废</w:t>
            </w:r>
            <w:r>
              <w:rPr>
                <w:rFonts w:hint="default"/>
                <w:color w:val="auto"/>
                <w:u w:val="none"/>
                <w:lang w:val="en-US" w:eastAsia="zh-CN"/>
              </w:rPr>
              <w:t>存放</w:t>
            </w:r>
            <w:r>
              <w:rPr>
                <w:rFonts w:hint="default"/>
                <w:color w:val="auto"/>
                <w:u w:val="none"/>
              </w:rPr>
              <w:t>。一般固废</w:t>
            </w:r>
            <w:r>
              <w:rPr>
                <w:rFonts w:hint="eastAsia"/>
                <w:color w:val="auto"/>
                <w:u w:val="none"/>
                <w:lang w:val="en-US" w:eastAsia="zh-CN"/>
              </w:rPr>
              <w:t>仓库</w:t>
            </w:r>
            <w:r>
              <w:rPr>
                <w:rFonts w:hint="default"/>
                <w:color w:val="auto"/>
                <w:u w:val="none"/>
              </w:rPr>
              <w:t>地面应进行硬化，不得露天设置，并做好防腐、防渗和防漏处理，符合《一般工业固体废物贮存和填埋污染控制标准》(GB18599—2020)要求，并制定“一般工业固废仓库管理制度”、“一般工业固废处置管理规定”，由专人维护</w:t>
            </w:r>
            <w:r>
              <w:rPr>
                <w:rFonts w:hint="default"/>
                <w:color w:val="auto"/>
                <w:u w:val="none"/>
                <w:lang w:eastAsia="zh-CN"/>
              </w:rPr>
              <w:t>。</w:t>
            </w:r>
            <w:r>
              <w:rPr>
                <w:rFonts w:hint="default"/>
                <w:color w:val="auto"/>
                <w:u w:val="none"/>
              </w:rPr>
              <w:t>因此，项目一般工业固废的收集、贮存对环境的影响较小。</w:t>
            </w:r>
          </w:p>
          <w:p w14:paraId="5021F5D1">
            <w:pPr>
              <w:bidi w:val="0"/>
              <w:spacing w:line="360" w:lineRule="auto"/>
              <w:rPr>
                <w:rFonts w:hint="default"/>
                <w:color w:val="auto"/>
                <w:u w:val="none"/>
                <w:lang w:val="en-US" w:eastAsia="zh-CN"/>
              </w:rPr>
            </w:pPr>
            <w:r>
              <w:rPr>
                <w:rFonts w:hint="default"/>
                <w:color w:val="auto"/>
                <w:u w:val="none"/>
                <w:lang w:eastAsia="zh-CN"/>
              </w:rPr>
              <w:t>（</w:t>
            </w:r>
            <w:r>
              <w:rPr>
                <w:rFonts w:hint="default"/>
                <w:color w:val="auto"/>
                <w:u w:val="none"/>
                <w:lang w:val="en-US" w:eastAsia="zh-CN"/>
              </w:rPr>
              <w:t>2</w:t>
            </w:r>
            <w:r>
              <w:rPr>
                <w:rFonts w:hint="default"/>
                <w:color w:val="auto"/>
                <w:u w:val="none"/>
                <w:lang w:eastAsia="zh-CN"/>
              </w:rPr>
              <w:t>）</w:t>
            </w:r>
            <w:r>
              <w:rPr>
                <w:rFonts w:hint="default"/>
                <w:color w:val="auto"/>
                <w:u w:val="none"/>
              </w:rPr>
              <w:t>危险废物贮存场所（设施）环境影响分析</w:t>
            </w:r>
          </w:p>
          <w:p w14:paraId="2AE5FF97">
            <w:pPr>
              <w:bidi w:val="0"/>
              <w:spacing w:line="360" w:lineRule="auto"/>
              <w:ind w:firstLine="420" w:firstLineChars="200"/>
              <w:rPr>
                <w:rFonts w:hint="default"/>
                <w:color w:val="auto"/>
              </w:rPr>
            </w:pPr>
            <w:r>
              <w:rPr>
                <w:rFonts w:hint="default"/>
                <w:color w:val="auto"/>
                <w:u w:val="none"/>
              </w:rPr>
              <w:t>本项目产生的危险固废</w:t>
            </w:r>
            <w:r>
              <w:rPr>
                <w:rFonts w:hint="eastAsia"/>
                <w:color w:val="auto"/>
                <w:u w:val="none"/>
                <w:lang w:val="en-US" w:eastAsia="zh-CN"/>
              </w:rPr>
              <w:t>有废包装、废活性炭、废清洗剂、漆渣、废过滤棉</w:t>
            </w:r>
            <w:r>
              <w:rPr>
                <w:rFonts w:hint="eastAsia" w:cs="Times New Roman"/>
                <w:color w:val="auto"/>
                <w:sz w:val="21"/>
                <w:szCs w:val="21"/>
                <w:lang w:val="en-US" w:eastAsia="zh-CN"/>
              </w:rPr>
              <w:t>、废润滑油、废紫外灯管</w:t>
            </w:r>
            <w:r>
              <w:rPr>
                <w:rFonts w:hint="default"/>
                <w:color w:val="auto"/>
              </w:rPr>
              <w:t>，危险废物均在各产污环节点做到分类收集和贮存，避免混入生活垃圾中。在运出厂区之前暂存在专门的危废仓库内。本项目厂内危废暂存场所应严格按照《危险废物贮存污染控制标准》（GB 18597-2023）相关要求建设，危险废物分类分区存放、贮存</w:t>
            </w:r>
            <w:r>
              <w:rPr>
                <w:rFonts w:hint="default"/>
                <w:color w:val="auto"/>
                <w:lang w:eastAsia="zh-CN"/>
              </w:rPr>
              <w:t>，不相容的危险废物应设置隔离间隔断</w:t>
            </w:r>
            <w:r>
              <w:rPr>
                <w:rFonts w:hint="default"/>
                <w:color w:val="auto"/>
              </w:rPr>
              <w:t>；危险废物贮存场所基本情况见</w:t>
            </w:r>
            <w:r>
              <w:rPr>
                <w:rFonts w:hint="eastAsia"/>
                <w:color w:val="auto"/>
                <w:lang w:val="en-US" w:eastAsia="zh-CN"/>
              </w:rPr>
              <w:t>下表</w:t>
            </w:r>
            <w:r>
              <w:rPr>
                <w:rFonts w:hint="default"/>
                <w:color w:val="auto"/>
              </w:rPr>
              <w:t>。</w:t>
            </w:r>
          </w:p>
          <w:p w14:paraId="0AB8FBAC">
            <w:pPr>
              <w:pStyle w:val="8"/>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0" w:leftChars="0" w:right="0" w:rightChars="0"/>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表4-</w:t>
            </w:r>
            <w:r>
              <w:rPr>
                <w:rFonts w:hint="eastAsia" w:cs="Times New Roman"/>
                <w:b/>
                <w:color w:val="auto"/>
                <w:sz w:val="21"/>
                <w:szCs w:val="21"/>
                <w:highlight w:val="none"/>
                <w:lang w:val="en-US" w:eastAsia="zh-CN"/>
              </w:rPr>
              <w:t>20</w:t>
            </w:r>
            <w:r>
              <w:rPr>
                <w:rFonts w:hint="default" w:ascii="Times New Roman" w:hAnsi="Times New Roman" w:cs="Times New Roman"/>
                <w:b/>
                <w:color w:val="auto"/>
                <w:sz w:val="21"/>
                <w:szCs w:val="21"/>
                <w:highlight w:val="none"/>
              </w:rPr>
              <w:t xml:space="preserve">  </w:t>
            </w:r>
            <w:r>
              <w:rPr>
                <w:rFonts w:hint="default" w:ascii="Times New Roman" w:hAnsi="Times New Roman" w:cs="Times New Roman"/>
                <w:b/>
                <w:color w:val="auto"/>
                <w:sz w:val="21"/>
                <w:szCs w:val="21"/>
                <w:highlight w:val="none"/>
                <w:lang w:eastAsia="zh-CN"/>
              </w:rPr>
              <w:t>危险废物贮存基本情况</w:t>
            </w:r>
            <w:r>
              <w:rPr>
                <w:rFonts w:hint="default" w:ascii="Times New Roman" w:hAnsi="Times New Roman" w:cs="Times New Roman"/>
                <w:b/>
                <w:color w:val="auto"/>
                <w:sz w:val="21"/>
                <w:szCs w:val="21"/>
                <w:highlight w:val="none"/>
              </w:rPr>
              <w:t>表</w:t>
            </w:r>
          </w:p>
          <w:tbl>
            <w:tblPr>
              <w:tblStyle w:val="20"/>
              <w:tblW w:w="497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7"/>
              <w:gridCol w:w="1076"/>
              <w:gridCol w:w="967"/>
              <w:gridCol w:w="1189"/>
              <w:gridCol w:w="1038"/>
              <w:gridCol w:w="1031"/>
              <w:gridCol w:w="633"/>
              <w:gridCol w:w="791"/>
              <w:gridCol w:w="860"/>
            </w:tblGrid>
            <w:tr w14:paraId="2F5442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307" w:type="pct"/>
                  <w:noWrap w:val="0"/>
                  <w:vAlign w:val="center"/>
                </w:tcPr>
                <w:p w14:paraId="48203302">
                  <w:pPr>
                    <w:pStyle w:val="52"/>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序号</w:t>
                  </w:r>
                </w:p>
              </w:tc>
              <w:tc>
                <w:tcPr>
                  <w:tcW w:w="665" w:type="pct"/>
                  <w:noWrap w:val="0"/>
                  <w:vAlign w:val="center"/>
                </w:tcPr>
                <w:p w14:paraId="413AF323">
                  <w:pPr>
                    <w:pStyle w:val="52"/>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危险废物名称</w:t>
                  </w:r>
                </w:p>
              </w:tc>
              <w:tc>
                <w:tcPr>
                  <w:tcW w:w="598" w:type="pct"/>
                  <w:noWrap w:val="0"/>
                  <w:vAlign w:val="center"/>
                </w:tcPr>
                <w:p w14:paraId="4843B908">
                  <w:pPr>
                    <w:pStyle w:val="52"/>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危废类别</w:t>
                  </w:r>
                </w:p>
              </w:tc>
              <w:tc>
                <w:tcPr>
                  <w:tcW w:w="735" w:type="pct"/>
                  <w:noWrap w:val="0"/>
                  <w:vAlign w:val="center"/>
                </w:tcPr>
                <w:p w14:paraId="36B32BED">
                  <w:pPr>
                    <w:pStyle w:val="52"/>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危废代码</w:t>
                  </w:r>
                </w:p>
              </w:tc>
              <w:tc>
                <w:tcPr>
                  <w:tcW w:w="642" w:type="pct"/>
                  <w:noWrap w:val="0"/>
                  <w:vAlign w:val="center"/>
                </w:tcPr>
                <w:p w14:paraId="2CA780F8">
                  <w:pPr>
                    <w:pStyle w:val="52"/>
                    <w:rPr>
                      <w:rFonts w:hint="default" w:ascii="Times New Roman" w:hAnsi="Times New Roman" w:cs="Times New Roman"/>
                      <w:b/>
                      <w:color w:val="auto"/>
                      <w:sz w:val="18"/>
                      <w:szCs w:val="18"/>
                      <w:highlight w:val="none"/>
                      <w:lang w:val="zh-CN" w:eastAsia="zh-CN"/>
                    </w:rPr>
                  </w:pPr>
                  <w:r>
                    <w:rPr>
                      <w:rFonts w:hint="default" w:ascii="Times New Roman" w:hAnsi="Times New Roman" w:cs="Times New Roman"/>
                      <w:b/>
                      <w:color w:val="auto"/>
                      <w:sz w:val="18"/>
                      <w:szCs w:val="18"/>
                      <w:highlight w:val="none"/>
                    </w:rPr>
                    <w:t>危废库位置</w:t>
                  </w:r>
                </w:p>
              </w:tc>
              <w:tc>
                <w:tcPr>
                  <w:tcW w:w="637" w:type="pct"/>
                  <w:noWrap w:val="0"/>
                  <w:vAlign w:val="center"/>
                </w:tcPr>
                <w:p w14:paraId="3D2B2D06">
                  <w:pPr>
                    <w:pStyle w:val="52"/>
                    <w:rPr>
                      <w:rFonts w:hint="default" w:ascii="Times New Roman" w:hAnsi="Times New Roman" w:cs="Times New Roman"/>
                      <w:b/>
                      <w:color w:val="auto"/>
                      <w:sz w:val="18"/>
                      <w:szCs w:val="18"/>
                      <w:highlight w:val="none"/>
                      <w:lang w:val="zh-CN" w:eastAsia="zh-CN"/>
                    </w:rPr>
                  </w:pPr>
                  <w:r>
                    <w:rPr>
                      <w:rFonts w:hint="default" w:ascii="Times New Roman" w:hAnsi="Times New Roman" w:cs="Times New Roman"/>
                      <w:b/>
                      <w:color w:val="auto"/>
                      <w:sz w:val="18"/>
                      <w:szCs w:val="18"/>
                      <w:highlight w:val="none"/>
                      <w:lang w:eastAsia="zh-CN"/>
                    </w:rPr>
                    <w:t>建筑</w:t>
                  </w:r>
                  <w:r>
                    <w:rPr>
                      <w:rFonts w:hint="default" w:ascii="Times New Roman" w:hAnsi="Times New Roman" w:cs="Times New Roman"/>
                      <w:b/>
                      <w:color w:val="auto"/>
                      <w:sz w:val="18"/>
                      <w:szCs w:val="18"/>
                      <w:highlight w:val="none"/>
                    </w:rPr>
                    <w:t>面积</w:t>
                  </w:r>
                </w:p>
              </w:tc>
              <w:tc>
                <w:tcPr>
                  <w:tcW w:w="391" w:type="pct"/>
                  <w:noWrap w:val="0"/>
                  <w:vAlign w:val="center"/>
                </w:tcPr>
                <w:p w14:paraId="421D1083">
                  <w:pPr>
                    <w:pStyle w:val="52"/>
                    <w:rPr>
                      <w:rFonts w:hint="default" w:ascii="Times New Roman" w:hAnsi="Times New Roman" w:cs="Times New Roman"/>
                      <w:b/>
                      <w:color w:val="auto"/>
                      <w:sz w:val="18"/>
                      <w:szCs w:val="18"/>
                      <w:highlight w:val="none"/>
                      <w:lang w:val="zh-CN" w:eastAsia="zh-CN"/>
                    </w:rPr>
                  </w:pPr>
                  <w:r>
                    <w:rPr>
                      <w:rFonts w:hint="default" w:ascii="Times New Roman" w:hAnsi="Times New Roman" w:cs="Times New Roman"/>
                      <w:b/>
                      <w:color w:val="auto"/>
                      <w:sz w:val="18"/>
                      <w:szCs w:val="18"/>
                      <w:highlight w:val="none"/>
                    </w:rPr>
                    <w:t>贮存方式</w:t>
                  </w:r>
                </w:p>
              </w:tc>
              <w:tc>
                <w:tcPr>
                  <w:tcW w:w="489" w:type="pct"/>
                  <w:noWrap w:val="0"/>
                  <w:vAlign w:val="center"/>
                </w:tcPr>
                <w:p w14:paraId="7A0CCF43">
                  <w:pPr>
                    <w:pStyle w:val="52"/>
                    <w:rPr>
                      <w:rFonts w:hint="default" w:ascii="Times New Roman" w:hAnsi="Times New Roman" w:cs="Times New Roman"/>
                      <w:b/>
                      <w:color w:val="auto"/>
                      <w:sz w:val="18"/>
                      <w:szCs w:val="18"/>
                      <w:highlight w:val="none"/>
                      <w:lang w:val="zh-CN" w:eastAsia="zh-CN"/>
                    </w:rPr>
                  </w:pPr>
                  <w:r>
                    <w:rPr>
                      <w:rFonts w:hint="default" w:ascii="Times New Roman" w:hAnsi="Times New Roman" w:cs="Times New Roman"/>
                      <w:b/>
                      <w:color w:val="auto"/>
                      <w:sz w:val="18"/>
                      <w:szCs w:val="18"/>
                      <w:highlight w:val="none"/>
                    </w:rPr>
                    <w:t>贮存能力</w:t>
                  </w:r>
                </w:p>
              </w:tc>
              <w:tc>
                <w:tcPr>
                  <w:tcW w:w="532" w:type="pct"/>
                  <w:noWrap w:val="0"/>
                  <w:vAlign w:val="center"/>
                </w:tcPr>
                <w:p w14:paraId="2DB5F0A1">
                  <w:pPr>
                    <w:pStyle w:val="52"/>
                    <w:rPr>
                      <w:rFonts w:hint="default" w:ascii="Times New Roman" w:hAnsi="Times New Roman" w:cs="Times New Roman"/>
                      <w:b/>
                      <w:color w:val="auto"/>
                      <w:sz w:val="18"/>
                      <w:szCs w:val="18"/>
                      <w:highlight w:val="none"/>
                      <w:lang w:val="zh-CN" w:eastAsia="zh-CN"/>
                    </w:rPr>
                  </w:pPr>
                  <w:r>
                    <w:rPr>
                      <w:rFonts w:hint="default" w:ascii="Times New Roman" w:hAnsi="Times New Roman" w:cs="Times New Roman"/>
                      <w:b/>
                      <w:color w:val="auto"/>
                      <w:sz w:val="18"/>
                      <w:szCs w:val="18"/>
                      <w:highlight w:val="none"/>
                    </w:rPr>
                    <w:t>贮存周期</w:t>
                  </w:r>
                </w:p>
              </w:tc>
            </w:tr>
            <w:tr w14:paraId="10D68E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07" w:type="pct"/>
                  <w:noWrap w:val="0"/>
                  <w:vAlign w:val="center"/>
                </w:tcPr>
                <w:p w14:paraId="5D263AEA">
                  <w:pPr>
                    <w:pStyle w:val="52"/>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1</w:t>
                  </w:r>
                </w:p>
              </w:tc>
              <w:tc>
                <w:tcPr>
                  <w:tcW w:w="665" w:type="pct"/>
                  <w:shd w:val="clear" w:color="auto" w:fill="auto"/>
                  <w:noWrap w:val="0"/>
                  <w:vAlign w:val="center"/>
                </w:tcPr>
                <w:p w14:paraId="7EE8CE05">
                  <w:pPr>
                    <w:pStyle w:val="57"/>
                    <w:ind w:firstLine="0" w:firstLineChars="0"/>
                    <w:rPr>
                      <w:rFonts w:hint="default" w:ascii="Times New Roman" w:hAnsi="Times New Roman" w:eastAsia="宋体" w:cs="Times New Roman"/>
                      <w:color w:val="auto"/>
                      <w:kern w:val="2"/>
                      <w:sz w:val="18"/>
                      <w:szCs w:val="18"/>
                      <w:highlight w:val="none"/>
                      <w:lang w:val="zh-CN" w:eastAsia="zh-CN" w:bidi="ar-SA"/>
                    </w:rPr>
                  </w:pPr>
                  <w:r>
                    <w:rPr>
                      <w:rFonts w:hint="eastAsia" w:cs="Times New Roman"/>
                      <w:color w:val="auto"/>
                      <w:kern w:val="2"/>
                      <w:sz w:val="18"/>
                      <w:szCs w:val="18"/>
                      <w:highlight w:val="none"/>
                      <w:lang w:val="en-US" w:eastAsia="zh-CN" w:bidi="ar-SA"/>
                    </w:rPr>
                    <w:t>废包装</w:t>
                  </w:r>
                </w:p>
              </w:tc>
              <w:tc>
                <w:tcPr>
                  <w:tcW w:w="598" w:type="pct"/>
                  <w:shd w:val="clear" w:color="auto" w:fill="auto"/>
                  <w:noWrap w:val="0"/>
                  <w:vAlign w:val="center"/>
                </w:tcPr>
                <w:p w14:paraId="617315B0">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HW49</w:t>
                  </w:r>
                </w:p>
              </w:tc>
              <w:tc>
                <w:tcPr>
                  <w:tcW w:w="735" w:type="pct"/>
                  <w:shd w:val="clear" w:color="auto" w:fill="auto"/>
                  <w:noWrap w:val="0"/>
                  <w:vAlign w:val="center"/>
                </w:tcPr>
                <w:p w14:paraId="112A9A7A">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900-041-49</w:t>
                  </w:r>
                </w:p>
              </w:tc>
              <w:tc>
                <w:tcPr>
                  <w:tcW w:w="642" w:type="pct"/>
                  <w:vMerge w:val="restart"/>
                  <w:noWrap w:val="0"/>
                  <w:vAlign w:val="center"/>
                </w:tcPr>
                <w:p w14:paraId="5911993A">
                  <w:pPr>
                    <w:pStyle w:val="52"/>
                    <w:jc w:val="center"/>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注塑车间一北侧</w:t>
                  </w:r>
                </w:p>
              </w:tc>
              <w:tc>
                <w:tcPr>
                  <w:tcW w:w="637" w:type="pct"/>
                  <w:vMerge w:val="restart"/>
                  <w:noWrap w:val="0"/>
                  <w:vAlign w:val="center"/>
                </w:tcPr>
                <w:p w14:paraId="6166F6E1">
                  <w:pPr>
                    <w:pStyle w:val="52"/>
                    <w:rPr>
                      <w:rFonts w:hint="default" w:ascii="Times New Roman" w:hAnsi="Times New Roman"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10m</w:t>
                  </w:r>
                  <w:r>
                    <w:rPr>
                      <w:rFonts w:hint="eastAsia" w:cs="Times New Roman"/>
                      <w:b w:val="0"/>
                      <w:bCs/>
                      <w:color w:val="auto"/>
                      <w:sz w:val="18"/>
                      <w:szCs w:val="18"/>
                      <w:highlight w:val="none"/>
                      <w:vertAlign w:val="superscript"/>
                      <w:lang w:val="en-US" w:eastAsia="zh-CN"/>
                    </w:rPr>
                    <w:t>2</w:t>
                  </w:r>
                </w:p>
              </w:tc>
              <w:tc>
                <w:tcPr>
                  <w:tcW w:w="391" w:type="pct"/>
                  <w:noWrap w:val="0"/>
                  <w:vAlign w:val="center"/>
                </w:tcPr>
                <w:p w14:paraId="3F31268B">
                  <w:pPr>
                    <w:pStyle w:val="52"/>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袋装</w:t>
                  </w:r>
                </w:p>
              </w:tc>
              <w:tc>
                <w:tcPr>
                  <w:tcW w:w="489" w:type="pct"/>
                  <w:vMerge w:val="restart"/>
                  <w:shd w:val="clear" w:color="auto" w:fill="auto"/>
                  <w:noWrap w:val="0"/>
                  <w:vAlign w:val="center"/>
                </w:tcPr>
                <w:p w14:paraId="671D6679">
                  <w:pPr>
                    <w:pStyle w:val="52"/>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kern w:val="18"/>
                      <w:sz w:val="18"/>
                      <w:szCs w:val="18"/>
                      <w:highlight w:val="none"/>
                      <w:lang w:val="en-US" w:eastAsia="zh-CN" w:bidi="ar-SA"/>
                    </w:rPr>
                    <w:t>140t</w:t>
                  </w:r>
                </w:p>
              </w:tc>
              <w:tc>
                <w:tcPr>
                  <w:tcW w:w="532" w:type="pct"/>
                  <w:noWrap w:val="0"/>
                  <w:vAlign w:val="center"/>
                </w:tcPr>
                <w:p w14:paraId="5FD28A8C">
                  <w:pPr>
                    <w:pStyle w:val="52"/>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每月</w:t>
                  </w:r>
                </w:p>
              </w:tc>
            </w:tr>
            <w:tr w14:paraId="7EEC8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07" w:type="pct"/>
                  <w:noWrap w:val="0"/>
                  <w:vAlign w:val="center"/>
                </w:tcPr>
                <w:p w14:paraId="2249312D">
                  <w:pPr>
                    <w:pStyle w:val="52"/>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2</w:t>
                  </w:r>
                </w:p>
              </w:tc>
              <w:tc>
                <w:tcPr>
                  <w:tcW w:w="665" w:type="pct"/>
                  <w:shd w:val="clear" w:color="auto" w:fill="auto"/>
                  <w:noWrap w:val="0"/>
                  <w:vAlign w:val="center"/>
                </w:tcPr>
                <w:p w14:paraId="6B82D139">
                  <w:pPr>
                    <w:pStyle w:val="57"/>
                    <w:ind w:firstLine="0" w:firstLineChars="0"/>
                    <w:rPr>
                      <w:rFonts w:hint="default" w:ascii="Times New Roman" w:hAnsi="Times New Roman" w:eastAsia="宋体" w:cs="Times New Roman"/>
                      <w:color w:val="auto"/>
                      <w:kern w:val="2"/>
                      <w:sz w:val="18"/>
                      <w:szCs w:val="18"/>
                      <w:highlight w:val="none"/>
                      <w:lang w:val="zh-CN" w:eastAsia="zh-CN" w:bidi="ar-SA"/>
                    </w:rPr>
                  </w:pPr>
                  <w:r>
                    <w:rPr>
                      <w:rFonts w:hint="eastAsia" w:cs="Times New Roman"/>
                      <w:color w:val="auto"/>
                      <w:kern w:val="2"/>
                      <w:sz w:val="18"/>
                      <w:szCs w:val="18"/>
                      <w:highlight w:val="none"/>
                      <w:lang w:val="en-US" w:eastAsia="zh-CN" w:bidi="ar-SA"/>
                    </w:rPr>
                    <w:t>废活性炭</w:t>
                  </w:r>
                </w:p>
              </w:tc>
              <w:tc>
                <w:tcPr>
                  <w:tcW w:w="598" w:type="pct"/>
                  <w:shd w:val="clear" w:color="auto" w:fill="auto"/>
                  <w:noWrap w:val="0"/>
                  <w:vAlign w:val="center"/>
                </w:tcPr>
                <w:p w14:paraId="31808F75">
                  <w:pPr>
                    <w:keepNext w:val="0"/>
                    <w:keepLines/>
                    <w:pageBreakBefore w:val="0"/>
                    <w:widowControl w:val="0"/>
                    <w:kinsoku/>
                    <w:wordWrap/>
                    <w:bidi w:val="0"/>
                    <w:adjustRightInd w:val="0"/>
                    <w:snapToGrid w:val="0"/>
                    <w:jc w:val="center"/>
                    <w:rPr>
                      <w:rFonts w:hint="default" w:ascii="Times New Roman" w:hAnsi="Times New Roman" w:eastAsia="宋体" w:cs="Times New Roman"/>
                      <w:color w:val="auto"/>
                      <w:spacing w:val="-1"/>
                      <w:kern w:val="2"/>
                      <w:sz w:val="18"/>
                      <w:szCs w:val="18"/>
                      <w:highlight w:val="none"/>
                      <w:lang w:val="en-US" w:eastAsia="zh-CN" w:bidi="ar-SA"/>
                    </w:rPr>
                  </w:pPr>
                  <w:r>
                    <w:rPr>
                      <w:rFonts w:hint="default" w:ascii="Times New Roman" w:hAnsi="Times New Roman" w:cs="Times New Roman"/>
                      <w:color w:val="auto"/>
                      <w:sz w:val="18"/>
                      <w:szCs w:val="18"/>
                      <w:highlight w:val="none"/>
                    </w:rPr>
                    <w:t>HW49</w:t>
                  </w:r>
                </w:p>
              </w:tc>
              <w:tc>
                <w:tcPr>
                  <w:tcW w:w="735" w:type="pct"/>
                  <w:shd w:val="clear" w:color="auto" w:fill="auto"/>
                  <w:noWrap w:val="0"/>
                  <w:vAlign w:val="center"/>
                </w:tcPr>
                <w:p w14:paraId="5BCCBF10">
                  <w:pPr>
                    <w:keepNext w:val="0"/>
                    <w:keepLines/>
                    <w:pageBreakBefore w:val="0"/>
                    <w:widowControl w:val="0"/>
                    <w:kinsoku/>
                    <w:wordWrap/>
                    <w:bidi w:val="0"/>
                    <w:adjustRightInd w:val="0"/>
                    <w:snapToGrid w:val="0"/>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900-039-49</w:t>
                  </w:r>
                </w:p>
              </w:tc>
              <w:tc>
                <w:tcPr>
                  <w:tcW w:w="642" w:type="pct"/>
                  <w:vMerge w:val="continue"/>
                  <w:noWrap w:val="0"/>
                  <w:vAlign w:val="center"/>
                </w:tcPr>
                <w:p w14:paraId="53776764">
                  <w:pPr>
                    <w:pStyle w:val="52"/>
                    <w:rPr>
                      <w:rFonts w:hint="default" w:ascii="Times New Roman" w:hAnsi="Times New Roman" w:cs="Times New Roman"/>
                      <w:b w:val="0"/>
                      <w:bCs/>
                      <w:color w:val="auto"/>
                      <w:sz w:val="18"/>
                      <w:szCs w:val="18"/>
                      <w:highlight w:val="none"/>
                    </w:rPr>
                  </w:pPr>
                </w:p>
              </w:tc>
              <w:tc>
                <w:tcPr>
                  <w:tcW w:w="637" w:type="pct"/>
                  <w:vMerge w:val="continue"/>
                  <w:noWrap w:val="0"/>
                  <w:vAlign w:val="center"/>
                </w:tcPr>
                <w:p w14:paraId="3EB2D3A9">
                  <w:pPr>
                    <w:pStyle w:val="52"/>
                    <w:rPr>
                      <w:rFonts w:hint="default" w:ascii="Times New Roman" w:hAnsi="Times New Roman" w:cs="Times New Roman"/>
                      <w:b w:val="0"/>
                      <w:bCs/>
                      <w:color w:val="auto"/>
                      <w:sz w:val="18"/>
                      <w:szCs w:val="18"/>
                      <w:highlight w:val="none"/>
                    </w:rPr>
                  </w:pPr>
                </w:p>
              </w:tc>
              <w:tc>
                <w:tcPr>
                  <w:tcW w:w="391" w:type="pct"/>
                  <w:noWrap w:val="0"/>
                  <w:vAlign w:val="center"/>
                </w:tcPr>
                <w:p w14:paraId="195BF82C">
                  <w:pPr>
                    <w:pStyle w:val="52"/>
                    <w:rPr>
                      <w:rFonts w:hint="default" w:ascii="Times New Roman" w:hAnsi="Times New Roman" w:eastAsia="宋体" w:cs="Times New Roman"/>
                      <w:b w:val="0"/>
                      <w:bCs/>
                      <w:color w:val="auto"/>
                      <w:sz w:val="18"/>
                      <w:szCs w:val="18"/>
                      <w:highlight w:val="none"/>
                      <w:lang w:eastAsia="zh-CN"/>
                    </w:rPr>
                  </w:pPr>
                  <w:r>
                    <w:rPr>
                      <w:rFonts w:hint="eastAsia" w:cs="Times New Roman"/>
                      <w:b w:val="0"/>
                      <w:bCs/>
                      <w:color w:val="auto"/>
                      <w:sz w:val="18"/>
                      <w:szCs w:val="18"/>
                      <w:highlight w:val="none"/>
                      <w:lang w:val="en-US" w:eastAsia="zh-CN"/>
                    </w:rPr>
                    <w:t>袋装</w:t>
                  </w:r>
                </w:p>
              </w:tc>
              <w:tc>
                <w:tcPr>
                  <w:tcW w:w="489" w:type="pct"/>
                  <w:vMerge w:val="continue"/>
                  <w:shd w:val="clear" w:color="auto" w:fill="auto"/>
                  <w:noWrap w:val="0"/>
                  <w:vAlign w:val="center"/>
                </w:tcPr>
                <w:p w14:paraId="73E731C2">
                  <w:pPr>
                    <w:pStyle w:val="52"/>
                    <w:spacing w:line="240" w:lineRule="auto"/>
                    <w:rPr>
                      <w:rFonts w:hint="default" w:ascii="Times New Roman" w:hAnsi="Times New Roman" w:eastAsia="宋体" w:cs="Times New Roman"/>
                      <w:color w:val="auto"/>
                      <w:kern w:val="18"/>
                      <w:sz w:val="18"/>
                      <w:szCs w:val="18"/>
                      <w:highlight w:val="none"/>
                      <w:lang w:val="en-US" w:eastAsia="zh-CN" w:bidi="ar-SA"/>
                    </w:rPr>
                  </w:pPr>
                </w:p>
              </w:tc>
              <w:tc>
                <w:tcPr>
                  <w:tcW w:w="532" w:type="pct"/>
                  <w:noWrap w:val="0"/>
                  <w:vAlign w:val="center"/>
                </w:tcPr>
                <w:p w14:paraId="02136F90">
                  <w:pPr>
                    <w:ind w:left="0" w:leftChars="0" w:right="0" w:rightChars="0"/>
                    <w:jc w:val="center"/>
                    <w:rPr>
                      <w:rFonts w:hint="default" w:ascii="Times New Roman" w:hAnsi="Times New Roman" w:cs="Times New Roman"/>
                      <w:b w:val="0"/>
                      <w:bCs/>
                      <w:color w:val="auto"/>
                      <w:sz w:val="18"/>
                      <w:szCs w:val="18"/>
                      <w:highlight w:val="none"/>
                    </w:rPr>
                  </w:pPr>
                  <w:r>
                    <w:rPr>
                      <w:rFonts w:hint="eastAsia" w:cs="Times New Roman"/>
                      <w:b w:val="0"/>
                      <w:bCs/>
                      <w:color w:val="auto"/>
                      <w:sz w:val="18"/>
                      <w:szCs w:val="18"/>
                      <w:highlight w:val="none"/>
                      <w:lang w:val="en-US" w:eastAsia="zh-CN"/>
                    </w:rPr>
                    <w:t>每月</w:t>
                  </w:r>
                </w:p>
              </w:tc>
            </w:tr>
            <w:tr w14:paraId="3B6A22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07" w:type="pct"/>
                  <w:noWrap w:val="0"/>
                  <w:vAlign w:val="center"/>
                </w:tcPr>
                <w:p w14:paraId="2DE04F37">
                  <w:pPr>
                    <w:pStyle w:val="52"/>
                    <w:rPr>
                      <w:rFonts w:hint="default" w:ascii="Times New Roman" w:hAnsi="Times New Roman" w:cs="Times New Roman"/>
                      <w:b w:val="0"/>
                      <w:bCs/>
                      <w:color w:val="auto"/>
                      <w:sz w:val="18"/>
                      <w:szCs w:val="18"/>
                      <w:highlight w:val="none"/>
                    </w:rPr>
                  </w:pPr>
                  <w:r>
                    <w:rPr>
                      <w:rFonts w:hint="default" w:ascii="Times New Roman" w:hAnsi="Times New Roman" w:cs="Times New Roman"/>
                      <w:b w:val="0"/>
                      <w:bCs/>
                      <w:color w:val="auto"/>
                      <w:sz w:val="18"/>
                      <w:szCs w:val="18"/>
                      <w:highlight w:val="none"/>
                    </w:rPr>
                    <w:t>3</w:t>
                  </w:r>
                </w:p>
              </w:tc>
              <w:tc>
                <w:tcPr>
                  <w:tcW w:w="665" w:type="pct"/>
                  <w:shd w:val="clear" w:color="auto" w:fill="auto"/>
                  <w:noWrap w:val="0"/>
                  <w:vAlign w:val="center"/>
                </w:tcPr>
                <w:p w14:paraId="567DBF9F">
                  <w:pPr>
                    <w:pStyle w:val="57"/>
                    <w:ind w:firstLine="0" w:firstLineChars="0"/>
                    <w:rPr>
                      <w:rFonts w:hint="default" w:ascii="Times New Roman" w:hAnsi="Times New Roman" w:eastAsia="宋体" w:cs="Times New Roman"/>
                      <w:color w:val="auto"/>
                      <w:kern w:val="2"/>
                      <w:sz w:val="18"/>
                      <w:szCs w:val="18"/>
                      <w:highlight w:val="none"/>
                      <w:lang w:val="zh-CN" w:eastAsia="zh-CN" w:bidi="ar-SA"/>
                    </w:rPr>
                  </w:pPr>
                  <w:r>
                    <w:rPr>
                      <w:rFonts w:hint="eastAsia" w:cs="Times New Roman"/>
                      <w:color w:val="auto"/>
                      <w:kern w:val="2"/>
                      <w:sz w:val="18"/>
                      <w:szCs w:val="18"/>
                      <w:highlight w:val="none"/>
                      <w:lang w:val="en-US" w:eastAsia="zh-CN" w:bidi="ar-SA"/>
                    </w:rPr>
                    <w:t>废清洗剂</w:t>
                  </w:r>
                </w:p>
              </w:tc>
              <w:tc>
                <w:tcPr>
                  <w:tcW w:w="598" w:type="pct"/>
                  <w:shd w:val="clear" w:color="auto" w:fill="auto"/>
                  <w:noWrap w:val="0"/>
                  <w:vAlign w:val="center"/>
                </w:tcPr>
                <w:p w14:paraId="30FF501F">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HW49</w:t>
                  </w:r>
                </w:p>
              </w:tc>
              <w:tc>
                <w:tcPr>
                  <w:tcW w:w="735" w:type="pct"/>
                  <w:shd w:val="clear" w:color="auto" w:fill="auto"/>
                  <w:noWrap w:val="0"/>
                  <w:vAlign w:val="center"/>
                </w:tcPr>
                <w:p w14:paraId="3590608F">
                  <w:pPr>
                    <w:spacing w:line="240" w:lineRule="auto"/>
                    <w:jc w:val="center"/>
                    <w:rPr>
                      <w:rFonts w:hint="default" w:ascii="Times New Roman" w:hAnsi="Times New Roman" w:eastAsia="宋体" w:cs="Times New Roman"/>
                      <w:color w:val="auto"/>
                      <w:kern w:val="2"/>
                      <w:sz w:val="18"/>
                      <w:szCs w:val="18"/>
                      <w:highlight w:val="none"/>
                      <w:lang w:val="zh-CN" w:eastAsia="zh-CN" w:bidi="ar-SA"/>
                    </w:rPr>
                  </w:pPr>
                  <w:r>
                    <w:rPr>
                      <w:rFonts w:hint="eastAsia" w:cs="Times New Roman"/>
                      <w:color w:val="auto"/>
                      <w:sz w:val="18"/>
                      <w:szCs w:val="18"/>
                      <w:highlight w:val="none"/>
                      <w:lang w:val="en-US" w:eastAsia="zh-CN"/>
                    </w:rPr>
                    <w:t>900-041-49</w:t>
                  </w:r>
                </w:p>
              </w:tc>
              <w:tc>
                <w:tcPr>
                  <w:tcW w:w="642" w:type="pct"/>
                  <w:vMerge w:val="continue"/>
                  <w:noWrap w:val="0"/>
                  <w:vAlign w:val="center"/>
                </w:tcPr>
                <w:p w14:paraId="4621FE30">
                  <w:pPr>
                    <w:pStyle w:val="52"/>
                    <w:rPr>
                      <w:rFonts w:hint="default" w:ascii="Times New Roman" w:hAnsi="Times New Roman" w:cs="Times New Roman"/>
                      <w:b w:val="0"/>
                      <w:bCs/>
                      <w:color w:val="auto"/>
                      <w:sz w:val="18"/>
                      <w:szCs w:val="18"/>
                      <w:highlight w:val="none"/>
                    </w:rPr>
                  </w:pPr>
                </w:p>
              </w:tc>
              <w:tc>
                <w:tcPr>
                  <w:tcW w:w="637" w:type="pct"/>
                  <w:vMerge w:val="continue"/>
                  <w:noWrap w:val="0"/>
                  <w:vAlign w:val="center"/>
                </w:tcPr>
                <w:p w14:paraId="6DBF3D7F">
                  <w:pPr>
                    <w:pStyle w:val="52"/>
                    <w:rPr>
                      <w:rFonts w:hint="default" w:ascii="Times New Roman" w:hAnsi="Times New Roman" w:cs="Times New Roman"/>
                      <w:b w:val="0"/>
                      <w:bCs/>
                      <w:color w:val="auto"/>
                      <w:sz w:val="18"/>
                      <w:szCs w:val="18"/>
                      <w:highlight w:val="none"/>
                      <w:lang w:eastAsia="zh-CN"/>
                    </w:rPr>
                  </w:pPr>
                </w:p>
              </w:tc>
              <w:tc>
                <w:tcPr>
                  <w:tcW w:w="391" w:type="pct"/>
                  <w:noWrap w:val="0"/>
                  <w:vAlign w:val="center"/>
                </w:tcPr>
                <w:p w14:paraId="58475285">
                  <w:pPr>
                    <w:pStyle w:val="52"/>
                    <w:rPr>
                      <w:rFonts w:hint="default" w:ascii="Times New Roman" w:hAnsi="Times New Roman" w:cs="Times New Roman"/>
                      <w:b w:val="0"/>
                      <w:bCs/>
                      <w:color w:val="auto"/>
                      <w:sz w:val="18"/>
                      <w:szCs w:val="18"/>
                      <w:highlight w:val="none"/>
                    </w:rPr>
                  </w:pPr>
                  <w:r>
                    <w:rPr>
                      <w:rFonts w:hint="eastAsia" w:cs="Times New Roman"/>
                      <w:b w:val="0"/>
                      <w:bCs/>
                      <w:color w:val="auto"/>
                      <w:sz w:val="18"/>
                      <w:szCs w:val="18"/>
                      <w:highlight w:val="none"/>
                      <w:lang w:val="en-US" w:eastAsia="zh-CN"/>
                    </w:rPr>
                    <w:t>桶装</w:t>
                  </w:r>
                </w:p>
              </w:tc>
              <w:tc>
                <w:tcPr>
                  <w:tcW w:w="489" w:type="pct"/>
                  <w:vMerge w:val="continue"/>
                  <w:shd w:val="clear" w:color="auto" w:fill="auto"/>
                  <w:noWrap w:val="0"/>
                  <w:vAlign w:val="center"/>
                </w:tcPr>
                <w:p w14:paraId="2806B445">
                  <w:pPr>
                    <w:pStyle w:val="52"/>
                    <w:spacing w:line="240" w:lineRule="auto"/>
                    <w:rPr>
                      <w:rFonts w:hint="default" w:ascii="Times New Roman" w:hAnsi="Times New Roman" w:eastAsia="宋体" w:cs="Times New Roman"/>
                      <w:color w:val="auto"/>
                      <w:kern w:val="18"/>
                      <w:sz w:val="18"/>
                      <w:szCs w:val="18"/>
                      <w:highlight w:val="none"/>
                      <w:lang w:val="en-US" w:eastAsia="zh-CN" w:bidi="ar-SA"/>
                    </w:rPr>
                  </w:pPr>
                </w:p>
              </w:tc>
              <w:tc>
                <w:tcPr>
                  <w:tcW w:w="532" w:type="pct"/>
                  <w:noWrap w:val="0"/>
                  <w:vAlign w:val="center"/>
                </w:tcPr>
                <w:p w14:paraId="4410AB17">
                  <w:pPr>
                    <w:ind w:left="0" w:leftChars="0" w:right="0" w:rightChars="0"/>
                    <w:jc w:val="center"/>
                    <w:rPr>
                      <w:rFonts w:hint="default" w:ascii="Times New Roman" w:hAnsi="Times New Roman" w:cs="Times New Roman"/>
                      <w:b w:val="0"/>
                      <w:bCs/>
                      <w:color w:val="auto"/>
                      <w:sz w:val="18"/>
                      <w:szCs w:val="18"/>
                      <w:highlight w:val="none"/>
                    </w:rPr>
                  </w:pPr>
                  <w:r>
                    <w:rPr>
                      <w:rFonts w:hint="eastAsia" w:cs="Times New Roman"/>
                      <w:b w:val="0"/>
                      <w:bCs/>
                      <w:color w:val="auto"/>
                      <w:sz w:val="18"/>
                      <w:szCs w:val="18"/>
                      <w:highlight w:val="none"/>
                      <w:lang w:val="en-US" w:eastAsia="zh-CN"/>
                    </w:rPr>
                    <w:t>每月</w:t>
                  </w:r>
                </w:p>
              </w:tc>
            </w:tr>
            <w:tr w14:paraId="3293A1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07" w:type="pct"/>
                  <w:noWrap w:val="0"/>
                  <w:vAlign w:val="center"/>
                </w:tcPr>
                <w:p w14:paraId="33FF2660">
                  <w:pPr>
                    <w:pStyle w:val="52"/>
                    <w:rPr>
                      <w:rFonts w:hint="default" w:ascii="Times New Roman" w:hAnsi="Times New Roman" w:cs="Times New Roman"/>
                      <w:b w:val="0"/>
                      <w:bCs/>
                      <w:color w:val="auto"/>
                      <w:sz w:val="18"/>
                      <w:szCs w:val="18"/>
                      <w:highlight w:val="none"/>
                      <w:lang w:val="en-US" w:eastAsia="zh-CN"/>
                    </w:rPr>
                  </w:pPr>
                  <w:r>
                    <w:rPr>
                      <w:rFonts w:hint="default" w:ascii="Times New Roman" w:hAnsi="Times New Roman" w:cs="Times New Roman"/>
                      <w:b w:val="0"/>
                      <w:bCs/>
                      <w:color w:val="auto"/>
                      <w:sz w:val="18"/>
                      <w:szCs w:val="18"/>
                      <w:highlight w:val="none"/>
                      <w:lang w:val="en-US" w:eastAsia="zh-CN"/>
                    </w:rPr>
                    <w:t>4</w:t>
                  </w:r>
                </w:p>
              </w:tc>
              <w:tc>
                <w:tcPr>
                  <w:tcW w:w="665" w:type="pct"/>
                  <w:shd w:val="clear" w:color="auto" w:fill="auto"/>
                  <w:noWrap w:val="0"/>
                  <w:vAlign w:val="center"/>
                </w:tcPr>
                <w:p w14:paraId="09CE5A0D">
                  <w:pPr>
                    <w:pStyle w:val="57"/>
                    <w:ind w:firstLine="0" w:firstLineChars="0"/>
                    <w:rPr>
                      <w:rFonts w:hint="default" w:ascii="Times New Roman" w:hAnsi="Times New Roman" w:eastAsia="宋体" w:cs="Times New Roman"/>
                      <w:color w:val="auto"/>
                      <w:kern w:val="2"/>
                      <w:sz w:val="18"/>
                      <w:szCs w:val="18"/>
                      <w:highlight w:val="none"/>
                      <w:lang w:val="zh-CN" w:eastAsia="zh-CN" w:bidi="ar-SA"/>
                    </w:rPr>
                  </w:pPr>
                  <w:r>
                    <w:rPr>
                      <w:rFonts w:hint="eastAsia" w:cs="Times New Roman"/>
                      <w:color w:val="auto"/>
                      <w:kern w:val="2"/>
                      <w:sz w:val="18"/>
                      <w:szCs w:val="18"/>
                      <w:highlight w:val="none"/>
                      <w:lang w:val="en-US" w:eastAsia="zh-CN" w:bidi="ar-SA"/>
                    </w:rPr>
                    <w:t>漆渣</w:t>
                  </w:r>
                </w:p>
              </w:tc>
              <w:tc>
                <w:tcPr>
                  <w:tcW w:w="598" w:type="pct"/>
                  <w:shd w:val="clear" w:color="auto" w:fill="auto"/>
                  <w:noWrap w:val="0"/>
                  <w:vAlign w:val="center"/>
                </w:tcPr>
                <w:p w14:paraId="1C914CEB">
                  <w:pPr>
                    <w:keepNext w:val="0"/>
                    <w:keepLines/>
                    <w:pageBreakBefore w:val="0"/>
                    <w:widowControl w:val="0"/>
                    <w:kinsoku/>
                    <w:wordWrap/>
                    <w:bidi w:val="0"/>
                    <w:adjustRightInd w:val="0"/>
                    <w:snapToGrid w:val="0"/>
                    <w:jc w:val="center"/>
                    <w:rPr>
                      <w:rFonts w:hint="default" w:ascii="Times New Roman" w:hAnsi="Times New Roman" w:eastAsia="宋体" w:cs="Times New Roman"/>
                      <w:color w:val="auto"/>
                      <w:spacing w:val="-6"/>
                      <w:kern w:val="44"/>
                      <w:sz w:val="18"/>
                      <w:szCs w:val="18"/>
                      <w:highlight w:val="none"/>
                      <w:lang w:val="en-US" w:eastAsia="zh-CN" w:bidi="ar-SA"/>
                    </w:rPr>
                  </w:pPr>
                  <w:r>
                    <w:rPr>
                      <w:rFonts w:hint="default" w:ascii="Times New Roman" w:hAnsi="Times New Roman" w:cs="Times New Roman"/>
                      <w:color w:val="auto"/>
                      <w:spacing w:val="-6"/>
                      <w:kern w:val="44"/>
                      <w:sz w:val="18"/>
                      <w:szCs w:val="18"/>
                      <w:highlight w:val="none"/>
                    </w:rPr>
                    <w:t>HW12</w:t>
                  </w:r>
                </w:p>
              </w:tc>
              <w:tc>
                <w:tcPr>
                  <w:tcW w:w="735" w:type="pct"/>
                  <w:shd w:val="clear" w:color="auto" w:fill="auto"/>
                  <w:noWrap w:val="0"/>
                  <w:vAlign w:val="center"/>
                </w:tcPr>
                <w:p w14:paraId="646040A1">
                  <w:pPr>
                    <w:keepNext w:val="0"/>
                    <w:keepLines/>
                    <w:pageBreakBefore w:val="0"/>
                    <w:widowControl w:val="0"/>
                    <w:kinsoku/>
                    <w:wordWrap/>
                    <w:bidi w:val="0"/>
                    <w:adjustRightInd w:val="0"/>
                    <w:snapToGrid w:val="0"/>
                    <w:jc w:val="center"/>
                    <w:rPr>
                      <w:rFonts w:hint="default" w:ascii="Times New Roman" w:hAnsi="Times New Roman" w:eastAsia="宋体" w:cs="Times New Roman"/>
                      <w:color w:val="auto"/>
                      <w:spacing w:val="-6"/>
                      <w:kern w:val="44"/>
                      <w:sz w:val="18"/>
                      <w:szCs w:val="18"/>
                      <w:highlight w:val="none"/>
                      <w:lang w:val="zh-CN" w:eastAsia="zh-CN" w:bidi="ar-SA"/>
                    </w:rPr>
                  </w:pPr>
                  <w:r>
                    <w:rPr>
                      <w:rFonts w:hint="default" w:ascii="Times New Roman" w:hAnsi="Times New Roman" w:cs="Times New Roman"/>
                      <w:color w:val="auto"/>
                      <w:spacing w:val="-6"/>
                      <w:kern w:val="44"/>
                      <w:sz w:val="18"/>
                      <w:szCs w:val="18"/>
                      <w:highlight w:val="none"/>
                    </w:rPr>
                    <w:t>900-252-12</w:t>
                  </w:r>
                </w:p>
              </w:tc>
              <w:tc>
                <w:tcPr>
                  <w:tcW w:w="642" w:type="pct"/>
                  <w:vMerge w:val="continue"/>
                  <w:noWrap w:val="0"/>
                  <w:vAlign w:val="center"/>
                </w:tcPr>
                <w:p w14:paraId="6BE116E8">
                  <w:pPr>
                    <w:pStyle w:val="52"/>
                    <w:rPr>
                      <w:rFonts w:hint="default" w:ascii="Times New Roman" w:hAnsi="Times New Roman" w:cs="Times New Roman"/>
                      <w:b w:val="0"/>
                      <w:bCs/>
                      <w:color w:val="auto"/>
                      <w:sz w:val="18"/>
                      <w:szCs w:val="18"/>
                      <w:highlight w:val="none"/>
                    </w:rPr>
                  </w:pPr>
                </w:p>
              </w:tc>
              <w:tc>
                <w:tcPr>
                  <w:tcW w:w="637" w:type="pct"/>
                  <w:vMerge w:val="continue"/>
                  <w:noWrap w:val="0"/>
                  <w:vAlign w:val="center"/>
                </w:tcPr>
                <w:p w14:paraId="3C6E15F1">
                  <w:pPr>
                    <w:pStyle w:val="52"/>
                    <w:rPr>
                      <w:rFonts w:hint="default" w:ascii="Times New Roman" w:hAnsi="Times New Roman" w:cs="Times New Roman"/>
                      <w:b w:val="0"/>
                      <w:bCs/>
                      <w:color w:val="auto"/>
                      <w:sz w:val="18"/>
                      <w:szCs w:val="18"/>
                      <w:highlight w:val="none"/>
                      <w:lang w:eastAsia="zh-CN"/>
                    </w:rPr>
                  </w:pPr>
                </w:p>
              </w:tc>
              <w:tc>
                <w:tcPr>
                  <w:tcW w:w="391" w:type="pct"/>
                  <w:noWrap w:val="0"/>
                  <w:vAlign w:val="center"/>
                </w:tcPr>
                <w:p w14:paraId="2A92F3B8">
                  <w:pPr>
                    <w:pStyle w:val="52"/>
                    <w:rPr>
                      <w:rFonts w:hint="default" w:ascii="Times New Roman" w:hAnsi="Times New Roman" w:cs="Times New Roman"/>
                      <w:b w:val="0"/>
                      <w:bCs/>
                      <w:color w:val="auto"/>
                      <w:sz w:val="18"/>
                      <w:szCs w:val="18"/>
                      <w:highlight w:val="none"/>
                    </w:rPr>
                  </w:pPr>
                  <w:r>
                    <w:rPr>
                      <w:rFonts w:hint="eastAsia" w:cs="Times New Roman"/>
                      <w:b w:val="0"/>
                      <w:bCs/>
                      <w:color w:val="auto"/>
                      <w:sz w:val="18"/>
                      <w:szCs w:val="18"/>
                      <w:highlight w:val="none"/>
                      <w:lang w:val="en-US" w:eastAsia="zh-CN"/>
                    </w:rPr>
                    <w:t>桶装</w:t>
                  </w:r>
                </w:p>
              </w:tc>
              <w:tc>
                <w:tcPr>
                  <w:tcW w:w="489" w:type="pct"/>
                  <w:vMerge w:val="continue"/>
                  <w:shd w:val="clear" w:color="auto" w:fill="auto"/>
                  <w:noWrap w:val="0"/>
                  <w:vAlign w:val="center"/>
                </w:tcPr>
                <w:p w14:paraId="42BD1ACD">
                  <w:pPr>
                    <w:pStyle w:val="52"/>
                    <w:spacing w:line="240" w:lineRule="auto"/>
                    <w:rPr>
                      <w:rFonts w:hint="default" w:ascii="Times New Roman" w:hAnsi="Times New Roman" w:eastAsia="宋体" w:cs="Times New Roman"/>
                      <w:color w:val="auto"/>
                      <w:kern w:val="18"/>
                      <w:sz w:val="18"/>
                      <w:szCs w:val="18"/>
                      <w:highlight w:val="none"/>
                      <w:lang w:val="en-US" w:eastAsia="zh-CN" w:bidi="ar-SA"/>
                    </w:rPr>
                  </w:pPr>
                </w:p>
              </w:tc>
              <w:tc>
                <w:tcPr>
                  <w:tcW w:w="532" w:type="pct"/>
                  <w:noWrap w:val="0"/>
                  <w:vAlign w:val="center"/>
                </w:tcPr>
                <w:p w14:paraId="43AC06CE">
                  <w:pPr>
                    <w:ind w:left="0" w:leftChars="0" w:right="0" w:rightChars="0"/>
                    <w:jc w:val="center"/>
                    <w:rPr>
                      <w:rFonts w:hint="default" w:ascii="Times New Roman" w:hAnsi="Times New Roman" w:cs="Times New Roman"/>
                      <w:b w:val="0"/>
                      <w:bCs/>
                      <w:color w:val="auto"/>
                      <w:sz w:val="18"/>
                      <w:szCs w:val="18"/>
                      <w:highlight w:val="none"/>
                    </w:rPr>
                  </w:pPr>
                  <w:r>
                    <w:rPr>
                      <w:rFonts w:hint="eastAsia" w:cs="Times New Roman"/>
                      <w:b w:val="0"/>
                      <w:bCs/>
                      <w:color w:val="auto"/>
                      <w:sz w:val="18"/>
                      <w:szCs w:val="18"/>
                      <w:highlight w:val="none"/>
                      <w:lang w:val="en-US" w:eastAsia="zh-CN"/>
                    </w:rPr>
                    <w:t>每月</w:t>
                  </w:r>
                </w:p>
              </w:tc>
            </w:tr>
            <w:tr w14:paraId="7F31C4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07" w:type="pct"/>
                  <w:noWrap w:val="0"/>
                  <w:vAlign w:val="center"/>
                </w:tcPr>
                <w:p w14:paraId="5546DB52">
                  <w:pPr>
                    <w:pStyle w:val="52"/>
                    <w:rPr>
                      <w:rFonts w:hint="default" w:ascii="Times New Roman" w:hAnsi="Times New Roman"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5</w:t>
                  </w:r>
                </w:p>
              </w:tc>
              <w:tc>
                <w:tcPr>
                  <w:tcW w:w="665" w:type="pct"/>
                  <w:shd w:val="clear" w:color="auto" w:fill="auto"/>
                  <w:noWrap w:val="0"/>
                  <w:vAlign w:val="center"/>
                </w:tcPr>
                <w:p w14:paraId="331DC037">
                  <w:pPr>
                    <w:pStyle w:val="57"/>
                    <w:ind w:firstLine="0" w:firstLineChars="0"/>
                    <w:rPr>
                      <w:rFonts w:hint="default"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废过滤棉</w:t>
                  </w:r>
                </w:p>
              </w:tc>
              <w:tc>
                <w:tcPr>
                  <w:tcW w:w="598" w:type="pct"/>
                  <w:shd w:val="clear" w:color="auto" w:fill="auto"/>
                  <w:noWrap w:val="0"/>
                  <w:vAlign w:val="center"/>
                </w:tcPr>
                <w:p w14:paraId="04FEB02E">
                  <w:pPr>
                    <w:spacing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HW49</w:t>
                  </w:r>
                </w:p>
              </w:tc>
              <w:tc>
                <w:tcPr>
                  <w:tcW w:w="735" w:type="pct"/>
                  <w:shd w:val="clear" w:color="auto" w:fill="auto"/>
                  <w:noWrap w:val="0"/>
                  <w:vAlign w:val="center"/>
                </w:tcPr>
                <w:p w14:paraId="5CBD2B4C">
                  <w:pPr>
                    <w:spacing w:line="240" w:lineRule="auto"/>
                    <w:jc w:val="center"/>
                    <w:rPr>
                      <w:rFonts w:hint="default" w:ascii="Times New Roman" w:hAnsi="Times New Roman" w:eastAsia="宋体" w:cs="Times New Roman"/>
                      <w:color w:val="auto"/>
                      <w:kern w:val="2"/>
                      <w:sz w:val="18"/>
                      <w:szCs w:val="18"/>
                      <w:highlight w:val="none"/>
                      <w:lang w:val="zh-CN" w:eastAsia="zh-CN" w:bidi="ar-SA"/>
                    </w:rPr>
                  </w:pPr>
                  <w:r>
                    <w:rPr>
                      <w:rFonts w:hint="eastAsia" w:cs="Times New Roman"/>
                      <w:color w:val="auto"/>
                      <w:sz w:val="18"/>
                      <w:szCs w:val="18"/>
                      <w:highlight w:val="none"/>
                      <w:lang w:val="en-US" w:eastAsia="zh-CN"/>
                    </w:rPr>
                    <w:t>900-041-49</w:t>
                  </w:r>
                </w:p>
              </w:tc>
              <w:tc>
                <w:tcPr>
                  <w:tcW w:w="642" w:type="pct"/>
                  <w:vMerge w:val="continue"/>
                  <w:noWrap w:val="0"/>
                  <w:vAlign w:val="center"/>
                </w:tcPr>
                <w:p w14:paraId="75A9F45F">
                  <w:pPr>
                    <w:pStyle w:val="52"/>
                    <w:rPr>
                      <w:rFonts w:hint="default" w:ascii="Times New Roman" w:hAnsi="Times New Roman" w:cs="Times New Roman"/>
                      <w:b w:val="0"/>
                      <w:bCs/>
                      <w:color w:val="auto"/>
                      <w:sz w:val="18"/>
                      <w:szCs w:val="18"/>
                      <w:highlight w:val="none"/>
                    </w:rPr>
                  </w:pPr>
                </w:p>
              </w:tc>
              <w:tc>
                <w:tcPr>
                  <w:tcW w:w="637" w:type="pct"/>
                  <w:vMerge w:val="continue"/>
                  <w:noWrap w:val="0"/>
                  <w:vAlign w:val="center"/>
                </w:tcPr>
                <w:p w14:paraId="6FFEFB0E">
                  <w:pPr>
                    <w:pStyle w:val="52"/>
                    <w:rPr>
                      <w:rFonts w:hint="default" w:ascii="Times New Roman" w:hAnsi="Times New Roman" w:cs="Times New Roman"/>
                      <w:b w:val="0"/>
                      <w:bCs/>
                      <w:color w:val="auto"/>
                      <w:sz w:val="18"/>
                      <w:szCs w:val="18"/>
                      <w:highlight w:val="none"/>
                      <w:lang w:eastAsia="zh-CN"/>
                    </w:rPr>
                  </w:pPr>
                </w:p>
              </w:tc>
              <w:tc>
                <w:tcPr>
                  <w:tcW w:w="391" w:type="pct"/>
                  <w:noWrap w:val="0"/>
                  <w:vAlign w:val="center"/>
                </w:tcPr>
                <w:p w14:paraId="72553002">
                  <w:pPr>
                    <w:pStyle w:val="52"/>
                    <w:rPr>
                      <w:rFonts w:hint="eastAsia"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桶装</w:t>
                  </w:r>
                </w:p>
              </w:tc>
              <w:tc>
                <w:tcPr>
                  <w:tcW w:w="489" w:type="pct"/>
                  <w:vMerge w:val="continue"/>
                  <w:shd w:val="clear" w:color="auto" w:fill="auto"/>
                  <w:noWrap w:val="0"/>
                  <w:vAlign w:val="center"/>
                </w:tcPr>
                <w:p w14:paraId="0550735E">
                  <w:pPr>
                    <w:pStyle w:val="52"/>
                    <w:spacing w:line="240" w:lineRule="auto"/>
                    <w:rPr>
                      <w:rFonts w:hint="default" w:ascii="Times New Roman" w:hAnsi="Times New Roman" w:eastAsia="宋体" w:cs="Times New Roman"/>
                      <w:color w:val="auto"/>
                      <w:kern w:val="18"/>
                      <w:sz w:val="18"/>
                      <w:szCs w:val="18"/>
                      <w:highlight w:val="none"/>
                      <w:lang w:val="en-US" w:eastAsia="zh-CN" w:bidi="ar-SA"/>
                    </w:rPr>
                  </w:pPr>
                </w:p>
              </w:tc>
              <w:tc>
                <w:tcPr>
                  <w:tcW w:w="532" w:type="pct"/>
                  <w:noWrap w:val="0"/>
                  <w:vAlign w:val="center"/>
                </w:tcPr>
                <w:p w14:paraId="7EBBB433">
                  <w:pPr>
                    <w:ind w:left="0" w:leftChars="0" w:right="0" w:rightChars="0"/>
                    <w:jc w:val="center"/>
                    <w:rPr>
                      <w:rFonts w:hint="eastAsia"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每月</w:t>
                  </w:r>
                </w:p>
              </w:tc>
            </w:tr>
            <w:tr w14:paraId="7F501A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07" w:type="pct"/>
                  <w:noWrap w:val="0"/>
                  <w:vAlign w:val="center"/>
                </w:tcPr>
                <w:p w14:paraId="1242FE69">
                  <w:pPr>
                    <w:pStyle w:val="52"/>
                    <w:rPr>
                      <w:rFonts w:hint="default"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6</w:t>
                  </w:r>
                </w:p>
              </w:tc>
              <w:tc>
                <w:tcPr>
                  <w:tcW w:w="665" w:type="pct"/>
                  <w:shd w:val="clear" w:color="auto" w:fill="auto"/>
                  <w:noWrap w:val="0"/>
                  <w:vAlign w:val="center"/>
                </w:tcPr>
                <w:p w14:paraId="343B6FC0">
                  <w:pPr>
                    <w:pStyle w:val="57"/>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废润滑油</w:t>
                  </w:r>
                </w:p>
              </w:tc>
              <w:tc>
                <w:tcPr>
                  <w:tcW w:w="598" w:type="pct"/>
                  <w:shd w:val="clear" w:color="auto" w:fill="auto"/>
                  <w:noWrap w:val="0"/>
                  <w:vAlign w:val="center"/>
                </w:tcPr>
                <w:p w14:paraId="6D9F301C">
                  <w:pPr>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HW08</w:t>
                  </w:r>
                </w:p>
              </w:tc>
              <w:tc>
                <w:tcPr>
                  <w:tcW w:w="735" w:type="pct"/>
                  <w:shd w:val="clear" w:color="auto" w:fill="auto"/>
                  <w:noWrap w:val="0"/>
                  <w:vAlign w:val="center"/>
                </w:tcPr>
                <w:p w14:paraId="4339D836">
                  <w:pPr>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900-217-08</w:t>
                  </w:r>
                </w:p>
              </w:tc>
              <w:tc>
                <w:tcPr>
                  <w:tcW w:w="642" w:type="pct"/>
                  <w:vMerge w:val="continue"/>
                  <w:noWrap w:val="0"/>
                  <w:vAlign w:val="center"/>
                </w:tcPr>
                <w:p w14:paraId="637F3502">
                  <w:pPr>
                    <w:pStyle w:val="52"/>
                    <w:rPr>
                      <w:rFonts w:hint="default" w:ascii="Times New Roman" w:hAnsi="Times New Roman" w:cs="Times New Roman"/>
                      <w:b w:val="0"/>
                      <w:bCs/>
                      <w:color w:val="auto"/>
                      <w:sz w:val="18"/>
                      <w:szCs w:val="18"/>
                      <w:highlight w:val="none"/>
                    </w:rPr>
                  </w:pPr>
                </w:p>
              </w:tc>
              <w:tc>
                <w:tcPr>
                  <w:tcW w:w="637" w:type="pct"/>
                  <w:vMerge w:val="continue"/>
                  <w:noWrap w:val="0"/>
                  <w:vAlign w:val="center"/>
                </w:tcPr>
                <w:p w14:paraId="0B853AE0">
                  <w:pPr>
                    <w:pStyle w:val="52"/>
                    <w:rPr>
                      <w:rFonts w:hint="default" w:ascii="Times New Roman" w:hAnsi="Times New Roman" w:cs="Times New Roman"/>
                      <w:b w:val="0"/>
                      <w:bCs/>
                      <w:color w:val="auto"/>
                      <w:sz w:val="18"/>
                      <w:szCs w:val="18"/>
                      <w:highlight w:val="none"/>
                      <w:lang w:eastAsia="zh-CN"/>
                    </w:rPr>
                  </w:pPr>
                </w:p>
              </w:tc>
              <w:tc>
                <w:tcPr>
                  <w:tcW w:w="391" w:type="pct"/>
                  <w:noWrap w:val="0"/>
                  <w:vAlign w:val="center"/>
                </w:tcPr>
                <w:p w14:paraId="535CC032">
                  <w:pPr>
                    <w:pStyle w:val="52"/>
                    <w:rPr>
                      <w:rFonts w:hint="eastAsia"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桶装</w:t>
                  </w:r>
                </w:p>
              </w:tc>
              <w:tc>
                <w:tcPr>
                  <w:tcW w:w="489" w:type="pct"/>
                  <w:vMerge w:val="continue"/>
                  <w:shd w:val="clear" w:color="auto" w:fill="auto"/>
                  <w:noWrap w:val="0"/>
                  <w:vAlign w:val="center"/>
                </w:tcPr>
                <w:p w14:paraId="689D291A">
                  <w:pPr>
                    <w:pStyle w:val="52"/>
                    <w:spacing w:line="240" w:lineRule="auto"/>
                    <w:rPr>
                      <w:rFonts w:hint="default" w:ascii="Times New Roman" w:hAnsi="Times New Roman" w:eastAsia="宋体" w:cs="Times New Roman"/>
                      <w:color w:val="auto"/>
                      <w:kern w:val="18"/>
                      <w:sz w:val="18"/>
                      <w:szCs w:val="18"/>
                      <w:highlight w:val="none"/>
                      <w:lang w:val="en-US" w:eastAsia="zh-CN" w:bidi="ar-SA"/>
                    </w:rPr>
                  </w:pPr>
                </w:p>
              </w:tc>
              <w:tc>
                <w:tcPr>
                  <w:tcW w:w="532" w:type="pct"/>
                  <w:noWrap w:val="0"/>
                  <w:vAlign w:val="center"/>
                </w:tcPr>
                <w:p w14:paraId="541E3789">
                  <w:pPr>
                    <w:ind w:left="0" w:leftChars="0" w:right="0" w:rightChars="0"/>
                    <w:jc w:val="center"/>
                    <w:rPr>
                      <w:rFonts w:hint="eastAsia"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每月</w:t>
                  </w:r>
                </w:p>
              </w:tc>
            </w:tr>
            <w:tr w14:paraId="21C515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07" w:type="pct"/>
                  <w:noWrap w:val="0"/>
                  <w:vAlign w:val="center"/>
                </w:tcPr>
                <w:p w14:paraId="784356DB">
                  <w:pPr>
                    <w:pStyle w:val="52"/>
                    <w:rPr>
                      <w:rFonts w:hint="default"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7</w:t>
                  </w:r>
                </w:p>
              </w:tc>
              <w:tc>
                <w:tcPr>
                  <w:tcW w:w="665" w:type="pct"/>
                  <w:shd w:val="clear" w:color="auto" w:fill="auto"/>
                  <w:noWrap w:val="0"/>
                  <w:vAlign w:val="center"/>
                </w:tcPr>
                <w:p w14:paraId="54A63E15">
                  <w:pPr>
                    <w:pStyle w:val="57"/>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废紫外灯管</w:t>
                  </w:r>
                </w:p>
              </w:tc>
              <w:tc>
                <w:tcPr>
                  <w:tcW w:w="598" w:type="pct"/>
                  <w:shd w:val="clear" w:color="auto" w:fill="auto"/>
                  <w:noWrap w:val="0"/>
                  <w:vAlign w:val="center"/>
                </w:tcPr>
                <w:p w14:paraId="706AA301">
                  <w:pPr>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HW29</w:t>
                  </w:r>
                </w:p>
              </w:tc>
              <w:tc>
                <w:tcPr>
                  <w:tcW w:w="735" w:type="pct"/>
                  <w:shd w:val="clear" w:color="auto" w:fill="auto"/>
                  <w:noWrap w:val="0"/>
                  <w:vAlign w:val="center"/>
                </w:tcPr>
                <w:p w14:paraId="65053D84">
                  <w:pPr>
                    <w:spacing w:line="240" w:lineRule="auto"/>
                    <w:jc w:val="center"/>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sz w:val="18"/>
                      <w:szCs w:val="18"/>
                      <w:highlight w:val="none"/>
                      <w:lang w:val="en-US" w:eastAsia="zh-CN"/>
                    </w:rPr>
                    <w:t>900-023-29</w:t>
                  </w:r>
                </w:p>
              </w:tc>
              <w:tc>
                <w:tcPr>
                  <w:tcW w:w="642" w:type="pct"/>
                  <w:vMerge w:val="continue"/>
                  <w:noWrap w:val="0"/>
                  <w:vAlign w:val="center"/>
                </w:tcPr>
                <w:p w14:paraId="508FD895">
                  <w:pPr>
                    <w:pStyle w:val="52"/>
                    <w:rPr>
                      <w:rFonts w:hint="default" w:ascii="Times New Roman" w:hAnsi="Times New Roman" w:cs="Times New Roman"/>
                      <w:b w:val="0"/>
                      <w:bCs/>
                      <w:color w:val="auto"/>
                      <w:sz w:val="18"/>
                      <w:szCs w:val="18"/>
                      <w:highlight w:val="none"/>
                    </w:rPr>
                  </w:pPr>
                </w:p>
              </w:tc>
              <w:tc>
                <w:tcPr>
                  <w:tcW w:w="637" w:type="pct"/>
                  <w:vMerge w:val="continue"/>
                  <w:noWrap w:val="0"/>
                  <w:vAlign w:val="center"/>
                </w:tcPr>
                <w:p w14:paraId="15283128">
                  <w:pPr>
                    <w:pStyle w:val="52"/>
                    <w:rPr>
                      <w:rFonts w:hint="default" w:ascii="Times New Roman" w:hAnsi="Times New Roman" w:cs="Times New Roman"/>
                      <w:b w:val="0"/>
                      <w:bCs/>
                      <w:color w:val="auto"/>
                      <w:sz w:val="18"/>
                      <w:szCs w:val="18"/>
                      <w:highlight w:val="none"/>
                      <w:lang w:eastAsia="zh-CN"/>
                    </w:rPr>
                  </w:pPr>
                </w:p>
              </w:tc>
              <w:tc>
                <w:tcPr>
                  <w:tcW w:w="391" w:type="pct"/>
                  <w:noWrap w:val="0"/>
                  <w:vAlign w:val="center"/>
                </w:tcPr>
                <w:p w14:paraId="61EA7A57">
                  <w:pPr>
                    <w:pStyle w:val="52"/>
                    <w:rPr>
                      <w:rFonts w:hint="default"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袋装</w:t>
                  </w:r>
                </w:p>
              </w:tc>
              <w:tc>
                <w:tcPr>
                  <w:tcW w:w="489" w:type="pct"/>
                  <w:vMerge w:val="continue"/>
                  <w:shd w:val="clear" w:color="auto" w:fill="auto"/>
                  <w:noWrap w:val="0"/>
                  <w:vAlign w:val="center"/>
                </w:tcPr>
                <w:p w14:paraId="61AADADA">
                  <w:pPr>
                    <w:pStyle w:val="52"/>
                    <w:spacing w:line="240" w:lineRule="auto"/>
                    <w:rPr>
                      <w:rFonts w:hint="default" w:ascii="Times New Roman" w:hAnsi="Times New Roman" w:eastAsia="宋体" w:cs="Times New Roman"/>
                      <w:color w:val="auto"/>
                      <w:kern w:val="18"/>
                      <w:sz w:val="18"/>
                      <w:szCs w:val="18"/>
                      <w:highlight w:val="none"/>
                      <w:lang w:val="en-US" w:eastAsia="zh-CN" w:bidi="ar-SA"/>
                    </w:rPr>
                  </w:pPr>
                </w:p>
              </w:tc>
              <w:tc>
                <w:tcPr>
                  <w:tcW w:w="532" w:type="pct"/>
                  <w:noWrap w:val="0"/>
                  <w:vAlign w:val="center"/>
                </w:tcPr>
                <w:p w14:paraId="7438FD46">
                  <w:pPr>
                    <w:ind w:left="0" w:leftChars="0" w:right="0" w:rightChars="0"/>
                    <w:jc w:val="center"/>
                    <w:rPr>
                      <w:rFonts w:hint="eastAsia"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每月</w:t>
                  </w:r>
                </w:p>
              </w:tc>
            </w:tr>
          </w:tbl>
          <w:p w14:paraId="73EB9B5C">
            <w:pPr>
              <w:bidi w:val="0"/>
              <w:spacing w:line="360" w:lineRule="auto"/>
              <w:ind w:firstLine="420" w:firstLineChars="200"/>
              <w:rPr>
                <w:rFonts w:hint="default"/>
                <w:color w:val="auto"/>
                <w:u w:val="none"/>
                <w:lang w:val="en-US" w:eastAsia="zh-CN"/>
              </w:rPr>
            </w:pPr>
            <w:r>
              <w:rPr>
                <w:rFonts w:hint="default"/>
                <w:color w:val="auto"/>
                <w:u w:val="none"/>
              </w:rPr>
              <w:t>项目所在地设置危废仓库，因厂内危废总产生量为</w:t>
            </w:r>
            <w:r>
              <w:rPr>
                <w:rFonts w:hint="eastAsia"/>
                <w:color w:val="auto"/>
                <w:u w:val="none"/>
                <w:lang w:val="en-US" w:eastAsia="zh-CN"/>
              </w:rPr>
              <w:t>35.4946‬‬‬</w:t>
            </w:r>
            <w:r>
              <w:rPr>
                <w:rFonts w:hint="default"/>
                <w:color w:val="auto"/>
                <w:u w:val="none"/>
              </w:rPr>
              <w:t>t/a，各危废储存方式及形式详见上表</w:t>
            </w:r>
            <w:r>
              <w:rPr>
                <w:rFonts w:hint="default"/>
                <w:color w:val="auto"/>
                <w:u w:val="none"/>
                <w:lang w:eastAsia="zh-CN"/>
              </w:rPr>
              <w:t>，</w:t>
            </w:r>
            <w:r>
              <w:rPr>
                <w:rFonts w:hint="default"/>
                <w:color w:val="auto"/>
                <w:u w:val="none"/>
                <w:lang w:val="en-US" w:eastAsia="zh-CN"/>
              </w:rPr>
              <w:t>根据建设单位提供资料可知，本项目危废</w:t>
            </w:r>
            <w:r>
              <w:rPr>
                <w:rFonts w:hint="default"/>
                <w:color w:val="auto"/>
                <w:u w:val="none"/>
                <w:lang w:eastAsia="zh-CN"/>
              </w:rPr>
              <w:t>转运周期为</w:t>
            </w:r>
            <w:r>
              <w:rPr>
                <w:rFonts w:hint="eastAsia"/>
                <w:color w:val="auto"/>
                <w:u w:val="none"/>
                <w:lang w:val="en-US" w:eastAsia="zh-CN"/>
              </w:rPr>
              <w:t>1</w:t>
            </w:r>
            <w:r>
              <w:rPr>
                <w:rFonts w:hint="default"/>
                <w:color w:val="auto"/>
                <w:u w:val="none"/>
                <w:lang w:eastAsia="zh-CN"/>
              </w:rPr>
              <w:t>个月，</w:t>
            </w:r>
            <w:r>
              <w:rPr>
                <w:rFonts w:hint="default"/>
                <w:color w:val="auto"/>
                <w:u w:val="none"/>
                <w:lang w:val="en-US" w:eastAsia="zh-CN"/>
              </w:rPr>
              <w:t>暂存危废量为</w:t>
            </w:r>
            <w:r>
              <w:rPr>
                <w:rFonts w:hint="eastAsia"/>
                <w:color w:val="auto"/>
                <w:u w:val="none"/>
                <w:lang w:val="en-US" w:eastAsia="zh-CN"/>
              </w:rPr>
              <w:t>2.96</w:t>
            </w:r>
            <w:r>
              <w:rPr>
                <w:rFonts w:hint="default"/>
                <w:color w:val="auto"/>
                <w:u w:val="none"/>
                <w:lang w:val="en-US" w:eastAsia="zh-CN"/>
              </w:rPr>
              <w:t>吨，</w:t>
            </w:r>
            <w:r>
              <w:rPr>
                <w:rFonts w:hint="default"/>
                <w:color w:val="auto"/>
                <w:u w:val="none"/>
                <w:lang w:eastAsia="zh-CN"/>
              </w:rPr>
              <w:t>危废综合密度以</w:t>
            </w:r>
            <w:r>
              <w:rPr>
                <w:rFonts w:hint="eastAsia"/>
                <w:color w:val="auto"/>
                <w:u w:val="none"/>
                <w:lang w:val="en-US" w:eastAsia="zh-CN"/>
              </w:rPr>
              <w:t>1.2</w:t>
            </w:r>
            <w:r>
              <w:rPr>
                <w:rFonts w:hint="default"/>
                <w:color w:val="auto"/>
                <w:u w:val="none"/>
                <w:lang w:eastAsia="zh-CN"/>
              </w:rPr>
              <w:t>t/m</w:t>
            </w:r>
            <w:r>
              <w:rPr>
                <w:rFonts w:hint="default"/>
                <w:color w:val="auto"/>
                <w:u w:val="none"/>
                <w:vertAlign w:val="superscript"/>
                <w:lang w:eastAsia="zh-CN"/>
              </w:rPr>
              <w:t>3</w:t>
            </w:r>
            <w:r>
              <w:rPr>
                <w:rFonts w:hint="default"/>
                <w:color w:val="auto"/>
                <w:u w:val="none"/>
                <w:lang w:eastAsia="zh-CN"/>
              </w:rPr>
              <w:t>计，</w:t>
            </w:r>
            <w:r>
              <w:rPr>
                <w:rFonts w:hint="default"/>
                <w:color w:val="auto"/>
                <w:u w:val="none"/>
                <w:lang w:val="en-US" w:eastAsia="zh-CN"/>
              </w:rPr>
              <w:t>本项目危废暂存体积为</w:t>
            </w:r>
            <w:r>
              <w:rPr>
                <w:rFonts w:hint="eastAsia"/>
                <w:color w:val="auto"/>
                <w:u w:val="none"/>
                <w:lang w:val="en-US" w:eastAsia="zh-CN"/>
              </w:rPr>
              <w:t>2.5</w:t>
            </w:r>
            <w:r>
              <w:rPr>
                <w:rFonts w:hint="default"/>
                <w:color w:val="auto"/>
                <w:u w:val="none"/>
                <w:lang w:val="en-US" w:eastAsia="zh-CN"/>
              </w:rPr>
              <w:t>m</w:t>
            </w:r>
            <w:r>
              <w:rPr>
                <w:rFonts w:hint="default"/>
                <w:color w:val="auto"/>
                <w:u w:val="none"/>
                <w:vertAlign w:val="superscript"/>
                <w:lang w:val="en-US" w:eastAsia="zh-CN"/>
              </w:rPr>
              <w:t>3</w:t>
            </w:r>
            <w:r>
              <w:rPr>
                <w:rFonts w:hint="default"/>
                <w:color w:val="auto"/>
                <w:u w:val="none"/>
                <w:lang w:val="en-US" w:eastAsia="zh-CN"/>
              </w:rPr>
              <w:t>。</w:t>
            </w:r>
          </w:p>
          <w:p w14:paraId="02F61873">
            <w:pPr>
              <w:bidi w:val="0"/>
              <w:spacing w:line="360" w:lineRule="auto"/>
              <w:ind w:firstLine="420" w:firstLineChars="200"/>
              <w:rPr>
                <w:rFonts w:hint="default"/>
                <w:color w:val="auto"/>
                <w:u w:val="none"/>
              </w:rPr>
            </w:pPr>
            <w:r>
              <w:rPr>
                <w:rFonts w:hint="eastAsia" w:cs="Times New Roman"/>
                <w:color w:val="auto"/>
                <w:sz w:val="21"/>
                <w:szCs w:val="21"/>
                <w:highlight w:val="none"/>
                <w:u w:val="none"/>
                <w:lang w:val="en-US" w:eastAsia="zh-CN"/>
              </w:rPr>
              <w:t>危废暂存</w:t>
            </w:r>
            <w:r>
              <w:rPr>
                <w:rFonts w:hint="default" w:ascii="Times New Roman" w:hAnsi="Times New Roman" w:eastAsia="宋体" w:cs="Times New Roman"/>
                <w:color w:val="auto"/>
                <w:sz w:val="21"/>
                <w:szCs w:val="21"/>
                <w:highlight w:val="none"/>
                <w:u w:val="none"/>
                <w:lang w:eastAsia="zh-CN"/>
              </w:rPr>
              <w:t>依托现有</w:t>
            </w:r>
            <w:r>
              <w:rPr>
                <w:rFonts w:hint="eastAsia" w:cs="Times New Roman"/>
                <w:color w:val="auto"/>
                <w:sz w:val="21"/>
                <w:szCs w:val="21"/>
                <w:highlight w:val="none"/>
                <w:u w:val="none"/>
                <w:lang w:val="en-US" w:eastAsia="zh-CN"/>
              </w:rPr>
              <w:t>项目70m</w:t>
            </w:r>
            <w:r>
              <w:rPr>
                <w:rFonts w:hint="eastAsia" w:cs="Times New Roman"/>
                <w:color w:val="auto"/>
                <w:sz w:val="21"/>
                <w:szCs w:val="21"/>
                <w:highlight w:val="none"/>
                <w:u w:val="none"/>
                <w:vertAlign w:val="superscript"/>
                <w:lang w:val="en-US" w:eastAsia="zh-CN"/>
              </w:rPr>
              <w:t>2</w:t>
            </w:r>
            <w:r>
              <w:rPr>
                <w:rFonts w:hint="eastAsia" w:cs="Times New Roman"/>
                <w:color w:val="auto"/>
                <w:sz w:val="21"/>
                <w:szCs w:val="21"/>
                <w:highlight w:val="none"/>
                <w:u w:val="none"/>
                <w:vertAlign w:val="baseline"/>
                <w:lang w:val="en-US" w:eastAsia="zh-CN"/>
              </w:rPr>
              <w:t>危废仓库</w:t>
            </w:r>
            <w:r>
              <w:rPr>
                <w:rFonts w:hint="default" w:ascii="Times New Roman" w:hAnsi="Times New Roman" w:eastAsia="宋体" w:cs="Times New Roman"/>
                <w:color w:val="auto"/>
                <w:sz w:val="21"/>
                <w:szCs w:val="21"/>
                <w:highlight w:val="none"/>
                <w:u w:val="none"/>
                <w:lang w:eastAsia="zh-CN"/>
              </w:rPr>
              <w:t>，存储能力</w:t>
            </w:r>
            <w:r>
              <w:rPr>
                <w:rFonts w:hint="eastAsia" w:cs="Times New Roman"/>
                <w:color w:val="auto"/>
                <w:sz w:val="21"/>
                <w:szCs w:val="21"/>
                <w:highlight w:val="none"/>
                <w:u w:val="none"/>
                <w:lang w:val="en-US" w:eastAsia="zh-CN"/>
              </w:rPr>
              <w:t>140</w:t>
            </w:r>
            <w:r>
              <w:rPr>
                <w:rFonts w:hint="default" w:ascii="Times New Roman" w:hAnsi="Times New Roman" w:eastAsia="宋体" w:cs="Times New Roman"/>
                <w:color w:val="auto"/>
                <w:sz w:val="21"/>
                <w:szCs w:val="21"/>
                <w:highlight w:val="none"/>
                <w:u w:val="none"/>
                <w:lang w:eastAsia="zh-CN"/>
              </w:rPr>
              <w:t>吨，已用</w:t>
            </w:r>
            <w:r>
              <w:rPr>
                <w:rFonts w:hint="eastAsia" w:cs="Times New Roman"/>
                <w:color w:val="auto"/>
                <w:sz w:val="21"/>
                <w:szCs w:val="21"/>
                <w:highlight w:val="none"/>
                <w:u w:val="none"/>
                <w:lang w:val="en-US" w:eastAsia="zh-CN"/>
              </w:rPr>
              <w:t>10</w:t>
            </w:r>
            <w:r>
              <w:rPr>
                <w:rFonts w:hint="default" w:ascii="Times New Roman" w:hAnsi="Times New Roman" w:eastAsia="宋体" w:cs="Times New Roman"/>
                <w:color w:val="auto"/>
                <w:sz w:val="21"/>
                <w:szCs w:val="21"/>
                <w:highlight w:val="none"/>
                <w:u w:val="none"/>
                <w:lang w:eastAsia="zh-CN"/>
              </w:rPr>
              <w:t>吨，</w:t>
            </w:r>
            <w:r>
              <w:rPr>
                <w:rFonts w:hint="eastAsia" w:cs="Times New Roman"/>
                <w:color w:val="auto"/>
                <w:sz w:val="21"/>
                <w:szCs w:val="21"/>
                <w:highlight w:val="none"/>
                <w:u w:val="none"/>
                <w:lang w:val="en-US" w:eastAsia="zh-CN"/>
              </w:rPr>
              <w:t>本次新增危废    2.96吨，</w:t>
            </w:r>
            <w:r>
              <w:rPr>
                <w:rFonts w:hint="default" w:ascii="Times New Roman" w:hAnsi="Times New Roman" w:eastAsia="宋体" w:cs="Times New Roman"/>
                <w:color w:val="auto"/>
                <w:sz w:val="21"/>
                <w:szCs w:val="21"/>
                <w:highlight w:val="none"/>
                <w:u w:val="none"/>
                <w:lang w:eastAsia="zh-CN"/>
              </w:rPr>
              <w:t>余量足够本次项目依托使用</w:t>
            </w:r>
            <w:r>
              <w:rPr>
                <w:rFonts w:hint="default" w:ascii="Times New Roman" w:hAnsi="Times New Roman" w:cs="Times New Roman"/>
                <w:color w:val="auto"/>
                <w:sz w:val="21"/>
                <w:szCs w:val="21"/>
                <w:u w:val="none"/>
              </w:rPr>
              <w:t>。</w:t>
            </w:r>
          </w:p>
          <w:p w14:paraId="79EB0A72">
            <w:pPr>
              <w:bidi w:val="0"/>
              <w:spacing w:line="360" w:lineRule="auto"/>
              <w:ind w:firstLine="420" w:firstLineChars="200"/>
              <w:rPr>
                <w:rFonts w:hint="default"/>
                <w:color w:val="auto"/>
              </w:rPr>
            </w:pPr>
            <w:r>
              <w:rPr>
                <w:rFonts w:hint="default"/>
                <w:color w:val="auto"/>
              </w:rPr>
              <w:t>综上，本项目危险废物收集、贮存过程严格做好防渗、防雨、防漏措施。危险废物贮存处置方式可行，不会造成对环境的二次污染。</w:t>
            </w:r>
          </w:p>
          <w:p w14:paraId="2655282D">
            <w:pPr>
              <w:pStyle w:val="4"/>
              <w:bidi w:val="0"/>
              <w:spacing w:line="360" w:lineRule="auto"/>
              <w:rPr>
                <w:rFonts w:hint="default" w:ascii="Times New Roman" w:hAnsi="Times New Roman" w:cs="Times New Roman"/>
                <w:color w:val="auto"/>
                <w:lang w:val="en-US" w:eastAsia="zh-CN"/>
              </w:rPr>
            </w:pPr>
            <w:r>
              <w:rPr>
                <w:rFonts w:hint="eastAsia" w:cs="Times New Roman"/>
                <w:color w:val="auto"/>
                <w:lang w:val="en-US" w:eastAsia="zh-CN"/>
              </w:rPr>
              <w:t>4</w:t>
            </w:r>
            <w:r>
              <w:rPr>
                <w:rFonts w:hint="default" w:ascii="Times New Roman" w:hAnsi="Times New Roman" w:cs="Times New Roman"/>
                <w:color w:val="auto"/>
                <w:lang w:val="en-US" w:eastAsia="zh-CN"/>
              </w:rPr>
              <w:t>、环境管理要求</w:t>
            </w:r>
          </w:p>
          <w:p w14:paraId="21E16A04">
            <w:pPr>
              <w:pStyle w:val="8"/>
              <w:spacing w:before="139" w:line="360" w:lineRule="auto"/>
              <w:ind w:right="269"/>
              <w:jc w:val="both"/>
              <w:rPr>
                <w:rFonts w:hint="default" w:ascii="Times New Roman" w:hAnsi="Times New Roman" w:cs="Times New Roman"/>
                <w:b/>
                <w:bCs/>
                <w:color w:val="auto"/>
                <w:spacing w:val="-10"/>
                <w:sz w:val="21"/>
                <w:szCs w:val="21"/>
                <w:highlight w:val="none"/>
              </w:rPr>
            </w:pPr>
            <w:r>
              <w:rPr>
                <w:rFonts w:hint="default" w:ascii="Times New Roman" w:hAnsi="Times New Roman" w:cs="Times New Roman"/>
                <w:b/>
                <w:bCs/>
                <w:color w:val="auto"/>
                <w:kern w:val="0"/>
                <w:sz w:val="21"/>
                <w:szCs w:val="21"/>
                <w:highlight w:val="none"/>
                <w:lang w:val="en-US" w:eastAsia="zh-CN"/>
              </w:rPr>
              <w:t>（1）</w:t>
            </w:r>
            <w:r>
              <w:rPr>
                <w:rFonts w:hint="default" w:ascii="Times New Roman" w:hAnsi="Times New Roman" w:cs="Times New Roman"/>
                <w:b/>
                <w:bCs/>
                <w:color w:val="auto"/>
                <w:spacing w:val="-10"/>
                <w:sz w:val="21"/>
                <w:szCs w:val="21"/>
                <w:highlight w:val="none"/>
              </w:rPr>
              <w:t>一般固废环境管理要求</w:t>
            </w:r>
          </w:p>
          <w:p w14:paraId="08960A95">
            <w:pPr>
              <w:bidi w:val="0"/>
              <w:spacing w:line="360" w:lineRule="auto"/>
              <w:ind w:firstLine="420" w:firstLineChars="200"/>
              <w:rPr>
                <w:rFonts w:hint="default"/>
                <w:color w:val="auto"/>
                <w:lang w:val="en-US" w:eastAsia="zh-CN"/>
              </w:rPr>
            </w:pPr>
            <w:r>
              <w:rPr>
                <w:rFonts w:hint="default"/>
                <w:color w:val="auto"/>
                <w:lang w:val="en-US" w:eastAsia="zh-CN"/>
              </w:rPr>
              <w:t>本项目一般固废</w:t>
            </w:r>
            <w:r>
              <w:rPr>
                <w:rFonts w:hint="eastAsia"/>
                <w:color w:val="auto"/>
                <w:lang w:val="en-US" w:eastAsia="zh-CN"/>
              </w:rPr>
              <w:t>仓库</w:t>
            </w:r>
            <w:r>
              <w:rPr>
                <w:rFonts w:hint="default"/>
                <w:color w:val="auto"/>
                <w:lang w:val="en-US" w:eastAsia="zh-CN"/>
              </w:rPr>
              <w:t>设置应符合《一般工业固体废物贮存和填埋污染控制标准》（GB18599-2020）的相关要求，具体为：贮存间采取防风防雨措施；各类固废应分类收集；贮存间装贴环保图形标志；指定专人进行日常管理，由合法合规企业回收、利用、处置。一般固废仓库地面设有防渗系统，符合《一般工业固体废物贮存和填埋污染控制标准》（GB18599-2020）的规定，此外，为加强监督管理，贮存场所应按照《环境保护图形标志——固体废物贮存（处置）场》(GB15562.2)的要求设置环保图形标志。</w:t>
            </w:r>
          </w:p>
          <w:p w14:paraId="7371B989">
            <w:pPr>
              <w:pStyle w:val="8"/>
              <w:spacing w:before="139" w:line="360" w:lineRule="auto"/>
              <w:ind w:right="269"/>
              <w:jc w:val="both"/>
              <w:rPr>
                <w:rFonts w:hint="default" w:ascii="Times New Roman" w:hAnsi="Times New Roman" w:cs="Times New Roman"/>
                <w:b/>
                <w:bCs/>
                <w:color w:val="auto"/>
                <w:spacing w:val="-10"/>
                <w:sz w:val="21"/>
                <w:szCs w:val="21"/>
                <w:highlight w:val="none"/>
              </w:rPr>
            </w:pPr>
            <w:r>
              <w:rPr>
                <w:rFonts w:hint="default" w:ascii="Times New Roman" w:hAnsi="Times New Roman" w:cs="Times New Roman"/>
                <w:b/>
                <w:bCs/>
                <w:color w:val="auto"/>
                <w:kern w:val="0"/>
                <w:sz w:val="21"/>
                <w:szCs w:val="21"/>
                <w:highlight w:val="none"/>
                <w:lang w:val="en-US" w:eastAsia="zh-CN"/>
              </w:rPr>
              <w:t>（2）危险废物</w:t>
            </w:r>
            <w:r>
              <w:rPr>
                <w:rFonts w:hint="default" w:ascii="Times New Roman" w:hAnsi="Times New Roman" w:cs="Times New Roman"/>
                <w:b/>
                <w:bCs/>
                <w:color w:val="auto"/>
                <w:spacing w:val="-10"/>
                <w:sz w:val="21"/>
                <w:szCs w:val="21"/>
                <w:highlight w:val="none"/>
              </w:rPr>
              <w:t>环境管理要求</w:t>
            </w:r>
          </w:p>
          <w:p w14:paraId="5C2DD039">
            <w:pPr>
              <w:bidi w:val="0"/>
              <w:spacing w:line="360" w:lineRule="auto"/>
              <w:rPr>
                <w:rFonts w:hint="default"/>
                <w:color w:val="auto"/>
                <w:lang w:val="en-US" w:eastAsia="zh-CN"/>
              </w:rPr>
            </w:pPr>
            <w:r>
              <w:rPr>
                <w:rFonts w:hint="default"/>
                <w:color w:val="auto"/>
                <w:lang w:val="en-US" w:eastAsia="zh-CN"/>
              </w:rPr>
              <w:t>1）危险废物暂存、管理要求</w:t>
            </w:r>
          </w:p>
          <w:p w14:paraId="4F653C8C">
            <w:pPr>
              <w:bidi w:val="0"/>
              <w:spacing w:line="360" w:lineRule="auto"/>
              <w:ind w:firstLine="420" w:firstLineChars="200"/>
              <w:rPr>
                <w:rFonts w:hint="default"/>
                <w:color w:val="auto"/>
                <w:lang w:val="en-US" w:eastAsia="zh-CN"/>
              </w:rPr>
            </w:pPr>
            <w:r>
              <w:rPr>
                <w:rFonts w:hint="default"/>
                <w:color w:val="auto"/>
                <w:lang w:val="en-US" w:eastAsia="zh-CN"/>
              </w:rPr>
              <w:t>按照江苏省生态环境厅《关于印发江苏省危险废物贮存规范化管理专项整治行动方案的通知》（苏环办[2019]149号）《江苏省固体废物全过程环境监管工作意见》的通知 苏环办【2024】16号，，危废产生企业应做到以下要求：</w:t>
            </w:r>
          </w:p>
          <w:p w14:paraId="5700CA36">
            <w:pPr>
              <w:bidi w:val="0"/>
              <w:spacing w:line="360" w:lineRule="auto"/>
              <w:ind w:firstLine="420" w:firstLineChars="200"/>
              <w:rPr>
                <w:rFonts w:hint="default"/>
                <w:color w:val="auto"/>
                <w:lang w:val="en-US" w:eastAsia="zh-CN"/>
              </w:rPr>
            </w:pPr>
            <w:r>
              <w:rPr>
                <w:rFonts w:hint="eastAsia" w:ascii="微软雅黑" w:hAnsi="微软雅黑" w:eastAsia="微软雅黑" w:cs="微软雅黑"/>
                <w:color w:val="auto"/>
                <w:lang w:val="en-US" w:eastAsia="zh-CN"/>
              </w:rPr>
              <w:t>①</w:t>
            </w:r>
            <w:r>
              <w:rPr>
                <w:rFonts w:hint="default"/>
                <w:color w:val="auto"/>
                <w:lang w:val="en-US" w:eastAsia="zh-CN"/>
              </w:rPr>
              <w:t>危废仓库按照《危险废物贮存污染控制标准》（GB 18597-2023）等标准要求进行管理，并注意加强日常的防晒、防雨、防火、防雷、防扬散、防渗漏及泄漏液体收集装置等措施；</w:t>
            </w:r>
          </w:p>
          <w:p w14:paraId="197FC521">
            <w:pPr>
              <w:bidi w:val="0"/>
              <w:spacing w:line="360" w:lineRule="auto"/>
              <w:ind w:firstLine="420" w:firstLineChars="200"/>
              <w:rPr>
                <w:rFonts w:hint="default"/>
                <w:color w:val="auto"/>
                <w:lang w:val="en-US" w:eastAsia="zh-CN"/>
              </w:rPr>
            </w:pPr>
            <w:r>
              <w:rPr>
                <w:rFonts w:hint="eastAsia" w:ascii="微软雅黑" w:hAnsi="微软雅黑" w:eastAsia="微软雅黑" w:cs="微软雅黑"/>
                <w:color w:val="auto"/>
                <w:lang w:val="en-US" w:eastAsia="zh-CN"/>
              </w:rPr>
              <w:t>②</w:t>
            </w:r>
            <w:r>
              <w:rPr>
                <w:rFonts w:hint="default"/>
                <w:color w:val="auto"/>
                <w:lang w:val="en-US" w:eastAsia="zh-CN"/>
              </w:rPr>
              <w:t>在危废仓库出入口、内部，危险废物运输车辆通道等关键位置按照危险废物贮存设施视频监控布设要求设置视频监控，并与中控室联网；</w:t>
            </w:r>
          </w:p>
          <w:p w14:paraId="168E2ABC">
            <w:pPr>
              <w:bidi w:val="0"/>
              <w:spacing w:line="360" w:lineRule="auto"/>
              <w:ind w:firstLine="420" w:firstLineChars="200"/>
              <w:rPr>
                <w:rFonts w:hint="default"/>
                <w:color w:val="auto"/>
                <w:lang w:val="en-US" w:eastAsia="zh-CN"/>
              </w:rPr>
            </w:pPr>
            <w:r>
              <w:rPr>
                <w:rFonts w:hint="eastAsia" w:ascii="微软雅黑" w:hAnsi="微软雅黑" w:eastAsia="微软雅黑" w:cs="微软雅黑"/>
                <w:color w:val="auto"/>
                <w:lang w:val="en-US" w:eastAsia="zh-CN"/>
              </w:rPr>
              <w:t>③</w:t>
            </w:r>
            <w:r>
              <w:rPr>
                <w:rFonts w:hint="default"/>
                <w:color w:val="auto"/>
                <w:lang w:val="en-US" w:eastAsia="zh-CN"/>
              </w:rPr>
              <w:t>厂区门口显著位置设置危险废物信息公开栏，主动公开危险废物产生、利用处置等情况；</w:t>
            </w:r>
          </w:p>
          <w:p w14:paraId="5D578552">
            <w:pPr>
              <w:bidi w:val="0"/>
              <w:spacing w:line="360" w:lineRule="auto"/>
              <w:ind w:firstLine="420" w:firstLineChars="200"/>
              <w:rPr>
                <w:rFonts w:hint="default"/>
                <w:color w:val="auto"/>
                <w:lang w:val="en-US" w:eastAsia="zh-CN"/>
              </w:rPr>
            </w:pPr>
            <w:r>
              <w:rPr>
                <w:rFonts w:hint="eastAsia" w:ascii="微软雅黑" w:hAnsi="微软雅黑" w:eastAsia="微软雅黑" w:cs="微软雅黑"/>
                <w:color w:val="auto"/>
                <w:lang w:val="en-US" w:eastAsia="zh-CN"/>
              </w:rPr>
              <w:t>④</w:t>
            </w:r>
            <w:r>
              <w:rPr>
                <w:rFonts w:hint="default"/>
                <w:color w:val="auto"/>
                <w:lang w:val="en-US" w:eastAsia="zh-CN"/>
              </w:rPr>
              <w:t>按照危险废物识别标志设置技术规范（HJ 1276-2022）设置标志，配备通讯设备、照明设施和消防设施；</w:t>
            </w:r>
          </w:p>
          <w:p w14:paraId="558126E4">
            <w:pPr>
              <w:bidi w:val="0"/>
              <w:spacing w:line="360" w:lineRule="auto"/>
              <w:ind w:firstLine="420" w:firstLineChars="200"/>
              <w:rPr>
                <w:rFonts w:hint="default"/>
                <w:color w:val="auto"/>
                <w:lang w:val="en-US" w:eastAsia="zh-CN"/>
              </w:rPr>
            </w:pPr>
            <w:r>
              <w:rPr>
                <w:rFonts w:hint="default"/>
                <w:color w:val="auto"/>
                <w:lang w:val="en-US" w:eastAsia="zh-CN"/>
              </w:rPr>
              <w:t>企业在省内转移时要选择有资质并能利用“电子运单管理系统”进行信息比对的危险货物道路运输企业承运危险废物。危险废物跨省转移全面推行电子联单，实时共享危险废物产生、运输、利用处置企业基础信息与运输轨迹信息。</w:t>
            </w:r>
          </w:p>
          <w:p w14:paraId="7B8F5E02">
            <w:pPr>
              <w:bidi w:val="0"/>
              <w:spacing w:line="360" w:lineRule="auto"/>
              <w:rPr>
                <w:rFonts w:hint="default"/>
                <w:color w:val="auto"/>
                <w:lang w:val="en-US" w:eastAsia="zh-CN"/>
              </w:rPr>
            </w:pPr>
            <w:r>
              <w:rPr>
                <w:rFonts w:hint="default"/>
                <w:color w:val="auto"/>
                <w:lang w:val="en-US" w:eastAsia="zh-CN"/>
              </w:rPr>
              <w:t>2）危险仓库管理要求</w:t>
            </w:r>
          </w:p>
          <w:p w14:paraId="28AB8547">
            <w:pPr>
              <w:bidi w:val="0"/>
              <w:spacing w:line="360" w:lineRule="auto"/>
              <w:ind w:firstLine="420" w:firstLineChars="200"/>
              <w:rPr>
                <w:rFonts w:hint="default"/>
                <w:color w:val="auto"/>
                <w:lang w:val="en-US" w:eastAsia="zh-CN"/>
              </w:rPr>
            </w:pPr>
            <w:r>
              <w:rPr>
                <w:rFonts w:hint="eastAsia" w:ascii="微软雅黑" w:hAnsi="微软雅黑" w:eastAsia="微软雅黑" w:cs="微软雅黑"/>
                <w:color w:val="auto"/>
                <w:lang w:val="en-US" w:eastAsia="zh-CN"/>
              </w:rPr>
              <w:t>①</w:t>
            </w:r>
            <w:r>
              <w:rPr>
                <w:rFonts w:hint="default"/>
                <w:color w:val="auto"/>
                <w:lang w:val="en-US" w:eastAsia="zh-CN"/>
              </w:rPr>
              <w:t>危险废物应尽快送往委托单位处理，不宜存放过长时间，确需暂存的，应做到以下几点：</w:t>
            </w:r>
          </w:p>
          <w:p w14:paraId="6A07B596">
            <w:pPr>
              <w:bidi w:val="0"/>
              <w:spacing w:line="360" w:lineRule="auto"/>
              <w:ind w:firstLine="420" w:firstLineChars="200"/>
              <w:rPr>
                <w:rFonts w:hint="default"/>
                <w:color w:val="auto"/>
                <w:lang w:val="en-US" w:eastAsia="zh-CN"/>
              </w:rPr>
            </w:pPr>
            <w:r>
              <w:rPr>
                <w:rFonts w:hint="eastAsia" w:ascii="微软雅黑" w:hAnsi="微软雅黑" w:eastAsia="微软雅黑" w:cs="微软雅黑"/>
                <w:color w:val="auto"/>
                <w:lang w:val="en-US" w:eastAsia="zh-CN"/>
              </w:rPr>
              <w:t>②</w:t>
            </w:r>
            <w:r>
              <w:rPr>
                <w:rFonts w:hint="default"/>
                <w:color w:val="auto"/>
                <w:lang w:val="en-US" w:eastAsia="zh-CN"/>
              </w:rPr>
              <w:t>贮存场所应符合GB18597-20</w:t>
            </w:r>
            <w:r>
              <w:rPr>
                <w:rFonts w:hint="eastAsia"/>
                <w:color w:val="auto"/>
                <w:lang w:val="en-US" w:eastAsia="zh-CN"/>
              </w:rPr>
              <w:t>23</w:t>
            </w:r>
            <w:r>
              <w:rPr>
                <w:rFonts w:hint="default"/>
                <w:color w:val="auto"/>
                <w:lang w:val="en-US" w:eastAsia="zh-CN"/>
              </w:rPr>
              <w:t>规定的贮存控制标准，有符合要求的专用标志。</w:t>
            </w:r>
          </w:p>
          <w:p w14:paraId="33082E3E">
            <w:pPr>
              <w:bidi w:val="0"/>
              <w:spacing w:line="360" w:lineRule="auto"/>
              <w:ind w:firstLine="420" w:firstLineChars="200"/>
              <w:rPr>
                <w:rFonts w:hint="default"/>
                <w:color w:val="auto"/>
                <w:lang w:val="en-US" w:eastAsia="zh-CN"/>
              </w:rPr>
            </w:pPr>
            <w:r>
              <w:rPr>
                <w:rFonts w:hint="eastAsia" w:ascii="微软雅黑" w:hAnsi="微软雅黑" w:eastAsia="微软雅黑" w:cs="微软雅黑"/>
                <w:color w:val="auto"/>
                <w:lang w:val="en-US" w:eastAsia="zh-CN"/>
              </w:rPr>
              <w:t>③</w:t>
            </w:r>
            <w:r>
              <w:rPr>
                <w:rFonts w:hint="default"/>
                <w:color w:val="auto"/>
                <w:lang w:val="en-US" w:eastAsia="zh-CN"/>
              </w:rPr>
              <w:t>贮存区内禁止混放不相容危险废物。</w:t>
            </w:r>
          </w:p>
          <w:p w14:paraId="60C00C81">
            <w:pPr>
              <w:bidi w:val="0"/>
              <w:spacing w:line="360" w:lineRule="auto"/>
              <w:ind w:firstLine="420" w:firstLineChars="200"/>
              <w:rPr>
                <w:rFonts w:hint="default"/>
                <w:color w:val="auto"/>
                <w:lang w:val="en-US" w:eastAsia="zh-CN"/>
              </w:rPr>
            </w:pPr>
            <w:r>
              <w:rPr>
                <w:rFonts w:hint="eastAsia" w:ascii="微软雅黑" w:hAnsi="微软雅黑" w:eastAsia="微软雅黑" w:cs="微软雅黑"/>
                <w:color w:val="auto"/>
                <w:lang w:val="en-US" w:eastAsia="zh-CN"/>
              </w:rPr>
              <w:t>④</w:t>
            </w:r>
            <w:r>
              <w:rPr>
                <w:rFonts w:hint="default"/>
                <w:color w:val="auto"/>
                <w:lang w:val="en-US" w:eastAsia="zh-CN"/>
              </w:rPr>
              <w:t>贮存区考虑相应的集排水和防渗设施。</w:t>
            </w:r>
          </w:p>
          <w:p w14:paraId="03F2FB5C">
            <w:pPr>
              <w:bidi w:val="0"/>
              <w:spacing w:line="360" w:lineRule="auto"/>
              <w:ind w:firstLine="420" w:firstLineChars="200"/>
              <w:rPr>
                <w:rFonts w:hint="default"/>
                <w:color w:val="auto"/>
                <w:lang w:val="en-US" w:eastAsia="zh-CN"/>
              </w:rPr>
            </w:pPr>
            <w:r>
              <w:rPr>
                <w:rFonts w:hint="eastAsia" w:ascii="微软雅黑" w:hAnsi="微软雅黑" w:eastAsia="微软雅黑" w:cs="微软雅黑"/>
                <w:color w:val="auto"/>
                <w:lang w:val="en-US" w:eastAsia="zh-CN"/>
              </w:rPr>
              <w:t>⑤</w:t>
            </w:r>
            <w:r>
              <w:rPr>
                <w:rFonts w:hint="default"/>
                <w:color w:val="auto"/>
                <w:lang w:val="en-US" w:eastAsia="zh-CN"/>
              </w:rPr>
              <w:t>贮存区符合消防要求。</w:t>
            </w:r>
          </w:p>
          <w:p w14:paraId="70785E99">
            <w:pPr>
              <w:bidi w:val="0"/>
              <w:spacing w:line="360" w:lineRule="auto"/>
              <w:ind w:firstLine="420" w:firstLineChars="200"/>
              <w:rPr>
                <w:rFonts w:hint="default"/>
                <w:color w:val="auto"/>
                <w:lang w:val="en-US" w:eastAsia="zh-CN"/>
              </w:rPr>
            </w:pPr>
            <w:r>
              <w:rPr>
                <w:rFonts w:hint="eastAsia" w:ascii="微软雅黑" w:hAnsi="微软雅黑" w:eastAsia="微软雅黑" w:cs="微软雅黑"/>
                <w:color w:val="auto"/>
                <w:lang w:val="en-US" w:eastAsia="zh-CN"/>
              </w:rPr>
              <w:t>⑥</w:t>
            </w:r>
            <w:r>
              <w:rPr>
                <w:rFonts w:hint="default"/>
                <w:color w:val="auto"/>
                <w:lang w:val="en-US" w:eastAsia="zh-CN"/>
              </w:rPr>
              <w:t>贮存容器必须有明显标志，具有耐腐蚀、耐压、密封和不与所贮存的废物发生发应等特性。</w:t>
            </w:r>
          </w:p>
          <w:p w14:paraId="42EA0572">
            <w:pPr>
              <w:bidi w:val="0"/>
              <w:spacing w:line="360" w:lineRule="auto"/>
              <w:rPr>
                <w:rFonts w:hint="default"/>
                <w:color w:val="auto"/>
                <w:lang w:val="en-US" w:eastAsia="zh-CN"/>
              </w:rPr>
            </w:pPr>
            <w:r>
              <w:rPr>
                <w:rFonts w:hint="default"/>
                <w:color w:val="auto"/>
                <w:lang w:val="en-US" w:eastAsia="zh-CN"/>
              </w:rPr>
              <w:t>3）危废仓库建设要求</w:t>
            </w:r>
          </w:p>
          <w:p w14:paraId="737F2A24">
            <w:pPr>
              <w:bidi w:val="0"/>
              <w:spacing w:line="360" w:lineRule="auto"/>
              <w:ind w:firstLine="420" w:firstLineChars="200"/>
              <w:rPr>
                <w:rFonts w:hint="default"/>
                <w:color w:val="auto"/>
                <w:lang w:val="en-US" w:eastAsia="zh-CN"/>
              </w:rPr>
            </w:pPr>
            <w:r>
              <w:rPr>
                <w:rFonts w:hint="eastAsia" w:ascii="微软雅黑" w:hAnsi="微软雅黑" w:eastAsia="微软雅黑" w:cs="微软雅黑"/>
                <w:color w:val="auto"/>
                <w:lang w:val="en-US" w:eastAsia="zh-CN"/>
              </w:rPr>
              <w:t>①</w:t>
            </w:r>
            <w:r>
              <w:rPr>
                <w:rFonts w:hint="default"/>
                <w:color w:val="auto"/>
                <w:lang w:val="en-US" w:eastAsia="zh-CN"/>
              </w:rPr>
              <w:t>地面与裙脚要用坚固、防渗的材料建造，建筑材料必须与危险废物相容。</w:t>
            </w:r>
          </w:p>
          <w:p w14:paraId="7BCDCFAC">
            <w:pPr>
              <w:bidi w:val="0"/>
              <w:spacing w:line="360" w:lineRule="auto"/>
              <w:ind w:firstLine="420" w:firstLineChars="200"/>
              <w:rPr>
                <w:rFonts w:hint="default"/>
                <w:color w:val="auto"/>
                <w:lang w:val="en-US" w:eastAsia="zh-CN"/>
              </w:rPr>
            </w:pPr>
            <w:r>
              <w:rPr>
                <w:rFonts w:hint="eastAsia" w:ascii="微软雅黑" w:hAnsi="微软雅黑" w:eastAsia="微软雅黑" w:cs="微软雅黑"/>
                <w:color w:val="auto"/>
                <w:lang w:val="en-US" w:eastAsia="zh-CN"/>
              </w:rPr>
              <w:t>②</w:t>
            </w:r>
            <w:r>
              <w:rPr>
                <w:rFonts w:hint="default"/>
                <w:color w:val="auto"/>
                <w:lang w:val="en-US" w:eastAsia="zh-CN"/>
              </w:rPr>
              <w:t>设施内要有安全照明设施和观察窗口。</w:t>
            </w:r>
          </w:p>
          <w:p w14:paraId="42786CB7">
            <w:pPr>
              <w:bidi w:val="0"/>
              <w:spacing w:line="360" w:lineRule="auto"/>
              <w:ind w:firstLine="420" w:firstLineChars="200"/>
              <w:rPr>
                <w:rFonts w:hint="default"/>
                <w:color w:val="auto"/>
                <w:lang w:val="en-US" w:eastAsia="zh-CN"/>
              </w:rPr>
            </w:pPr>
            <w:r>
              <w:rPr>
                <w:rFonts w:hint="eastAsia" w:ascii="微软雅黑" w:hAnsi="微软雅黑" w:eastAsia="微软雅黑" w:cs="微软雅黑"/>
                <w:color w:val="auto"/>
                <w:lang w:val="en-US" w:eastAsia="zh-CN"/>
              </w:rPr>
              <w:t>③</w:t>
            </w:r>
            <w:r>
              <w:rPr>
                <w:rFonts w:hint="default"/>
                <w:color w:val="auto"/>
                <w:lang w:val="en-US" w:eastAsia="zh-CN"/>
              </w:rPr>
              <w:t>应设计堵截泄漏的裙脚，地面与裙脚所围建的容积不低于堵截最大容器的最大储量或总储量的1/5。</w:t>
            </w:r>
          </w:p>
          <w:p w14:paraId="1A90EC18">
            <w:pPr>
              <w:bidi w:val="0"/>
              <w:spacing w:line="360" w:lineRule="auto"/>
              <w:ind w:firstLine="420" w:firstLineChars="200"/>
              <w:rPr>
                <w:rFonts w:hint="default"/>
                <w:color w:val="auto"/>
                <w:lang w:val="en-US" w:eastAsia="zh-CN"/>
              </w:rPr>
            </w:pPr>
            <w:r>
              <w:rPr>
                <w:rFonts w:hint="eastAsia" w:ascii="微软雅黑" w:hAnsi="微软雅黑" w:eastAsia="微软雅黑" w:cs="微软雅黑"/>
                <w:color w:val="auto"/>
                <w:lang w:val="en-US" w:eastAsia="zh-CN"/>
              </w:rPr>
              <w:t>④</w:t>
            </w:r>
            <w:r>
              <w:rPr>
                <w:rFonts w:hint="default"/>
                <w:color w:val="auto"/>
                <w:lang w:val="en-US" w:eastAsia="zh-CN"/>
              </w:rPr>
              <w:t>不相容的危险废物必须分开存放，并设有隔离间隔断。</w:t>
            </w:r>
          </w:p>
          <w:p w14:paraId="4B38AEE2">
            <w:pPr>
              <w:bidi w:val="0"/>
              <w:spacing w:line="360" w:lineRule="auto"/>
              <w:ind w:firstLine="420" w:firstLineChars="200"/>
              <w:rPr>
                <w:rFonts w:hint="default"/>
                <w:color w:val="auto"/>
                <w:lang w:val="en-US" w:eastAsia="zh-CN"/>
              </w:rPr>
            </w:pPr>
            <w:r>
              <w:rPr>
                <w:rFonts w:hint="eastAsia" w:ascii="微软雅黑" w:hAnsi="微软雅黑" w:eastAsia="微软雅黑" w:cs="微软雅黑"/>
                <w:color w:val="auto"/>
                <w:lang w:val="en-US" w:eastAsia="zh-CN"/>
              </w:rPr>
              <w:t>⑤</w:t>
            </w:r>
            <w:r>
              <w:rPr>
                <w:rFonts w:hint="default"/>
                <w:color w:val="auto"/>
                <w:lang w:val="en-US" w:eastAsia="zh-CN"/>
              </w:rPr>
              <w:t>基础防渗，且基础防渗层为2mm厚高密度聚乙烯，或至少2mm厚的其他人工材料，渗透系数≤10</w:t>
            </w:r>
            <w:r>
              <w:rPr>
                <w:rFonts w:hint="default"/>
                <w:color w:val="auto"/>
                <w:vertAlign w:val="superscript"/>
                <w:lang w:val="en-US" w:eastAsia="zh-CN"/>
              </w:rPr>
              <w:t>-10</w:t>
            </w:r>
            <w:r>
              <w:rPr>
                <w:rFonts w:hint="default"/>
                <w:color w:val="auto"/>
                <w:lang w:val="en-US" w:eastAsia="zh-CN"/>
              </w:rPr>
              <w:t>cm/s。</w:t>
            </w:r>
          </w:p>
          <w:p w14:paraId="7B2260AF">
            <w:pPr>
              <w:bidi w:val="0"/>
              <w:spacing w:line="360" w:lineRule="auto"/>
              <w:rPr>
                <w:rFonts w:hint="default"/>
                <w:color w:val="auto"/>
                <w:lang w:val="en-US" w:eastAsia="zh-CN"/>
              </w:rPr>
            </w:pPr>
            <w:r>
              <w:rPr>
                <w:rFonts w:hint="default"/>
                <w:color w:val="auto"/>
                <w:lang w:val="en-US" w:eastAsia="zh-CN"/>
              </w:rPr>
              <w:t>4）危废委托处置情况</w:t>
            </w:r>
          </w:p>
          <w:p w14:paraId="02D43659">
            <w:pPr>
              <w:bidi w:val="0"/>
              <w:spacing w:line="360" w:lineRule="auto"/>
              <w:ind w:firstLine="420" w:firstLineChars="200"/>
              <w:rPr>
                <w:rFonts w:hint="default"/>
                <w:color w:val="auto"/>
                <w:lang w:val="en-US" w:eastAsia="zh-CN"/>
              </w:rPr>
            </w:pPr>
            <w:r>
              <w:rPr>
                <w:rFonts w:hint="default"/>
                <w:color w:val="auto"/>
                <w:lang w:val="en-US" w:eastAsia="zh-CN"/>
              </w:rPr>
              <w:t>本项目产生的危险废物委托有资质单位进行安全处置，不自行处置。南通市范围内有多家单位具有处置本项目危废的资质，包括</w:t>
            </w:r>
            <w:r>
              <w:rPr>
                <w:rFonts w:hint="default"/>
                <w:color w:val="auto"/>
                <w:u w:val="single"/>
                <w:lang w:val="en-US" w:eastAsia="zh-CN"/>
              </w:rPr>
              <w:t>南通润启环保服务有限公司、南通九洲环保科技有限公司</w:t>
            </w:r>
            <w:r>
              <w:rPr>
                <w:rFonts w:hint="default"/>
                <w:color w:val="auto"/>
                <w:lang w:val="en-US" w:eastAsia="zh-CN"/>
              </w:rPr>
              <w:t>等。</w:t>
            </w:r>
          </w:p>
          <w:p w14:paraId="72ED2633">
            <w:pPr>
              <w:bidi w:val="0"/>
              <w:spacing w:line="360" w:lineRule="auto"/>
              <w:rPr>
                <w:rFonts w:hint="default"/>
                <w:color w:val="auto"/>
                <w:lang w:val="en-US" w:eastAsia="zh-CN"/>
              </w:rPr>
            </w:pPr>
            <w:r>
              <w:rPr>
                <w:rFonts w:hint="default"/>
                <w:color w:val="auto"/>
                <w:lang w:val="en-US" w:eastAsia="zh-CN"/>
              </w:rPr>
              <w:t>5）危险废物申报管理要求</w:t>
            </w:r>
          </w:p>
          <w:p w14:paraId="4C2CC00A">
            <w:pPr>
              <w:bidi w:val="0"/>
              <w:spacing w:line="360" w:lineRule="auto"/>
              <w:ind w:firstLine="420" w:firstLineChars="200"/>
              <w:rPr>
                <w:rFonts w:hint="default"/>
                <w:color w:val="auto"/>
                <w:lang w:val="en-US" w:eastAsia="zh-CN"/>
              </w:rPr>
            </w:pPr>
            <w:r>
              <w:rPr>
                <w:rFonts w:hint="default"/>
                <w:color w:val="auto"/>
                <w:lang w:val="en-US" w:eastAsia="zh-CN"/>
              </w:rPr>
              <w:t>企业应按规定申报危险废物产生、贮存、转移、利用处置等信息，制定危险废物年度管理计划，并在“江苏省危险废物动态管理信息系统”中备案。</w:t>
            </w:r>
          </w:p>
          <w:p w14:paraId="1BFB0292">
            <w:pPr>
              <w:bidi w:val="0"/>
              <w:spacing w:line="360" w:lineRule="auto"/>
              <w:ind w:firstLine="420" w:firstLineChars="200"/>
              <w:rPr>
                <w:rFonts w:hint="default" w:ascii="Times New Roman" w:hAnsi="Times New Roman" w:eastAsia="宋体" w:cs="Times New Roman"/>
                <w:color w:val="auto"/>
                <w:kern w:val="0"/>
                <w:szCs w:val="21"/>
                <w:highlight w:val="none"/>
                <w:lang w:val="en-US" w:eastAsia="zh-CN"/>
              </w:rPr>
            </w:pPr>
            <w:r>
              <w:rPr>
                <w:rFonts w:hint="default"/>
                <w:color w:val="auto"/>
                <w:lang w:val="en-US" w:eastAsia="zh-CN"/>
              </w:rPr>
              <w:t>企业应结合自身实际，建立危险废物台账，如实记载危险废物的种类、数量、性质、产生环节、流向、贮存、利用处置等信息，并在“江苏省危险废物动态管理信息系统”中进行如实规范申报，申报数据应与台账、管理计划数据相一致。</w:t>
            </w:r>
          </w:p>
          <w:p w14:paraId="7780E90A">
            <w:pPr>
              <w:pStyle w:val="7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right="0"/>
              <w:textAlignment w:val="auto"/>
              <w:rPr>
                <w:rFonts w:hint="eastAsia" w:ascii="Times New Roman" w:hAnsi="Times New Roman" w:eastAsia="宋体" w:cs="Times New Roman"/>
                <w:color w:val="auto"/>
                <w:lang w:val="en-US" w:eastAsia="zh-CN"/>
              </w:rPr>
            </w:pPr>
            <w:r>
              <w:rPr>
                <w:rFonts w:hint="eastAsia" w:eastAsia="宋体" w:cs="Times New Roman"/>
                <w:color w:val="auto"/>
                <w:lang w:val="en-US" w:eastAsia="zh-CN"/>
              </w:rPr>
              <w:t>现有危废仓库已</w:t>
            </w:r>
            <w:r>
              <w:rPr>
                <w:rFonts w:hint="eastAsia" w:ascii="Times New Roman" w:hAnsi="Times New Roman" w:eastAsia="宋体" w:cs="Times New Roman"/>
                <w:color w:val="auto"/>
                <w:lang w:val="en-US" w:eastAsia="zh-CN"/>
              </w:rPr>
              <w:t>按照《危险废物识别标志设置技术规范》（HJ 1276-2022）、《环境保护图形标志-固体废物贮存（处置）场》（GB 15562.2-1995）及其2023年修改单、《省生态环境厅关于做好&lt;危险废物贮存污染控制标准&gt;等标准规范实施后危险废物环境管理衔接工作的通知》（苏环办〔2023〕154号）中的要求做好标识标牌。</w:t>
            </w:r>
          </w:p>
          <w:p w14:paraId="20E984A5">
            <w:pPr>
              <w:jc w:val="center"/>
              <w:rPr>
                <w:rFonts w:hint="eastAsia" w:ascii="Times New Roman" w:hAnsi="Times New Roman" w:eastAsia="宋体" w:cs="Times New Roman"/>
                <w:b/>
                <w:bCs w:val="0"/>
                <w:color w:val="auto"/>
                <w:lang w:val="en-US" w:eastAsia="zh-CN"/>
              </w:rPr>
            </w:pPr>
            <w:r>
              <w:rPr>
                <w:rFonts w:hint="eastAsia" w:ascii="Times New Roman" w:hAnsi="Times New Roman" w:eastAsia="宋体" w:cs="Times New Roman"/>
                <w:b/>
                <w:bCs w:val="0"/>
                <w:color w:val="auto"/>
                <w:lang w:val="en-US" w:eastAsia="zh-CN"/>
              </w:rPr>
              <w:t>表4-</w:t>
            </w:r>
            <w:r>
              <w:rPr>
                <w:rFonts w:hint="eastAsia" w:cs="Times New Roman"/>
                <w:b/>
                <w:bCs w:val="0"/>
                <w:color w:val="auto"/>
                <w:lang w:val="en-US" w:eastAsia="zh-CN"/>
              </w:rPr>
              <w:t>21</w:t>
            </w:r>
            <w:r>
              <w:rPr>
                <w:rFonts w:hint="eastAsia" w:ascii="Times New Roman" w:hAnsi="Times New Roman" w:eastAsia="宋体" w:cs="Times New Roman"/>
                <w:b/>
                <w:bCs w:val="0"/>
                <w:color w:val="auto"/>
                <w:lang w:val="en-US" w:eastAsia="zh-CN"/>
              </w:rPr>
              <w:t xml:space="preserve">   危险废物产生及暂存间环境保护图形标志一览表</w:t>
            </w:r>
          </w:p>
          <w:tbl>
            <w:tblPr>
              <w:tblStyle w:val="2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849"/>
              <w:gridCol w:w="4525"/>
            </w:tblGrid>
            <w:tr w14:paraId="1BE45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1" w:type="dxa"/>
                  <w:noWrap/>
                  <w:vAlign w:val="center"/>
                </w:tcPr>
                <w:p w14:paraId="071D100F">
                  <w:pPr>
                    <w:pStyle w:val="68"/>
                    <w:rPr>
                      <w:b/>
                      <w:bCs/>
                      <w:color w:val="auto"/>
                      <w:sz w:val="18"/>
                      <w:szCs w:val="18"/>
                    </w:rPr>
                  </w:pPr>
                  <w:r>
                    <w:rPr>
                      <w:rFonts w:hint="eastAsia"/>
                      <w:b/>
                      <w:bCs/>
                      <w:color w:val="auto"/>
                      <w:sz w:val="18"/>
                      <w:szCs w:val="18"/>
                    </w:rPr>
                    <w:t>危废标识名称</w:t>
                  </w:r>
                </w:p>
              </w:tc>
              <w:tc>
                <w:tcPr>
                  <w:tcW w:w="2850" w:type="dxa"/>
                  <w:noWrap/>
                  <w:vAlign w:val="center"/>
                </w:tcPr>
                <w:p w14:paraId="37E47A60">
                  <w:pPr>
                    <w:pStyle w:val="68"/>
                    <w:rPr>
                      <w:b/>
                      <w:bCs/>
                      <w:color w:val="auto"/>
                      <w:sz w:val="18"/>
                      <w:szCs w:val="18"/>
                    </w:rPr>
                  </w:pPr>
                  <w:r>
                    <w:rPr>
                      <w:rFonts w:hint="eastAsia"/>
                      <w:b/>
                      <w:bCs/>
                      <w:color w:val="auto"/>
                      <w:sz w:val="18"/>
                      <w:szCs w:val="18"/>
                    </w:rPr>
                    <w:t>图形样式</w:t>
                  </w:r>
                </w:p>
              </w:tc>
              <w:tc>
                <w:tcPr>
                  <w:tcW w:w="4523" w:type="dxa"/>
                  <w:noWrap/>
                  <w:vAlign w:val="center"/>
                </w:tcPr>
                <w:p w14:paraId="37120F93">
                  <w:pPr>
                    <w:pStyle w:val="68"/>
                    <w:rPr>
                      <w:b/>
                      <w:bCs/>
                      <w:color w:val="auto"/>
                      <w:sz w:val="18"/>
                      <w:szCs w:val="18"/>
                    </w:rPr>
                  </w:pPr>
                  <w:r>
                    <w:rPr>
                      <w:rFonts w:hint="eastAsia"/>
                      <w:b/>
                      <w:bCs/>
                      <w:color w:val="auto"/>
                      <w:sz w:val="18"/>
                      <w:szCs w:val="18"/>
                    </w:rPr>
                    <w:t>设置规范</w:t>
                  </w:r>
                </w:p>
              </w:tc>
            </w:tr>
            <w:tr w14:paraId="2B16FA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1" w:type="dxa"/>
                  <w:noWrap/>
                  <w:vAlign w:val="center"/>
                </w:tcPr>
                <w:p w14:paraId="08D1EB09">
                  <w:pPr>
                    <w:pStyle w:val="68"/>
                    <w:rPr>
                      <w:color w:val="auto"/>
                      <w:sz w:val="18"/>
                      <w:szCs w:val="18"/>
                    </w:rPr>
                  </w:pPr>
                  <w:r>
                    <w:rPr>
                      <w:rFonts w:hint="eastAsia"/>
                      <w:color w:val="auto"/>
                      <w:sz w:val="18"/>
                      <w:szCs w:val="18"/>
                    </w:rPr>
                    <w:t>产生源</w:t>
                  </w:r>
                </w:p>
              </w:tc>
              <w:tc>
                <w:tcPr>
                  <w:tcW w:w="2850" w:type="dxa"/>
                  <w:noWrap/>
                  <w:vAlign w:val="center"/>
                </w:tcPr>
                <w:p w14:paraId="735CE163">
                  <w:pPr>
                    <w:pStyle w:val="68"/>
                    <w:rPr>
                      <w:color w:val="auto"/>
                      <w:sz w:val="18"/>
                      <w:szCs w:val="18"/>
                    </w:rPr>
                  </w:pPr>
                  <w:r>
                    <w:rPr>
                      <w:color w:val="auto"/>
                      <w:sz w:val="18"/>
                      <w:szCs w:val="18"/>
                    </w:rPr>
                    <w:drawing>
                      <wp:inline distT="0" distB="0" distL="114300" distR="114300">
                        <wp:extent cx="1671955" cy="1028700"/>
                        <wp:effectExtent l="0" t="0" r="4445"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8"/>
                                <a:stretch>
                                  <a:fillRect/>
                                </a:stretch>
                              </pic:blipFill>
                              <pic:spPr>
                                <a:xfrm>
                                  <a:off x="0" y="0"/>
                                  <a:ext cx="1671955" cy="1028700"/>
                                </a:xfrm>
                                <a:prstGeom prst="rect">
                                  <a:avLst/>
                                </a:prstGeom>
                                <a:noFill/>
                                <a:ln>
                                  <a:noFill/>
                                </a:ln>
                              </pic:spPr>
                            </pic:pic>
                          </a:graphicData>
                        </a:graphic>
                      </wp:inline>
                    </w:drawing>
                  </w:r>
                </w:p>
              </w:tc>
              <w:tc>
                <w:tcPr>
                  <w:tcW w:w="4523" w:type="dxa"/>
                  <w:noWrap/>
                  <w:vAlign w:val="center"/>
                </w:tcPr>
                <w:p w14:paraId="6F382955">
                  <w:pPr>
                    <w:pStyle w:val="68"/>
                    <w:jc w:val="both"/>
                    <w:rPr>
                      <w:color w:val="auto"/>
                      <w:sz w:val="18"/>
                      <w:szCs w:val="18"/>
                    </w:rPr>
                  </w:pPr>
                  <w:r>
                    <w:rPr>
                      <w:rFonts w:hint="eastAsia"/>
                      <w:color w:val="auto"/>
                      <w:sz w:val="18"/>
                      <w:szCs w:val="18"/>
                    </w:rPr>
                    <w:t>危险废物产生单位在危险废物全生命周期监控系统中录入设施信息后，系统自动生成标识，并可使用普通打印机打印后，粘贴或固定于设施相应位置。</w:t>
                  </w:r>
                </w:p>
              </w:tc>
            </w:tr>
            <w:tr w14:paraId="115C10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1" w:type="dxa"/>
                  <w:noWrap/>
                  <w:vAlign w:val="center"/>
                </w:tcPr>
                <w:p w14:paraId="2D9D6E67">
                  <w:pPr>
                    <w:pStyle w:val="68"/>
                    <w:rPr>
                      <w:color w:val="auto"/>
                      <w:sz w:val="18"/>
                      <w:szCs w:val="18"/>
                    </w:rPr>
                  </w:pPr>
                  <w:r>
                    <w:rPr>
                      <w:rFonts w:hint="eastAsia"/>
                      <w:color w:val="auto"/>
                      <w:sz w:val="18"/>
                      <w:szCs w:val="18"/>
                    </w:rPr>
                    <w:t>危废信息公开栏</w:t>
                  </w:r>
                </w:p>
              </w:tc>
              <w:tc>
                <w:tcPr>
                  <w:tcW w:w="2850" w:type="dxa"/>
                  <w:noWrap/>
                  <w:vAlign w:val="center"/>
                </w:tcPr>
                <w:p w14:paraId="77BFA28A">
                  <w:pPr>
                    <w:pStyle w:val="68"/>
                    <w:rPr>
                      <w:color w:val="auto"/>
                      <w:sz w:val="18"/>
                      <w:szCs w:val="18"/>
                    </w:rPr>
                  </w:pPr>
                  <w:r>
                    <w:rPr>
                      <w:color w:val="auto"/>
                      <w:sz w:val="18"/>
                      <w:szCs w:val="18"/>
                    </w:rPr>
                    <w:drawing>
                      <wp:inline distT="0" distB="0" distL="114300" distR="114300">
                        <wp:extent cx="1617980" cy="1078865"/>
                        <wp:effectExtent l="0" t="0" r="1270" b="698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9"/>
                                <a:stretch>
                                  <a:fillRect/>
                                </a:stretch>
                              </pic:blipFill>
                              <pic:spPr>
                                <a:xfrm>
                                  <a:off x="0" y="0"/>
                                  <a:ext cx="1617980" cy="1078865"/>
                                </a:xfrm>
                                <a:prstGeom prst="rect">
                                  <a:avLst/>
                                </a:prstGeom>
                                <a:noFill/>
                                <a:ln>
                                  <a:noFill/>
                                </a:ln>
                              </pic:spPr>
                            </pic:pic>
                          </a:graphicData>
                        </a:graphic>
                      </wp:inline>
                    </w:drawing>
                  </w:r>
                </w:p>
              </w:tc>
              <w:tc>
                <w:tcPr>
                  <w:tcW w:w="4523" w:type="dxa"/>
                  <w:noWrap/>
                  <w:vAlign w:val="center"/>
                </w:tcPr>
                <w:p w14:paraId="3EC3102A">
                  <w:pPr>
                    <w:pStyle w:val="68"/>
                    <w:jc w:val="both"/>
                    <w:rPr>
                      <w:rFonts w:ascii="Times New Roman Regular" w:hAnsi="Times New Roman Regular" w:cs="Times New Roman Regular"/>
                      <w:color w:val="auto"/>
                      <w:sz w:val="18"/>
                      <w:szCs w:val="18"/>
                    </w:rPr>
                  </w:pPr>
                  <w:r>
                    <w:rPr>
                      <w:rFonts w:ascii="Times New Roman Regular" w:hAnsi="Times New Roman Regular" w:cs="Times New Roman Regular"/>
                      <w:color w:val="auto"/>
                      <w:sz w:val="18"/>
                      <w:szCs w:val="18"/>
                    </w:rPr>
                    <w:t>1.设置位置：采用立式固定方式固定在危险废物产生单位厂区门口醒目位置，公开栏顶端距离地面200cm处。</w:t>
                  </w:r>
                </w:p>
                <w:p w14:paraId="04030E16">
                  <w:pPr>
                    <w:pStyle w:val="68"/>
                    <w:jc w:val="both"/>
                    <w:rPr>
                      <w:rFonts w:ascii="Times New Roman Regular" w:hAnsi="Times New Roman Regular" w:cs="Times New Roman Regular"/>
                      <w:color w:val="auto"/>
                      <w:sz w:val="18"/>
                      <w:szCs w:val="18"/>
                    </w:rPr>
                  </w:pPr>
                  <w:r>
                    <w:rPr>
                      <w:rFonts w:ascii="Times New Roman Regular" w:hAnsi="Times New Roman Regular" w:cs="Times New Roman Regular"/>
                      <w:color w:val="auto"/>
                      <w:sz w:val="18"/>
                      <w:szCs w:val="18"/>
                    </w:rPr>
                    <w:t>2.规格参数：（1）尺寸：底板120cm×80cm。（2）颜色与字体：公开栏底板背景颜色为蓝色，文字颜色为白色，所有文字字体为黑体。（3）材料：底板采用5mm铝板。</w:t>
                  </w:r>
                </w:p>
                <w:p w14:paraId="5FA15C17">
                  <w:pPr>
                    <w:pStyle w:val="68"/>
                    <w:jc w:val="both"/>
                    <w:rPr>
                      <w:color w:val="auto"/>
                      <w:sz w:val="18"/>
                      <w:szCs w:val="18"/>
                    </w:rPr>
                  </w:pPr>
                  <w:r>
                    <w:rPr>
                      <w:rFonts w:ascii="Times New Roman Regular" w:hAnsi="Times New Roman Regular" w:cs="Times New Roman Regular"/>
                      <w:color w:val="auto"/>
                      <w:sz w:val="18"/>
                      <w:szCs w:val="18"/>
                    </w:rPr>
                    <w:t>3.公开内容：包括企业名称、地址、法人代表及电话、环保负责人及电话、危险废物产生规模、贮存设施建筑面积和容积、贮存设施数量、危险废物名称、危险废物代码、环评批文、产生来源、环境污染防治措施、厂区平面示意图、监督举报途径、监制单位等信息。</w:t>
                  </w:r>
                </w:p>
              </w:tc>
            </w:tr>
            <w:tr w14:paraId="4DA4D8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1" w:type="dxa"/>
                  <w:noWrap/>
                  <w:vAlign w:val="center"/>
                </w:tcPr>
                <w:p w14:paraId="7E79EC15">
                  <w:pPr>
                    <w:pStyle w:val="68"/>
                    <w:rPr>
                      <w:color w:val="auto"/>
                      <w:sz w:val="18"/>
                      <w:szCs w:val="18"/>
                    </w:rPr>
                  </w:pPr>
                  <w:r>
                    <w:rPr>
                      <w:rFonts w:hint="eastAsia"/>
                      <w:color w:val="auto"/>
                      <w:sz w:val="18"/>
                      <w:szCs w:val="18"/>
                    </w:rPr>
                    <w:t>贮存设施警示标志牌</w:t>
                  </w:r>
                </w:p>
              </w:tc>
              <w:tc>
                <w:tcPr>
                  <w:tcW w:w="2850" w:type="dxa"/>
                  <w:noWrap/>
                  <w:vAlign w:val="center"/>
                </w:tcPr>
                <w:p w14:paraId="39C99CB6">
                  <w:pPr>
                    <w:pStyle w:val="68"/>
                    <w:rPr>
                      <w:color w:val="auto"/>
                      <w:sz w:val="18"/>
                      <w:szCs w:val="18"/>
                    </w:rPr>
                  </w:pPr>
                  <w:r>
                    <w:rPr>
                      <w:color w:val="auto"/>
                      <w:sz w:val="18"/>
                      <w:szCs w:val="18"/>
                    </w:rPr>
                    <w:drawing>
                      <wp:inline distT="0" distB="0" distL="114300" distR="114300">
                        <wp:extent cx="1683385" cy="1082040"/>
                        <wp:effectExtent l="0" t="0" r="12065" b="381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0"/>
                                <a:stretch>
                                  <a:fillRect/>
                                </a:stretch>
                              </pic:blipFill>
                              <pic:spPr>
                                <a:xfrm>
                                  <a:off x="0" y="0"/>
                                  <a:ext cx="1683385" cy="1082040"/>
                                </a:xfrm>
                                <a:prstGeom prst="rect">
                                  <a:avLst/>
                                </a:prstGeom>
                                <a:noFill/>
                                <a:ln>
                                  <a:noFill/>
                                </a:ln>
                              </pic:spPr>
                            </pic:pic>
                          </a:graphicData>
                        </a:graphic>
                      </wp:inline>
                    </w:drawing>
                  </w:r>
                </w:p>
              </w:tc>
              <w:tc>
                <w:tcPr>
                  <w:tcW w:w="4523" w:type="dxa"/>
                  <w:noWrap/>
                  <w:vAlign w:val="top"/>
                </w:tcPr>
                <w:p w14:paraId="1166263F">
                  <w:pPr>
                    <w:pStyle w:val="68"/>
                    <w:jc w:val="left"/>
                    <w:rPr>
                      <w:rFonts w:ascii="Times New Roman Regular" w:hAnsi="Times New Roman Regular" w:cs="Times New Roman Regular"/>
                      <w:color w:val="auto"/>
                      <w:sz w:val="18"/>
                      <w:szCs w:val="18"/>
                    </w:rPr>
                  </w:pPr>
                  <w:r>
                    <w:rPr>
                      <w:rFonts w:ascii="Times New Roman Regular" w:hAnsi="Times New Roman Regular" w:cs="Times New Roman Regular"/>
                      <w:color w:val="auto"/>
                      <w:sz w:val="18"/>
                      <w:szCs w:val="18"/>
                    </w:rPr>
                    <w:t>1.设置位置：对于有独立场所的危险废物贮存、利用、处置设施，应在场所外入口处的墙壁或栏杆显著位置设置相应的设施标志；位于建筑物内局部区域的危险废物贮存、利用、处置设施，应在其区域边界或入口处显著位置设置相应的标志；附着式标志的设置高度，应尽量与视线高度一致；柱式的标志和支架应牢固地连接在一起，标志牌最上端距地面约2m；位于室外的标志牌中，支架固定在地下的，其支架埋深约0.3m。</w:t>
                  </w:r>
                </w:p>
                <w:p w14:paraId="76A7A76D">
                  <w:pPr>
                    <w:pStyle w:val="68"/>
                    <w:jc w:val="left"/>
                    <w:rPr>
                      <w:rFonts w:ascii="Times New Roman Regular" w:hAnsi="Times New Roman Regular" w:cs="Times New Roman Regular"/>
                      <w:color w:val="auto"/>
                      <w:sz w:val="18"/>
                      <w:szCs w:val="18"/>
                    </w:rPr>
                  </w:pPr>
                  <w:r>
                    <w:rPr>
                      <w:rFonts w:ascii="Times New Roman Regular" w:hAnsi="Times New Roman Regular" w:cs="Times New Roman Regular"/>
                      <w:color w:val="auto"/>
                      <w:sz w:val="18"/>
                      <w:szCs w:val="18"/>
                    </w:rPr>
                    <w:t>2.规格参数：（1）尺寸：其设置位置和对应的观察距离要求设置，具体见HJ1276-2022中表3要求。（2）颜色与字体：危险废物设施标志背景颜色为黄色，RGB颜色值为（255,255,0）。字体和边框颜色为黑色，RGB颜色值为（0,0,0）。危险废物设施标志字体应采用黑体字，其中危险废物设施类型的字样应加粗放大并居中显示。（3）材料：宜采用坚固耐用的材料（如1.5mm～2mm冷轧钢板），并做搪瓷处理或贴膜处理。一般不宜使用遇水变形、变质或易燃的材料。柱式标志牌的立柱可采用38×4无缝钢管或其他坚固耐用的材料，并经过防腐处理。危险废物贮存、利用、处置设施标志的图形和文字应清晰、完整，保证在足够的观察距离条件下也不影响阅读。三角形警告性图形与其他信息间宜加黑色分界线区分，分界线的宽度宜不小于3mm。</w:t>
                  </w:r>
                </w:p>
                <w:p w14:paraId="1BD4E53E">
                  <w:pPr>
                    <w:pStyle w:val="68"/>
                    <w:jc w:val="left"/>
                    <w:rPr>
                      <w:color w:val="auto"/>
                      <w:sz w:val="18"/>
                      <w:szCs w:val="18"/>
                    </w:rPr>
                  </w:pPr>
                  <w:r>
                    <w:rPr>
                      <w:rFonts w:ascii="Times New Roman Regular" w:hAnsi="Times New Roman Regular" w:cs="Times New Roman Regular"/>
                      <w:color w:val="auto"/>
                      <w:sz w:val="18"/>
                      <w:szCs w:val="18"/>
                    </w:rPr>
                    <w:t>3.公开内容：包括标志牌名称、贮存设施编号、企业名称、责任人及电话、二维码（设施二维码信息服务系统中应包含但不限于该设施场所的单位名称、设施类型、设施编码、负责人及联系方式，以及该设施场所贮存、利用、处置的危险废物名称和种类等信息）。</w:t>
                  </w:r>
                </w:p>
              </w:tc>
            </w:tr>
            <w:tr w14:paraId="16648E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1" w:type="dxa"/>
                  <w:noWrap/>
                  <w:vAlign w:val="center"/>
                </w:tcPr>
                <w:p w14:paraId="402BFDBC">
                  <w:pPr>
                    <w:pStyle w:val="68"/>
                    <w:rPr>
                      <w:rFonts w:ascii="Times New Roman" w:hAnsi="Times New Roman"/>
                      <w:color w:val="auto"/>
                      <w:sz w:val="18"/>
                      <w:szCs w:val="18"/>
                    </w:rPr>
                  </w:pPr>
                  <w:r>
                    <w:rPr>
                      <w:rFonts w:hint="eastAsia" w:ascii="Times New Roman" w:hAnsi="Times New Roman"/>
                      <w:color w:val="auto"/>
                      <w:sz w:val="18"/>
                      <w:szCs w:val="18"/>
                    </w:rPr>
                    <w:t>贮存分区标志</w:t>
                  </w:r>
                </w:p>
              </w:tc>
              <w:tc>
                <w:tcPr>
                  <w:tcW w:w="2850" w:type="dxa"/>
                  <w:noWrap/>
                  <w:vAlign w:val="center"/>
                </w:tcPr>
                <w:p w14:paraId="30470846">
                  <w:pPr>
                    <w:pStyle w:val="68"/>
                    <w:rPr>
                      <w:color w:val="auto"/>
                      <w:sz w:val="18"/>
                      <w:szCs w:val="18"/>
                    </w:rPr>
                  </w:pPr>
                  <w:r>
                    <w:rPr>
                      <w:color w:val="auto"/>
                      <w:sz w:val="18"/>
                      <w:szCs w:val="18"/>
                    </w:rPr>
                    <w:drawing>
                      <wp:inline distT="0" distB="0" distL="114300" distR="114300">
                        <wp:extent cx="1669415" cy="1390015"/>
                        <wp:effectExtent l="0" t="0" r="6985" b="63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1"/>
                                <a:stretch>
                                  <a:fillRect/>
                                </a:stretch>
                              </pic:blipFill>
                              <pic:spPr>
                                <a:xfrm>
                                  <a:off x="0" y="0"/>
                                  <a:ext cx="1669415" cy="1390015"/>
                                </a:xfrm>
                                <a:prstGeom prst="rect">
                                  <a:avLst/>
                                </a:prstGeom>
                                <a:noFill/>
                                <a:ln>
                                  <a:noFill/>
                                </a:ln>
                              </pic:spPr>
                            </pic:pic>
                          </a:graphicData>
                        </a:graphic>
                      </wp:inline>
                    </w:drawing>
                  </w:r>
                </w:p>
              </w:tc>
              <w:tc>
                <w:tcPr>
                  <w:tcW w:w="4523" w:type="dxa"/>
                  <w:noWrap/>
                  <w:vAlign w:val="top"/>
                </w:tcPr>
                <w:p w14:paraId="55B0015D">
                  <w:pPr>
                    <w:pStyle w:val="68"/>
                    <w:jc w:val="left"/>
                    <w:rPr>
                      <w:rFonts w:ascii="Times New Roman Regular" w:hAnsi="Times New Roman Regular" w:cs="Times New Roman Regular"/>
                      <w:color w:val="auto"/>
                      <w:sz w:val="18"/>
                      <w:szCs w:val="18"/>
                    </w:rPr>
                  </w:pPr>
                  <w:r>
                    <w:rPr>
                      <w:rFonts w:ascii="Times New Roman Regular" w:hAnsi="Times New Roman Regular" w:cs="Times New Roman Regular"/>
                      <w:color w:val="auto"/>
                      <w:sz w:val="18"/>
                      <w:szCs w:val="18"/>
                    </w:rPr>
                    <w:t>1.位置：对于有独立场所的危险废物贮存、利用、处置设施，应在场所外入口处的墙壁或栏杆显著位置设置相应的设施标志；位于建筑物内局部区域的危险废物贮存、利用、处置设施，应在其区域边界或入口处显著位置设置相应的标志；</w:t>
                  </w:r>
                </w:p>
                <w:p w14:paraId="09485428">
                  <w:pPr>
                    <w:pStyle w:val="68"/>
                    <w:jc w:val="left"/>
                    <w:rPr>
                      <w:color w:val="auto"/>
                      <w:sz w:val="18"/>
                      <w:szCs w:val="18"/>
                    </w:rPr>
                  </w:pPr>
                  <w:r>
                    <w:rPr>
                      <w:rFonts w:ascii="Times New Roman Regular" w:hAnsi="Times New Roman Regular" w:cs="Times New Roman Regular"/>
                      <w:color w:val="auto"/>
                      <w:sz w:val="18"/>
                      <w:szCs w:val="18"/>
                    </w:rPr>
                    <w:t>2.规格参数：（1）尺寸：其设置位置和对应的观察距离要求设置，具体见HJ1276-2022中表2要求。（2）颜色与字体：危险废物分区标志背景色应采用黄色，RGB颜色值为（255,255,0）。废物种类信息应采用醒目的橘黄色，RGB颜色值为（255,150,0）。字体颜色为黑色，RGB颜色值为（0,0,0）。危险废物分区标志的字体宜采用黑体字，其中“危险废物贮存分区标志”字样应加粗放大并居中显示。（3）材料：危险废物贮存分区标志的衬底宜采用坚固耐用的材料，并具有耐用性和防水性。废物贮存种类信息等可采用印刷纸张、不粘胶材质或塑料卡片等，以便固定在衬底上。危险废物贮存分区标志的图形和文字应清晰、完整，保证在足够的观察距离条件下不影响阅读。“危险废物贮存分区标志”字样与其他信息宜加黑色分界线区分，分界线的宽度不小于2mm。</w:t>
                  </w:r>
                </w:p>
              </w:tc>
            </w:tr>
            <w:tr w14:paraId="3236D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1" w:type="dxa"/>
                  <w:noWrap/>
                  <w:vAlign w:val="center"/>
                </w:tcPr>
                <w:p w14:paraId="7C35D65F">
                  <w:pPr>
                    <w:pStyle w:val="68"/>
                    <w:rPr>
                      <w:rFonts w:ascii="Times New Roman" w:hAnsi="Times New Roman"/>
                      <w:color w:val="auto"/>
                      <w:sz w:val="18"/>
                      <w:szCs w:val="18"/>
                    </w:rPr>
                  </w:pPr>
                  <w:r>
                    <w:rPr>
                      <w:rFonts w:hint="eastAsia" w:ascii="Times New Roman" w:hAnsi="Times New Roman"/>
                      <w:color w:val="auto"/>
                      <w:sz w:val="18"/>
                      <w:szCs w:val="18"/>
                    </w:rPr>
                    <w:t>贮存设施内部分区警示标志牌</w:t>
                  </w:r>
                </w:p>
              </w:tc>
              <w:tc>
                <w:tcPr>
                  <w:tcW w:w="2850" w:type="dxa"/>
                  <w:noWrap/>
                  <w:vAlign w:val="center"/>
                </w:tcPr>
                <w:p w14:paraId="1932106A">
                  <w:pPr>
                    <w:pStyle w:val="68"/>
                    <w:rPr>
                      <w:color w:val="auto"/>
                      <w:sz w:val="18"/>
                      <w:szCs w:val="18"/>
                    </w:rPr>
                  </w:pPr>
                  <w:r>
                    <w:rPr>
                      <w:color w:val="auto"/>
                      <w:sz w:val="18"/>
                      <w:szCs w:val="18"/>
                    </w:rPr>
                    <w:drawing>
                      <wp:inline distT="0" distB="0" distL="114300" distR="114300">
                        <wp:extent cx="1703070" cy="1042035"/>
                        <wp:effectExtent l="0" t="0" r="11430" b="571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2"/>
                                <a:stretch>
                                  <a:fillRect/>
                                </a:stretch>
                              </pic:blipFill>
                              <pic:spPr>
                                <a:xfrm>
                                  <a:off x="0" y="0"/>
                                  <a:ext cx="1703070" cy="1042035"/>
                                </a:xfrm>
                                <a:prstGeom prst="rect">
                                  <a:avLst/>
                                </a:prstGeom>
                                <a:noFill/>
                                <a:ln>
                                  <a:noFill/>
                                </a:ln>
                              </pic:spPr>
                            </pic:pic>
                          </a:graphicData>
                        </a:graphic>
                      </wp:inline>
                    </w:drawing>
                  </w:r>
                </w:p>
              </w:tc>
              <w:tc>
                <w:tcPr>
                  <w:tcW w:w="4523" w:type="dxa"/>
                  <w:noWrap/>
                  <w:vAlign w:val="top"/>
                </w:tcPr>
                <w:p w14:paraId="66CD6208">
                  <w:pPr>
                    <w:pStyle w:val="68"/>
                    <w:jc w:val="left"/>
                    <w:rPr>
                      <w:rFonts w:ascii="Times New Roman Regular" w:hAnsi="Times New Roman Regular" w:cs="Times New Roman Regular"/>
                      <w:color w:val="auto"/>
                      <w:sz w:val="18"/>
                      <w:szCs w:val="18"/>
                    </w:rPr>
                  </w:pPr>
                  <w:r>
                    <w:rPr>
                      <w:rFonts w:ascii="Times New Roman Regular" w:hAnsi="Times New Roman Regular" w:cs="Times New Roman Regular"/>
                      <w:color w:val="auto"/>
                      <w:sz w:val="18"/>
                      <w:szCs w:val="18"/>
                    </w:rPr>
                    <w:t>1.设置位置：贮存设施内部分区，固定于每一种危险废物存放区域的墙面、栅栏内部等位置。无法或不便于平面固定、确需采用立式的，可选择立式可移动支架，不得破坏防渗区域。顶端距离地面200cm处。</w:t>
                  </w:r>
                </w:p>
                <w:p w14:paraId="77814842">
                  <w:pPr>
                    <w:pStyle w:val="68"/>
                    <w:jc w:val="left"/>
                    <w:rPr>
                      <w:rFonts w:ascii="Times New Roman Regular" w:hAnsi="Times New Roman Regular" w:cs="Times New Roman Regular"/>
                      <w:color w:val="auto"/>
                      <w:sz w:val="18"/>
                      <w:szCs w:val="18"/>
                    </w:rPr>
                  </w:pPr>
                  <w:r>
                    <w:rPr>
                      <w:rFonts w:ascii="Times New Roman Regular" w:hAnsi="Times New Roman Regular" w:cs="Times New Roman Regular"/>
                      <w:color w:val="auto"/>
                      <w:sz w:val="18"/>
                      <w:szCs w:val="18"/>
                    </w:rPr>
                    <w:t>2.规格参数：（1）尺寸：75cm×45cm。三角形警示标志边长42cm，外檐2.5cm。（2）颜色与字体：固定于墙面或栅栏内部的，与平面固定式贮存设施警示标志牌一致。采用立式可移动支架的，警示标志牌主板字体及颜色与平面固定式贮存设施警示标志牌一致，支架颜色为黄色。（3）材料：采用5mm铝板，不锈钢边框2cm压边。</w:t>
                  </w:r>
                </w:p>
                <w:p w14:paraId="16ED87B7">
                  <w:pPr>
                    <w:pStyle w:val="68"/>
                    <w:jc w:val="left"/>
                    <w:rPr>
                      <w:rFonts w:ascii="Times New Roman Regular" w:hAnsi="Times New Roman Regular" w:cs="Times New Roman Regular"/>
                      <w:color w:val="auto"/>
                      <w:sz w:val="18"/>
                      <w:szCs w:val="18"/>
                    </w:rPr>
                  </w:pPr>
                  <w:r>
                    <w:rPr>
                      <w:rFonts w:ascii="Times New Roman Regular" w:hAnsi="Times New Roman Regular" w:cs="Times New Roman Regular"/>
                      <w:color w:val="auto"/>
                      <w:sz w:val="18"/>
                      <w:szCs w:val="18"/>
                    </w:rPr>
                    <w:t>3.公开内容包括废物名称、废物代码、主要成分、危险特性、环境污染防治措施、环境应急物资和设备、监制单位等信息。</w:t>
                  </w:r>
                </w:p>
              </w:tc>
            </w:tr>
            <w:tr w14:paraId="6CCCC2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1" w:type="dxa"/>
                  <w:noWrap/>
                  <w:vAlign w:val="center"/>
                </w:tcPr>
                <w:p w14:paraId="27F26FAA">
                  <w:pPr>
                    <w:pStyle w:val="68"/>
                    <w:rPr>
                      <w:rFonts w:ascii="Times New Roman" w:hAnsi="Times New Roman"/>
                      <w:color w:val="auto"/>
                      <w:sz w:val="18"/>
                      <w:szCs w:val="18"/>
                    </w:rPr>
                  </w:pPr>
                  <w:r>
                    <w:rPr>
                      <w:rFonts w:hint="eastAsia" w:ascii="Times New Roman" w:hAnsi="Times New Roman"/>
                      <w:color w:val="auto"/>
                      <w:sz w:val="18"/>
                      <w:szCs w:val="18"/>
                    </w:rPr>
                    <w:t>危险废物标签</w:t>
                  </w:r>
                </w:p>
              </w:tc>
              <w:tc>
                <w:tcPr>
                  <w:tcW w:w="2850" w:type="dxa"/>
                  <w:noWrap/>
                  <w:vAlign w:val="center"/>
                </w:tcPr>
                <w:p w14:paraId="58CD36D8">
                  <w:pPr>
                    <w:pStyle w:val="68"/>
                    <w:rPr>
                      <w:color w:val="auto"/>
                      <w:sz w:val="18"/>
                      <w:szCs w:val="18"/>
                    </w:rPr>
                  </w:pPr>
                  <w:r>
                    <w:rPr>
                      <w:color w:val="auto"/>
                      <w:sz w:val="18"/>
                      <w:szCs w:val="18"/>
                    </w:rPr>
                    <w:drawing>
                      <wp:inline distT="0" distB="0" distL="114300" distR="114300">
                        <wp:extent cx="1457325" cy="1477010"/>
                        <wp:effectExtent l="0" t="0" r="9525" b="889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3"/>
                                <a:stretch>
                                  <a:fillRect/>
                                </a:stretch>
                              </pic:blipFill>
                              <pic:spPr>
                                <a:xfrm>
                                  <a:off x="0" y="0"/>
                                  <a:ext cx="1457325" cy="1477010"/>
                                </a:xfrm>
                                <a:prstGeom prst="rect">
                                  <a:avLst/>
                                </a:prstGeom>
                                <a:noFill/>
                                <a:ln>
                                  <a:noFill/>
                                </a:ln>
                              </pic:spPr>
                            </pic:pic>
                          </a:graphicData>
                        </a:graphic>
                      </wp:inline>
                    </w:drawing>
                  </w:r>
                </w:p>
              </w:tc>
              <w:tc>
                <w:tcPr>
                  <w:tcW w:w="4523" w:type="dxa"/>
                  <w:noWrap/>
                  <w:vAlign w:val="top"/>
                </w:tcPr>
                <w:p w14:paraId="558BA36D">
                  <w:pPr>
                    <w:pStyle w:val="68"/>
                    <w:jc w:val="left"/>
                    <w:rPr>
                      <w:rFonts w:ascii="Times New Roman Regular" w:hAnsi="Times New Roman Regular" w:cs="Times New Roman Regular"/>
                      <w:color w:val="auto"/>
                      <w:sz w:val="18"/>
                      <w:szCs w:val="18"/>
                    </w:rPr>
                  </w:pPr>
                  <w:r>
                    <w:rPr>
                      <w:rFonts w:ascii="Times New Roman Regular" w:hAnsi="Times New Roman Regular" w:cs="Times New Roman Regular"/>
                      <w:color w:val="auto"/>
                      <w:sz w:val="18"/>
                      <w:szCs w:val="18"/>
                    </w:rPr>
                    <w:t>1.设置位置：识别标签包括粘贴式和系挂式。粘贴式危险废物标签粘贴于适合粘贴的危险废物储存容器、包装物上，系挂式危险废物标签适合系挂于不易粘贴牢固或不方便粘贴但相对方便系挂的危险废物储存容器、包装物上。</w:t>
                  </w:r>
                </w:p>
                <w:p w14:paraId="1DBB98CD">
                  <w:pPr>
                    <w:pStyle w:val="68"/>
                    <w:jc w:val="left"/>
                    <w:rPr>
                      <w:rFonts w:ascii="Times New Roman Regular" w:hAnsi="Times New Roman Regular" w:cs="Times New Roman Regular"/>
                      <w:color w:val="auto"/>
                      <w:sz w:val="18"/>
                      <w:szCs w:val="18"/>
                    </w:rPr>
                  </w:pPr>
                  <w:r>
                    <w:rPr>
                      <w:rFonts w:ascii="Times New Roman Regular" w:hAnsi="Times New Roman Regular" w:cs="Times New Roman Regular"/>
                      <w:color w:val="auto"/>
                      <w:sz w:val="18"/>
                      <w:szCs w:val="18"/>
                    </w:rPr>
                    <w:t>2.规格参数：（1）尺寸危险废物标签的尺寸宜根据容器或包装物的容积设置，具体见HJ1276-2022中表1要求。（2）颜色与字体：危险废物标签背景色应采用醒目的橘黄色，RGB颜色值为（255,150,0）。标签边框和字体颜色为黑色，RGB颜色值为（0,0,0）.危险废物标签字体宜采用黑体字，其中“危险废物”字样应加粗放大。（3）材料：危险废物标签所选用的材质宜具有一定的耐用性和防水性。标签可采用不干胶印刷品，或印刷品外加防水塑料袋或塑封等。危险废物标签印刷的油墨应均匀，图案和文字应清晰、完整。危险废物标签的文字边缘宜加黑色边框，边框宽度不小于1mm，边框外宜留不小于3mm的空白。</w:t>
                  </w:r>
                </w:p>
                <w:p w14:paraId="7B275A5E">
                  <w:pPr>
                    <w:pStyle w:val="68"/>
                    <w:jc w:val="left"/>
                    <w:rPr>
                      <w:rFonts w:ascii="Times New Roman Regular" w:hAnsi="Times New Roman Regular" w:cs="Times New Roman Regular"/>
                      <w:color w:val="auto"/>
                      <w:sz w:val="18"/>
                      <w:szCs w:val="18"/>
                    </w:rPr>
                  </w:pPr>
                  <w:r>
                    <w:rPr>
                      <w:rFonts w:ascii="Times New Roman Regular" w:hAnsi="Times New Roman Regular" w:cs="Times New Roman Regular"/>
                      <w:color w:val="auto"/>
                      <w:sz w:val="18"/>
                      <w:szCs w:val="18"/>
                    </w:rPr>
                    <w:t>3.内容填报：（1）主要成分：指危险废物中主要有害物质名称。（2）化学名称：指危险废物名称及八位码，应与企业环评文件、管理计划、月度申报等的危险废物名称保持一致。（3）危险情况：指《危险废物贮存污染控制标准》（GB185972001）附录A所列危险废物类别，包括爆炸性、有毒、易燃、有害、助燃、腐蚀性、刺激性、石棉。（4）安全措施：根据危险情况，填写安全防护措施，避免事故发生。（5）危险类别：根据危险情况，在对应标志右下角文字前打“√”。</w:t>
                  </w:r>
                </w:p>
              </w:tc>
            </w:tr>
          </w:tbl>
          <w:p w14:paraId="1B418EA6">
            <w:pPr>
              <w:jc w:val="center"/>
              <w:rPr>
                <w:rFonts w:hint="eastAsia" w:ascii="Times New Roman" w:hAnsi="Times New Roman" w:eastAsia="宋体" w:cs="Times New Roman"/>
                <w:b/>
                <w:bCs w:val="0"/>
                <w:color w:val="auto"/>
                <w:lang w:val="en-US" w:eastAsia="zh-CN"/>
              </w:rPr>
            </w:pPr>
            <w:r>
              <w:rPr>
                <w:rFonts w:hint="default" w:ascii="Times New Roman" w:hAnsi="Times New Roman" w:eastAsia="宋体" w:cs="Times New Roman"/>
                <w:b/>
                <w:bCs w:val="0"/>
                <w:color w:val="auto"/>
                <w:lang w:val="en-US" w:eastAsia="zh-CN"/>
              </w:rPr>
              <w:t>表4-</w:t>
            </w:r>
            <w:r>
              <w:rPr>
                <w:rFonts w:hint="eastAsia" w:cs="Times New Roman"/>
                <w:b/>
                <w:bCs w:val="0"/>
                <w:color w:val="auto"/>
                <w:lang w:val="en-US" w:eastAsia="zh-CN"/>
              </w:rPr>
              <w:t>22</w:t>
            </w:r>
            <w:r>
              <w:rPr>
                <w:rFonts w:hint="eastAsia" w:ascii="Times New Roman" w:hAnsi="Times New Roman" w:eastAsia="宋体" w:cs="Times New Roman"/>
                <w:b/>
                <w:bCs w:val="0"/>
                <w:color w:val="auto"/>
                <w:lang w:val="en-US" w:eastAsia="zh-CN"/>
              </w:rPr>
              <w:t xml:space="preserve">   与《危险废物贮存污染控制标准》</w:t>
            </w:r>
            <w:r>
              <w:rPr>
                <w:rFonts w:hint="default" w:ascii="Times New Roman" w:hAnsi="Times New Roman" w:eastAsia="宋体" w:cs="Times New Roman"/>
                <w:b/>
                <w:bCs w:val="0"/>
                <w:color w:val="auto"/>
                <w:lang w:val="en-US" w:eastAsia="zh-CN"/>
              </w:rPr>
              <w:t>(GB18597-2023)</w:t>
            </w:r>
            <w:r>
              <w:rPr>
                <w:rFonts w:hint="eastAsia" w:ascii="Times New Roman" w:hAnsi="Times New Roman" w:eastAsia="宋体" w:cs="Times New Roman"/>
                <w:b/>
                <w:bCs w:val="0"/>
                <w:color w:val="auto"/>
                <w:lang w:val="en-US" w:eastAsia="zh-CN"/>
              </w:rPr>
              <w:t>相符性分析</w:t>
            </w:r>
          </w:p>
          <w:tbl>
            <w:tblPr>
              <w:tblStyle w:val="20"/>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2"/>
              <w:gridCol w:w="3902"/>
              <w:gridCol w:w="2613"/>
              <w:gridCol w:w="768"/>
            </w:tblGrid>
            <w:tr w14:paraId="66189E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3" w:type="pct"/>
                  <w:tcBorders>
                    <w:tl2br w:val="nil"/>
                    <w:tr2bl w:val="nil"/>
                  </w:tcBorders>
                  <w:noWrap/>
                  <w:vAlign w:val="center"/>
                </w:tcPr>
                <w:p w14:paraId="336F77CC">
                  <w:pPr>
                    <w:widowControl/>
                    <w:jc w:val="center"/>
                    <w:rPr>
                      <w:rFonts w:ascii="Times New Roman" w:hAnsi="Times New Roman"/>
                      <w:b/>
                      <w:bCs/>
                      <w:color w:val="auto"/>
                      <w:kern w:val="0"/>
                      <w:sz w:val="18"/>
                      <w:szCs w:val="18"/>
                    </w:rPr>
                  </w:pPr>
                  <w:r>
                    <w:rPr>
                      <w:rFonts w:ascii="Times New Roman" w:hAnsi="Times New Roman"/>
                      <w:b/>
                      <w:bCs/>
                      <w:color w:val="auto"/>
                      <w:kern w:val="0"/>
                      <w:sz w:val="18"/>
                      <w:szCs w:val="18"/>
                    </w:rPr>
                    <w:t>序号</w:t>
                  </w:r>
                </w:p>
              </w:tc>
              <w:tc>
                <w:tcPr>
                  <w:tcW w:w="2403" w:type="pct"/>
                  <w:tcBorders>
                    <w:tl2br w:val="nil"/>
                    <w:tr2bl w:val="nil"/>
                  </w:tcBorders>
                  <w:noWrap/>
                  <w:vAlign w:val="center"/>
                </w:tcPr>
                <w:p w14:paraId="5C20849F">
                  <w:pPr>
                    <w:widowControl/>
                    <w:jc w:val="center"/>
                    <w:rPr>
                      <w:rFonts w:ascii="Times New Roman" w:hAnsi="Times New Roman"/>
                      <w:b/>
                      <w:bCs/>
                      <w:color w:val="auto"/>
                      <w:kern w:val="0"/>
                      <w:sz w:val="18"/>
                      <w:szCs w:val="18"/>
                    </w:rPr>
                  </w:pPr>
                  <w:r>
                    <w:rPr>
                      <w:rFonts w:hint="eastAsia" w:ascii="Times New Roman" w:hAnsi="Times New Roman"/>
                      <w:b/>
                      <w:bCs/>
                      <w:color w:val="auto"/>
                      <w:kern w:val="0"/>
                      <w:sz w:val="18"/>
                      <w:szCs w:val="18"/>
                    </w:rPr>
                    <w:t>标准</w:t>
                  </w:r>
                  <w:r>
                    <w:rPr>
                      <w:rFonts w:ascii="Times New Roman" w:hAnsi="Times New Roman"/>
                      <w:b/>
                      <w:bCs/>
                      <w:color w:val="auto"/>
                      <w:kern w:val="0"/>
                      <w:sz w:val="18"/>
                      <w:szCs w:val="18"/>
                    </w:rPr>
                    <w:t>规定要求</w:t>
                  </w:r>
                </w:p>
              </w:tc>
              <w:tc>
                <w:tcPr>
                  <w:tcW w:w="1609" w:type="pct"/>
                  <w:tcBorders>
                    <w:tl2br w:val="nil"/>
                    <w:tr2bl w:val="nil"/>
                  </w:tcBorders>
                  <w:noWrap/>
                  <w:vAlign w:val="center"/>
                </w:tcPr>
                <w:p w14:paraId="5D8BAA01">
                  <w:pPr>
                    <w:widowControl/>
                    <w:jc w:val="center"/>
                    <w:rPr>
                      <w:rFonts w:ascii="Times New Roman" w:hAnsi="Times New Roman"/>
                      <w:b/>
                      <w:bCs/>
                      <w:color w:val="auto"/>
                      <w:kern w:val="0"/>
                      <w:sz w:val="18"/>
                      <w:szCs w:val="18"/>
                    </w:rPr>
                  </w:pPr>
                  <w:r>
                    <w:rPr>
                      <w:rFonts w:ascii="Times New Roman" w:hAnsi="Times New Roman"/>
                      <w:b/>
                      <w:bCs/>
                      <w:color w:val="auto"/>
                      <w:kern w:val="0"/>
                      <w:sz w:val="18"/>
                      <w:szCs w:val="18"/>
                    </w:rPr>
                    <w:t>实施情况</w:t>
                  </w:r>
                </w:p>
              </w:tc>
              <w:tc>
                <w:tcPr>
                  <w:tcW w:w="473" w:type="pct"/>
                  <w:tcBorders>
                    <w:tl2br w:val="nil"/>
                    <w:tr2bl w:val="nil"/>
                  </w:tcBorders>
                  <w:noWrap/>
                  <w:vAlign w:val="center"/>
                </w:tcPr>
                <w:p w14:paraId="1924BF11">
                  <w:pPr>
                    <w:widowControl/>
                    <w:jc w:val="center"/>
                    <w:rPr>
                      <w:rFonts w:ascii="Times New Roman" w:hAnsi="Times New Roman"/>
                      <w:b/>
                      <w:bCs/>
                      <w:color w:val="auto"/>
                      <w:kern w:val="0"/>
                      <w:sz w:val="18"/>
                      <w:szCs w:val="18"/>
                    </w:rPr>
                  </w:pPr>
                  <w:r>
                    <w:rPr>
                      <w:rFonts w:ascii="Times New Roman" w:hAnsi="Times New Roman"/>
                      <w:b/>
                      <w:bCs/>
                      <w:color w:val="auto"/>
                      <w:kern w:val="0"/>
                      <w:sz w:val="18"/>
                      <w:szCs w:val="18"/>
                    </w:rPr>
                    <w:t>相符性</w:t>
                  </w:r>
                </w:p>
              </w:tc>
            </w:tr>
            <w:tr w14:paraId="24EE3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3" w:type="pct"/>
                  <w:tcBorders>
                    <w:tl2br w:val="nil"/>
                    <w:tr2bl w:val="nil"/>
                  </w:tcBorders>
                  <w:noWrap/>
                  <w:vAlign w:val="center"/>
                </w:tcPr>
                <w:p w14:paraId="31D79520">
                  <w:pPr>
                    <w:widowControl/>
                    <w:jc w:val="center"/>
                    <w:rPr>
                      <w:rFonts w:ascii="Times New Roman" w:hAnsi="Times New Roman"/>
                      <w:color w:val="auto"/>
                      <w:kern w:val="0"/>
                      <w:sz w:val="18"/>
                      <w:szCs w:val="18"/>
                    </w:rPr>
                  </w:pPr>
                  <w:r>
                    <w:rPr>
                      <w:rFonts w:ascii="Times New Roman" w:hAnsi="Times New Roman"/>
                      <w:color w:val="auto"/>
                      <w:kern w:val="0"/>
                      <w:sz w:val="18"/>
                      <w:szCs w:val="18"/>
                    </w:rPr>
                    <w:t>1</w:t>
                  </w:r>
                </w:p>
              </w:tc>
              <w:tc>
                <w:tcPr>
                  <w:tcW w:w="2403" w:type="pct"/>
                  <w:tcBorders>
                    <w:tl2br w:val="nil"/>
                    <w:tr2bl w:val="nil"/>
                  </w:tcBorders>
                  <w:noWrap/>
                  <w:vAlign w:val="center"/>
                </w:tcPr>
                <w:p w14:paraId="3A49190D">
                  <w:pPr>
                    <w:widowControl/>
                    <w:jc w:val="left"/>
                    <w:rPr>
                      <w:rFonts w:ascii="Times New Roman" w:hAnsi="Times New Roman"/>
                      <w:color w:val="auto"/>
                      <w:kern w:val="0"/>
                      <w:sz w:val="18"/>
                      <w:szCs w:val="18"/>
                    </w:rPr>
                  </w:pPr>
                  <w:r>
                    <w:rPr>
                      <w:rFonts w:hint="eastAsia" w:ascii="Times New Roman" w:hAnsi="Times New Roman"/>
                      <w:color w:val="auto"/>
                      <w:kern w:val="0"/>
                      <w:sz w:val="18"/>
                      <w:szCs w:val="18"/>
                    </w:rPr>
                    <w:t>贮存设施应根据危险废物的形态、 物理化学性质、包装形式和污染物迁移途径，采取必要的防风、防晒、防雨、防漏、防渗、防腐以及其他环境污染防治措施，不应露天堆放危险废物。</w:t>
                  </w:r>
                </w:p>
              </w:tc>
              <w:tc>
                <w:tcPr>
                  <w:tcW w:w="1609" w:type="pct"/>
                  <w:tcBorders>
                    <w:tl2br w:val="nil"/>
                    <w:tr2bl w:val="nil"/>
                  </w:tcBorders>
                  <w:noWrap/>
                  <w:vAlign w:val="center"/>
                </w:tcPr>
                <w:p w14:paraId="4F212372">
                  <w:pPr>
                    <w:widowControl/>
                    <w:jc w:val="left"/>
                    <w:rPr>
                      <w:rFonts w:ascii="Times New Roman" w:hAnsi="Times New Roman"/>
                      <w:color w:val="auto"/>
                      <w:kern w:val="0"/>
                      <w:sz w:val="18"/>
                      <w:szCs w:val="18"/>
                    </w:rPr>
                  </w:pPr>
                  <w:r>
                    <w:rPr>
                      <w:rFonts w:ascii="Times New Roman" w:hAnsi="Times New Roman"/>
                      <w:color w:val="auto"/>
                      <w:kern w:val="0"/>
                      <w:sz w:val="18"/>
                      <w:szCs w:val="18"/>
                    </w:rPr>
                    <w:t>本项目危废均</w:t>
                  </w:r>
                  <w:r>
                    <w:rPr>
                      <w:rFonts w:hint="eastAsia" w:ascii="Times New Roman" w:hAnsi="Times New Roman"/>
                      <w:color w:val="auto"/>
                      <w:kern w:val="0"/>
                      <w:sz w:val="18"/>
                      <w:szCs w:val="18"/>
                    </w:rPr>
                    <w:t>为</w:t>
                  </w:r>
                  <w:r>
                    <w:rPr>
                      <w:rFonts w:ascii="Times New Roman" w:hAnsi="Times New Roman"/>
                      <w:color w:val="auto"/>
                      <w:kern w:val="0"/>
                      <w:sz w:val="18"/>
                      <w:szCs w:val="18"/>
                    </w:rPr>
                    <w:t>室内存储</w:t>
                  </w:r>
                  <w:r>
                    <w:rPr>
                      <w:rFonts w:hint="eastAsia" w:ascii="Times New Roman" w:hAnsi="Times New Roman"/>
                      <w:color w:val="auto"/>
                      <w:kern w:val="0"/>
                      <w:sz w:val="18"/>
                      <w:szCs w:val="18"/>
                    </w:rPr>
                    <w:t>，</w:t>
                  </w:r>
                  <w:r>
                    <w:rPr>
                      <w:rFonts w:ascii="Times New Roman" w:hAnsi="Times New Roman"/>
                      <w:color w:val="auto"/>
                      <w:kern w:val="0"/>
                      <w:sz w:val="18"/>
                      <w:szCs w:val="18"/>
                    </w:rPr>
                    <w:t>地面</w:t>
                  </w:r>
                  <w:r>
                    <w:rPr>
                      <w:rFonts w:hint="eastAsia" w:ascii="Times New Roman" w:hAnsi="Times New Roman"/>
                      <w:color w:val="auto"/>
                      <w:kern w:val="0"/>
                      <w:sz w:val="18"/>
                      <w:szCs w:val="18"/>
                    </w:rPr>
                    <w:t>拟</w:t>
                  </w:r>
                  <w:r>
                    <w:rPr>
                      <w:rFonts w:ascii="Times New Roman" w:hAnsi="Times New Roman"/>
                      <w:color w:val="auto"/>
                      <w:kern w:val="0"/>
                      <w:sz w:val="18"/>
                      <w:szCs w:val="18"/>
                    </w:rPr>
                    <w:t>采用基础防渗，防渗等级满足防渗要求，防风、防晒、防雨、防漏、防渗、防腐</w:t>
                  </w:r>
                  <w:r>
                    <w:rPr>
                      <w:rFonts w:hint="eastAsia" w:ascii="Times New Roman" w:hAnsi="Times New Roman"/>
                      <w:color w:val="auto"/>
                      <w:kern w:val="0"/>
                      <w:sz w:val="18"/>
                      <w:szCs w:val="18"/>
                    </w:rPr>
                    <w:t>。</w:t>
                  </w:r>
                </w:p>
              </w:tc>
              <w:tc>
                <w:tcPr>
                  <w:tcW w:w="473" w:type="pct"/>
                  <w:tcBorders>
                    <w:tl2br w:val="nil"/>
                    <w:tr2bl w:val="nil"/>
                  </w:tcBorders>
                  <w:noWrap/>
                  <w:vAlign w:val="center"/>
                </w:tcPr>
                <w:p w14:paraId="3D3B9DAC">
                  <w:pPr>
                    <w:widowControl/>
                    <w:jc w:val="center"/>
                    <w:rPr>
                      <w:rFonts w:ascii="Times New Roman" w:hAnsi="Times New Roman"/>
                      <w:color w:val="auto"/>
                      <w:kern w:val="0"/>
                      <w:sz w:val="18"/>
                      <w:szCs w:val="18"/>
                    </w:rPr>
                  </w:pPr>
                  <w:r>
                    <w:rPr>
                      <w:rFonts w:ascii="Times New Roman" w:hAnsi="Times New Roman"/>
                      <w:color w:val="auto"/>
                      <w:kern w:val="0"/>
                      <w:sz w:val="18"/>
                      <w:szCs w:val="18"/>
                    </w:rPr>
                    <w:t>符合</w:t>
                  </w:r>
                </w:p>
              </w:tc>
            </w:tr>
            <w:tr w14:paraId="6CE04E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3" w:type="pct"/>
                  <w:tcBorders>
                    <w:tl2br w:val="nil"/>
                    <w:tr2bl w:val="nil"/>
                  </w:tcBorders>
                  <w:noWrap/>
                  <w:vAlign w:val="center"/>
                </w:tcPr>
                <w:p w14:paraId="750E6F94">
                  <w:pPr>
                    <w:widowControl/>
                    <w:jc w:val="center"/>
                    <w:rPr>
                      <w:rFonts w:ascii="Times New Roman" w:hAnsi="Times New Roman"/>
                      <w:color w:val="auto"/>
                      <w:kern w:val="0"/>
                      <w:sz w:val="18"/>
                      <w:szCs w:val="18"/>
                    </w:rPr>
                  </w:pPr>
                  <w:r>
                    <w:rPr>
                      <w:rFonts w:ascii="Times New Roman" w:hAnsi="Times New Roman"/>
                      <w:color w:val="auto"/>
                      <w:kern w:val="0"/>
                      <w:sz w:val="18"/>
                      <w:szCs w:val="18"/>
                    </w:rPr>
                    <w:t>2</w:t>
                  </w:r>
                </w:p>
              </w:tc>
              <w:tc>
                <w:tcPr>
                  <w:tcW w:w="2403" w:type="pct"/>
                  <w:tcBorders>
                    <w:tl2br w:val="nil"/>
                    <w:tr2bl w:val="nil"/>
                  </w:tcBorders>
                  <w:noWrap/>
                  <w:vAlign w:val="center"/>
                </w:tcPr>
                <w:p w14:paraId="0D6D9C91">
                  <w:pPr>
                    <w:widowControl/>
                    <w:jc w:val="left"/>
                    <w:rPr>
                      <w:rFonts w:ascii="Times New Roman" w:hAnsi="Times New Roman"/>
                      <w:color w:val="auto"/>
                      <w:kern w:val="0"/>
                      <w:sz w:val="18"/>
                      <w:szCs w:val="18"/>
                    </w:rPr>
                  </w:pPr>
                  <w:r>
                    <w:rPr>
                      <w:rFonts w:ascii="Times New Roman" w:hAnsi="Times New Roman"/>
                      <w:color w:val="auto"/>
                      <w:kern w:val="0"/>
                      <w:sz w:val="18"/>
                      <w:szCs w:val="18"/>
                    </w:rPr>
                    <w:t>贮存设施应根据危险废物的类别、数量、形态、物理化学性质和污染防治等要求设置必要的贮存</w:t>
                  </w:r>
                  <w:r>
                    <w:rPr>
                      <w:rFonts w:hint="eastAsia" w:ascii="Times New Roman" w:hAnsi="Times New Roman"/>
                      <w:color w:val="auto"/>
                      <w:kern w:val="0"/>
                      <w:sz w:val="18"/>
                      <w:szCs w:val="18"/>
                    </w:rPr>
                    <w:t>分区</w:t>
                  </w:r>
                  <w:r>
                    <w:rPr>
                      <w:rFonts w:ascii="Times New Roman" w:hAnsi="Times New Roman"/>
                      <w:color w:val="auto"/>
                      <w:kern w:val="0"/>
                      <w:sz w:val="18"/>
                      <w:szCs w:val="18"/>
                    </w:rPr>
                    <w:t>，避免不相容的危险废物接触、混合。</w:t>
                  </w:r>
                </w:p>
              </w:tc>
              <w:tc>
                <w:tcPr>
                  <w:tcW w:w="1609" w:type="pct"/>
                  <w:tcBorders>
                    <w:tl2br w:val="nil"/>
                    <w:tr2bl w:val="nil"/>
                  </w:tcBorders>
                  <w:noWrap/>
                  <w:vAlign w:val="center"/>
                </w:tcPr>
                <w:p w14:paraId="294886A0">
                  <w:pPr>
                    <w:widowControl/>
                    <w:jc w:val="left"/>
                    <w:rPr>
                      <w:rFonts w:ascii="Times New Roman" w:hAnsi="Times New Roman"/>
                      <w:color w:val="auto"/>
                      <w:kern w:val="0"/>
                      <w:sz w:val="18"/>
                      <w:szCs w:val="18"/>
                    </w:rPr>
                  </w:pPr>
                  <w:r>
                    <w:rPr>
                      <w:rFonts w:hint="eastAsia" w:ascii="Times New Roman" w:hAnsi="Times New Roman"/>
                      <w:color w:val="auto"/>
                      <w:kern w:val="0"/>
                      <w:sz w:val="18"/>
                      <w:szCs w:val="18"/>
                    </w:rPr>
                    <w:t>本项目拟</w:t>
                  </w:r>
                  <w:r>
                    <w:rPr>
                      <w:rFonts w:ascii="Times New Roman" w:hAnsi="Times New Roman"/>
                      <w:color w:val="auto"/>
                      <w:kern w:val="0"/>
                      <w:sz w:val="18"/>
                      <w:szCs w:val="18"/>
                    </w:rPr>
                    <w:t>根据危险废物的类别</w:t>
                  </w:r>
                  <w:r>
                    <w:rPr>
                      <w:rFonts w:hint="eastAsia" w:ascii="Times New Roman" w:hAnsi="Times New Roman"/>
                      <w:color w:val="auto"/>
                      <w:kern w:val="0"/>
                      <w:sz w:val="18"/>
                      <w:szCs w:val="18"/>
                    </w:rPr>
                    <w:t>数量</w:t>
                  </w:r>
                  <w:r>
                    <w:rPr>
                      <w:rFonts w:ascii="Times New Roman" w:hAnsi="Times New Roman"/>
                      <w:color w:val="auto"/>
                      <w:kern w:val="0"/>
                      <w:sz w:val="18"/>
                      <w:szCs w:val="18"/>
                    </w:rPr>
                    <w:t>、形态、物理化学性分区存储</w:t>
                  </w:r>
                  <w:r>
                    <w:rPr>
                      <w:rFonts w:hint="eastAsia" w:ascii="Times New Roman" w:hAnsi="Times New Roman"/>
                      <w:color w:val="auto"/>
                      <w:kern w:val="0"/>
                      <w:sz w:val="18"/>
                      <w:szCs w:val="18"/>
                    </w:rPr>
                    <w:t>。</w:t>
                  </w:r>
                </w:p>
              </w:tc>
              <w:tc>
                <w:tcPr>
                  <w:tcW w:w="473" w:type="pct"/>
                  <w:tcBorders>
                    <w:tl2br w:val="nil"/>
                    <w:tr2bl w:val="nil"/>
                  </w:tcBorders>
                  <w:noWrap/>
                  <w:vAlign w:val="center"/>
                </w:tcPr>
                <w:p w14:paraId="728939F0">
                  <w:pPr>
                    <w:widowControl/>
                    <w:jc w:val="center"/>
                    <w:rPr>
                      <w:rFonts w:ascii="Times New Roman" w:hAnsi="Times New Roman"/>
                      <w:color w:val="auto"/>
                      <w:kern w:val="0"/>
                      <w:sz w:val="18"/>
                      <w:szCs w:val="18"/>
                    </w:rPr>
                  </w:pPr>
                  <w:r>
                    <w:rPr>
                      <w:rFonts w:ascii="Times New Roman" w:hAnsi="Times New Roman"/>
                      <w:color w:val="auto"/>
                      <w:kern w:val="0"/>
                      <w:sz w:val="18"/>
                      <w:szCs w:val="18"/>
                    </w:rPr>
                    <w:t>符合</w:t>
                  </w:r>
                </w:p>
              </w:tc>
            </w:tr>
            <w:tr w14:paraId="2EA890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3" w:type="pct"/>
                  <w:tcBorders>
                    <w:tl2br w:val="nil"/>
                    <w:tr2bl w:val="nil"/>
                  </w:tcBorders>
                  <w:noWrap/>
                  <w:vAlign w:val="center"/>
                </w:tcPr>
                <w:p w14:paraId="7C90B4ED">
                  <w:pPr>
                    <w:widowControl/>
                    <w:jc w:val="center"/>
                    <w:rPr>
                      <w:rFonts w:ascii="Times New Roman" w:hAnsi="Times New Roman"/>
                      <w:color w:val="auto"/>
                      <w:kern w:val="0"/>
                      <w:sz w:val="18"/>
                      <w:szCs w:val="18"/>
                    </w:rPr>
                  </w:pPr>
                  <w:r>
                    <w:rPr>
                      <w:rFonts w:ascii="Times New Roman" w:hAnsi="Times New Roman"/>
                      <w:color w:val="auto"/>
                      <w:kern w:val="0"/>
                      <w:sz w:val="18"/>
                      <w:szCs w:val="18"/>
                    </w:rPr>
                    <w:t>3</w:t>
                  </w:r>
                </w:p>
              </w:tc>
              <w:tc>
                <w:tcPr>
                  <w:tcW w:w="2403" w:type="pct"/>
                  <w:tcBorders>
                    <w:tl2br w:val="nil"/>
                    <w:tr2bl w:val="nil"/>
                  </w:tcBorders>
                  <w:noWrap/>
                  <w:vAlign w:val="center"/>
                </w:tcPr>
                <w:p w14:paraId="391FBDD7">
                  <w:pPr>
                    <w:widowControl/>
                    <w:jc w:val="left"/>
                    <w:rPr>
                      <w:rFonts w:ascii="Times New Roman" w:hAnsi="Times New Roman"/>
                      <w:color w:val="auto"/>
                      <w:kern w:val="0"/>
                      <w:sz w:val="18"/>
                      <w:szCs w:val="18"/>
                    </w:rPr>
                  </w:pPr>
                  <w:r>
                    <w:rPr>
                      <w:rFonts w:ascii="Times New Roman" w:hAnsi="Times New Roman"/>
                      <w:color w:val="auto"/>
                      <w:kern w:val="0"/>
                      <w:sz w:val="18"/>
                      <w:szCs w:val="18"/>
                    </w:rPr>
                    <w:t>贮存设施或贮存分区内地面、墙面裙脚、堵截泄漏的围堰、接触危险废物的隔板和墙体等应采用坚固的材料建造，表面无裂缝。</w:t>
                  </w:r>
                </w:p>
              </w:tc>
              <w:tc>
                <w:tcPr>
                  <w:tcW w:w="1609" w:type="pct"/>
                  <w:tcBorders>
                    <w:tl2br w:val="nil"/>
                    <w:tr2bl w:val="nil"/>
                  </w:tcBorders>
                  <w:noWrap/>
                  <w:vAlign w:val="center"/>
                </w:tcPr>
                <w:p w14:paraId="5B5F6A5C">
                  <w:pPr>
                    <w:widowControl/>
                    <w:jc w:val="left"/>
                    <w:rPr>
                      <w:rFonts w:ascii="Times New Roman" w:hAnsi="Times New Roman"/>
                      <w:color w:val="auto"/>
                      <w:kern w:val="0"/>
                      <w:sz w:val="18"/>
                      <w:szCs w:val="18"/>
                    </w:rPr>
                  </w:pPr>
                  <w:r>
                    <w:rPr>
                      <w:rFonts w:ascii="Times New Roman" w:hAnsi="Times New Roman"/>
                      <w:color w:val="auto"/>
                      <w:kern w:val="0"/>
                      <w:sz w:val="18"/>
                      <w:szCs w:val="18"/>
                    </w:rPr>
                    <w:t>本项目</w:t>
                  </w:r>
                  <w:r>
                    <w:rPr>
                      <w:rFonts w:hint="eastAsia" w:ascii="Times New Roman" w:hAnsi="Times New Roman"/>
                      <w:color w:val="auto"/>
                      <w:kern w:val="0"/>
                      <w:sz w:val="18"/>
                      <w:szCs w:val="18"/>
                    </w:rPr>
                    <w:t>拟</w:t>
                  </w:r>
                  <w:r>
                    <w:rPr>
                      <w:rFonts w:ascii="Times New Roman" w:hAnsi="Times New Roman"/>
                      <w:color w:val="auto"/>
                      <w:kern w:val="0"/>
                      <w:sz w:val="18"/>
                      <w:szCs w:val="18"/>
                    </w:rPr>
                    <w:t>按照规定地面、墙面裙脚、堵截泄漏的围堰、接触危险废物的隔板等采取防渗涂料，表面无裂缝</w:t>
                  </w:r>
                  <w:r>
                    <w:rPr>
                      <w:rFonts w:hint="eastAsia" w:ascii="Times New Roman" w:hAnsi="Times New Roman"/>
                      <w:color w:val="auto"/>
                      <w:kern w:val="0"/>
                      <w:sz w:val="18"/>
                      <w:szCs w:val="18"/>
                    </w:rPr>
                    <w:t>。</w:t>
                  </w:r>
                </w:p>
              </w:tc>
              <w:tc>
                <w:tcPr>
                  <w:tcW w:w="473" w:type="pct"/>
                  <w:tcBorders>
                    <w:tl2br w:val="nil"/>
                    <w:tr2bl w:val="nil"/>
                  </w:tcBorders>
                  <w:noWrap/>
                  <w:vAlign w:val="center"/>
                </w:tcPr>
                <w:p w14:paraId="1B633C94">
                  <w:pPr>
                    <w:widowControl/>
                    <w:jc w:val="center"/>
                    <w:rPr>
                      <w:rFonts w:ascii="Times New Roman" w:hAnsi="Times New Roman"/>
                      <w:color w:val="auto"/>
                      <w:kern w:val="0"/>
                      <w:sz w:val="18"/>
                      <w:szCs w:val="18"/>
                    </w:rPr>
                  </w:pPr>
                  <w:r>
                    <w:rPr>
                      <w:rFonts w:ascii="Times New Roman" w:hAnsi="Times New Roman"/>
                      <w:color w:val="auto"/>
                      <w:kern w:val="0"/>
                      <w:sz w:val="18"/>
                      <w:szCs w:val="18"/>
                    </w:rPr>
                    <w:t>符合</w:t>
                  </w:r>
                </w:p>
              </w:tc>
            </w:tr>
            <w:tr w14:paraId="6639E1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3" w:type="pct"/>
                  <w:tcBorders>
                    <w:tl2br w:val="nil"/>
                    <w:tr2bl w:val="nil"/>
                  </w:tcBorders>
                  <w:noWrap/>
                  <w:vAlign w:val="center"/>
                </w:tcPr>
                <w:p w14:paraId="7B46FBC5">
                  <w:pPr>
                    <w:widowControl/>
                    <w:jc w:val="center"/>
                    <w:rPr>
                      <w:rFonts w:ascii="Times New Roman" w:hAnsi="Times New Roman"/>
                      <w:color w:val="auto"/>
                      <w:kern w:val="0"/>
                      <w:sz w:val="18"/>
                      <w:szCs w:val="18"/>
                    </w:rPr>
                  </w:pPr>
                  <w:r>
                    <w:rPr>
                      <w:rFonts w:ascii="Times New Roman" w:hAnsi="Times New Roman"/>
                      <w:color w:val="auto"/>
                      <w:kern w:val="0"/>
                      <w:sz w:val="18"/>
                      <w:szCs w:val="18"/>
                    </w:rPr>
                    <w:t>4</w:t>
                  </w:r>
                </w:p>
              </w:tc>
              <w:tc>
                <w:tcPr>
                  <w:tcW w:w="2403" w:type="pct"/>
                  <w:tcBorders>
                    <w:tl2br w:val="nil"/>
                    <w:tr2bl w:val="nil"/>
                  </w:tcBorders>
                  <w:noWrap/>
                  <w:vAlign w:val="center"/>
                </w:tcPr>
                <w:p w14:paraId="4AD10C71">
                  <w:pPr>
                    <w:widowControl/>
                    <w:jc w:val="left"/>
                    <w:rPr>
                      <w:rFonts w:ascii="Times New Roman" w:hAnsi="Times New Roman"/>
                      <w:color w:val="auto"/>
                      <w:kern w:val="0"/>
                      <w:sz w:val="18"/>
                      <w:szCs w:val="18"/>
                    </w:rPr>
                  </w:pPr>
                  <w:r>
                    <w:rPr>
                      <w:rFonts w:ascii="Times New Roman" w:hAnsi="Times New Roman"/>
                      <w:color w:val="auto"/>
                      <w:kern w:val="0"/>
                      <w:sz w:val="18"/>
                      <w:szCs w:val="18"/>
                    </w:rPr>
                    <w:t>贮存设施地面与裙脚应采取表面防渗措施</w:t>
                  </w:r>
                  <w:r>
                    <w:rPr>
                      <w:rFonts w:hint="eastAsia" w:ascii="Times New Roman" w:hAnsi="Times New Roman"/>
                      <w:color w:val="auto"/>
                      <w:kern w:val="0"/>
                      <w:sz w:val="18"/>
                      <w:szCs w:val="18"/>
                    </w:rPr>
                    <w:t>；</w:t>
                  </w:r>
                  <w:r>
                    <w:rPr>
                      <w:rFonts w:ascii="Times New Roman" w:hAnsi="Times New Roman"/>
                      <w:color w:val="auto"/>
                      <w:kern w:val="0"/>
                      <w:sz w:val="18"/>
                      <w:szCs w:val="18"/>
                    </w:rPr>
                    <w:t>表面防渗材料应与所接触的物料或污染物相容，可采用抗渗混凝土、高密度聚乙烯膜、钠基膨润土防水毯或其他防 渗性能等效的材料。贮存的危险废物直接接触地面</w:t>
                  </w:r>
                  <w:r>
                    <w:rPr>
                      <w:rFonts w:hint="eastAsia" w:ascii="Times New Roman" w:hAnsi="Times New Roman"/>
                      <w:color w:val="auto"/>
                      <w:kern w:val="0"/>
                      <w:sz w:val="18"/>
                      <w:szCs w:val="18"/>
                    </w:rPr>
                    <w:t>的</w:t>
                  </w:r>
                  <w:r>
                    <w:rPr>
                      <w:rFonts w:ascii="Times New Roman" w:hAnsi="Times New Roman"/>
                      <w:color w:val="auto"/>
                      <w:kern w:val="0"/>
                      <w:sz w:val="18"/>
                      <w:szCs w:val="18"/>
                    </w:rPr>
                    <w:t>，还应进行基础防渗，防渗层为至少1m厚黏土层(渗透系数不大于10</w:t>
                  </w:r>
                  <w:r>
                    <w:rPr>
                      <w:rFonts w:ascii="Times New Roman" w:hAnsi="Times New Roman"/>
                      <w:color w:val="auto"/>
                      <w:kern w:val="0"/>
                      <w:sz w:val="18"/>
                      <w:szCs w:val="18"/>
                      <w:vertAlign w:val="superscript"/>
                    </w:rPr>
                    <w:t>-7</w:t>
                  </w:r>
                  <w:r>
                    <w:rPr>
                      <w:rFonts w:ascii="Times New Roman" w:hAnsi="Times New Roman"/>
                      <w:color w:val="auto"/>
                      <w:kern w:val="0"/>
                      <w:sz w:val="18"/>
                      <w:szCs w:val="18"/>
                    </w:rPr>
                    <w:t>cm/s)，或至少2mm厚高密度聚乙 烯膜等人工防渗材料(渗透系数不大于10</w:t>
                  </w:r>
                  <w:r>
                    <w:rPr>
                      <w:rFonts w:ascii="Times New Roman" w:hAnsi="Times New Roman"/>
                      <w:color w:val="auto"/>
                      <w:kern w:val="0"/>
                      <w:sz w:val="18"/>
                      <w:szCs w:val="18"/>
                      <w:vertAlign w:val="superscript"/>
                    </w:rPr>
                    <w:t>-10</w:t>
                  </w:r>
                  <w:r>
                    <w:rPr>
                      <w:rFonts w:ascii="Times New Roman" w:hAnsi="Times New Roman"/>
                      <w:color w:val="auto"/>
                      <w:kern w:val="0"/>
                      <w:sz w:val="18"/>
                      <w:szCs w:val="18"/>
                    </w:rPr>
                    <w:t>cm/s)，或其他防渗性能等效的材料。</w:t>
                  </w:r>
                </w:p>
              </w:tc>
              <w:tc>
                <w:tcPr>
                  <w:tcW w:w="1609" w:type="pct"/>
                  <w:tcBorders>
                    <w:tl2br w:val="nil"/>
                    <w:tr2bl w:val="nil"/>
                  </w:tcBorders>
                  <w:noWrap/>
                  <w:vAlign w:val="center"/>
                </w:tcPr>
                <w:p w14:paraId="0B065E0F">
                  <w:pPr>
                    <w:widowControl/>
                    <w:jc w:val="left"/>
                    <w:rPr>
                      <w:rFonts w:ascii="Times New Roman" w:hAnsi="Times New Roman"/>
                      <w:color w:val="auto"/>
                      <w:kern w:val="0"/>
                      <w:sz w:val="18"/>
                      <w:szCs w:val="18"/>
                    </w:rPr>
                  </w:pPr>
                  <w:r>
                    <w:rPr>
                      <w:rFonts w:ascii="Times New Roman" w:hAnsi="Times New Roman"/>
                      <w:color w:val="auto"/>
                      <w:kern w:val="0"/>
                      <w:sz w:val="18"/>
                      <w:szCs w:val="18"/>
                    </w:rPr>
                    <w:t>本项目贮存设施地面与裙脚</w:t>
                  </w:r>
                  <w:r>
                    <w:rPr>
                      <w:rFonts w:hint="eastAsia" w:ascii="Times New Roman" w:hAnsi="Times New Roman"/>
                      <w:color w:val="auto"/>
                      <w:kern w:val="0"/>
                      <w:sz w:val="18"/>
                      <w:szCs w:val="18"/>
                    </w:rPr>
                    <w:t>拟设置为环氧地坪，贮存的危险废物拟采用包装桶</w:t>
                  </w:r>
                  <w:r>
                    <w:rPr>
                      <w:rFonts w:hint="eastAsia" w:ascii="Times New Roman" w:hAnsi="Times New Roman"/>
                      <w:color w:val="auto"/>
                      <w:kern w:val="0"/>
                      <w:sz w:val="18"/>
                      <w:szCs w:val="18"/>
                      <w:lang w:eastAsia="zh-CN"/>
                    </w:rPr>
                    <w:t>、</w:t>
                  </w:r>
                  <w:r>
                    <w:rPr>
                      <w:rFonts w:hint="eastAsia" w:ascii="Times New Roman" w:hAnsi="Times New Roman"/>
                      <w:color w:val="auto"/>
                      <w:kern w:val="0"/>
                      <w:sz w:val="18"/>
                      <w:szCs w:val="18"/>
                      <w:lang w:val="en-US" w:eastAsia="zh-CN"/>
                    </w:rPr>
                    <w:t>包装袋</w:t>
                  </w:r>
                  <w:r>
                    <w:rPr>
                      <w:rFonts w:hint="eastAsia" w:ascii="Times New Roman" w:hAnsi="Times New Roman"/>
                      <w:color w:val="auto"/>
                      <w:kern w:val="0"/>
                      <w:sz w:val="18"/>
                      <w:szCs w:val="18"/>
                    </w:rPr>
                    <w:t>贮存，不涉及直接接触地面的危险废物。</w:t>
                  </w:r>
                </w:p>
              </w:tc>
              <w:tc>
                <w:tcPr>
                  <w:tcW w:w="473" w:type="pct"/>
                  <w:tcBorders>
                    <w:tl2br w:val="nil"/>
                    <w:tr2bl w:val="nil"/>
                  </w:tcBorders>
                  <w:noWrap/>
                  <w:vAlign w:val="center"/>
                </w:tcPr>
                <w:p w14:paraId="61A6EC11">
                  <w:pPr>
                    <w:widowControl/>
                    <w:jc w:val="center"/>
                    <w:rPr>
                      <w:rFonts w:ascii="Times New Roman" w:hAnsi="Times New Roman"/>
                      <w:color w:val="auto"/>
                      <w:kern w:val="0"/>
                      <w:sz w:val="18"/>
                      <w:szCs w:val="18"/>
                    </w:rPr>
                  </w:pPr>
                  <w:r>
                    <w:rPr>
                      <w:rFonts w:ascii="Times New Roman" w:hAnsi="Times New Roman"/>
                      <w:color w:val="auto"/>
                      <w:kern w:val="0"/>
                      <w:sz w:val="18"/>
                      <w:szCs w:val="18"/>
                    </w:rPr>
                    <w:t>符合</w:t>
                  </w:r>
                </w:p>
              </w:tc>
            </w:tr>
            <w:tr w14:paraId="7FB7A2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3" w:type="pct"/>
                  <w:tcBorders>
                    <w:tl2br w:val="nil"/>
                    <w:tr2bl w:val="nil"/>
                  </w:tcBorders>
                  <w:noWrap/>
                  <w:vAlign w:val="center"/>
                </w:tcPr>
                <w:p w14:paraId="4BD321EF">
                  <w:pPr>
                    <w:widowControl/>
                    <w:jc w:val="center"/>
                    <w:rPr>
                      <w:rFonts w:ascii="Times New Roman" w:hAnsi="Times New Roman"/>
                      <w:color w:val="auto"/>
                      <w:kern w:val="0"/>
                      <w:sz w:val="18"/>
                      <w:szCs w:val="18"/>
                    </w:rPr>
                  </w:pPr>
                  <w:r>
                    <w:rPr>
                      <w:rFonts w:ascii="Times New Roman" w:hAnsi="Times New Roman"/>
                      <w:color w:val="auto"/>
                      <w:kern w:val="0"/>
                      <w:sz w:val="18"/>
                      <w:szCs w:val="18"/>
                    </w:rPr>
                    <w:t>5</w:t>
                  </w:r>
                </w:p>
              </w:tc>
              <w:tc>
                <w:tcPr>
                  <w:tcW w:w="2403" w:type="pct"/>
                  <w:tcBorders>
                    <w:tl2br w:val="nil"/>
                    <w:tr2bl w:val="nil"/>
                  </w:tcBorders>
                  <w:noWrap/>
                  <w:vAlign w:val="center"/>
                </w:tcPr>
                <w:p w14:paraId="0A02625A">
                  <w:pPr>
                    <w:widowControl/>
                    <w:jc w:val="left"/>
                    <w:rPr>
                      <w:rFonts w:ascii="Times New Roman" w:hAnsi="Times New Roman"/>
                      <w:color w:val="auto"/>
                      <w:kern w:val="0"/>
                      <w:sz w:val="18"/>
                      <w:szCs w:val="18"/>
                    </w:rPr>
                  </w:pPr>
                  <w:r>
                    <w:rPr>
                      <w:rFonts w:ascii="Times New Roman" w:hAnsi="Times New Roman"/>
                      <w:color w:val="auto"/>
                      <w:kern w:val="0"/>
                      <w:sz w:val="18"/>
                      <w:szCs w:val="18"/>
                    </w:rPr>
                    <w:t>贮存库内不同贮存分区之间应采取隔离措施。隔离措施可根据危险废物特性采用过道、隔板或隔墙等方式。</w:t>
                  </w:r>
                </w:p>
              </w:tc>
              <w:tc>
                <w:tcPr>
                  <w:tcW w:w="1609" w:type="pct"/>
                  <w:tcBorders>
                    <w:tl2br w:val="nil"/>
                    <w:tr2bl w:val="nil"/>
                  </w:tcBorders>
                  <w:noWrap/>
                  <w:vAlign w:val="center"/>
                </w:tcPr>
                <w:p w14:paraId="6E2C1352">
                  <w:pPr>
                    <w:widowControl/>
                    <w:jc w:val="left"/>
                    <w:rPr>
                      <w:rFonts w:ascii="Times New Roman" w:hAnsi="Times New Roman"/>
                      <w:color w:val="auto"/>
                      <w:kern w:val="0"/>
                      <w:sz w:val="18"/>
                      <w:szCs w:val="18"/>
                    </w:rPr>
                  </w:pPr>
                  <w:r>
                    <w:rPr>
                      <w:rFonts w:ascii="Times New Roman" w:hAnsi="Times New Roman"/>
                      <w:color w:val="auto"/>
                      <w:kern w:val="0"/>
                      <w:sz w:val="18"/>
                      <w:szCs w:val="18"/>
                    </w:rPr>
                    <w:t>本项目不同贮存分区之间</w:t>
                  </w:r>
                  <w:r>
                    <w:rPr>
                      <w:rFonts w:hint="eastAsia" w:ascii="Times New Roman" w:hAnsi="Times New Roman"/>
                      <w:color w:val="auto"/>
                      <w:kern w:val="0"/>
                      <w:sz w:val="18"/>
                      <w:szCs w:val="18"/>
                    </w:rPr>
                    <w:t>拟</w:t>
                  </w:r>
                  <w:r>
                    <w:rPr>
                      <w:rFonts w:ascii="Times New Roman" w:hAnsi="Times New Roman"/>
                      <w:color w:val="auto"/>
                      <w:kern w:val="0"/>
                      <w:sz w:val="18"/>
                      <w:szCs w:val="18"/>
                    </w:rPr>
                    <w:t>采取</w:t>
                  </w:r>
                  <w:r>
                    <w:rPr>
                      <w:rFonts w:hint="eastAsia" w:ascii="Times New Roman" w:hAnsi="Times New Roman"/>
                      <w:color w:val="auto"/>
                      <w:kern w:val="0"/>
                      <w:sz w:val="18"/>
                      <w:szCs w:val="18"/>
                    </w:rPr>
                    <w:t>过道</w:t>
                  </w:r>
                  <w:r>
                    <w:rPr>
                      <w:rFonts w:ascii="Times New Roman" w:hAnsi="Times New Roman"/>
                      <w:color w:val="auto"/>
                      <w:kern w:val="0"/>
                      <w:sz w:val="18"/>
                      <w:szCs w:val="18"/>
                    </w:rPr>
                    <w:t>隔离</w:t>
                  </w:r>
                  <w:r>
                    <w:rPr>
                      <w:rFonts w:hint="eastAsia" w:ascii="Times New Roman" w:hAnsi="Times New Roman"/>
                      <w:color w:val="auto"/>
                      <w:kern w:val="0"/>
                      <w:sz w:val="18"/>
                      <w:szCs w:val="18"/>
                    </w:rPr>
                    <w:t>。</w:t>
                  </w:r>
                </w:p>
              </w:tc>
              <w:tc>
                <w:tcPr>
                  <w:tcW w:w="473" w:type="pct"/>
                  <w:tcBorders>
                    <w:tl2br w:val="nil"/>
                    <w:tr2bl w:val="nil"/>
                  </w:tcBorders>
                  <w:noWrap/>
                  <w:vAlign w:val="center"/>
                </w:tcPr>
                <w:p w14:paraId="46CFDAD1">
                  <w:pPr>
                    <w:widowControl/>
                    <w:jc w:val="center"/>
                    <w:rPr>
                      <w:rFonts w:ascii="Times New Roman" w:hAnsi="Times New Roman"/>
                      <w:color w:val="auto"/>
                      <w:kern w:val="0"/>
                      <w:sz w:val="18"/>
                      <w:szCs w:val="18"/>
                    </w:rPr>
                  </w:pPr>
                  <w:r>
                    <w:rPr>
                      <w:rFonts w:ascii="Times New Roman" w:hAnsi="Times New Roman"/>
                      <w:color w:val="auto"/>
                      <w:kern w:val="0"/>
                      <w:sz w:val="18"/>
                      <w:szCs w:val="18"/>
                    </w:rPr>
                    <w:t>符合</w:t>
                  </w:r>
                </w:p>
              </w:tc>
            </w:tr>
            <w:tr w14:paraId="2902F1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3" w:type="pct"/>
                  <w:tcBorders>
                    <w:tl2br w:val="nil"/>
                    <w:tr2bl w:val="nil"/>
                  </w:tcBorders>
                  <w:noWrap/>
                  <w:vAlign w:val="center"/>
                </w:tcPr>
                <w:p w14:paraId="6737F154">
                  <w:pPr>
                    <w:widowControl/>
                    <w:jc w:val="center"/>
                    <w:rPr>
                      <w:rFonts w:ascii="Times New Roman" w:hAnsi="Times New Roman"/>
                      <w:color w:val="auto"/>
                      <w:kern w:val="0"/>
                      <w:sz w:val="18"/>
                      <w:szCs w:val="18"/>
                    </w:rPr>
                  </w:pPr>
                  <w:r>
                    <w:rPr>
                      <w:rFonts w:ascii="Times New Roman" w:hAnsi="Times New Roman"/>
                      <w:color w:val="auto"/>
                      <w:kern w:val="0"/>
                      <w:sz w:val="18"/>
                      <w:szCs w:val="18"/>
                    </w:rPr>
                    <w:t>6</w:t>
                  </w:r>
                </w:p>
              </w:tc>
              <w:tc>
                <w:tcPr>
                  <w:tcW w:w="2403" w:type="pct"/>
                  <w:tcBorders>
                    <w:tl2br w:val="nil"/>
                    <w:tr2bl w:val="nil"/>
                  </w:tcBorders>
                  <w:noWrap/>
                  <w:vAlign w:val="center"/>
                </w:tcPr>
                <w:p w14:paraId="51C6E8B6">
                  <w:pPr>
                    <w:widowControl/>
                    <w:jc w:val="left"/>
                    <w:rPr>
                      <w:rFonts w:ascii="Times New Roman" w:hAnsi="Times New Roman"/>
                      <w:color w:val="auto"/>
                      <w:kern w:val="0"/>
                      <w:sz w:val="18"/>
                      <w:szCs w:val="18"/>
                    </w:rPr>
                  </w:pPr>
                  <w:r>
                    <w:rPr>
                      <w:rFonts w:ascii="Times New Roman" w:hAnsi="Times New Roman"/>
                      <w:color w:val="auto"/>
                      <w:kern w:val="0"/>
                      <w:sz w:val="18"/>
                      <w:szCs w:val="18"/>
                    </w:rPr>
                    <w:t>在贮存库内或通过贮存分区方式贮存液态危险废物的，应具有液体泄漏堵截设施，堵截设施最小容积不应低于对应贮存区域最大液态废物容器容积或液态废物总储量1/10(二者取较大者)</w:t>
                  </w:r>
                  <w:r>
                    <w:rPr>
                      <w:rFonts w:hint="eastAsia" w:ascii="Times New Roman" w:hAnsi="Times New Roman"/>
                      <w:color w:val="auto"/>
                      <w:kern w:val="0"/>
                      <w:sz w:val="18"/>
                      <w:szCs w:val="18"/>
                    </w:rPr>
                    <w:t>；</w:t>
                  </w:r>
                  <w:r>
                    <w:rPr>
                      <w:rFonts w:ascii="Times New Roman" w:hAnsi="Times New Roman"/>
                      <w:color w:val="auto"/>
                      <w:kern w:val="0"/>
                      <w:sz w:val="18"/>
                      <w:szCs w:val="18"/>
                    </w:rPr>
                    <w:t>用于贮存可能产生渗滤液的危险废物的贮存库或贮存分区应设计渗滤液收集设施，收集设施容积应满足渗滤液的收集要求。</w:t>
                  </w:r>
                </w:p>
              </w:tc>
              <w:tc>
                <w:tcPr>
                  <w:tcW w:w="1609" w:type="pct"/>
                  <w:tcBorders>
                    <w:tl2br w:val="nil"/>
                    <w:tr2bl w:val="nil"/>
                  </w:tcBorders>
                  <w:noWrap/>
                  <w:vAlign w:val="center"/>
                </w:tcPr>
                <w:p w14:paraId="5BC8E3B7">
                  <w:pPr>
                    <w:widowControl/>
                    <w:jc w:val="left"/>
                    <w:rPr>
                      <w:rFonts w:ascii="Times New Roman" w:hAnsi="Times New Roman"/>
                      <w:color w:val="auto"/>
                      <w:kern w:val="0"/>
                      <w:sz w:val="18"/>
                      <w:szCs w:val="18"/>
                    </w:rPr>
                  </w:pPr>
                  <w:r>
                    <w:rPr>
                      <w:rFonts w:ascii="Times New Roman" w:hAnsi="Times New Roman"/>
                      <w:color w:val="auto"/>
                      <w:kern w:val="0"/>
                      <w:sz w:val="18"/>
                      <w:szCs w:val="18"/>
                    </w:rPr>
                    <w:t>本项目危废仓库液态危废</w:t>
                  </w:r>
                  <w:r>
                    <w:rPr>
                      <w:rFonts w:hint="eastAsia" w:ascii="Times New Roman" w:hAnsi="Times New Roman"/>
                      <w:color w:val="auto"/>
                      <w:kern w:val="0"/>
                      <w:sz w:val="18"/>
                      <w:szCs w:val="18"/>
                    </w:rPr>
                    <w:t>拟</w:t>
                  </w:r>
                  <w:r>
                    <w:rPr>
                      <w:rFonts w:ascii="Times New Roman" w:hAnsi="Times New Roman"/>
                      <w:color w:val="auto"/>
                      <w:kern w:val="0"/>
                      <w:sz w:val="18"/>
                      <w:szCs w:val="18"/>
                    </w:rPr>
                    <w:t>设防泄漏托盘，收集面积大于最大液态废物容器容积。</w:t>
                  </w:r>
                </w:p>
              </w:tc>
              <w:tc>
                <w:tcPr>
                  <w:tcW w:w="473" w:type="pct"/>
                  <w:tcBorders>
                    <w:tl2br w:val="nil"/>
                    <w:tr2bl w:val="nil"/>
                  </w:tcBorders>
                  <w:noWrap/>
                  <w:vAlign w:val="center"/>
                </w:tcPr>
                <w:p w14:paraId="66A8B7FB">
                  <w:pPr>
                    <w:widowControl/>
                    <w:jc w:val="center"/>
                    <w:rPr>
                      <w:rFonts w:ascii="Times New Roman" w:hAnsi="Times New Roman"/>
                      <w:color w:val="auto"/>
                      <w:kern w:val="0"/>
                      <w:sz w:val="18"/>
                      <w:szCs w:val="18"/>
                    </w:rPr>
                  </w:pPr>
                  <w:r>
                    <w:rPr>
                      <w:rFonts w:ascii="Times New Roman" w:hAnsi="Times New Roman"/>
                      <w:color w:val="auto"/>
                      <w:kern w:val="0"/>
                      <w:sz w:val="18"/>
                      <w:szCs w:val="18"/>
                    </w:rPr>
                    <w:t>符合</w:t>
                  </w:r>
                </w:p>
              </w:tc>
            </w:tr>
            <w:tr w14:paraId="7CA01A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3" w:type="pct"/>
                  <w:tcBorders>
                    <w:tl2br w:val="nil"/>
                    <w:tr2bl w:val="nil"/>
                  </w:tcBorders>
                  <w:noWrap/>
                  <w:vAlign w:val="center"/>
                </w:tcPr>
                <w:p w14:paraId="228FE0F6">
                  <w:pPr>
                    <w:widowControl/>
                    <w:jc w:val="center"/>
                    <w:rPr>
                      <w:rFonts w:ascii="Times New Roman" w:hAnsi="Times New Roman"/>
                      <w:color w:val="auto"/>
                      <w:kern w:val="0"/>
                      <w:sz w:val="18"/>
                      <w:szCs w:val="18"/>
                    </w:rPr>
                  </w:pPr>
                  <w:r>
                    <w:rPr>
                      <w:rFonts w:hint="eastAsia" w:ascii="Times New Roman" w:hAnsi="Times New Roman"/>
                      <w:color w:val="auto"/>
                      <w:kern w:val="0"/>
                      <w:sz w:val="18"/>
                      <w:szCs w:val="18"/>
                    </w:rPr>
                    <w:t>7</w:t>
                  </w:r>
                </w:p>
              </w:tc>
              <w:tc>
                <w:tcPr>
                  <w:tcW w:w="2403" w:type="pct"/>
                  <w:tcBorders>
                    <w:tl2br w:val="nil"/>
                    <w:tr2bl w:val="nil"/>
                  </w:tcBorders>
                  <w:noWrap/>
                  <w:vAlign w:val="center"/>
                </w:tcPr>
                <w:p w14:paraId="21A15B69">
                  <w:pPr>
                    <w:widowControl/>
                    <w:jc w:val="left"/>
                    <w:rPr>
                      <w:rFonts w:ascii="Times New Roman" w:hAnsi="Times New Roman"/>
                      <w:color w:val="auto"/>
                      <w:kern w:val="0"/>
                      <w:sz w:val="18"/>
                      <w:szCs w:val="18"/>
                    </w:rPr>
                  </w:pPr>
                  <w:r>
                    <w:rPr>
                      <w:rFonts w:ascii="Times New Roman" w:hAnsi="Times New Roman"/>
                      <w:color w:val="auto"/>
                      <w:kern w:val="0"/>
                      <w:sz w:val="18"/>
                      <w:szCs w:val="18"/>
                    </w:rPr>
                    <w:t>贮存易产生粉尘、VOCs、酸雾、有毒有害大气污染物和刺激性气味气体的危险废物贮存库，应设置气体收集装置和气体净化设施</w:t>
                  </w:r>
                  <w:r>
                    <w:rPr>
                      <w:rFonts w:hint="eastAsia" w:ascii="Times New Roman" w:hAnsi="Times New Roman"/>
                      <w:color w:val="auto"/>
                      <w:kern w:val="0"/>
                      <w:sz w:val="18"/>
                      <w:szCs w:val="18"/>
                    </w:rPr>
                    <w:t>；</w:t>
                  </w:r>
                  <w:r>
                    <w:rPr>
                      <w:rFonts w:ascii="Times New Roman" w:hAnsi="Times New Roman"/>
                      <w:color w:val="auto"/>
                      <w:kern w:val="0"/>
                      <w:sz w:val="18"/>
                      <w:szCs w:val="18"/>
                    </w:rPr>
                    <w:t>气体净化设施的排气筒高 度应符合GB 16297要求</w:t>
                  </w:r>
                </w:p>
              </w:tc>
              <w:tc>
                <w:tcPr>
                  <w:tcW w:w="1609" w:type="pct"/>
                  <w:tcBorders>
                    <w:tl2br w:val="nil"/>
                    <w:tr2bl w:val="nil"/>
                  </w:tcBorders>
                  <w:noWrap/>
                  <w:vAlign w:val="center"/>
                </w:tcPr>
                <w:p w14:paraId="7A4C0E5B">
                  <w:pPr>
                    <w:widowControl/>
                    <w:jc w:val="left"/>
                    <w:rPr>
                      <w:rFonts w:hint="eastAsia" w:ascii="Times New Roman" w:hAnsi="Times New Roman" w:eastAsia="宋体"/>
                      <w:color w:val="auto"/>
                      <w:kern w:val="0"/>
                      <w:sz w:val="18"/>
                      <w:szCs w:val="18"/>
                      <w:lang w:val="en-US" w:eastAsia="zh-CN"/>
                    </w:rPr>
                  </w:pPr>
                  <w:r>
                    <w:rPr>
                      <w:rFonts w:hint="eastAsia" w:ascii="Times New Roman" w:hAnsi="Times New Roman"/>
                      <w:color w:val="auto"/>
                      <w:kern w:val="0"/>
                      <w:sz w:val="18"/>
                      <w:szCs w:val="18"/>
                    </w:rPr>
                    <w:t>本项目危废均放置于密闭容器中，且产生量较小，产生的有机废气量较小可忽略不计，危废仓库废气处理采用</w:t>
                  </w:r>
                  <w:r>
                    <w:rPr>
                      <w:rFonts w:hint="eastAsia" w:ascii="Times New Roman" w:hAnsi="Times New Roman"/>
                      <w:color w:val="auto"/>
                      <w:kern w:val="0"/>
                      <w:sz w:val="18"/>
                      <w:szCs w:val="18"/>
                      <w:lang w:val="en-US" w:eastAsia="zh-CN"/>
                    </w:rPr>
                    <w:t>集气罩收集后通过活性炭处理后经15m高排气筒（DA010）排放</w:t>
                  </w:r>
                  <w:r>
                    <w:rPr>
                      <w:rFonts w:hint="eastAsia" w:ascii="Times New Roman" w:hAnsi="Times New Roman"/>
                      <w:color w:val="auto"/>
                      <w:kern w:val="0"/>
                      <w:sz w:val="18"/>
                      <w:szCs w:val="18"/>
                      <w:lang w:eastAsia="zh-CN"/>
                    </w:rPr>
                    <w:t>。</w:t>
                  </w:r>
                </w:p>
              </w:tc>
              <w:tc>
                <w:tcPr>
                  <w:tcW w:w="473" w:type="pct"/>
                  <w:tcBorders>
                    <w:tl2br w:val="nil"/>
                    <w:tr2bl w:val="nil"/>
                  </w:tcBorders>
                  <w:noWrap/>
                  <w:vAlign w:val="center"/>
                </w:tcPr>
                <w:p w14:paraId="230B5CE2">
                  <w:pPr>
                    <w:widowControl/>
                    <w:jc w:val="center"/>
                    <w:rPr>
                      <w:rFonts w:ascii="Times New Roman" w:hAnsi="Times New Roman"/>
                      <w:color w:val="auto"/>
                      <w:kern w:val="0"/>
                      <w:sz w:val="18"/>
                      <w:szCs w:val="18"/>
                    </w:rPr>
                  </w:pPr>
                  <w:r>
                    <w:rPr>
                      <w:rFonts w:ascii="Times New Roman" w:hAnsi="Times New Roman"/>
                      <w:color w:val="auto"/>
                      <w:kern w:val="0"/>
                      <w:sz w:val="18"/>
                      <w:szCs w:val="18"/>
                    </w:rPr>
                    <w:t>符合</w:t>
                  </w:r>
                </w:p>
              </w:tc>
            </w:tr>
          </w:tbl>
          <w:p w14:paraId="6CE78F85">
            <w:pPr>
              <w:pStyle w:val="8"/>
              <w:pageBreakBefore w:val="0"/>
              <w:numPr>
                <w:ilvl w:val="0"/>
                <w:numId w:val="0"/>
              </w:numPr>
              <w:kinsoku/>
              <w:wordWrap/>
              <w:overflowPunct/>
              <w:topLinePunct w:val="0"/>
              <w:autoSpaceDE/>
              <w:autoSpaceDN/>
              <w:bidi w:val="0"/>
              <w:spacing w:before="139" w:line="360" w:lineRule="auto"/>
              <w:ind w:right="0" w:rightChars="0"/>
              <w:jc w:val="left"/>
              <w:textAlignment w:val="auto"/>
              <w:rPr>
                <w:rFonts w:hint="default" w:ascii="Times New Roman" w:hAnsi="Times New Roman"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（3）生活垃圾环境管理要求</w:t>
            </w:r>
          </w:p>
          <w:p w14:paraId="0423BB3F">
            <w:pPr>
              <w:keepNext w:val="0"/>
              <w:keepLines w:val="0"/>
              <w:pageBreakBefore w:val="0"/>
              <w:widowControl w:val="0"/>
              <w:kinsoku/>
              <w:wordWrap/>
              <w:overflowPunct/>
              <w:topLinePunct w:val="0"/>
              <w:autoSpaceDE/>
              <w:autoSpaceDN/>
              <w:bidi w:val="0"/>
              <w:adjustRightInd w:val="0"/>
              <w:snapToGrid w:val="0"/>
              <w:spacing w:line="360" w:lineRule="auto"/>
              <w:ind w:right="0" w:firstLine="380" w:firstLineChars="200"/>
              <w:textAlignment w:val="auto"/>
              <w:rPr>
                <w:rFonts w:hint="default" w:ascii="Times New Roman" w:hAnsi="Times New Roman" w:cs="Times New Roman"/>
                <w:bCs/>
                <w:color w:val="auto"/>
                <w:spacing w:val="-10"/>
                <w:sz w:val="21"/>
                <w:szCs w:val="21"/>
                <w:highlight w:val="none"/>
              </w:rPr>
            </w:pPr>
            <w:r>
              <w:rPr>
                <w:rFonts w:hint="default" w:ascii="Times New Roman" w:hAnsi="Times New Roman" w:cs="Times New Roman"/>
                <w:bCs/>
                <w:color w:val="auto"/>
                <w:spacing w:val="-10"/>
                <w:sz w:val="21"/>
                <w:szCs w:val="21"/>
                <w:highlight w:val="none"/>
              </w:rPr>
              <w:t>员工生活垃圾按性质分类，袋装后置于垃圾桶内，最终统一委托当地环卫部门上门清运。</w:t>
            </w:r>
          </w:p>
          <w:p w14:paraId="5C0A16C4">
            <w:pPr>
              <w:pStyle w:val="4"/>
              <w:pageBreakBefore w:val="0"/>
              <w:kinsoku/>
              <w:wordWrap/>
              <w:overflowPunct/>
              <w:topLinePunct w:val="0"/>
              <w:autoSpaceDE/>
              <w:autoSpaceDN/>
              <w:bidi w:val="0"/>
              <w:ind w:right="0"/>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w:t>
            </w:r>
            <w:r>
              <w:rPr>
                <w:rFonts w:hint="default" w:ascii="Times New Roman" w:hAnsi="Times New Roman" w:cs="Times New Roman"/>
                <w:color w:val="auto"/>
                <w:sz w:val="21"/>
                <w:szCs w:val="21"/>
                <w:lang w:val="en-US" w:eastAsia="zh-CN"/>
              </w:rPr>
              <w:t>、固废环境影响结论</w:t>
            </w:r>
          </w:p>
          <w:p w14:paraId="13696C84">
            <w:pPr>
              <w:pStyle w:val="8"/>
              <w:pageBreakBefore w:val="0"/>
              <w:numPr>
                <w:ilvl w:val="0"/>
                <w:numId w:val="0"/>
              </w:numPr>
              <w:kinsoku/>
              <w:wordWrap/>
              <w:overflowPunct/>
              <w:topLinePunct w:val="0"/>
              <w:autoSpaceDE/>
              <w:autoSpaceDN/>
              <w:bidi w:val="0"/>
              <w:spacing w:before="139" w:line="360" w:lineRule="auto"/>
              <w:ind w:right="0" w:rightChars="0" w:firstLine="380" w:firstLineChars="200"/>
              <w:jc w:val="left"/>
              <w:textAlignment w:val="auto"/>
              <w:rPr>
                <w:rFonts w:hint="default" w:ascii="Times New Roman" w:hAnsi="Times New Roman" w:cs="Times New Roman"/>
                <w:bCs/>
                <w:color w:val="auto"/>
                <w:spacing w:val="-10"/>
                <w:sz w:val="21"/>
                <w:szCs w:val="21"/>
                <w:highlight w:val="none"/>
              </w:rPr>
            </w:pPr>
            <w:r>
              <w:rPr>
                <w:rFonts w:hint="default" w:ascii="Times New Roman" w:hAnsi="Times New Roman" w:cs="Times New Roman"/>
                <w:bCs/>
                <w:color w:val="auto"/>
                <w:spacing w:val="-10"/>
                <w:sz w:val="21"/>
                <w:szCs w:val="21"/>
                <w:highlight w:val="none"/>
              </w:rPr>
              <w:t>综上，本项目产生的各类固体废物经收集后分类存放，暂存于指定区域，各类固废处置措施安全有效、去向明确，均可得到有效处理，最终固废外排量为零，对周围环境无影响。</w:t>
            </w:r>
          </w:p>
          <w:p w14:paraId="3A57C68B">
            <w:pPr>
              <w:pStyle w:val="3"/>
              <w:bidi w:val="0"/>
              <w:spacing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（五）地下水、土壤</w:t>
            </w:r>
          </w:p>
          <w:p w14:paraId="6E12D4C9">
            <w:pPr>
              <w:pStyle w:val="4"/>
              <w:bidi w:val="0"/>
              <w:spacing w:line="360" w:lineRule="auto"/>
              <w:rPr>
                <w:rFonts w:hint="default" w:ascii="Times New Roman" w:hAnsi="Times New Roman" w:cs="Times New Roman"/>
                <w:color w:val="auto"/>
              </w:rPr>
            </w:pPr>
            <w:r>
              <w:rPr>
                <w:rFonts w:hint="default" w:ascii="Times New Roman" w:hAnsi="Times New Roman" w:cs="Times New Roman"/>
                <w:color w:val="auto"/>
                <w:lang w:val="en-US" w:eastAsia="zh-CN"/>
              </w:rPr>
              <w:t>1、</w:t>
            </w:r>
            <w:r>
              <w:rPr>
                <w:rFonts w:hint="default" w:ascii="Times New Roman" w:hAnsi="Times New Roman" w:cs="Times New Roman"/>
                <w:color w:val="auto"/>
              </w:rPr>
              <w:t>地下水污染源、污染物类型及污染途径</w:t>
            </w:r>
          </w:p>
          <w:p w14:paraId="7542E8FE">
            <w:pPr>
              <w:pStyle w:val="8"/>
              <w:pageBreakBefore w:val="0"/>
              <w:numPr>
                <w:ilvl w:val="0"/>
                <w:numId w:val="0"/>
              </w:numPr>
              <w:kinsoku/>
              <w:wordWrap/>
              <w:overflowPunct/>
              <w:topLinePunct w:val="0"/>
              <w:autoSpaceDE/>
              <w:autoSpaceDN/>
              <w:bidi w:val="0"/>
              <w:adjustRightInd/>
              <w:spacing w:before="139" w:line="360" w:lineRule="auto"/>
              <w:ind w:right="0" w:rightChars="0" w:firstLine="380" w:firstLineChars="200"/>
              <w:jc w:val="left"/>
              <w:textAlignment w:val="auto"/>
              <w:rPr>
                <w:rFonts w:hint="default" w:ascii="Times New Roman" w:hAnsi="Times New Roman" w:eastAsia="宋体" w:cs="Times New Roman"/>
                <w:bCs/>
                <w:color w:val="auto"/>
                <w:spacing w:val="-10"/>
                <w:sz w:val="21"/>
                <w:szCs w:val="21"/>
                <w:highlight w:val="none"/>
                <w:u w:val="single"/>
                <w:lang w:val="en-US"/>
              </w:rPr>
            </w:pPr>
            <w:r>
              <w:rPr>
                <w:rFonts w:hint="default" w:ascii="Times New Roman" w:hAnsi="Times New Roman" w:eastAsia="宋体" w:cs="Times New Roman"/>
                <w:bCs/>
                <w:color w:val="auto"/>
                <w:spacing w:val="-10"/>
                <w:sz w:val="21"/>
                <w:szCs w:val="21"/>
                <w:highlight w:val="none"/>
              </w:rPr>
              <w:t>本项目可能对地下水造成污染的为</w:t>
            </w:r>
            <w:r>
              <w:rPr>
                <w:rFonts w:hint="eastAsia" w:cs="Times New Roman"/>
                <w:bCs/>
                <w:color w:val="auto"/>
                <w:spacing w:val="-10"/>
                <w:sz w:val="21"/>
                <w:szCs w:val="21"/>
                <w:highlight w:val="none"/>
                <w:u w:val="none"/>
                <w:lang w:val="en-US" w:eastAsia="zh-CN"/>
              </w:rPr>
              <w:t>危废仓库、一般固废仓库、原料仓库、生产车间</w:t>
            </w:r>
            <w:r>
              <w:rPr>
                <w:rFonts w:hint="eastAsia" w:cs="Times New Roman"/>
                <w:bCs/>
                <w:color w:val="auto"/>
                <w:spacing w:val="-10"/>
                <w:sz w:val="21"/>
                <w:szCs w:val="21"/>
                <w:highlight w:val="none"/>
                <w:lang w:eastAsia="zh-CN"/>
              </w:rPr>
              <w:t>。</w:t>
            </w:r>
          </w:p>
          <w:p w14:paraId="490DEA89">
            <w:pPr>
              <w:pStyle w:val="4"/>
              <w:pageBreakBefore w:val="0"/>
              <w:kinsoku/>
              <w:wordWrap/>
              <w:overflowPunct/>
              <w:topLinePunct w:val="0"/>
              <w:autoSpaceDE/>
              <w:autoSpaceDN/>
              <w:bidi w:val="0"/>
              <w:adjustRightInd/>
              <w:spacing w:line="360" w:lineRule="auto"/>
              <w:ind w:right="0"/>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2、</w:t>
            </w:r>
            <w:r>
              <w:rPr>
                <w:rFonts w:hint="default" w:ascii="Times New Roman" w:hAnsi="Times New Roman" w:cs="Times New Roman"/>
                <w:color w:val="auto"/>
              </w:rPr>
              <w:t>土壤污染源、污染物类型及污染途径</w:t>
            </w:r>
          </w:p>
          <w:p w14:paraId="2DB92DE9">
            <w:pPr>
              <w:pStyle w:val="8"/>
              <w:keepNext w:val="0"/>
              <w:pageBreakBefore w:val="0"/>
              <w:numPr>
                <w:ilvl w:val="0"/>
                <w:numId w:val="0"/>
              </w:numPr>
              <w:kinsoku/>
              <w:wordWrap/>
              <w:overflowPunct/>
              <w:topLinePunct w:val="0"/>
              <w:autoSpaceDE/>
              <w:autoSpaceDN/>
              <w:bidi w:val="0"/>
              <w:snapToGrid w:val="0"/>
              <w:spacing w:before="0" w:after="0" w:line="360" w:lineRule="auto"/>
              <w:ind w:right="0" w:rightChars="0" w:firstLine="420" w:firstLineChars="200"/>
              <w:jc w:val="left"/>
              <w:textAlignment w:val="auto"/>
              <w:rPr>
                <w:rFonts w:hint="default" w:ascii="Calibri" w:hAnsi="Calibri" w:cs="Calibri"/>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本项目对土壤环境的影响主要为大气沉降、垂直入渗，全厂不涉及露天堆放，暂不考虑地表漫流。</w:t>
            </w:r>
            <w:r>
              <w:rPr>
                <w:rFonts w:hint="default" w:ascii="Calibri" w:hAnsi="Calibri" w:cs="Calibri"/>
                <w:color w:val="auto"/>
                <w:sz w:val="21"/>
                <w:szCs w:val="21"/>
                <w:highlight w:val="none"/>
              </w:rPr>
              <w:t>本项目运营期生产过程中不抽取地下水，供水由市政自来水管网供给。由于项目生产涉及危废物质，项目的固废临时存放点必须实行地面硬化及涂层处理，并设顶棚和围墙，达到不扬散、不流失、不渗漏的要求。</w:t>
            </w:r>
          </w:p>
          <w:p w14:paraId="64970FBE">
            <w:pPr>
              <w:keepNext w:val="0"/>
              <w:keepLines/>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Calibri" w:hAnsi="Calibri" w:cs="Calibri"/>
                <w:color w:val="auto"/>
                <w:sz w:val="21"/>
                <w:szCs w:val="21"/>
                <w:highlight w:val="none"/>
              </w:rPr>
            </w:pPr>
            <w:r>
              <w:rPr>
                <w:rFonts w:hint="default" w:ascii="Calibri" w:hAnsi="Calibri" w:cs="Calibri"/>
                <w:color w:val="auto"/>
                <w:sz w:val="21"/>
                <w:szCs w:val="21"/>
                <w:highlight w:val="none"/>
              </w:rPr>
              <w:t>项目污染地下水、土壤的途径主要为固废临时存放点地面防渗层破裂，有害物泄漏并渗入地下导致地下水、土壤污染。各类固体废物处理不当，其中有害物质经雨水淋溶、流失，渗入地下导致地下水、土壤污染。</w:t>
            </w:r>
          </w:p>
          <w:p w14:paraId="4227D63C">
            <w:pPr>
              <w:pStyle w:val="8"/>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20" w:firstLineChars="200"/>
              <w:jc w:val="left"/>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SA"/>
              </w:rPr>
              <w:t>地下水、土壤污染源、污染物类型和污染途径见</w:t>
            </w:r>
            <w:r>
              <w:rPr>
                <w:rFonts w:hint="eastAsia" w:ascii="Times New Roman" w:hAnsi="Times New Roman" w:eastAsia="宋体" w:cs="Times New Roman"/>
                <w:color w:val="auto"/>
                <w:kern w:val="2"/>
                <w:sz w:val="21"/>
                <w:szCs w:val="24"/>
                <w:highlight w:val="none"/>
                <w:lang w:val="en-US" w:eastAsia="zh-CN" w:bidi="ar-SA"/>
              </w:rPr>
              <w:t>下表</w:t>
            </w:r>
            <w:r>
              <w:rPr>
                <w:rFonts w:hint="default" w:ascii="Times New Roman" w:hAnsi="Times New Roman" w:eastAsia="宋体" w:cs="Times New Roman"/>
                <w:color w:val="auto"/>
                <w:kern w:val="2"/>
                <w:sz w:val="21"/>
                <w:szCs w:val="24"/>
                <w:highlight w:val="none"/>
                <w:lang w:val="en-US" w:eastAsia="zh-CN" w:bidi="ar-SA"/>
              </w:rPr>
              <w:t>。</w:t>
            </w:r>
          </w:p>
          <w:p w14:paraId="489D9B00">
            <w:pPr>
              <w:pStyle w:val="8"/>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firstLine="382" w:firstLineChars="200"/>
              <w:jc w:val="center"/>
              <w:textAlignment w:val="auto"/>
              <w:rPr>
                <w:rFonts w:hint="default" w:ascii="Times New Roman" w:hAnsi="Times New Roman" w:cs="Times New Roman"/>
                <w:bCs/>
                <w:color w:val="auto"/>
                <w:spacing w:val="-10"/>
                <w:sz w:val="21"/>
                <w:szCs w:val="21"/>
                <w:highlight w:val="none"/>
                <w:lang w:val="en-US" w:eastAsia="zh-CN"/>
              </w:rPr>
            </w:pPr>
            <w:r>
              <w:rPr>
                <w:rFonts w:hint="default" w:ascii="Times New Roman" w:hAnsi="Times New Roman" w:eastAsia="宋体" w:cs="Times New Roman"/>
                <w:b/>
                <w:bCs w:val="0"/>
                <w:color w:val="auto"/>
                <w:spacing w:val="-10"/>
                <w:sz w:val="21"/>
                <w:szCs w:val="21"/>
                <w:highlight w:val="none"/>
                <w:lang w:val="en-US" w:eastAsia="zh-CN"/>
              </w:rPr>
              <w:t>表4-</w:t>
            </w:r>
            <w:r>
              <w:rPr>
                <w:rFonts w:hint="eastAsia" w:cs="Times New Roman"/>
                <w:b/>
                <w:bCs w:val="0"/>
                <w:color w:val="auto"/>
                <w:spacing w:val="-10"/>
                <w:sz w:val="21"/>
                <w:szCs w:val="21"/>
                <w:highlight w:val="none"/>
                <w:lang w:val="en-US" w:eastAsia="zh-CN"/>
              </w:rPr>
              <w:t xml:space="preserve">23 </w:t>
            </w:r>
            <w:r>
              <w:rPr>
                <w:rFonts w:hint="default" w:ascii="Times New Roman" w:hAnsi="Times New Roman" w:eastAsia="宋体" w:cs="Times New Roman"/>
                <w:b/>
                <w:bCs w:val="0"/>
                <w:color w:val="auto"/>
                <w:spacing w:val="-10"/>
                <w:sz w:val="21"/>
                <w:szCs w:val="21"/>
                <w:highlight w:val="none"/>
              </w:rPr>
              <w:t>地下水、土壤污染源、污染物类型和污染途径一览表</w:t>
            </w:r>
            <w:r>
              <w:rPr>
                <w:rFonts w:hint="default" w:ascii="Times New Roman" w:hAnsi="Times New Roman" w:cs="Times New Roman"/>
                <w:bCs/>
                <w:color w:val="auto"/>
                <w:spacing w:val="-10"/>
                <w:sz w:val="21"/>
                <w:szCs w:val="21"/>
                <w:highlight w:val="none"/>
                <w:lang w:val="en-US" w:eastAsia="zh-CN"/>
              </w:rPr>
              <w:t xml:space="preserve">  </w:t>
            </w:r>
          </w:p>
          <w:tbl>
            <w:tblPr>
              <w:tblStyle w:val="20"/>
              <w:tblW w:w="815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720"/>
              <w:gridCol w:w="2083"/>
              <w:gridCol w:w="1887"/>
              <w:gridCol w:w="2469"/>
            </w:tblGrid>
            <w:tr w14:paraId="21BD5F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3" w:hRule="atLeast"/>
                <w:jc w:val="center"/>
              </w:trPr>
              <w:tc>
                <w:tcPr>
                  <w:tcW w:w="1720" w:type="dxa"/>
                  <w:tcBorders>
                    <w:tl2br w:val="nil"/>
                    <w:tr2bl w:val="nil"/>
                  </w:tcBorders>
                  <w:noWrap w:val="0"/>
                  <w:vAlign w:val="center"/>
                </w:tcPr>
                <w:p w14:paraId="789A5FA7">
                  <w:pPr>
                    <w:ind w:right="6"/>
                    <w:jc w:val="center"/>
                    <w:rPr>
                      <w:rFonts w:hint="default" w:ascii="Times New Roman" w:hAnsi="Times New Roman" w:eastAsia="宋体" w:cs="Times New Roman"/>
                      <w:b/>
                      <w:bCs/>
                      <w:color w:val="auto"/>
                      <w:kern w:val="0"/>
                      <w:sz w:val="18"/>
                      <w:szCs w:val="18"/>
                      <w:highlight w:val="none"/>
                      <w:lang w:val="en-US" w:eastAsia="zh-CN"/>
                    </w:rPr>
                  </w:pPr>
                  <w:r>
                    <w:rPr>
                      <w:rFonts w:hint="default" w:ascii="Times New Roman" w:hAnsi="Times New Roman" w:eastAsia="宋体" w:cs="Times New Roman"/>
                      <w:b/>
                      <w:bCs/>
                      <w:color w:val="auto"/>
                      <w:kern w:val="0"/>
                      <w:sz w:val="18"/>
                      <w:szCs w:val="18"/>
                      <w:highlight w:val="none"/>
                      <w:lang w:val="en-US" w:eastAsia="zh-CN"/>
                    </w:rPr>
                    <w:t>污染源</w:t>
                  </w:r>
                </w:p>
              </w:tc>
              <w:tc>
                <w:tcPr>
                  <w:tcW w:w="2083" w:type="dxa"/>
                  <w:tcBorders>
                    <w:tl2br w:val="nil"/>
                    <w:tr2bl w:val="nil"/>
                  </w:tcBorders>
                  <w:noWrap w:val="0"/>
                  <w:vAlign w:val="center"/>
                </w:tcPr>
                <w:p w14:paraId="2071D000">
                  <w:pPr>
                    <w:ind w:right="6"/>
                    <w:jc w:val="center"/>
                    <w:rPr>
                      <w:rFonts w:hint="default" w:ascii="Times New Roman" w:hAnsi="Times New Roman" w:eastAsia="宋体" w:cs="Times New Roman"/>
                      <w:b/>
                      <w:bCs/>
                      <w:color w:val="auto"/>
                      <w:kern w:val="0"/>
                      <w:sz w:val="18"/>
                      <w:szCs w:val="18"/>
                      <w:highlight w:val="none"/>
                      <w:lang w:val="en-US" w:eastAsia="zh-CN"/>
                    </w:rPr>
                  </w:pPr>
                  <w:r>
                    <w:rPr>
                      <w:rFonts w:hint="eastAsia" w:ascii="Times New Roman" w:hAnsi="Times New Roman" w:eastAsia="宋体" w:cs="Times New Roman"/>
                      <w:b/>
                      <w:bCs/>
                      <w:color w:val="auto"/>
                      <w:kern w:val="0"/>
                      <w:sz w:val="18"/>
                      <w:szCs w:val="18"/>
                      <w:highlight w:val="none"/>
                      <w:lang w:val="en-US" w:eastAsia="zh-CN"/>
                    </w:rPr>
                    <w:t>污染物类型</w:t>
                  </w:r>
                </w:p>
              </w:tc>
              <w:tc>
                <w:tcPr>
                  <w:tcW w:w="1887" w:type="dxa"/>
                  <w:tcBorders>
                    <w:tl2br w:val="nil"/>
                    <w:tr2bl w:val="nil"/>
                  </w:tcBorders>
                  <w:noWrap w:val="0"/>
                  <w:vAlign w:val="center"/>
                </w:tcPr>
                <w:p w14:paraId="4E073459">
                  <w:pPr>
                    <w:ind w:right="6"/>
                    <w:jc w:val="center"/>
                    <w:rPr>
                      <w:rFonts w:hint="default" w:ascii="Times New Roman" w:hAnsi="Times New Roman" w:eastAsia="宋体" w:cs="Times New Roman"/>
                      <w:b/>
                      <w:bCs/>
                      <w:color w:val="auto"/>
                      <w:kern w:val="0"/>
                      <w:sz w:val="18"/>
                      <w:szCs w:val="18"/>
                      <w:highlight w:val="none"/>
                      <w:lang w:val="en-US" w:eastAsia="zh-CN"/>
                    </w:rPr>
                  </w:pPr>
                  <w:r>
                    <w:rPr>
                      <w:rFonts w:hint="default" w:ascii="Times New Roman" w:hAnsi="Times New Roman" w:eastAsia="宋体" w:cs="Times New Roman"/>
                      <w:b/>
                      <w:bCs/>
                      <w:color w:val="auto"/>
                      <w:kern w:val="0"/>
                      <w:sz w:val="18"/>
                      <w:szCs w:val="18"/>
                      <w:highlight w:val="none"/>
                      <w:lang w:val="en-US" w:eastAsia="zh-CN"/>
                    </w:rPr>
                    <w:t>污染途径</w:t>
                  </w:r>
                </w:p>
              </w:tc>
              <w:tc>
                <w:tcPr>
                  <w:tcW w:w="2469" w:type="dxa"/>
                  <w:tcBorders>
                    <w:tl2br w:val="nil"/>
                    <w:tr2bl w:val="nil"/>
                  </w:tcBorders>
                  <w:noWrap w:val="0"/>
                  <w:vAlign w:val="center"/>
                </w:tcPr>
                <w:p w14:paraId="78CB7826">
                  <w:pPr>
                    <w:ind w:right="6"/>
                    <w:jc w:val="center"/>
                    <w:rPr>
                      <w:rFonts w:hint="default" w:ascii="Times New Roman" w:hAnsi="Times New Roman" w:eastAsia="宋体" w:cs="Times New Roman"/>
                      <w:b/>
                      <w:bCs/>
                      <w:color w:val="auto"/>
                      <w:kern w:val="0"/>
                      <w:sz w:val="18"/>
                      <w:szCs w:val="18"/>
                      <w:highlight w:val="none"/>
                      <w:lang w:val="en-US" w:eastAsia="zh-CN"/>
                    </w:rPr>
                  </w:pPr>
                  <w:r>
                    <w:rPr>
                      <w:rFonts w:hint="default" w:ascii="Times New Roman" w:hAnsi="Times New Roman" w:eastAsia="宋体" w:cs="Times New Roman"/>
                      <w:b/>
                      <w:bCs/>
                      <w:color w:val="auto"/>
                      <w:kern w:val="0"/>
                      <w:sz w:val="18"/>
                      <w:szCs w:val="18"/>
                      <w:highlight w:val="none"/>
                      <w:lang w:val="en-US" w:eastAsia="zh-CN"/>
                    </w:rPr>
                    <w:t>污染</w:t>
                  </w:r>
                  <w:r>
                    <w:rPr>
                      <w:rFonts w:hint="eastAsia" w:ascii="Times New Roman" w:hAnsi="Times New Roman" w:eastAsia="宋体" w:cs="Times New Roman"/>
                      <w:b/>
                      <w:bCs/>
                      <w:color w:val="auto"/>
                      <w:kern w:val="0"/>
                      <w:sz w:val="18"/>
                      <w:szCs w:val="18"/>
                      <w:highlight w:val="none"/>
                      <w:lang w:val="en-US" w:eastAsia="zh-CN"/>
                    </w:rPr>
                    <w:t>物名称</w:t>
                  </w:r>
                </w:p>
              </w:tc>
            </w:tr>
            <w:tr w14:paraId="6AB592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1720" w:type="dxa"/>
                  <w:tcBorders>
                    <w:tl2br w:val="nil"/>
                    <w:tr2bl w:val="nil"/>
                  </w:tcBorders>
                  <w:noWrap w:val="0"/>
                  <w:vAlign w:val="center"/>
                </w:tcPr>
                <w:p w14:paraId="39B57D60">
                  <w:pPr>
                    <w:pStyle w:val="46"/>
                    <w:spacing w:before="117"/>
                    <w:ind w:left="195" w:right="160"/>
                    <w:jc w:val="center"/>
                    <w:rPr>
                      <w:rFonts w:hint="default" w:ascii="Times New Roman" w:hAnsi="Times New Roman" w:eastAsia="宋体" w:cs="Times New Roman"/>
                      <w:b w:val="0"/>
                      <w:bCs/>
                      <w:color w:val="auto"/>
                      <w:spacing w:val="-10"/>
                      <w:kern w:val="0"/>
                      <w:sz w:val="18"/>
                      <w:szCs w:val="18"/>
                      <w:highlight w:val="none"/>
                      <w:lang w:val="en-US" w:eastAsia="zh-CN" w:bidi="ar-SA"/>
                    </w:rPr>
                  </w:pPr>
                  <w:r>
                    <w:rPr>
                      <w:rFonts w:hint="default" w:ascii="Times New Roman" w:hAnsi="Times New Roman" w:eastAsia="宋体" w:cs="Times New Roman"/>
                      <w:b w:val="0"/>
                      <w:bCs/>
                      <w:color w:val="auto"/>
                      <w:spacing w:val="-10"/>
                      <w:kern w:val="0"/>
                      <w:sz w:val="18"/>
                      <w:szCs w:val="18"/>
                      <w:highlight w:val="none"/>
                      <w:lang w:val="en-US" w:eastAsia="zh-CN" w:bidi="ar-SA"/>
                    </w:rPr>
                    <w:t>危废仓库</w:t>
                  </w:r>
                </w:p>
              </w:tc>
              <w:tc>
                <w:tcPr>
                  <w:tcW w:w="2083" w:type="dxa"/>
                  <w:tcBorders>
                    <w:tl2br w:val="nil"/>
                    <w:tr2bl w:val="nil"/>
                  </w:tcBorders>
                  <w:noWrap w:val="0"/>
                  <w:vAlign w:val="center"/>
                </w:tcPr>
                <w:p w14:paraId="682623D7">
                  <w:pPr>
                    <w:pStyle w:val="46"/>
                    <w:spacing w:before="117"/>
                    <w:ind w:left="98" w:right="72"/>
                    <w:jc w:val="center"/>
                    <w:rPr>
                      <w:rFonts w:hint="default" w:ascii="Times New Roman" w:hAnsi="Times New Roman" w:eastAsia="宋体" w:cs="Times New Roman"/>
                      <w:b w:val="0"/>
                      <w:bCs/>
                      <w:color w:val="auto"/>
                      <w:spacing w:val="-10"/>
                      <w:kern w:val="0"/>
                      <w:sz w:val="18"/>
                      <w:szCs w:val="18"/>
                      <w:highlight w:val="none"/>
                      <w:lang w:val="en-US" w:eastAsia="zh-CN" w:bidi="ar-SA"/>
                    </w:rPr>
                  </w:pPr>
                  <w:r>
                    <w:rPr>
                      <w:rFonts w:hint="eastAsia" w:ascii="Times New Roman" w:hAnsi="Times New Roman" w:cs="Times New Roman"/>
                      <w:b w:val="0"/>
                      <w:bCs/>
                      <w:color w:val="auto"/>
                      <w:spacing w:val="-10"/>
                      <w:kern w:val="0"/>
                      <w:sz w:val="18"/>
                      <w:szCs w:val="18"/>
                      <w:highlight w:val="none"/>
                      <w:lang w:val="en-US" w:eastAsia="zh-CN" w:bidi="ar-SA"/>
                    </w:rPr>
                    <w:t>持久性有机物</w:t>
                  </w:r>
                </w:p>
              </w:tc>
              <w:tc>
                <w:tcPr>
                  <w:tcW w:w="1887" w:type="dxa"/>
                  <w:tcBorders>
                    <w:tl2br w:val="nil"/>
                    <w:tr2bl w:val="nil"/>
                  </w:tcBorders>
                  <w:noWrap w:val="0"/>
                  <w:vAlign w:val="center"/>
                </w:tcPr>
                <w:p w14:paraId="21B9BA7B">
                  <w:pPr>
                    <w:pStyle w:val="46"/>
                    <w:spacing w:before="117"/>
                    <w:jc w:val="center"/>
                    <w:rPr>
                      <w:rFonts w:hint="default" w:ascii="Times New Roman" w:hAnsi="Times New Roman" w:eastAsia="宋体" w:cs="Times New Roman"/>
                      <w:b w:val="0"/>
                      <w:bCs/>
                      <w:color w:val="auto"/>
                      <w:spacing w:val="-10"/>
                      <w:kern w:val="0"/>
                      <w:sz w:val="18"/>
                      <w:szCs w:val="18"/>
                      <w:highlight w:val="none"/>
                      <w:lang w:val="en-US" w:eastAsia="zh-CN" w:bidi="ar-SA"/>
                    </w:rPr>
                  </w:pPr>
                  <w:r>
                    <w:rPr>
                      <w:rFonts w:hint="eastAsia" w:ascii="Times New Roman" w:hAnsi="Times New Roman" w:cs="Times New Roman"/>
                      <w:b w:val="0"/>
                      <w:bCs/>
                      <w:color w:val="auto"/>
                      <w:spacing w:val="-10"/>
                      <w:kern w:val="0"/>
                      <w:sz w:val="18"/>
                      <w:szCs w:val="18"/>
                      <w:highlight w:val="none"/>
                      <w:lang w:val="en-US" w:eastAsia="zh-CN" w:bidi="ar-SA"/>
                    </w:rPr>
                    <w:t>泄漏</w:t>
                  </w:r>
                </w:p>
              </w:tc>
              <w:tc>
                <w:tcPr>
                  <w:tcW w:w="2469" w:type="dxa"/>
                  <w:tcBorders>
                    <w:tl2br w:val="nil"/>
                    <w:tr2bl w:val="nil"/>
                  </w:tcBorders>
                  <w:noWrap w:val="0"/>
                  <w:vAlign w:val="center"/>
                </w:tcPr>
                <w:p w14:paraId="6F717734">
                  <w:pPr>
                    <w:pStyle w:val="46"/>
                    <w:spacing w:before="117"/>
                    <w:ind w:left="105" w:right="77"/>
                    <w:jc w:val="center"/>
                    <w:rPr>
                      <w:rFonts w:hint="default" w:ascii="Times New Roman" w:hAnsi="Times New Roman" w:eastAsia="宋体" w:cs="Times New Roman"/>
                      <w:b w:val="0"/>
                      <w:bCs/>
                      <w:color w:val="auto"/>
                      <w:spacing w:val="-10"/>
                      <w:kern w:val="0"/>
                      <w:sz w:val="18"/>
                      <w:szCs w:val="18"/>
                      <w:highlight w:val="none"/>
                      <w:lang w:val="en-US" w:eastAsia="zh-CN" w:bidi="ar-SA"/>
                    </w:rPr>
                  </w:pPr>
                  <w:r>
                    <w:rPr>
                      <w:rFonts w:hint="eastAsia" w:ascii="Times New Roman" w:hAnsi="Times New Roman" w:cs="Times New Roman"/>
                      <w:b w:val="0"/>
                      <w:bCs/>
                      <w:color w:val="auto"/>
                      <w:spacing w:val="-10"/>
                      <w:kern w:val="0"/>
                      <w:sz w:val="18"/>
                      <w:szCs w:val="18"/>
                      <w:highlight w:val="none"/>
                      <w:lang w:val="en-US" w:eastAsia="zh-CN" w:bidi="ar-SA"/>
                    </w:rPr>
                    <w:t>危险废物</w:t>
                  </w:r>
                </w:p>
              </w:tc>
            </w:tr>
            <w:tr w14:paraId="67371C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7" w:hRule="atLeast"/>
                <w:jc w:val="center"/>
              </w:trPr>
              <w:tc>
                <w:tcPr>
                  <w:tcW w:w="1720" w:type="dxa"/>
                  <w:tcBorders>
                    <w:tl2br w:val="nil"/>
                    <w:tr2bl w:val="nil"/>
                  </w:tcBorders>
                  <w:noWrap w:val="0"/>
                  <w:vAlign w:val="center"/>
                </w:tcPr>
                <w:p w14:paraId="01EA75D9">
                  <w:pPr>
                    <w:pStyle w:val="46"/>
                    <w:spacing w:before="117"/>
                    <w:ind w:left="195" w:right="160"/>
                    <w:jc w:val="center"/>
                    <w:rPr>
                      <w:rFonts w:hint="default" w:ascii="Times New Roman" w:hAnsi="Times New Roman" w:eastAsia="宋体" w:cs="Times New Roman"/>
                      <w:b w:val="0"/>
                      <w:bCs/>
                      <w:color w:val="auto"/>
                      <w:spacing w:val="-10"/>
                      <w:kern w:val="0"/>
                      <w:sz w:val="18"/>
                      <w:szCs w:val="18"/>
                      <w:highlight w:val="none"/>
                      <w:lang w:val="en-US" w:eastAsia="zh-CN" w:bidi="ar-SA"/>
                    </w:rPr>
                  </w:pPr>
                  <w:r>
                    <w:rPr>
                      <w:rFonts w:hint="eastAsia" w:ascii="Times New Roman" w:hAnsi="Times New Roman" w:cs="Times New Roman"/>
                      <w:b w:val="0"/>
                      <w:bCs/>
                      <w:color w:val="auto"/>
                      <w:spacing w:val="-10"/>
                      <w:kern w:val="0"/>
                      <w:sz w:val="18"/>
                      <w:szCs w:val="18"/>
                      <w:highlight w:val="none"/>
                      <w:lang w:val="en-US" w:eastAsia="zh-CN" w:bidi="ar-SA"/>
                    </w:rPr>
                    <w:t>原料仓库</w:t>
                  </w:r>
                </w:p>
              </w:tc>
              <w:tc>
                <w:tcPr>
                  <w:tcW w:w="2083" w:type="dxa"/>
                  <w:tcBorders>
                    <w:tl2br w:val="nil"/>
                    <w:tr2bl w:val="nil"/>
                  </w:tcBorders>
                  <w:noWrap w:val="0"/>
                  <w:vAlign w:val="center"/>
                </w:tcPr>
                <w:p w14:paraId="453ACC99">
                  <w:pPr>
                    <w:pStyle w:val="46"/>
                    <w:spacing w:before="117"/>
                    <w:ind w:left="98" w:right="72"/>
                    <w:jc w:val="center"/>
                    <w:rPr>
                      <w:rFonts w:hint="default" w:ascii="Times New Roman" w:hAnsi="Times New Roman" w:eastAsia="宋体" w:cs="Times New Roman"/>
                      <w:b w:val="0"/>
                      <w:bCs/>
                      <w:color w:val="auto"/>
                      <w:spacing w:val="-10"/>
                      <w:kern w:val="0"/>
                      <w:sz w:val="18"/>
                      <w:szCs w:val="18"/>
                      <w:highlight w:val="none"/>
                      <w:lang w:val="en-US" w:eastAsia="zh-CN" w:bidi="ar-SA"/>
                    </w:rPr>
                  </w:pPr>
                  <w:r>
                    <w:rPr>
                      <w:rFonts w:hint="eastAsia" w:ascii="Times New Roman" w:hAnsi="Times New Roman" w:cs="Times New Roman"/>
                      <w:b w:val="0"/>
                      <w:bCs/>
                      <w:color w:val="auto"/>
                      <w:spacing w:val="-10"/>
                      <w:kern w:val="0"/>
                      <w:sz w:val="18"/>
                      <w:szCs w:val="18"/>
                      <w:highlight w:val="none"/>
                      <w:lang w:val="en-US" w:eastAsia="zh-CN" w:bidi="ar-SA"/>
                    </w:rPr>
                    <w:t>持久性有机物</w:t>
                  </w:r>
                </w:p>
              </w:tc>
              <w:tc>
                <w:tcPr>
                  <w:tcW w:w="1887" w:type="dxa"/>
                  <w:tcBorders>
                    <w:tl2br w:val="nil"/>
                    <w:tr2bl w:val="nil"/>
                  </w:tcBorders>
                  <w:noWrap w:val="0"/>
                  <w:vAlign w:val="center"/>
                </w:tcPr>
                <w:p w14:paraId="3FCD5969">
                  <w:pPr>
                    <w:pStyle w:val="46"/>
                    <w:spacing w:before="117"/>
                    <w:jc w:val="center"/>
                    <w:rPr>
                      <w:rFonts w:hint="default" w:ascii="Times New Roman" w:hAnsi="Times New Roman" w:eastAsia="宋体" w:cs="Times New Roman"/>
                      <w:b w:val="0"/>
                      <w:bCs/>
                      <w:color w:val="auto"/>
                      <w:spacing w:val="-10"/>
                      <w:kern w:val="0"/>
                      <w:sz w:val="18"/>
                      <w:szCs w:val="18"/>
                      <w:highlight w:val="none"/>
                      <w:lang w:val="en-US" w:eastAsia="zh-CN" w:bidi="ar-SA"/>
                    </w:rPr>
                  </w:pPr>
                  <w:r>
                    <w:rPr>
                      <w:rFonts w:hint="eastAsia" w:ascii="Times New Roman" w:hAnsi="Times New Roman" w:cs="Times New Roman"/>
                      <w:b w:val="0"/>
                      <w:bCs/>
                      <w:color w:val="auto"/>
                      <w:spacing w:val="-10"/>
                      <w:kern w:val="0"/>
                      <w:sz w:val="18"/>
                      <w:szCs w:val="18"/>
                      <w:highlight w:val="none"/>
                      <w:lang w:val="en-US" w:eastAsia="zh-CN" w:bidi="ar-SA"/>
                    </w:rPr>
                    <w:t>泄漏</w:t>
                  </w:r>
                </w:p>
              </w:tc>
              <w:tc>
                <w:tcPr>
                  <w:tcW w:w="2469" w:type="dxa"/>
                  <w:tcBorders>
                    <w:tl2br w:val="nil"/>
                    <w:tr2bl w:val="nil"/>
                  </w:tcBorders>
                  <w:noWrap w:val="0"/>
                  <w:vAlign w:val="center"/>
                </w:tcPr>
                <w:p w14:paraId="79B4A74C">
                  <w:pPr>
                    <w:pStyle w:val="46"/>
                    <w:spacing w:before="117"/>
                    <w:ind w:left="105" w:right="77"/>
                    <w:jc w:val="center"/>
                    <w:rPr>
                      <w:rFonts w:hint="default" w:ascii="Times New Roman" w:hAnsi="Times New Roman" w:eastAsia="宋体" w:cs="Times New Roman"/>
                      <w:b w:val="0"/>
                      <w:bCs/>
                      <w:color w:val="auto"/>
                      <w:spacing w:val="-10"/>
                      <w:kern w:val="0"/>
                      <w:sz w:val="18"/>
                      <w:szCs w:val="18"/>
                      <w:highlight w:val="none"/>
                      <w:lang w:val="en-US" w:eastAsia="zh-CN" w:bidi="ar-SA"/>
                    </w:rPr>
                  </w:pPr>
                  <w:r>
                    <w:rPr>
                      <w:rFonts w:hint="eastAsia" w:ascii="Times New Roman" w:hAnsi="Times New Roman" w:cs="Times New Roman"/>
                      <w:b w:val="0"/>
                      <w:bCs/>
                      <w:color w:val="auto"/>
                      <w:spacing w:val="-10"/>
                      <w:kern w:val="0"/>
                      <w:sz w:val="18"/>
                      <w:szCs w:val="18"/>
                      <w:highlight w:val="none"/>
                      <w:lang w:val="en-US" w:eastAsia="zh-CN" w:bidi="ar-SA"/>
                    </w:rPr>
                    <w:t>有机硅硬质涂层、防雾涂料、清洗剂等</w:t>
                  </w:r>
                </w:p>
              </w:tc>
            </w:tr>
            <w:tr w14:paraId="418B07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04" w:hRule="atLeast"/>
                <w:jc w:val="center"/>
              </w:trPr>
              <w:tc>
                <w:tcPr>
                  <w:tcW w:w="1720" w:type="dxa"/>
                  <w:tcBorders>
                    <w:tl2br w:val="nil"/>
                    <w:tr2bl w:val="nil"/>
                  </w:tcBorders>
                  <w:noWrap w:val="0"/>
                  <w:vAlign w:val="center"/>
                </w:tcPr>
                <w:p w14:paraId="14C670B0">
                  <w:pPr>
                    <w:pStyle w:val="46"/>
                    <w:spacing w:before="117"/>
                    <w:ind w:left="195" w:right="160"/>
                    <w:jc w:val="center"/>
                    <w:rPr>
                      <w:rFonts w:hint="default" w:ascii="Times New Roman" w:hAnsi="Times New Roman" w:eastAsia="宋体" w:cs="Times New Roman"/>
                      <w:b w:val="0"/>
                      <w:bCs/>
                      <w:color w:val="auto"/>
                      <w:spacing w:val="-10"/>
                      <w:kern w:val="0"/>
                      <w:sz w:val="18"/>
                      <w:szCs w:val="18"/>
                      <w:highlight w:val="none"/>
                      <w:lang w:val="en-US" w:eastAsia="zh-CN" w:bidi="ar-SA"/>
                    </w:rPr>
                  </w:pPr>
                  <w:r>
                    <w:rPr>
                      <w:rFonts w:hint="eastAsia" w:ascii="Times New Roman" w:hAnsi="Times New Roman" w:cs="Times New Roman"/>
                      <w:b w:val="0"/>
                      <w:bCs/>
                      <w:color w:val="auto"/>
                      <w:spacing w:val="-10"/>
                      <w:kern w:val="0"/>
                      <w:sz w:val="18"/>
                      <w:szCs w:val="18"/>
                      <w:highlight w:val="none"/>
                      <w:lang w:val="en-US" w:eastAsia="zh-CN" w:bidi="ar-SA"/>
                    </w:rPr>
                    <w:t>生产车间</w:t>
                  </w:r>
                </w:p>
              </w:tc>
              <w:tc>
                <w:tcPr>
                  <w:tcW w:w="2083" w:type="dxa"/>
                  <w:tcBorders>
                    <w:tl2br w:val="nil"/>
                    <w:tr2bl w:val="nil"/>
                  </w:tcBorders>
                  <w:noWrap w:val="0"/>
                  <w:vAlign w:val="center"/>
                </w:tcPr>
                <w:p w14:paraId="76D6F29C">
                  <w:pPr>
                    <w:pStyle w:val="46"/>
                    <w:spacing w:before="117"/>
                    <w:ind w:left="98" w:right="72"/>
                    <w:jc w:val="center"/>
                    <w:rPr>
                      <w:rFonts w:hint="default" w:ascii="Times New Roman" w:hAnsi="Times New Roman" w:eastAsia="宋体" w:cs="Times New Roman"/>
                      <w:b w:val="0"/>
                      <w:bCs/>
                      <w:color w:val="auto"/>
                      <w:spacing w:val="-10"/>
                      <w:kern w:val="0"/>
                      <w:sz w:val="18"/>
                      <w:szCs w:val="18"/>
                      <w:highlight w:val="none"/>
                      <w:lang w:val="en-US" w:eastAsia="zh-CN" w:bidi="ar-SA"/>
                    </w:rPr>
                  </w:pPr>
                  <w:r>
                    <w:rPr>
                      <w:rFonts w:hint="eastAsia" w:ascii="Times New Roman" w:hAnsi="Times New Roman" w:cs="Times New Roman"/>
                      <w:b w:val="0"/>
                      <w:bCs/>
                      <w:color w:val="auto"/>
                      <w:spacing w:val="-10"/>
                      <w:kern w:val="0"/>
                      <w:sz w:val="18"/>
                      <w:szCs w:val="18"/>
                      <w:highlight w:val="none"/>
                      <w:lang w:val="en-US" w:eastAsia="zh-CN" w:bidi="ar-SA"/>
                    </w:rPr>
                    <w:t>其他</w:t>
                  </w:r>
                </w:p>
              </w:tc>
              <w:tc>
                <w:tcPr>
                  <w:tcW w:w="1887" w:type="dxa"/>
                  <w:tcBorders>
                    <w:tl2br w:val="nil"/>
                    <w:tr2bl w:val="nil"/>
                  </w:tcBorders>
                  <w:noWrap w:val="0"/>
                  <w:vAlign w:val="center"/>
                </w:tcPr>
                <w:p w14:paraId="0D2B19DD">
                  <w:pPr>
                    <w:pStyle w:val="46"/>
                    <w:spacing w:before="117"/>
                    <w:jc w:val="center"/>
                    <w:rPr>
                      <w:rFonts w:hint="default" w:ascii="Times New Roman" w:hAnsi="Times New Roman" w:eastAsia="宋体" w:cs="Times New Roman"/>
                      <w:b w:val="0"/>
                      <w:bCs/>
                      <w:color w:val="auto"/>
                      <w:spacing w:val="-10"/>
                      <w:kern w:val="0"/>
                      <w:sz w:val="18"/>
                      <w:szCs w:val="18"/>
                      <w:highlight w:val="none"/>
                      <w:lang w:val="en-US" w:eastAsia="zh-CN" w:bidi="ar-SA"/>
                    </w:rPr>
                  </w:pPr>
                  <w:r>
                    <w:rPr>
                      <w:rFonts w:hint="eastAsia" w:ascii="Times New Roman" w:hAnsi="Times New Roman" w:cs="Times New Roman"/>
                      <w:b w:val="0"/>
                      <w:bCs/>
                      <w:color w:val="auto"/>
                      <w:spacing w:val="-10"/>
                      <w:kern w:val="0"/>
                      <w:sz w:val="18"/>
                      <w:szCs w:val="18"/>
                      <w:highlight w:val="none"/>
                      <w:lang w:val="en-US" w:eastAsia="zh-CN" w:bidi="ar-SA"/>
                    </w:rPr>
                    <w:t>泄漏</w:t>
                  </w:r>
                </w:p>
              </w:tc>
              <w:tc>
                <w:tcPr>
                  <w:tcW w:w="2469" w:type="dxa"/>
                  <w:tcBorders>
                    <w:tl2br w:val="nil"/>
                    <w:tr2bl w:val="nil"/>
                  </w:tcBorders>
                  <w:noWrap w:val="0"/>
                  <w:vAlign w:val="center"/>
                </w:tcPr>
                <w:p w14:paraId="59E6DBB4">
                  <w:pPr>
                    <w:pStyle w:val="46"/>
                    <w:spacing w:before="117"/>
                    <w:ind w:left="105" w:right="77"/>
                    <w:jc w:val="center"/>
                    <w:rPr>
                      <w:rFonts w:hint="default" w:ascii="Times New Roman" w:hAnsi="Times New Roman" w:eastAsia="宋体" w:cs="Times New Roman"/>
                      <w:b w:val="0"/>
                      <w:bCs/>
                      <w:color w:val="auto"/>
                      <w:spacing w:val="-10"/>
                      <w:kern w:val="0"/>
                      <w:sz w:val="18"/>
                      <w:szCs w:val="18"/>
                      <w:highlight w:val="none"/>
                      <w:lang w:val="en-US" w:eastAsia="zh-CN" w:bidi="ar-SA"/>
                    </w:rPr>
                  </w:pPr>
                  <w:r>
                    <w:rPr>
                      <w:rFonts w:hint="eastAsia" w:ascii="Times New Roman" w:hAnsi="Times New Roman" w:cs="Times New Roman"/>
                      <w:b w:val="0"/>
                      <w:bCs/>
                      <w:color w:val="auto"/>
                      <w:spacing w:val="-10"/>
                      <w:kern w:val="0"/>
                      <w:sz w:val="18"/>
                      <w:szCs w:val="18"/>
                      <w:highlight w:val="none"/>
                      <w:lang w:val="en-US" w:eastAsia="zh-CN" w:bidi="ar-SA"/>
                    </w:rPr>
                    <w:t>/</w:t>
                  </w:r>
                </w:p>
              </w:tc>
            </w:tr>
          </w:tbl>
          <w:p w14:paraId="04551B05">
            <w:pPr>
              <w:pStyle w:val="4"/>
              <w:bidi w:val="0"/>
              <w:rPr>
                <w:rFonts w:hint="default" w:ascii="Times New Roman" w:hAnsi="Times New Roman" w:cs="Times New Roman"/>
                <w:color w:val="auto"/>
              </w:rPr>
            </w:pPr>
            <w:r>
              <w:rPr>
                <w:rFonts w:hint="default" w:ascii="Times New Roman" w:hAnsi="Times New Roman" w:cs="Times New Roman"/>
                <w:color w:val="auto"/>
                <w:lang w:val="en-US" w:eastAsia="zh-CN"/>
              </w:rPr>
              <w:t>3、</w:t>
            </w:r>
            <w:r>
              <w:rPr>
                <w:rFonts w:hint="default" w:ascii="Times New Roman" w:hAnsi="Times New Roman" w:cs="Times New Roman"/>
                <w:color w:val="auto"/>
              </w:rPr>
              <w:t>土壤及地下水防治措施</w:t>
            </w:r>
          </w:p>
          <w:p w14:paraId="03679352">
            <w:pPr>
              <w:adjustRightInd w:val="0"/>
              <w:snapToGrid w:val="0"/>
              <w:spacing w:line="360" w:lineRule="auto"/>
              <w:ind w:firstLine="380" w:firstLineChars="200"/>
              <w:rPr>
                <w:rFonts w:hint="default" w:ascii="Times New Roman" w:hAnsi="Times New Roman" w:cs="Times New Roman"/>
                <w:bCs/>
                <w:color w:val="auto"/>
                <w:spacing w:val="-10"/>
                <w:sz w:val="21"/>
                <w:szCs w:val="21"/>
                <w:highlight w:val="none"/>
              </w:rPr>
            </w:pPr>
            <w:r>
              <w:rPr>
                <w:rFonts w:hint="default" w:ascii="Times New Roman" w:hAnsi="Times New Roman" w:cs="Times New Roman"/>
                <w:bCs/>
                <w:color w:val="auto"/>
                <w:spacing w:val="-10"/>
                <w:sz w:val="21"/>
                <w:szCs w:val="21"/>
                <w:highlight w:val="none"/>
              </w:rPr>
              <w:t>（1）源头控制</w:t>
            </w:r>
          </w:p>
          <w:p w14:paraId="16B1972E">
            <w:pPr>
              <w:adjustRightInd w:val="0"/>
              <w:snapToGrid w:val="0"/>
              <w:spacing w:line="360" w:lineRule="auto"/>
              <w:ind w:firstLine="420" w:firstLineChars="200"/>
              <w:rPr>
                <w:rFonts w:hint="default" w:ascii="Times New Roman" w:hAnsi="Times New Roman" w:cs="Times New Roman"/>
                <w:bCs/>
                <w:color w:val="auto"/>
                <w:spacing w:val="0"/>
                <w:sz w:val="21"/>
                <w:szCs w:val="21"/>
                <w:highlight w:val="none"/>
              </w:rPr>
            </w:pPr>
            <w:r>
              <w:rPr>
                <w:rFonts w:hint="default" w:ascii="Times New Roman" w:hAnsi="Times New Roman" w:cs="Times New Roman"/>
                <w:bCs/>
                <w:color w:val="auto"/>
                <w:spacing w:val="0"/>
                <w:sz w:val="21"/>
                <w:szCs w:val="21"/>
                <w:highlight w:val="none"/>
              </w:rPr>
              <w:t>主要包括提出实施清洁生产及各类废物循环利用的具体方案，减少污染物的排放量；提出工艺、设备、污水储存应采取的污染控制措施，将污染物跑、冒、滴、漏降到最低限度。</w:t>
            </w:r>
          </w:p>
          <w:p w14:paraId="3F515E63">
            <w:pPr>
              <w:adjustRightInd w:val="0"/>
              <w:snapToGrid w:val="0"/>
              <w:spacing w:line="360" w:lineRule="auto"/>
              <w:ind w:firstLine="380" w:firstLineChars="200"/>
              <w:rPr>
                <w:rFonts w:hint="default" w:ascii="Times New Roman" w:hAnsi="Times New Roman" w:cs="Times New Roman"/>
                <w:bCs/>
                <w:color w:val="auto"/>
                <w:spacing w:val="-10"/>
                <w:sz w:val="21"/>
                <w:szCs w:val="21"/>
                <w:highlight w:val="none"/>
              </w:rPr>
            </w:pPr>
            <w:r>
              <w:rPr>
                <w:rFonts w:hint="default" w:ascii="Times New Roman" w:hAnsi="Times New Roman" w:cs="Times New Roman"/>
                <w:bCs/>
                <w:color w:val="auto"/>
                <w:spacing w:val="-10"/>
                <w:sz w:val="21"/>
                <w:szCs w:val="21"/>
                <w:highlight w:val="none"/>
              </w:rPr>
              <w:t>（2）分区防渗</w:t>
            </w:r>
          </w:p>
          <w:p w14:paraId="6FFCBDAD">
            <w:pPr>
              <w:adjustRightInd w:val="0"/>
              <w:snapToGrid w:val="0"/>
              <w:spacing w:line="360" w:lineRule="auto"/>
              <w:ind w:firstLine="420" w:firstLineChars="20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根据项目区域各生产功能单元是否可能对地下、土壤造成污染，将项目区域划分为污染重点防渗区</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一般防渗区</w:t>
            </w:r>
            <w:r>
              <w:rPr>
                <w:rFonts w:hint="default" w:ascii="Times New Roman" w:hAnsi="Times New Roman" w:cs="Times New Roman"/>
                <w:color w:val="auto"/>
                <w:sz w:val="21"/>
                <w:szCs w:val="21"/>
                <w:highlight w:val="none"/>
                <w:lang w:eastAsia="zh-CN"/>
              </w:rPr>
              <w:t>和简单防渗区</w:t>
            </w:r>
            <w:r>
              <w:rPr>
                <w:rFonts w:hint="default" w:ascii="Times New Roman" w:hAnsi="Times New Roman" w:cs="Times New Roman"/>
                <w:color w:val="auto"/>
                <w:sz w:val="21"/>
                <w:szCs w:val="21"/>
                <w:highlight w:val="none"/>
              </w:rPr>
              <w:t>。</w:t>
            </w:r>
          </w:p>
          <w:p w14:paraId="3A6689C8">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分区防渗区划见</w:t>
            </w:r>
            <w:r>
              <w:rPr>
                <w:rFonts w:hint="eastAsia" w:ascii="Times New Roman" w:hAnsi="Times New Roman" w:cs="Times New Roman"/>
                <w:color w:val="auto"/>
                <w:sz w:val="21"/>
                <w:szCs w:val="21"/>
                <w:lang w:val="en-US" w:eastAsia="zh-CN"/>
              </w:rPr>
              <w:t>下表</w:t>
            </w:r>
            <w:r>
              <w:rPr>
                <w:rFonts w:hint="default" w:ascii="Times New Roman" w:hAnsi="Times New Roman" w:cs="Times New Roman"/>
                <w:color w:val="auto"/>
                <w:sz w:val="21"/>
                <w:szCs w:val="21"/>
              </w:rPr>
              <w:t>：</w:t>
            </w:r>
          </w:p>
          <w:p w14:paraId="0F855864">
            <w:pPr>
              <w:adjustRightInd w:val="0"/>
              <w:snapToGrid w:val="0"/>
              <w:spacing w:line="240" w:lineRule="auto"/>
              <w:ind w:firstLine="422" w:firstLineChars="20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kern w:val="0"/>
                <w:sz w:val="21"/>
                <w:szCs w:val="21"/>
              </w:rPr>
              <w:t>表4-</w:t>
            </w:r>
            <w:r>
              <w:rPr>
                <w:rFonts w:hint="eastAsia" w:cs="Times New Roman"/>
                <w:b/>
                <w:bCs/>
                <w:color w:val="auto"/>
                <w:kern w:val="0"/>
                <w:sz w:val="21"/>
                <w:szCs w:val="21"/>
                <w:lang w:val="en-US" w:eastAsia="zh-CN"/>
              </w:rPr>
              <w:t>24</w:t>
            </w:r>
            <w:r>
              <w:rPr>
                <w:rFonts w:hint="default" w:ascii="Times New Roman" w:hAnsi="Times New Roman" w:cs="Times New Roman"/>
                <w:b/>
                <w:bCs/>
                <w:color w:val="auto"/>
                <w:kern w:val="0"/>
                <w:sz w:val="21"/>
                <w:szCs w:val="21"/>
              </w:rPr>
              <w:t xml:space="preserve"> 本项目分区防渗方案及防渗措施表</w:t>
            </w:r>
          </w:p>
          <w:tbl>
            <w:tblPr>
              <w:tblStyle w:val="20"/>
              <w:tblW w:w="82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99"/>
              <w:gridCol w:w="1200"/>
              <w:gridCol w:w="1867"/>
              <w:gridCol w:w="4351"/>
            </w:tblGrid>
            <w:tr w14:paraId="44A6A7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08" w:hRule="atLeast"/>
                <w:jc w:val="center"/>
              </w:trPr>
              <w:tc>
                <w:tcPr>
                  <w:tcW w:w="799" w:type="dxa"/>
                  <w:noWrap w:val="0"/>
                  <w:vAlign w:val="center"/>
                </w:tcPr>
                <w:p w14:paraId="02CFCCE4">
                  <w:pPr>
                    <w:ind w:right="6"/>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序号</w:t>
                  </w:r>
                </w:p>
              </w:tc>
              <w:tc>
                <w:tcPr>
                  <w:tcW w:w="1200" w:type="dxa"/>
                  <w:noWrap w:val="0"/>
                  <w:vAlign w:val="center"/>
                </w:tcPr>
                <w:p w14:paraId="761677D4">
                  <w:pPr>
                    <w:ind w:right="6"/>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防治分区</w:t>
                  </w:r>
                </w:p>
              </w:tc>
              <w:tc>
                <w:tcPr>
                  <w:tcW w:w="1867" w:type="dxa"/>
                  <w:noWrap w:val="0"/>
                  <w:vAlign w:val="center"/>
                </w:tcPr>
                <w:p w14:paraId="6A416B60">
                  <w:pPr>
                    <w:ind w:right="6"/>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分区位置</w:t>
                  </w:r>
                </w:p>
              </w:tc>
              <w:tc>
                <w:tcPr>
                  <w:tcW w:w="4351" w:type="dxa"/>
                  <w:noWrap w:val="0"/>
                  <w:vAlign w:val="center"/>
                </w:tcPr>
                <w:p w14:paraId="2697BCC4">
                  <w:pPr>
                    <w:ind w:right="6"/>
                    <w:jc w:val="center"/>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防渗要求</w:t>
                  </w:r>
                </w:p>
              </w:tc>
            </w:tr>
            <w:tr w14:paraId="34A585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177" w:hRule="atLeast"/>
                <w:jc w:val="center"/>
              </w:trPr>
              <w:tc>
                <w:tcPr>
                  <w:tcW w:w="799" w:type="dxa"/>
                  <w:vMerge w:val="restart"/>
                  <w:tcBorders>
                    <w:top w:val="single" w:color="auto" w:sz="4" w:space="0"/>
                  </w:tcBorders>
                  <w:noWrap w:val="0"/>
                  <w:vAlign w:val="center"/>
                </w:tcPr>
                <w:p w14:paraId="404242E3">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w:t>
                  </w:r>
                </w:p>
              </w:tc>
              <w:tc>
                <w:tcPr>
                  <w:tcW w:w="1200" w:type="dxa"/>
                  <w:vMerge w:val="restart"/>
                  <w:tcBorders>
                    <w:top w:val="single" w:color="auto" w:sz="4" w:space="0"/>
                  </w:tcBorders>
                  <w:noWrap w:val="0"/>
                  <w:vAlign w:val="center"/>
                </w:tcPr>
                <w:p w14:paraId="7A361895">
                  <w:pPr>
                    <w:jc w:val="center"/>
                    <w:rPr>
                      <w:rFonts w:hint="default" w:ascii="Times New Roman" w:hAnsi="Times New Roman" w:eastAsia="宋体" w:cs="Times New Roman"/>
                      <w:bCs/>
                      <w:color w:val="auto"/>
                      <w:sz w:val="18"/>
                      <w:szCs w:val="18"/>
                      <w:lang w:val="en-US" w:eastAsia="zh-CN"/>
                    </w:rPr>
                  </w:pPr>
                  <w:r>
                    <w:rPr>
                      <w:rFonts w:hint="default" w:ascii="Times New Roman" w:hAnsi="Times New Roman" w:cs="Times New Roman"/>
                      <w:bCs/>
                      <w:color w:val="auto"/>
                      <w:sz w:val="18"/>
                      <w:szCs w:val="18"/>
                    </w:rPr>
                    <w:t>重点</w:t>
                  </w:r>
                  <w:r>
                    <w:rPr>
                      <w:rFonts w:hint="default" w:ascii="Times New Roman" w:hAnsi="Times New Roman" w:cs="Times New Roman"/>
                      <w:bCs/>
                      <w:color w:val="auto"/>
                      <w:sz w:val="18"/>
                      <w:szCs w:val="18"/>
                      <w:lang w:val="en-US" w:eastAsia="zh-CN"/>
                    </w:rPr>
                    <w:t>防渗区</w:t>
                  </w:r>
                </w:p>
              </w:tc>
              <w:tc>
                <w:tcPr>
                  <w:tcW w:w="1867" w:type="dxa"/>
                  <w:noWrap w:val="0"/>
                  <w:vAlign w:val="center"/>
                </w:tcPr>
                <w:p w14:paraId="015F0DE4">
                  <w:pPr>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危废仓库</w:t>
                  </w:r>
                </w:p>
              </w:tc>
              <w:tc>
                <w:tcPr>
                  <w:tcW w:w="4351" w:type="dxa"/>
                  <w:vMerge w:val="restart"/>
                  <w:noWrap w:val="0"/>
                  <w:vAlign w:val="center"/>
                </w:tcPr>
                <w:p w14:paraId="404F5CE4">
                  <w:pPr>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val="en-US" w:eastAsia="zh-CN"/>
                    </w:rPr>
                    <w:t>等效黏土防渗层Mb≥</w:t>
                  </w:r>
                  <w:r>
                    <w:rPr>
                      <w:rFonts w:hint="default" w:ascii="Times New Roman" w:hAnsi="Times New Roman" w:cs="Times New Roman"/>
                      <w:color w:val="auto"/>
                      <w:kern w:val="0"/>
                      <w:sz w:val="18"/>
                      <w:szCs w:val="18"/>
                      <w:lang w:val="en-US" w:eastAsia="zh-CN"/>
                    </w:rPr>
                    <w:t>6</w:t>
                  </w:r>
                  <w:r>
                    <w:rPr>
                      <w:rFonts w:hint="default" w:ascii="Times New Roman" w:hAnsi="Times New Roman" w:eastAsia="宋体" w:cs="Times New Roman"/>
                      <w:color w:val="auto"/>
                      <w:kern w:val="0"/>
                      <w:sz w:val="18"/>
                      <w:szCs w:val="18"/>
                      <w:lang w:val="en-US" w:eastAsia="zh-CN"/>
                    </w:rPr>
                    <w:t>m，K≤1×10</w:t>
                  </w:r>
                  <w:r>
                    <w:rPr>
                      <w:rFonts w:hint="default" w:ascii="Times New Roman" w:hAnsi="Times New Roman" w:eastAsia="宋体" w:cs="Times New Roman"/>
                      <w:color w:val="auto"/>
                      <w:kern w:val="0"/>
                      <w:sz w:val="18"/>
                      <w:szCs w:val="18"/>
                      <w:vertAlign w:val="superscript"/>
                      <w:lang w:val="en-US" w:eastAsia="zh-CN"/>
                    </w:rPr>
                    <w:t>-7</w:t>
                  </w:r>
                  <w:r>
                    <w:rPr>
                      <w:rFonts w:hint="default" w:ascii="Times New Roman" w:hAnsi="Times New Roman" w:eastAsia="宋体" w:cs="Times New Roman"/>
                      <w:color w:val="auto"/>
                      <w:kern w:val="0"/>
                      <w:sz w:val="18"/>
                      <w:szCs w:val="18"/>
                      <w:lang w:val="en-US" w:eastAsia="zh-CN"/>
                    </w:rPr>
                    <w:t>cm/s；或2mm厚高密度聚乙烯，或至少2mm厚的其他人工材料，渗透系数≤10</w:t>
                  </w:r>
                  <w:r>
                    <w:rPr>
                      <w:rFonts w:hint="default" w:ascii="Times New Roman" w:hAnsi="Times New Roman" w:eastAsia="宋体" w:cs="Times New Roman"/>
                      <w:color w:val="auto"/>
                      <w:kern w:val="0"/>
                      <w:sz w:val="18"/>
                      <w:szCs w:val="18"/>
                      <w:vertAlign w:val="superscript"/>
                      <w:lang w:val="en-US" w:eastAsia="zh-CN"/>
                    </w:rPr>
                    <w:t>-10</w:t>
                  </w:r>
                  <w:r>
                    <w:rPr>
                      <w:rFonts w:hint="default" w:ascii="Times New Roman" w:hAnsi="Times New Roman" w:eastAsia="宋体" w:cs="Times New Roman"/>
                      <w:color w:val="auto"/>
                      <w:kern w:val="0"/>
                      <w:sz w:val="18"/>
                      <w:szCs w:val="18"/>
                      <w:lang w:val="en-US" w:eastAsia="zh-CN"/>
                    </w:rPr>
                    <w:t>cm/s，或参照GB1859</w:t>
                  </w:r>
                  <w:r>
                    <w:rPr>
                      <w:rFonts w:hint="default" w:ascii="Times New Roman" w:hAnsi="Times New Roman" w:cs="Times New Roman"/>
                      <w:color w:val="auto"/>
                      <w:kern w:val="0"/>
                      <w:sz w:val="18"/>
                      <w:szCs w:val="18"/>
                      <w:lang w:val="en-US" w:eastAsia="zh-CN"/>
                    </w:rPr>
                    <w:t>8</w:t>
                  </w:r>
                  <w:r>
                    <w:rPr>
                      <w:rFonts w:hint="default" w:ascii="Times New Roman" w:hAnsi="Times New Roman" w:eastAsia="宋体" w:cs="Times New Roman"/>
                      <w:color w:val="auto"/>
                      <w:kern w:val="0"/>
                      <w:sz w:val="18"/>
                      <w:szCs w:val="18"/>
                      <w:lang w:val="en-US" w:eastAsia="zh-CN"/>
                    </w:rPr>
                    <w:t>执行</w:t>
                  </w:r>
                </w:p>
              </w:tc>
            </w:tr>
            <w:tr w14:paraId="483E7A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177" w:hRule="atLeast"/>
                <w:jc w:val="center"/>
              </w:trPr>
              <w:tc>
                <w:tcPr>
                  <w:tcW w:w="799" w:type="dxa"/>
                  <w:vMerge w:val="continue"/>
                  <w:noWrap w:val="0"/>
                  <w:vAlign w:val="center"/>
                </w:tcPr>
                <w:p w14:paraId="01054382">
                  <w:pPr>
                    <w:jc w:val="center"/>
                    <w:rPr>
                      <w:color w:val="auto"/>
                    </w:rPr>
                  </w:pPr>
                </w:p>
              </w:tc>
              <w:tc>
                <w:tcPr>
                  <w:tcW w:w="1200" w:type="dxa"/>
                  <w:vMerge w:val="continue"/>
                  <w:noWrap w:val="0"/>
                  <w:vAlign w:val="center"/>
                </w:tcPr>
                <w:p w14:paraId="54C0EC1D">
                  <w:pPr>
                    <w:jc w:val="center"/>
                    <w:rPr>
                      <w:color w:val="auto"/>
                    </w:rPr>
                  </w:pPr>
                </w:p>
              </w:tc>
              <w:tc>
                <w:tcPr>
                  <w:tcW w:w="1867" w:type="dxa"/>
                  <w:noWrap w:val="0"/>
                  <w:vAlign w:val="center"/>
                </w:tcPr>
                <w:p w14:paraId="74DF13A7">
                  <w:pPr>
                    <w:jc w:val="center"/>
                    <w:rPr>
                      <w:rFonts w:hint="default" w:cs="Times New Roman"/>
                      <w:color w:val="auto"/>
                      <w:kern w:val="0"/>
                      <w:sz w:val="18"/>
                      <w:szCs w:val="18"/>
                      <w:lang w:val="en-US" w:eastAsia="zh-CN"/>
                    </w:rPr>
                  </w:pPr>
                  <w:r>
                    <w:rPr>
                      <w:rFonts w:hint="eastAsia" w:cs="Times New Roman"/>
                      <w:color w:val="auto"/>
                      <w:kern w:val="0"/>
                      <w:sz w:val="18"/>
                      <w:szCs w:val="18"/>
                      <w:lang w:val="en-US" w:eastAsia="zh-CN"/>
                    </w:rPr>
                    <w:t>喷涂车间</w:t>
                  </w:r>
                </w:p>
              </w:tc>
              <w:tc>
                <w:tcPr>
                  <w:tcW w:w="4351" w:type="dxa"/>
                  <w:vMerge w:val="continue"/>
                  <w:noWrap w:val="0"/>
                  <w:vAlign w:val="center"/>
                </w:tcPr>
                <w:p w14:paraId="141EF408">
                  <w:pPr>
                    <w:jc w:val="center"/>
                    <w:rPr>
                      <w:rFonts w:hint="eastAsia" w:cs="Times New Roman"/>
                      <w:color w:val="auto"/>
                      <w:kern w:val="0"/>
                      <w:sz w:val="18"/>
                      <w:szCs w:val="18"/>
                      <w:lang w:val="en-US" w:eastAsia="zh-CN"/>
                    </w:rPr>
                  </w:pPr>
                </w:p>
              </w:tc>
            </w:tr>
            <w:tr w14:paraId="238297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177" w:hRule="atLeast"/>
                <w:jc w:val="center"/>
              </w:trPr>
              <w:tc>
                <w:tcPr>
                  <w:tcW w:w="799" w:type="dxa"/>
                  <w:vMerge w:val="continue"/>
                  <w:noWrap w:val="0"/>
                  <w:vAlign w:val="center"/>
                </w:tcPr>
                <w:p w14:paraId="49170ACD">
                  <w:pPr>
                    <w:jc w:val="center"/>
                    <w:rPr>
                      <w:rFonts w:hint="eastAsia" w:cs="Times New Roman"/>
                      <w:color w:val="auto"/>
                      <w:kern w:val="0"/>
                      <w:sz w:val="18"/>
                      <w:szCs w:val="18"/>
                      <w:lang w:val="en-US" w:eastAsia="zh-CN"/>
                    </w:rPr>
                  </w:pPr>
                </w:p>
              </w:tc>
              <w:tc>
                <w:tcPr>
                  <w:tcW w:w="1200" w:type="dxa"/>
                  <w:vMerge w:val="continue"/>
                  <w:noWrap w:val="0"/>
                  <w:vAlign w:val="center"/>
                </w:tcPr>
                <w:p w14:paraId="57ED0285">
                  <w:pPr>
                    <w:jc w:val="center"/>
                    <w:rPr>
                      <w:rFonts w:hint="eastAsia" w:cs="Times New Roman"/>
                      <w:color w:val="auto"/>
                      <w:kern w:val="0"/>
                      <w:sz w:val="18"/>
                      <w:szCs w:val="18"/>
                      <w:lang w:val="en-US" w:eastAsia="zh-CN"/>
                    </w:rPr>
                  </w:pPr>
                </w:p>
              </w:tc>
              <w:tc>
                <w:tcPr>
                  <w:tcW w:w="1867" w:type="dxa"/>
                  <w:noWrap w:val="0"/>
                  <w:vAlign w:val="center"/>
                </w:tcPr>
                <w:p w14:paraId="287A418E">
                  <w:pPr>
                    <w:jc w:val="center"/>
                    <w:rPr>
                      <w:rFonts w:hint="default" w:cs="Times New Roman"/>
                      <w:color w:val="auto"/>
                      <w:kern w:val="0"/>
                      <w:sz w:val="18"/>
                      <w:szCs w:val="18"/>
                      <w:lang w:val="en-US" w:eastAsia="zh-CN"/>
                    </w:rPr>
                  </w:pPr>
                  <w:r>
                    <w:rPr>
                      <w:rFonts w:hint="eastAsia" w:cs="Times New Roman"/>
                      <w:color w:val="auto"/>
                      <w:kern w:val="0"/>
                      <w:sz w:val="18"/>
                      <w:szCs w:val="18"/>
                      <w:lang w:val="en-US" w:eastAsia="zh-CN"/>
                    </w:rPr>
                    <w:t>事故应急池</w:t>
                  </w:r>
                </w:p>
              </w:tc>
              <w:tc>
                <w:tcPr>
                  <w:tcW w:w="4351" w:type="dxa"/>
                  <w:vMerge w:val="continue"/>
                  <w:noWrap w:val="0"/>
                  <w:vAlign w:val="center"/>
                </w:tcPr>
                <w:p w14:paraId="3A32A199">
                  <w:pPr>
                    <w:jc w:val="center"/>
                    <w:rPr>
                      <w:rFonts w:hint="eastAsia" w:cs="Times New Roman"/>
                      <w:color w:val="auto"/>
                      <w:kern w:val="0"/>
                      <w:sz w:val="18"/>
                      <w:szCs w:val="18"/>
                      <w:lang w:val="en-US" w:eastAsia="zh-CN"/>
                    </w:rPr>
                  </w:pPr>
                </w:p>
              </w:tc>
            </w:tr>
            <w:tr w14:paraId="1DAC93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177" w:hRule="atLeast"/>
                <w:jc w:val="center"/>
              </w:trPr>
              <w:tc>
                <w:tcPr>
                  <w:tcW w:w="799" w:type="dxa"/>
                  <w:vMerge w:val="continue"/>
                  <w:tcBorders>
                    <w:bottom w:val="single" w:color="auto" w:sz="4" w:space="0"/>
                  </w:tcBorders>
                  <w:noWrap w:val="0"/>
                  <w:vAlign w:val="center"/>
                </w:tcPr>
                <w:p w14:paraId="26DFC7F0">
                  <w:pPr>
                    <w:jc w:val="center"/>
                    <w:rPr>
                      <w:rFonts w:hint="eastAsia" w:cs="Times New Roman"/>
                      <w:color w:val="auto"/>
                      <w:kern w:val="0"/>
                      <w:sz w:val="18"/>
                      <w:szCs w:val="18"/>
                      <w:lang w:val="en-US" w:eastAsia="zh-CN"/>
                    </w:rPr>
                  </w:pPr>
                </w:p>
              </w:tc>
              <w:tc>
                <w:tcPr>
                  <w:tcW w:w="1200" w:type="dxa"/>
                  <w:vMerge w:val="continue"/>
                  <w:tcBorders>
                    <w:bottom w:val="single" w:color="auto" w:sz="4" w:space="0"/>
                  </w:tcBorders>
                  <w:noWrap w:val="0"/>
                  <w:vAlign w:val="center"/>
                </w:tcPr>
                <w:p w14:paraId="75C6A215">
                  <w:pPr>
                    <w:jc w:val="center"/>
                    <w:rPr>
                      <w:rFonts w:hint="eastAsia" w:cs="Times New Roman"/>
                      <w:color w:val="auto"/>
                      <w:kern w:val="0"/>
                      <w:sz w:val="18"/>
                      <w:szCs w:val="18"/>
                      <w:lang w:val="en-US" w:eastAsia="zh-CN"/>
                    </w:rPr>
                  </w:pPr>
                </w:p>
              </w:tc>
              <w:tc>
                <w:tcPr>
                  <w:tcW w:w="1867" w:type="dxa"/>
                  <w:noWrap w:val="0"/>
                  <w:vAlign w:val="center"/>
                </w:tcPr>
                <w:p w14:paraId="3A673F53">
                  <w:pPr>
                    <w:jc w:val="center"/>
                    <w:rPr>
                      <w:rFonts w:hint="default" w:cs="Times New Roman"/>
                      <w:color w:val="auto"/>
                      <w:kern w:val="0"/>
                      <w:sz w:val="18"/>
                      <w:szCs w:val="18"/>
                      <w:lang w:val="en-US" w:eastAsia="zh-CN"/>
                    </w:rPr>
                  </w:pPr>
                  <w:r>
                    <w:rPr>
                      <w:rFonts w:hint="eastAsia" w:cs="Times New Roman"/>
                      <w:color w:val="auto"/>
                      <w:kern w:val="0"/>
                      <w:sz w:val="18"/>
                      <w:szCs w:val="18"/>
                      <w:lang w:val="en-US" w:eastAsia="zh-CN"/>
                    </w:rPr>
                    <w:t>原料仓库（防爆柜周边区域）</w:t>
                  </w:r>
                </w:p>
              </w:tc>
              <w:tc>
                <w:tcPr>
                  <w:tcW w:w="4351" w:type="dxa"/>
                  <w:vMerge w:val="continue"/>
                  <w:noWrap w:val="0"/>
                  <w:vAlign w:val="center"/>
                </w:tcPr>
                <w:p w14:paraId="063E21D6">
                  <w:pPr>
                    <w:jc w:val="center"/>
                    <w:rPr>
                      <w:rFonts w:hint="eastAsia" w:cs="Times New Roman"/>
                      <w:color w:val="auto"/>
                      <w:kern w:val="0"/>
                      <w:sz w:val="18"/>
                      <w:szCs w:val="18"/>
                      <w:lang w:val="en-US" w:eastAsia="zh-CN"/>
                    </w:rPr>
                  </w:pPr>
                </w:p>
              </w:tc>
            </w:tr>
            <w:tr w14:paraId="2ADE70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68" w:hRule="atLeast"/>
                <w:jc w:val="center"/>
              </w:trPr>
              <w:tc>
                <w:tcPr>
                  <w:tcW w:w="799" w:type="dxa"/>
                  <w:tcBorders>
                    <w:top w:val="single" w:color="auto" w:sz="4" w:space="0"/>
                  </w:tcBorders>
                  <w:noWrap w:val="0"/>
                  <w:vAlign w:val="center"/>
                </w:tcPr>
                <w:p w14:paraId="50545F9B">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w:t>
                  </w:r>
                </w:p>
              </w:tc>
              <w:tc>
                <w:tcPr>
                  <w:tcW w:w="1200" w:type="dxa"/>
                  <w:vMerge w:val="restart"/>
                  <w:tcBorders>
                    <w:top w:val="single" w:color="auto" w:sz="4" w:space="0"/>
                  </w:tcBorders>
                  <w:noWrap w:val="0"/>
                  <w:vAlign w:val="center"/>
                </w:tcPr>
                <w:p w14:paraId="3361FE52">
                  <w:pPr>
                    <w:jc w:val="center"/>
                    <w:rPr>
                      <w:rFonts w:hint="default"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rPr>
                    <w:t>一般</w:t>
                  </w:r>
                  <w:r>
                    <w:rPr>
                      <w:rFonts w:hint="default" w:ascii="Times New Roman" w:hAnsi="Times New Roman" w:cs="Times New Roman"/>
                      <w:color w:val="auto"/>
                      <w:kern w:val="0"/>
                      <w:sz w:val="18"/>
                      <w:szCs w:val="18"/>
                      <w:lang w:val="en-US" w:eastAsia="zh-CN"/>
                    </w:rPr>
                    <w:t>防渗区</w:t>
                  </w:r>
                </w:p>
              </w:tc>
              <w:tc>
                <w:tcPr>
                  <w:tcW w:w="1867" w:type="dxa"/>
                  <w:shd w:val="clear" w:color="auto" w:fill="auto"/>
                  <w:noWrap w:val="0"/>
                  <w:vAlign w:val="center"/>
                </w:tcPr>
                <w:p w14:paraId="299EC4C8">
                  <w:pPr>
                    <w:jc w:val="center"/>
                    <w:rPr>
                      <w:rFonts w:hint="eastAsia"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rPr>
                    <w:t>生产车间</w:t>
                  </w:r>
                </w:p>
              </w:tc>
              <w:tc>
                <w:tcPr>
                  <w:tcW w:w="4351" w:type="dxa"/>
                  <w:vMerge w:val="restart"/>
                  <w:noWrap w:val="0"/>
                  <w:vAlign w:val="center"/>
                </w:tcPr>
                <w:p w14:paraId="02E658AB">
                  <w:pPr>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val="en-US" w:eastAsia="zh-CN"/>
                    </w:rPr>
                    <w:t>等效黏土防渗层Mb≥1.5m，K≤1×10</w:t>
                  </w:r>
                  <w:r>
                    <w:rPr>
                      <w:rFonts w:hint="default" w:ascii="Times New Roman" w:hAnsi="Times New Roman" w:eastAsia="宋体" w:cs="Times New Roman"/>
                      <w:color w:val="auto"/>
                      <w:kern w:val="0"/>
                      <w:sz w:val="18"/>
                      <w:szCs w:val="18"/>
                      <w:vertAlign w:val="superscript"/>
                      <w:lang w:val="en-US" w:eastAsia="zh-CN"/>
                    </w:rPr>
                    <w:t>-7</w:t>
                  </w:r>
                  <w:r>
                    <w:rPr>
                      <w:rFonts w:hint="default" w:ascii="Times New Roman" w:hAnsi="Times New Roman" w:eastAsia="宋体" w:cs="Times New Roman"/>
                      <w:color w:val="auto"/>
                      <w:kern w:val="0"/>
                      <w:sz w:val="18"/>
                      <w:szCs w:val="18"/>
                      <w:lang w:val="en-US" w:eastAsia="zh-CN"/>
                    </w:rPr>
                    <w:t>cm/s；或参照GB16889执行</w:t>
                  </w:r>
                </w:p>
              </w:tc>
            </w:tr>
            <w:tr w14:paraId="3CF493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68" w:hRule="atLeast"/>
                <w:jc w:val="center"/>
              </w:trPr>
              <w:tc>
                <w:tcPr>
                  <w:tcW w:w="799" w:type="dxa"/>
                  <w:shd w:val="clear" w:color="auto" w:fill="auto"/>
                  <w:noWrap w:val="0"/>
                  <w:vAlign w:val="center"/>
                </w:tcPr>
                <w:p w14:paraId="38995165">
                  <w:pPr>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3</w:t>
                  </w:r>
                </w:p>
              </w:tc>
              <w:tc>
                <w:tcPr>
                  <w:tcW w:w="1200" w:type="dxa"/>
                  <w:vMerge w:val="continue"/>
                  <w:noWrap w:val="0"/>
                  <w:vAlign w:val="center"/>
                </w:tcPr>
                <w:p w14:paraId="3468718C">
                  <w:pPr>
                    <w:jc w:val="center"/>
                    <w:rPr>
                      <w:rFonts w:hint="default" w:ascii="Times New Roman" w:hAnsi="Times New Roman" w:cs="Times New Roman"/>
                      <w:color w:val="auto"/>
                      <w:kern w:val="0"/>
                      <w:sz w:val="18"/>
                      <w:szCs w:val="18"/>
                    </w:rPr>
                  </w:pPr>
                </w:p>
              </w:tc>
              <w:tc>
                <w:tcPr>
                  <w:tcW w:w="1867" w:type="dxa"/>
                  <w:shd w:val="clear" w:color="auto" w:fill="auto"/>
                  <w:noWrap w:val="0"/>
                  <w:vAlign w:val="center"/>
                </w:tcPr>
                <w:p w14:paraId="0D242CEC">
                  <w:pPr>
                    <w:jc w:val="center"/>
                    <w:rPr>
                      <w:rFonts w:hint="eastAsia"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rPr>
                    <w:t>一般固废仓库</w:t>
                  </w:r>
                </w:p>
              </w:tc>
              <w:tc>
                <w:tcPr>
                  <w:tcW w:w="4351" w:type="dxa"/>
                  <w:vMerge w:val="continue"/>
                  <w:noWrap w:val="0"/>
                  <w:vAlign w:val="center"/>
                </w:tcPr>
                <w:p w14:paraId="517A7573">
                  <w:pPr>
                    <w:jc w:val="center"/>
                    <w:rPr>
                      <w:rFonts w:hint="default" w:ascii="Times New Roman" w:hAnsi="Times New Roman" w:cs="Times New Roman"/>
                      <w:color w:val="auto"/>
                      <w:kern w:val="0"/>
                      <w:sz w:val="18"/>
                      <w:szCs w:val="18"/>
                    </w:rPr>
                  </w:pPr>
                </w:p>
              </w:tc>
            </w:tr>
            <w:tr w14:paraId="46C241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68" w:hRule="atLeast"/>
                <w:jc w:val="center"/>
              </w:trPr>
              <w:tc>
                <w:tcPr>
                  <w:tcW w:w="799" w:type="dxa"/>
                  <w:shd w:val="clear" w:color="auto" w:fill="auto"/>
                  <w:noWrap w:val="0"/>
                  <w:vAlign w:val="center"/>
                </w:tcPr>
                <w:p w14:paraId="2326763F">
                  <w:pPr>
                    <w:jc w:val="center"/>
                    <w:rPr>
                      <w:rFonts w:hint="eastAsia"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4</w:t>
                  </w:r>
                </w:p>
              </w:tc>
              <w:tc>
                <w:tcPr>
                  <w:tcW w:w="1200" w:type="dxa"/>
                  <w:vMerge w:val="continue"/>
                  <w:noWrap w:val="0"/>
                  <w:vAlign w:val="center"/>
                </w:tcPr>
                <w:p w14:paraId="4723761D">
                  <w:pPr>
                    <w:jc w:val="center"/>
                    <w:rPr>
                      <w:rFonts w:hint="default" w:ascii="Times New Roman" w:hAnsi="Times New Roman" w:cs="Times New Roman"/>
                      <w:color w:val="auto"/>
                      <w:kern w:val="0"/>
                      <w:sz w:val="18"/>
                      <w:szCs w:val="18"/>
                    </w:rPr>
                  </w:pPr>
                </w:p>
              </w:tc>
              <w:tc>
                <w:tcPr>
                  <w:tcW w:w="1867" w:type="dxa"/>
                  <w:shd w:val="clear" w:color="auto" w:fill="auto"/>
                  <w:noWrap w:val="0"/>
                  <w:vAlign w:val="center"/>
                </w:tcPr>
                <w:p w14:paraId="77C52D76">
                  <w:pPr>
                    <w:jc w:val="center"/>
                    <w:rPr>
                      <w:rFonts w:hint="eastAsia" w:cs="Times New Roman"/>
                      <w:color w:val="auto"/>
                      <w:kern w:val="0"/>
                      <w:sz w:val="18"/>
                      <w:szCs w:val="18"/>
                      <w:highlight w:val="none"/>
                      <w:lang w:val="en-US" w:eastAsia="zh-CN"/>
                    </w:rPr>
                  </w:pPr>
                  <w:r>
                    <w:rPr>
                      <w:rFonts w:hint="eastAsia" w:cs="Times New Roman"/>
                      <w:color w:val="auto"/>
                      <w:kern w:val="0"/>
                      <w:sz w:val="18"/>
                      <w:szCs w:val="18"/>
                      <w:lang w:val="en-US" w:eastAsia="zh-CN"/>
                    </w:rPr>
                    <w:t>原料仓库（除防爆柜周边以外区域）</w:t>
                  </w:r>
                </w:p>
              </w:tc>
              <w:tc>
                <w:tcPr>
                  <w:tcW w:w="4351" w:type="dxa"/>
                  <w:vMerge w:val="continue"/>
                  <w:noWrap w:val="0"/>
                  <w:vAlign w:val="center"/>
                </w:tcPr>
                <w:p w14:paraId="5902E86A">
                  <w:pPr>
                    <w:jc w:val="center"/>
                    <w:rPr>
                      <w:rFonts w:hint="default" w:ascii="Times New Roman" w:hAnsi="Times New Roman" w:cs="Times New Roman"/>
                      <w:color w:val="auto"/>
                      <w:kern w:val="0"/>
                      <w:sz w:val="18"/>
                      <w:szCs w:val="18"/>
                    </w:rPr>
                  </w:pPr>
                </w:p>
              </w:tc>
            </w:tr>
            <w:tr w14:paraId="535F51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68" w:hRule="atLeast"/>
                <w:jc w:val="center"/>
              </w:trPr>
              <w:tc>
                <w:tcPr>
                  <w:tcW w:w="799" w:type="dxa"/>
                  <w:noWrap w:val="0"/>
                  <w:vAlign w:val="center"/>
                </w:tcPr>
                <w:p w14:paraId="24E5EA02">
                  <w:pPr>
                    <w:jc w:val="center"/>
                    <w:rPr>
                      <w:rFonts w:hint="eastAsia"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5</w:t>
                  </w:r>
                </w:p>
              </w:tc>
              <w:tc>
                <w:tcPr>
                  <w:tcW w:w="1200" w:type="dxa"/>
                  <w:vMerge w:val="continue"/>
                  <w:noWrap w:val="0"/>
                  <w:vAlign w:val="center"/>
                </w:tcPr>
                <w:p w14:paraId="07505C25">
                  <w:pPr>
                    <w:jc w:val="center"/>
                    <w:rPr>
                      <w:rFonts w:hint="default" w:ascii="Times New Roman" w:hAnsi="Times New Roman" w:cs="Times New Roman"/>
                      <w:color w:val="auto"/>
                      <w:kern w:val="0"/>
                      <w:sz w:val="18"/>
                      <w:szCs w:val="18"/>
                    </w:rPr>
                  </w:pPr>
                </w:p>
              </w:tc>
              <w:tc>
                <w:tcPr>
                  <w:tcW w:w="1867" w:type="dxa"/>
                  <w:shd w:val="clear" w:color="auto" w:fill="auto"/>
                  <w:noWrap w:val="0"/>
                  <w:vAlign w:val="center"/>
                </w:tcPr>
                <w:p w14:paraId="1D1AA8F2">
                  <w:pPr>
                    <w:jc w:val="center"/>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rPr>
                    <w:t>成品仓库</w:t>
                  </w:r>
                </w:p>
              </w:tc>
              <w:tc>
                <w:tcPr>
                  <w:tcW w:w="4351" w:type="dxa"/>
                  <w:vMerge w:val="continue"/>
                  <w:noWrap w:val="0"/>
                  <w:vAlign w:val="center"/>
                </w:tcPr>
                <w:p w14:paraId="02603178">
                  <w:pPr>
                    <w:jc w:val="center"/>
                    <w:rPr>
                      <w:rFonts w:hint="default" w:ascii="Times New Roman" w:hAnsi="Times New Roman" w:cs="Times New Roman"/>
                      <w:color w:val="auto"/>
                      <w:kern w:val="0"/>
                      <w:sz w:val="18"/>
                      <w:szCs w:val="18"/>
                    </w:rPr>
                  </w:pPr>
                </w:p>
              </w:tc>
            </w:tr>
            <w:tr w14:paraId="1C5BA4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29" w:hRule="atLeast"/>
                <w:jc w:val="center"/>
              </w:trPr>
              <w:tc>
                <w:tcPr>
                  <w:tcW w:w="799" w:type="dxa"/>
                  <w:noWrap w:val="0"/>
                  <w:vAlign w:val="center"/>
                </w:tcPr>
                <w:p w14:paraId="59D57F63">
                  <w:pPr>
                    <w:jc w:val="center"/>
                    <w:rPr>
                      <w:rFonts w:hint="eastAsia"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6</w:t>
                  </w:r>
                </w:p>
              </w:tc>
              <w:tc>
                <w:tcPr>
                  <w:tcW w:w="1200" w:type="dxa"/>
                  <w:noWrap w:val="0"/>
                  <w:vAlign w:val="center"/>
                </w:tcPr>
                <w:p w14:paraId="69FC4C9A">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简单防渗区</w:t>
                  </w:r>
                </w:p>
              </w:tc>
              <w:tc>
                <w:tcPr>
                  <w:tcW w:w="1867" w:type="dxa"/>
                  <w:noWrap w:val="0"/>
                  <w:vAlign w:val="center"/>
                </w:tcPr>
                <w:p w14:paraId="213934AE">
                  <w:pPr>
                    <w:jc w:val="center"/>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厂区道路、行政办公区</w:t>
                  </w:r>
                </w:p>
              </w:tc>
              <w:tc>
                <w:tcPr>
                  <w:tcW w:w="4351" w:type="dxa"/>
                  <w:noWrap w:val="0"/>
                  <w:vAlign w:val="center"/>
                </w:tcPr>
                <w:p w14:paraId="0FD8CBD8">
                  <w:pPr>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一般地面硬化</w:t>
                  </w:r>
                </w:p>
              </w:tc>
            </w:tr>
          </w:tbl>
          <w:p w14:paraId="5378D052">
            <w:pPr>
              <w:pStyle w:val="4"/>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跟踪监测</w:t>
            </w:r>
          </w:p>
          <w:p w14:paraId="77908CF0">
            <w:pPr>
              <w:adjustRightInd w:val="0"/>
              <w:snapToGrid w:val="0"/>
              <w:spacing w:line="360" w:lineRule="auto"/>
              <w:ind w:firstLine="420" w:firstLineChars="200"/>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本项目无跟踪监测要求。</w:t>
            </w:r>
          </w:p>
          <w:p w14:paraId="341E7542">
            <w:pPr>
              <w:pStyle w:val="4"/>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土壤及地下水</w:t>
            </w:r>
            <w:r>
              <w:rPr>
                <w:rFonts w:hint="default" w:ascii="Times New Roman" w:hAnsi="Times New Roman" w:cs="Times New Roman"/>
                <w:color w:val="auto"/>
                <w:sz w:val="21"/>
                <w:szCs w:val="21"/>
                <w:lang w:val="en-US" w:eastAsia="zh-CN"/>
              </w:rPr>
              <w:t>环境影响结论</w:t>
            </w:r>
          </w:p>
          <w:p w14:paraId="7085AB96">
            <w:pPr>
              <w:numPr>
                <w:ilvl w:val="0"/>
                <w:numId w:val="0"/>
              </w:numPr>
              <w:spacing w:line="360" w:lineRule="auto"/>
              <w:ind w:right="0" w:rightChars="0" w:firstLine="420" w:firstLineChars="20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本项目建成后，相关环保措施到位后，对土壤及地下水的影响非常小，环境影响可接受。</w:t>
            </w:r>
          </w:p>
          <w:p w14:paraId="7F575F15">
            <w:pPr>
              <w:pStyle w:val="3"/>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（六）生态</w:t>
            </w:r>
          </w:p>
          <w:p w14:paraId="647E98E3">
            <w:pPr>
              <w:pStyle w:val="8"/>
              <w:spacing w:line="360" w:lineRule="auto"/>
              <w:rPr>
                <w:rFonts w:hint="default" w:ascii="Times New Roman" w:hAnsi="Times New Roman" w:cs="Times New Roman"/>
                <w:b/>
                <w:bCs w:val="0"/>
                <w:color w:val="auto"/>
                <w:spacing w:val="-10"/>
                <w:sz w:val="21"/>
                <w:szCs w:val="21"/>
                <w:highlight w:val="none"/>
                <w:lang w:val="en-US" w:eastAsia="zh-CN"/>
              </w:rPr>
            </w:pPr>
            <w:r>
              <w:rPr>
                <w:rFonts w:hint="default" w:ascii="Times New Roman" w:hAnsi="Times New Roman" w:cs="Times New Roman"/>
                <w:color w:val="auto"/>
                <w:sz w:val="21"/>
                <w:szCs w:val="21"/>
                <w:lang w:val="en-US" w:eastAsia="zh-CN"/>
              </w:rPr>
              <w:t xml:space="preserve">    本项目位于南通市海门经济技术开发区滨江街道福州路179号，用地范围内无环境保护目标，无生态影响。</w:t>
            </w:r>
          </w:p>
          <w:p w14:paraId="7A81C9B3">
            <w:pPr>
              <w:pStyle w:val="3"/>
              <w:bidi w:val="0"/>
              <w:spacing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（七）环境风险</w:t>
            </w:r>
          </w:p>
          <w:p w14:paraId="5C1A9C0F">
            <w:pPr>
              <w:pStyle w:val="4"/>
              <w:bidi w:val="0"/>
              <w:spacing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r>
              <w:rPr>
                <w:rFonts w:hint="eastAsia" w:ascii="Times New Roman" w:hAnsi="Times New Roman" w:cs="Times New Roman"/>
                <w:color w:val="auto"/>
                <w:lang w:val="en-US" w:eastAsia="zh-CN"/>
              </w:rPr>
              <w:t>风险初判</w:t>
            </w:r>
          </w:p>
          <w:p w14:paraId="65DA825A">
            <w:pPr>
              <w:spacing w:line="360" w:lineRule="auto"/>
              <w:ind w:firstLine="420" w:firstLineChars="200"/>
              <w:rPr>
                <w:rFonts w:hint="default"/>
                <w:color w:val="auto"/>
                <w:u w:val="single"/>
                <w:lang w:val="en-US" w:eastAsia="zh-CN"/>
              </w:rPr>
            </w:pPr>
            <w:r>
              <w:rPr>
                <w:rFonts w:hint="default" w:ascii="Times New Roman" w:hAnsi="Times New Roman" w:eastAsia="宋体" w:cs="Times New Roman"/>
                <w:color w:val="auto"/>
                <w:sz w:val="21"/>
                <w:szCs w:val="21"/>
                <w:lang w:val="en-US" w:eastAsia="zh-CN" w:bidi="zh-CN"/>
              </w:rPr>
              <w:t>本项目涉及的危险物质为</w:t>
            </w:r>
            <w:r>
              <w:rPr>
                <w:rFonts w:hint="eastAsia" w:ascii="Times New Roman" w:hAnsi="Times New Roman" w:eastAsia="宋体" w:cs="Times New Roman"/>
                <w:color w:val="auto"/>
                <w:sz w:val="21"/>
                <w:szCs w:val="21"/>
                <w:lang w:val="en-US" w:eastAsia="zh-CN" w:bidi="zh-CN"/>
              </w:rPr>
              <w:t>有机硅硬质涂层、防雾涂料、清洗剂、</w:t>
            </w:r>
            <w:r>
              <w:rPr>
                <w:rFonts w:hint="eastAsia" w:cs="Times New Roman"/>
                <w:color w:val="auto"/>
                <w:sz w:val="21"/>
                <w:szCs w:val="21"/>
                <w:lang w:val="en-US" w:eastAsia="zh-CN" w:bidi="zh-CN"/>
              </w:rPr>
              <w:t>危险废物（</w:t>
            </w:r>
            <w:r>
              <w:rPr>
                <w:rFonts w:hint="eastAsia" w:ascii="Times New Roman" w:hAnsi="Times New Roman" w:eastAsia="宋体" w:cs="Times New Roman"/>
                <w:color w:val="auto"/>
                <w:sz w:val="21"/>
                <w:szCs w:val="21"/>
                <w:lang w:val="en-US" w:eastAsia="zh-CN" w:bidi="zh-CN"/>
              </w:rPr>
              <w:t>废包装、</w:t>
            </w:r>
            <w:r>
              <w:rPr>
                <w:rFonts w:hint="eastAsia" w:cs="Times New Roman"/>
                <w:color w:val="auto"/>
                <w:sz w:val="21"/>
                <w:szCs w:val="21"/>
                <w:lang w:val="en-US" w:eastAsia="zh-CN"/>
              </w:rPr>
              <w:t>废活性炭、废清洗剂、漆渣、废过滤棉、</w:t>
            </w:r>
            <w:r>
              <w:rPr>
                <w:rFonts w:hint="eastAsia" w:cs="Times New Roman"/>
                <w:color w:val="auto"/>
                <w:sz w:val="21"/>
                <w:szCs w:val="21"/>
                <w:lang w:val="en-US" w:eastAsia="zh-CN"/>
              </w:rPr>
              <w:t>废润滑油、废紫外灯管</w:t>
            </w:r>
            <w:r>
              <w:rPr>
                <w:rFonts w:hint="eastAsia" w:cs="Times New Roman"/>
                <w:color w:val="auto"/>
                <w:sz w:val="21"/>
                <w:szCs w:val="21"/>
                <w:lang w:val="en-US" w:eastAsia="zh-CN" w:bidi="zh-CN"/>
              </w:rPr>
              <w:t>）</w:t>
            </w:r>
            <w:r>
              <w:rPr>
                <w:rFonts w:hint="eastAsia" w:cs="Times New Roman"/>
                <w:color w:val="auto"/>
                <w:sz w:val="21"/>
                <w:szCs w:val="21"/>
                <w:lang w:val="en-US" w:eastAsia="zh-CN"/>
              </w:rPr>
              <w:t>。</w:t>
            </w:r>
          </w:p>
          <w:p w14:paraId="6DCFF947">
            <w:pPr>
              <w:adjustRightInd w:val="0"/>
              <w:snapToGrid w:val="0"/>
              <w:spacing w:line="360" w:lineRule="auto"/>
              <w:ind w:firstLine="420" w:firstLineChars="200"/>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根据《建设项目环境风险评价技术导则》（HJ169-2018）</w:t>
            </w:r>
            <w:r>
              <w:rPr>
                <w:color w:val="auto"/>
              </w:rPr>
              <w:t>附录B、《企业突发环境事件风险分级方法》附录A、《危险化学品重大危险源辨识》（GB18218）、《化学品分类和标签规范 第18部分：急性毒性》（GB30000.18）、《化学品分类和标签规范 第28部分：对水生环境的危害》（GB30000.28）等相关标准规范，对</w:t>
            </w:r>
            <w:r>
              <w:rPr>
                <w:rFonts w:hint="eastAsia"/>
                <w:color w:val="auto"/>
              </w:rPr>
              <w:t>本次扩建项目</w:t>
            </w:r>
            <w:r>
              <w:rPr>
                <w:color w:val="auto"/>
              </w:rPr>
              <w:t>主要原辅材料、燃料、中间产品、副产品、最终产品、污染物、火灾和爆炸伴生/次生物等的易燃易爆、有毒有害危险特性进行识别</w:t>
            </w:r>
            <w:r>
              <w:rPr>
                <w:rFonts w:hint="eastAsia"/>
                <w:color w:val="auto"/>
              </w:rPr>
              <w:t>，</w:t>
            </w:r>
            <w:r>
              <w:rPr>
                <w:rFonts w:hint="default" w:ascii="Times New Roman" w:hAnsi="Times New Roman" w:eastAsia="宋体" w:cs="Times New Roman"/>
                <w:color w:val="auto"/>
                <w:sz w:val="21"/>
                <w:szCs w:val="21"/>
                <w:lang w:val="en-US" w:eastAsia="zh-CN" w:bidi="zh-CN"/>
              </w:rPr>
              <w:t>计算本项目风险物质数量与临界量比值Q，如下表所列：</w:t>
            </w:r>
          </w:p>
          <w:p w14:paraId="7DC75954">
            <w:pPr>
              <w:adjustRightInd w:val="0"/>
              <w:snapToGrid w:val="0"/>
              <w:spacing w:line="240" w:lineRule="auto"/>
              <w:ind w:firstLine="422" w:firstLineChars="200"/>
              <w:jc w:val="center"/>
              <w:rPr>
                <w:rFonts w:hint="default" w:ascii="Times New Roman" w:hAnsi="Times New Roman" w:cs="Times New Roman"/>
                <w:b/>
                <w:color w:val="auto"/>
                <w:sz w:val="21"/>
              </w:rPr>
            </w:pPr>
            <w:r>
              <w:rPr>
                <w:rFonts w:hint="default" w:ascii="Times New Roman" w:hAnsi="Times New Roman" w:cs="Times New Roman"/>
                <w:b/>
                <w:color w:val="auto"/>
                <w:sz w:val="21"/>
              </w:rPr>
              <w:t>表</w:t>
            </w:r>
            <w:r>
              <w:rPr>
                <w:rFonts w:hint="default" w:ascii="Times New Roman" w:hAnsi="Times New Roman" w:cs="Times New Roman"/>
                <w:b/>
                <w:color w:val="auto"/>
                <w:spacing w:val="-55"/>
                <w:sz w:val="21"/>
              </w:rPr>
              <w:t xml:space="preserve"> </w:t>
            </w:r>
            <w:r>
              <w:rPr>
                <w:rFonts w:hint="default" w:ascii="Times New Roman" w:hAnsi="Times New Roman" w:eastAsia="Times New Roman" w:cs="Times New Roman"/>
                <w:b/>
                <w:color w:val="auto"/>
                <w:sz w:val="21"/>
              </w:rPr>
              <w:t>4-</w:t>
            </w:r>
            <w:r>
              <w:rPr>
                <w:rFonts w:hint="eastAsia" w:cs="Times New Roman"/>
                <w:b/>
                <w:color w:val="auto"/>
                <w:sz w:val="21"/>
                <w:lang w:val="en-US" w:eastAsia="zh-CN"/>
              </w:rPr>
              <w:t>25</w:t>
            </w:r>
            <w:r>
              <w:rPr>
                <w:rFonts w:hint="default" w:ascii="Times New Roman" w:hAnsi="Times New Roman" w:eastAsia="宋体" w:cs="Times New Roman"/>
                <w:b/>
                <w:color w:val="auto"/>
                <w:sz w:val="21"/>
                <w:lang w:val="en-US" w:eastAsia="zh-CN"/>
              </w:rPr>
              <w:t xml:space="preserve"> </w:t>
            </w:r>
            <w:r>
              <w:rPr>
                <w:rFonts w:hint="default" w:ascii="Times New Roman" w:hAnsi="Times New Roman" w:cs="Times New Roman"/>
                <w:b/>
                <w:bCs/>
                <w:color w:val="auto"/>
                <w:kern w:val="0"/>
                <w:sz w:val="21"/>
                <w:szCs w:val="21"/>
              </w:rPr>
              <w:t>本项目</w:t>
            </w:r>
            <w:r>
              <w:rPr>
                <w:rFonts w:hint="default" w:ascii="Times New Roman" w:hAnsi="Times New Roman" w:cs="Times New Roman"/>
                <w:b/>
                <w:color w:val="auto"/>
                <w:sz w:val="21"/>
              </w:rPr>
              <w:t>危险物质设计储量及临界量指标</w:t>
            </w:r>
          </w:p>
          <w:tbl>
            <w:tblPr>
              <w:tblStyle w:val="20"/>
              <w:tblW w:w="81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33"/>
              <w:gridCol w:w="934"/>
              <w:gridCol w:w="1445"/>
              <w:gridCol w:w="1454"/>
              <w:gridCol w:w="1327"/>
              <w:gridCol w:w="2051"/>
            </w:tblGrid>
            <w:tr w14:paraId="3C57DA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867" w:type="dxa"/>
                  <w:gridSpan w:val="2"/>
                  <w:tcBorders>
                    <w:tl2br w:val="nil"/>
                    <w:tr2bl w:val="nil"/>
                  </w:tcBorders>
                  <w:noWrap w:val="0"/>
                  <w:vAlign w:val="center"/>
                </w:tcPr>
                <w:p w14:paraId="2CC196D8">
                  <w:pPr>
                    <w:pStyle w:val="46"/>
                    <w:spacing w:before="116" w:line="240" w:lineRule="auto"/>
                    <w:ind w:right="85"/>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lang w:eastAsia="zh-CN"/>
                    </w:rPr>
                    <w:t>危险</w:t>
                  </w:r>
                  <w:r>
                    <w:rPr>
                      <w:rFonts w:hint="default" w:ascii="Times New Roman" w:hAnsi="Times New Roman" w:cs="Times New Roman"/>
                      <w:b/>
                      <w:color w:val="auto"/>
                      <w:sz w:val="18"/>
                      <w:szCs w:val="18"/>
                    </w:rPr>
                    <w:t>物质名称</w:t>
                  </w:r>
                </w:p>
              </w:tc>
              <w:tc>
                <w:tcPr>
                  <w:tcW w:w="1445" w:type="dxa"/>
                  <w:tcBorders>
                    <w:tl2br w:val="nil"/>
                    <w:tr2bl w:val="nil"/>
                  </w:tcBorders>
                  <w:noWrap w:val="0"/>
                  <w:vAlign w:val="center"/>
                </w:tcPr>
                <w:p w14:paraId="1CEE3834">
                  <w:pPr>
                    <w:pStyle w:val="46"/>
                    <w:spacing w:before="116" w:line="240" w:lineRule="auto"/>
                    <w:ind w:right="323"/>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CAS号</w:t>
                  </w:r>
                </w:p>
              </w:tc>
              <w:tc>
                <w:tcPr>
                  <w:tcW w:w="1454" w:type="dxa"/>
                  <w:tcBorders>
                    <w:tl2br w:val="nil"/>
                    <w:tr2bl w:val="nil"/>
                  </w:tcBorders>
                  <w:noWrap w:val="0"/>
                  <w:vAlign w:val="center"/>
                </w:tcPr>
                <w:p w14:paraId="1CB8DC49">
                  <w:pPr>
                    <w:pStyle w:val="46"/>
                    <w:spacing w:before="1" w:line="240" w:lineRule="auto"/>
                    <w:jc w:val="center"/>
                    <w:rPr>
                      <w:rFonts w:hint="default" w:ascii="Times New Roman" w:hAnsi="Times New Roman" w:cs="Times New Roman"/>
                      <w:b/>
                      <w:color w:val="auto"/>
                      <w:sz w:val="18"/>
                      <w:szCs w:val="18"/>
                    </w:rPr>
                  </w:pPr>
                  <w:r>
                    <w:rPr>
                      <w:rFonts w:hint="eastAsia" w:ascii="Times New Roman" w:hAnsi="Times New Roman" w:cs="Times New Roman"/>
                      <w:b/>
                      <w:color w:val="auto"/>
                      <w:sz w:val="18"/>
                      <w:szCs w:val="18"/>
                      <w:lang w:val="en-US" w:eastAsia="zh-CN"/>
                    </w:rPr>
                    <w:t>最大存在</w:t>
                  </w:r>
                  <w:r>
                    <w:rPr>
                      <w:rFonts w:hint="default" w:ascii="Times New Roman" w:hAnsi="Times New Roman" w:cs="Times New Roman"/>
                      <w:b/>
                      <w:color w:val="auto"/>
                      <w:sz w:val="18"/>
                      <w:szCs w:val="18"/>
                    </w:rPr>
                    <w:t>量（</w:t>
                  </w:r>
                  <w:r>
                    <w:rPr>
                      <w:rFonts w:hint="default" w:ascii="Times New Roman" w:hAnsi="Times New Roman" w:eastAsia="Times New Roman" w:cs="Times New Roman"/>
                      <w:b/>
                      <w:color w:val="auto"/>
                      <w:sz w:val="18"/>
                      <w:szCs w:val="18"/>
                    </w:rPr>
                    <w:t>t</w:t>
                  </w:r>
                  <w:r>
                    <w:rPr>
                      <w:rFonts w:hint="default" w:ascii="Times New Roman" w:hAnsi="Times New Roman" w:cs="Times New Roman"/>
                      <w:b/>
                      <w:color w:val="auto"/>
                      <w:sz w:val="18"/>
                      <w:szCs w:val="18"/>
                    </w:rPr>
                    <w:t>）</w:t>
                  </w:r>
                </w:p>
              </w:tc>
              <w:tc>
                <w:tcPr>
                  <w:tcW w:w="1327" w:type="dxa"/>
                  <w:tcBorders>
                    <w:tl2br w:val="nil"/>
                    <w:tr2bl w:val="nil"/>
                  </w:tcBorders>
                  <w:noWrap w:val="0"/>
                  <w:vAlign w:val="center"/>
                </w:tcPr>
                <w:p w14:paraId="4EAE279B">
                  <w:pPr>
                    <w:pStyle w:val="46"/>
                    <w:spacing w:before="1" w:line="240" w:lineRule="auto"/>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临界量（</w:t>
                  </w:r>
                  <w:r>
                    <w:rPr>
                      <w:rFonts w:hint="default" w:ascii="Times New Roman" w:hAnsi="Times New Roman" w:eastAsia="Times New Roman" w:cs="Times New Roman"/>
                      <w:b/>
                      <w:color w:val="auto"/>
                      <w:sz w:val="18"/>
                      <w:szCs w:val="18"/>
                    </w:rPr>
                    <w:t>t</w:t>
                  </w:r>
                  <w:r>
                    <w:rPr>
                      <w:rFonts w:hint="default" w:ascii="Times New Roman" w:hAnsi="Times New Roman" w:cs="Times New Roman"/>
                      <w:b/>
                      <w:color w:val="auto"/>
                      <w:sz w:val="18"/>
                      <w:szCs w:val="18"/>
                    </w:rPr>
                    <w:t>）</w:t>
                  </w:r>
                </w:p>
              </w:tc>
              <w:tc>
                <w:tcPr>
                  <w:tcW w:w="2051" w:type="dxa"/>
                  <w:tcBorders>
                    <w:tl2br w:val="nil"/>
                    <w:tr2bl w:val="nil"/>
                  </w:tcBorders>
                  <w:noWrap w:val="0"/>
                  <w:vAlign w:val="center"/>
                </w:tcPr>
                <w:p w14:paraId="2FEAADD4">
                  <w:pPr>
                    <w:pStyle w:val="46"/>
                    <w:spacing w:before="1" w:line="240" w:lineRule="auto"/>
                    <w:jc w:val="center"/>
                    <w:rPr>
                      <w:rFonts w:hint="default" w:ascii="Times New Roman" w:hAnsi="Times New Roman" w:cs="Times New Roman"/>
                      <w:b/>
                      <w:color w:val="auto"/>
                      <w:sz w:val="18"/>
                      <w:szCs w:val="18"/>
                    </w:rPr>
                  </w:pPr>
                  <w:r>
                    <w:rPr>
                      <w:rFonts w:hint="default" w:ascii="Times New Roman" w:hAnsi="Times New Roman" w:cs="Times New Roman"/>
                      <w:b/>
                      <w:color w:val="auto"/>
                      <w:w w:val="95"/>
                      <w:sz w:val="18"/>
                      <w:szCs w:val="18"/>
                    </w:rPr>
                    <w:t>风险物质数量</w:t>
                  </w:r>
                  <w:r>
                    <w:rPr>
                      <w:rFonts w:hint="default" w:ascii="Times New Roman" w:hAnsi="Times New Roman" w:eastAsia="Times New Roman" w:cs="Times New Roman"/>
                      <w:b/>
                      <w:color w:val="auto"/>
                      <w:w w:val="95"/>
                      <w:sz w:val="18"/>
                      <w:szCs w:val="18"/>
                    </w:rPr>
                    <w:t>/</w:t>
                  </w:r>
                  <w:r>
                    <w:rPr>
                      <w:rFonts w:hint="default" w:ascii="Times New Roman" w:hAnsi="Times New Roman" w:cs="Times New Roman"/>
                      <w:b/>
                      <w:color w:val="auto"/>
                      <w:spacing w:val="-2"/>
                      <w:sz w:val="18"/>
                      <w:szCs w:val="18"/>
                    </w:rPr>
                    <w:t xml:space="preserve">临界量 </w:t>
                  </w:r>
                  <w:r>
                    <w:rPr>
                      <w:rFonts w:hint="default" w:ascii="Times New Roman" w:hAnsi="Times New Roman" w:cs="Times New Roman"/>
                      <w:b/>
                      <w:color w:val="auto"/>
                      <w:sz w:val="18"/>
                      <w:szCs w:val="18"/>
                    </w:rPr>
                    <w:t>（</w:t>
                  </w:r>
                  <w:r>
                    <w:rPr>
                      <w:rFonts w:hint="default" w:ascii="Times New Roman" w:hAnsi="Times New Roman" w:eastAsia="Times New Roman" w:cs="Times New Roman"/>
                      <w:b/>
                      <w:color w:val="auto"/>
                      <w:sz w:val="18"/>
                      <w:szCs w:val="18"/>
                    </w:rPr>
                    <w:t>Q</w:t>
                  </w:r>
                  <w:r>
                    <w:rPr>
                      <w:rFonts w:hint="default" w:ascii="Times New Roman" w:hAnsi="Times New Roman" w:cs="Times New Roman"/>
                      <w:b/>
                      <w:color w:val="auto"/>
                      <w:sz w:val="18"/>
                      <w:szCs w:val="18"/>
                    </w:rPr>
                    <w:t>）</w:t>
                  </w:r>
                </w:p>
              </w:tc>
            </w:tr>
            <w:tr w14:paraId="2FA659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867" w:type="dxa"/>
                  <w:gridSpan w:val="2"/>
                  <w:tcBorders>
                    <w:tl2br w:val="nil"/>
                    <w:tr2bl w:val="nil"/>
                  </w:tcBorders>
                  <w:shd w:val="clear" w:color="auto" w:fill="auto"/>
                  <w:noWrap w:val="0"/>
                  <w:vAlign w:val="center"/>
                </w:tcPr>
                <w:p w14:paraId="7AF5FCFA">
                  <w:pPr>
                    <w:pStyle w:val="64"/>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有机硅硬质涂层</w:t>
                  </w:r>
                </w:p>
              </w:tc>
              <w:tc>
                <w:tcPr>
                  <w:tcW w:w="1445" w:type="dxa"/>
                  <w:tcBorders>
                    <w:tl2br w:val="nil"/>
                    <w:tr2bl w:val="nil"/>
                  </w:tcBorders>
                  <w:noWrap w:val="0"/>
                  <w:vAlign w:val="center"/>
                </w:tcPr>
                <w:p w14:paraId="4F977BE4">
                  <w:pPr>
                    <w:pStyle w:val="46"/>
                    <w:spacing w:before="83" w:line="240" w:lineRule="auto"/>
                    <w:ind w:left="349" w:right="321"/>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454" w:type="dxa"/>
                  <w:tcBorders>
                    <w:tl2br w:val="nil"/>
                    <w:tr2bl w:val="nil"/>
                  </w:tcBorders>
                  <w:shd w:val="clear" w:color="auto" w:fill="auto"/>
                  <w:noWrap w:val="0"/>
                  <w:vAlign w:val="center"/>
                </w:tcPr>
                <w:p w14:paraId="4F00A4BB">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w:t>
                  </w:r>
                </w:p>
              </w:tc>
              <w:tc>
                <w:tcPr>
                  <w:tcW w:w="1327" w:type="dxa"/>
                  <w:tcBorders>
                    <w:tl2br w:val="nil"/>
                    <w:tr2bl w:val="nil"/>
                  </w:tcBorders>
                  <w:noWrap w:val="0"/>
                  <w:vAlign w:val="center"/>
                </w:tcPr>
                <w:p w14:paraId="4616D5B9">
                  <w:pPr>
                    <w:pStyle w:val="46"/>
                    <w:spacing w:before="95" w:line="240" w:lineRule="auto"/>
                    <w:ind w:left="120" w:right="9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100</w:t>
                  </w:r>
                </w:p>
              </w:tc>
              <w:tc>
                <w:tcPr>
                  <w:tcW w:w="2051" w:type="dxa"/>
                  <w:tcBorders>
                    <w:tl2br w:val="nil"/>
                    <w:tr2bl w:val="nil"/>
                  </w:tcBorders>
                  <w:noWrap w:val="0"/>
                  <w:vAlign w:val="center"/>
                </w:tcPr>
                <w:p w14:paraId="6BB66339">
                  <w:pPr>
                    <w:pStyle w:val="52"/>
                    <w:spacing w:line="240" w:lineRule="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0.02</w:t>
                  </w:r>
                </w:p>
              </w:tc>
            </w:tr>
            <w:tr w14:paraId="1598FB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867" w:type="dxa"/>
                  <w:gridSpan w:val="2"/>
                  <w:tcBorders>
                    <w:tl2br w:val="nil"/>
                    <w:tr2bl w:val="nil"/>
                  </w:tcBorders>
                  <w:shd w:val="clear" w:color="auto" w:fill="auto"/>
                  <w:noWrap w:val="0"/>
                  <w:vAlign w:val="center"/>
                </w:tcPr>
                <w:p w14:paraId="029BF37E">
                  <w:pPr>
                    <w:pStyle w:val="64"/>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防雾涂料</w:t>
                  </w:r>
                </w:p>
              </w:tc>
              <w:tc>
                <w:tcPr>
                  <w:tcW w:w="1445" w:type="dxa"/>
                  <w:tcBorders>
                    <w:tl2br w:val="nil"/>
                    <w:tr2bl w:val="nil"/>
                  </w:tcBorders>
                  <w:noWrap w:val="0"/>
                  <w:vAlign w:val="center"/>
                </w:tcPr>
                <w:p w14:paraId="6E0D3B2F">
                  <w:pPr>
                    <w:spacing w:before="83" w:line="240" w:lineRule="auto"/>
                    <w:ind w:left="349" w:right="321"/>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1454" w:type="dxa"/>
                  <w:tcBorders>
                    <w:tl2br w:val="nil"/>
                    <w:tr2bl w:val="nil"/>
                  </w:tcBorders>
                  <w:shd w:val="clear" w:color="auto" w:fill="auto"/>
                  <w:noWrap w:val="0"/>
                  <w:vAlign w:val="center"/>
                </w:tcPr>
                <w:p w14:paraId="5765ED76">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1327" w:type="dxa"/>
                  <w:tcBorders>
                    <w:tl2br w:val="nil"/>
                    <w:tr2bl w:val="nil"/>
                  </w:tcBorders>
                  <w:noWrap w:val="0"/>
                  <w:vAlign w:val="center"/>
                </w:tcPr>
                <w:p w14:paraId="262E9A1B">
                  <w:pPr>
                    <w:spacing w:before="95" w:line="240" w:lineRule="auto"/>
                    <w:ind w:left="120" w:right="9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100</w:t>
                  </w:r>
                </w:p>
              </w:tc>
              <w:tc>
                <w:tcPr>
                  <w:tcW w:w="2051" w:type="dxa"/>
                  <w:tcBorders>
                    <w:tl2br w:val="nil"/>
                    <w:tr2bl w:val="nil"/>
                  </w:tcBorders>
                  <w:noWrap w:val="0"/>
                  <w:vAlign w:val="center"/>
                </w:tcPr>
                <w:p w14:paraId="4F459D23">
                  <w:pPr>
                    <w:pStyle w:val="52"/>
                    <w:spacing w:line="240" w:lineRule="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0.01</w:t>
                  </w:r>
                </w:p>
              </w:tc>
            </w:tr>
            <w:tr w14:paraId="4A60BB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33" w:type="dxa"/>
                  <w:vMerge w:val="restart"/>
                  <w:tcBorders>
                    <w:tl2br w:val="nil"/>
                    <w:tr2bl w:val="nil"/>
                  </w:tcBorders>
                  <w:shd w:val="clear" w:color="auto" w:fill="auto"/>
                  <w:noWrap w:val="0"/>
                  <w:vAlign w:val="center"/>
                </w:tcPr>
                <w:p w14:paraId="68573331">
                  <w:pPr>
                    <w:pStyle w:val="64"/>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清洗剂</w:t>
                  </w:r>
                </w:p>
              </w:tc>
              <w:tc>
                <w:tcPr>
                  <w:tcW w:w="934" w:type="dxa"/>
                  <w:tcBorders>
                    <w:tl2br w:val="nil"/>
                    <w:tr2bl w:val="nil"/>
                  </w:tcBorders>
                  <w:shd w:val="clear" w:color="auto" w:fill="auto"/>
                  <w:noWrap w:val="0"/>
                  <w:vAlign w:val="center"/>
                </w:tcPr>
                <w:p w14:paraId="341545D9">
                  <w:pPr>
                    <w:pStyle w:val="64"/>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异丙醇</w:t>
                  </w:r>
                </w:p>
              </w:tc>
              <w:tc>
                <w:tcPr>
                  <w:tcW w:w="1445" w:type="dxa"/>
                  <w:tcBorders>
                    <w:tl2br w:val="nil"/>
                    <w:tr2bl w:val="nil"/>
                  </w:tcBorders>
                  <w:noWrap w:val="0"/>
                  <w:vAlign w:val="center"/>
                </w:tcPr>
                <w:p w14:paraId="6D6E5450">
                  <w:pPr>
                    <w:pStyle w:val="46"/>
                    <w:spacing w:before="81" w:line="240" w:lineRule="auto"/>
                    <w:ind w:left="349" w:right="321"/>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67-63-0</w:t>
                  </w:r>
                </w:p>
              </w:tc>
              <w:tc>
                <w:tcPr>
                  <w:tcW w:w="1454" w:type="dxa"/>
                  <w:tcBorders>
                    <w:tl2br w:val="nil"/>
                    <w:tr2bl w:val="nil"/>
                  </w:tcBorders>
                  <w:shd w:val="clear" w:color="auto" w:fill="auto"/>
                  <w:noWrap w:val="0"/>
                  <w:vAlign w:val="center"/>
                </w:tcPr>
                <w:p w14:paraId="01B023F5">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0.1</w:t>
                  </w:r>
                </w:p>
              </w:tc>
              <w:tc>
                <w:tcPr>
                  <w:tcW w:w="1327" w:type="dxa"/>
                  <w:tcBorders>
                    <w:tl2br w:val="nil"/>
                    <w:tr2bl w:val="nil"/>
                  </w:tcBorders>
                  <w:noWrap w:val="0"/>
                  <w:vAlign w:val="center"/>
                </w:tcPr>
                <w:p w14:paraId="208C83A9">
                  <w:pPr>
                    <w:spacing w:line="320" w:lineRule="exact"/>
                    <w:ind w:firstLine="0" w:firstLineChars="0"/>
                    <w:jc w:val="center"/>
                    <w:rPr>
                      <w:rFonts w:hint="default" w:eastAsia="宋体"/>
                      <w:color w:val="auto"/>
                      <w:sz w:val="18"/>
                      <w:szCs w:val="18"/>
                      <w:lang w:val="en-US" w:eastAsia="zh-CN"/>
                    </w:rPr>
                  </w:pPr>
                  <w:r>
                    <w:rPr>
                      <w:rFonts w:hint="eastAsia"/>
                      <w:color w:val="auto"/>
                      <w:sz w:val="18"/>
                      <w:szCs w:val="18"/>
                      <w:lang w:val="en-US" w:eastAsia="zh-CN"/>
                    </w:rPr>
                    <w:t>10</w:t>
                  </w:r>
                </w:p>
              </w:tc>
              <w:tc>
                <w:tcPr>
                  <w:tcW w:w="2051" w:type="dxa"/>
                  <w:tcBorders>
                    <w:tl2br w:val="nil"/>
                    <w:tr2bl w:val="nil"/>
                  </w:tcBorders>
                  <w:noWrap w:val="0"/>
                  <w:vAlign w:val="center"/>
                </w:tcPr>
                <w:p w14:paraId="4D559EDD">
                  <w:pPr>
                    <w:pStyle w:val="52"/>
                    <w:spacing w:line="240" w:lineRule="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0.01</w:t>
                  </w:r>
                </w:p>
              </w:tc>
            </w:tr>
            <w:tr w14:paraId="35A58A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33" w:type="dxa"/>
                  <w:vMerge w:val="continue"/>
                  <w:tcBorders>
                    <w:tl2br w:val="nil"/>
                    <w:tr2bl w:val="nil"/>
                  </w:tcBorders>
                  <w:shd w:val="clear" w:color="auto" w:fill="auto"/>
                  <w:noWrap w:val="0"/>
                  <w:vAlign w:val="center"/>
                </w:tcPr>
                <w:p w14:paraId="2D8AD17D">
                  <w:pPr>
                    <w:pStyle w:val="64"/>
                    <w:rPr>
                      <w:rFonts w:hint="eastAsia" w:cs="Times New Roman"/>
                      <w:color w:val="auto"/>
                      <w:kern w:val="0"/>
                      <w:sz w:val="18"/>
                      <w:szCs w:val="18"/>
                      <w:lang w:val="en-US" w:eastAsia="zh-CN" w:bidi="ar"/>
                    </w:rPr>
                  </w:pPr>
                </w:p>
              </w:tc>
              <w:tc>
                <w:tcPr>
                  <w:tcW w:w="934" w:type="dxa"/>
                  <w:tcBorders>
                    <w:tl2br w:val="nil"/>
                    <w:tr2bl w:val="nil"/>
                  </w:tcBorders>
                  <w:shd w:val="clear" w:color="auto" w:fill="auto"/>
                  <w:noWrap w:val="0"/>
                  <w:vAlign w:val="center"/>
                </w:tcPr>
                <w:p w14:paraId="11F2893B">
                  <w:pPr>
                    <w:pStyle w:val="64"/>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丁醇</w:t>
                  </w:r>
                </w:p>
              </w:tc>
              <w:tc>
                <w:tcPr>
                  <w:tcW w:w="1445" w:type="dxa"/>
                  <w:tcBorders>
                    <w:tl2br w:val="nil"/>
                    <w:tr2bl w:val="nil"/>
                  </w:tcBorders>
                  <w:noWrap w:val="0"/>
                  <w:vAlign w:val="center"/>
                </w:tcPr>
                <w:p w14:paraId="185204D0">
                  <w:pPr>
                    <w:pStyle w:val="46"/>
                    <w:spacing w:before="81" w:line="240" w:lineRule="auto"/>
                    <w:ind w:left="349" w:right="321"/>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71-36-3</w:t>
                  </w:r>
                </w:p>
              </w:tc>
              <w:tc>
                <w:tcPr>
                  <w:tcW w:w="1454" w:type="dxa"/>
                  <w:tcBorders>
                    <w:tl2br w:val="nil"/>
                    <w:tr2bl w:val="nil"/>
                  </w:tcBorders>
                  <w:shd w:val="clear" w:color="auto" w:fill="auto"/>
                  <w:noWrap w:val="0"/>
                  <w:vAlign w:val="center"/>
                </w:tcPr>
                <w:p w14:paraId="320364C3">
                  <w:pPr>
                    <w:spacing w:line="240" w:lineRule="auto"/>
                    <w:ind w:firstLine="0" w:firstLineChars="0"/>
                    <w:jc w:val="center"/>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0.05</w:t>
                  </w:r>
                </w:p>
              </w:tc>
              <w:tc>
                <w:tcPr>
                  <w:tcW w:w="1327" w:type="dxa"/>
                  <w:tcBorders>
                    <w:tl2br w:val="nil"/>
                    <w:tr2bl w:val="nil"/>
                  </w:tcBorders>
                  <w:noWrap w:val="0"/>
                  <w:vAlign w:val="center"/>
                </w:tcPr>
                <w:p w14:paraId="10B7B4C4">
                  <w:pPr>
                    <w:spacing w:line="320" w:lineRule="exact"/>
                    <w:ind w:firstLine="0" w:firstLineChars="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10</w:t>
                  </w:r>
                </w:p>
              </w:tc>
              <w:tc>
                <w:tcPr>
                  <w:tcW w:w="2051" w:type="dxa"/>
                  <w:tcBorders>
                    <w:tl2br w:val="nil"/>
                    <w:tr2bl w:val="nil"/>
                  </w:tcBorders>
                  <w:noWrap w:val="0"/>
                  <w:vAlign w:val="center"/>
                </w:tcPr>
                <w:p w14:paraId="10D7A719">
                  <w:pPr>
                    <w:pStyle w:val="52"/>
                    <w:spacing w:line="240" w:lineRule="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0.005</w:t>
                  </w:r>
                </w:p>
              </w:tc>
            </w:tr>
            <w:tr w14:paraId="60CB3E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33" w:type="dxa"/>
                  <w:vMerge w:val="continue"/>
                  <w:tcBorders>
                    <w:tl2br w:val="nil"/>
                    <w:tr2bl w:val="nil"/>
                  </w:tcBorders>
                  <w:shd w:val="clear" w:color="auto" w:fill="auto"/>
                  <w:noWrap w:val="0"/>
                  <w:vAlign w:val="center"/>
                </w:tcPr>
                <w:p w14:paraId="559691C8">
                  <w:pPr>
                    <w:pStyle w:val="64"/>
                    <w:rPr>
                      <w:rFonts w:hint="eastAsia" w:cs="Times New Roman"/>
                      <w:color w:val="auto"/>
                      <w:kern w:val="0"/>
                      <w:sz w:val="18"/>
                      <w:szCs w:val="18"/>
                      <w:lang w:val="en-US" w:eastAsia="zh-CN" w:bidi="ar"/>
                    </w:rPr>
                  </w:pPr>
                </w:p>
              </w:tc>
              <w:tc>
                <w:tcPr>
                  <w:tcW w:w="934" w:type="dxa"/>
                  <w:tcBorders>
                    <w:tl2br w:val="nil"/>
                    <w:tr2bl w:val="nil"/>
                  </w:tcBorders>
                  <w:shd w:val="clear" w:color="auto" w:fill="auto"/>
                  <w:noWrap w:val="0"/>
                  <w:vAlign w:val="center"/>
                </w:tcPr>
                <w:p w14:paraId="4C18E59A">
                  <w:pPr>
                    <w:pStyle w:val="64"/>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其余组分</w:t>
                  </w:r>
                </w:p>
              </w:tc>
              <w:tc>
                <w:tcPr>
                  <w:tcW w:w="1445" w:type="dxa"/>
                  <w:tcBorders>
                    <w:tl2br w:val="nil"/>
                    <w:tr2bl w:val="nil"/>
                  </w:tcBorders>
                  <w:noWrap w:val="0"/>
                  <w:vAlign w:val="center"/>
                </w:tcPr>
                <w:p w14:paraId="6F7A8A79">
                  <w:pPr>
                    <w:pStyle w:val="46"/>
                    <w:spacing w:before="81" w:line="240" w:lineRule="auto"/>
                    <w:ind w:left="349" w:right="321"/>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454" w:type="dxa"/>
                  <w:tcBorders>
                    <w:tl2br w:val="nil"/>
                    <w:tr2bl w:val="nil"/>
                  </w:tcBorders>
                  <w:shd w:val="clear" w:color="auto" w:fill="auto"/>
                  <w:noWrap w:val="0"/>
                  <w:vAlign w:val="center"/>
                </w:tcPr>
                <w:p w14:paraId="2A0E0BC5">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0.85</w:t>
                  </w:r>
                </w:p>
              </w:tc>
              <w:tc>
                <w:tcPr>
                  <w:tcW w:w="1327" w:type="dxa"/>
                  <w:tcBorders>
                    <w:tl2br w:val="nil"/>
                    <w:tr2bl w:val="nil"/>
                  </w:tcBorders>
                  <w:shd w:val="clear" w:color="auto" w:fill="auto"/>
                  <w:noWrap w:val="0"/>
                  <w:vAlign w:val="center"/>
                </w:tcPr>
                <w:p w14:paraId="498DFAB1">
                  <w:pPr>
                    <w:spacing w:line="320" w:lineRule="exact"/>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100</w:t>
                  </w:r>
                </w:p>
              </w:tc>
              <w:tc>
                <w:tcPr>
                  <w:tcW w:w="2051" w:type="dxa"/>
                  <w:tcBorders>
                    <w:tl2br w:val="nil"/>
                    <w:tr2bl w:val="nil"/>
                  </w:tcBorders>
                  <w:shd w:val="clear" w:color="auto" w:fill="auto"/>
                  <w:noWrap w:val="0"/>
                  <w:vAlign w:val="center"/>
                </w:tcPr>
                <w:p w14:paraId="07DBD075">
                  <w:pPr>
                    <w:pStyle w:val="52"/>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0.0085</w:t>
                  </w:r>
                </w:p>
              </w:tc>
            </w:tr>
            <w:tr w14:paraId="448114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67" w:type="dxa"/>
                  <w:gridSpan w:val="2"/>
                  <w:tcBorders>
                    <w:tl2br w:val="nil"/>
                    <w:tr2bl w:val="nil"/>
                  </w:tcBorders>
                  <w:shd w:val="clear" w:color="auto" w:fill="auto"/>
                  <w:noWrap w:val="0"/>
                  <w:vAlign w:val="center"/>
                </w:tcPr>
                <w:p w14:paraId="25A8F21E">
                  <w:pPr>
                    <w:pStyle w:val="57"/>
                    <w:ind w:firstLine="0" w:firstLineChars="0"/>
                    <w:rPr>
                      <w:rFonts w:hint="default" w:ascii="Times New Roman" w:hAnsi="Times New Roman" w:eastAsia="宋体" w:cs="Times New Roman"/>
                      <w:color w:val="auto"/>
                      <w:kern w:val="2"/>
                      <w:sz w:val="18"/>
                      <w:szCs w:val="18"/>
                      <w:highlight w:val="none"/>
                      <w:lang w:val="zh-CN" w:eastAsia="zh-CN" w:bidi="ar-SA"/>
                    </w:rPr>
                  </w:pPr>
                  <w:r>
                    <w:rPr>
                      <w:rFonts w:hint="eastAsia" w:cs="Times New Roman"/>
                      <w:color w:val="auto"/>
                      <w:kern w:val="2"/>
                      <w:sz w:val="18"/>
                      <w:szCs w:val="18"/>
                      <w:highlight w:val="none"/>
                      <w:lang w:val="en-US" w:eastAsia="zh-CN" w:bidi="ar-SA"/>
                    </w:rPr>
                    <w:t>危险废物</w:t>
                  </w:r>
                </w:p>
              </w:tc>
              <w:tc>
                <w:tcPr>
                  <w:tcW w:w="1445" w:type="dxa"/>
                  <w:tcBorders>
                    <w:tl2br w:val="nil"/>
                    <w:tr2bl w:val="nil"/>
                  </w:tcBorders>
                  <w:noWrap w:val="0"/>
                  <w:vAlign w:val="center"/>
                </w:tcPr>
                <w:p w14:paraId="21018977">
                  <w:pPr>
                    <w:spacing w:before="81" w:line="240" w:lineRule="auto"/>
                    <w:ind w:left="349" w:right="321"/>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454" w:type="dxa"/>
                  <w:tcBorders>
                    <w:tl2br w:val="nil"/>
                    <w:tr2bl w:val="nil"/>
                  </w:tcBorders>
                  <w:shd w:val="clear" w:color="auto" w:fill="auto"/>
                  <w:noWrap w:val="0"/>
                  <w:vAlign w:val="center"/>
                </w:tcPr>
                <w:p w14:paraId="4B96FD1A">
                  <w:pPr>
                    <w:pStyle w:val="52"/>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2.96</w:t>
                  </w:r>
                </w:p>
              </w:tc>
              <w:tc>
                <w:tcPr>
                  <w:tcW w:w="1327" w:type="dxa"/>
                  <w:tcBorders>
                    <w:tl2br w:val="nil"/>
                    <w:tr2bl w:val="nil"/>
                  </w:tcBorders>
                  <w:noWrap w:val="0"/>
                  <w:vAlign w:val="center"/>
                </w:tcPr>
                <w:p w14:paraId="567C2C55">
                  <w:pPr>
                    <w:spacing w:line="320" w:lineRule="exact"/>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50</w:t>
                  </w:r>
                </w:p>
              </w:tc>
              <w:tc>
                <w:tcPr>
                  <w:tcW w:w="2051" w:type="dxa"/>
                  <w:tcBorders>
                    <w:tl2br w:val="nil"/>
                    <w:tr2bl w:val="nil"/>
                  </w:tcBorders>
                  <w:noWrap w:val="0"/>
                  <w:vAlign w:val="center"/>
                </w:tcPr>
                <w:p w14:paraId="3D54CF58">
                  <w:pPr>
                    <w:pStyle w:val="52"/>
                    <w:spacing w:line="240" w:lineRule="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0.0592</w:t>
                  </w:r>
                </w:p>
              </w:tc>
            </w:tr>
            <w:tr w14:paraId="53B7B3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93" w:type="dxa"/>
                  <w:gridSpan w:val="5"/>
                  <w:tcBorders>
                    <w:tl2br w:val="nil"/>
                    <w:tr2bl w:val="nil"/>
                  </w:tcBorders>
                  <w:noWrap w:val="0"/>
                  <w:vAlign w:val="center"/>
                </w:tcPr>
                <w:p w14:paraId="32155BAA">
                  <w:pPr>
                    <w:pStyle w:val="46"/>
                    <w:spacing w:before="94" w:line="240" w:lineRule="auto"/>
                    <w:ind w:left="120" w:right="9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总计</w:t>
                  </w:r>
                </w:p>
              </w:tc>
              <w:tc>
                <w:tcPr>
                  <w:tcW w:w="2051" w:type="dxa"/>
                  <w:tcBorders>
                    <w:tl2br w:val="nil"/>
                    <w:tr2bl w:val="nil"/>
                  </w:tcBorders>
                  <w:noWrap w:val="0"/>
                  <w:vAlign w:val="center"/>
                </w:tcPr>
                <w:p w14:paraId="1A35E562">
                  <w:pPr>
                    <w:pStyle w:val="52"/>
                    <w:spacing w:line="240" w:lineRule="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0.1127</w:t>
                  </w:r>
                </w:p>
              </w:tc>
            </w:tr>
          </w:tbl>
          <w:p w14:paraId="63D6B66D">
            <w:pPr>
              <w:adjustRightInd w:val="0"/>
              <w:snapToGrid w:val="0"/>
              <w:spacing w:line="240" w:lineRule="auto"/>
              <w:ind w:firstLine="422" w:firstLineChars="200"/>
              <w:jc w:val="center"/>
              <w:rPr>
                <w:rFonts w:hint="default" w:ascii="Times New Roman" w:hAnsi="Times New Roman" w:cs="Times New Roman"/>
                <w:b/>
                <w:color w:val="auto"/>
                <w:sz w:val="21"/>
              </w:rPr>
            </w:pPr>
            <w:r>
              <w:rPr>
                <w:rFonts w:hint="default" w:ascii="Times New Roman" w:hAnsi="Times New Roman" w:cs="Times New Roman"/>
                <w:b/>
                <w:color w:val="auto"/>
                <w:sz w:val="21"/>
              </w:rPr>
              <w:t>表</w:t>
            </w:r>
            <w:r>
              <w:rPr>
                <w:rFonts w:hint="default" w:ascii="Times New Roman" w:hAnsi="Times New Roman" w:cs="Times New Roman"/>
                <w:b/>
                <w:color w:val="auto"/>
                <w:spacing w:val="-55"/>
                <w:sz w:val="21"/>
              </w:rPr>
              <w:t xml:space="preserve"> </w:t>
            </w:r>
            <w:r>
              <w:rPr>
                <w:rFonts w:hint="default" w:ascii="Times New Roman" w:hAnsi="Times New Roman" w:eastAsia="Times New Roman" w:cs="Times New Roman"/>
                <w:b/>
                <w:color w:val="auto"/>
                <w:sz w:val="21"/>
              </w:rPr>
              <w:t>4-</w:t>
            </w:r>
            <w:r>
              <w:rPr>
                <w:rFonts w:hint="eastAsia" w:eastAsia="宋体" w:cs="Times New Roman"/>
                <w:b/>
                <w:color w:val="auto"/>
                <w:sz w:val="21"/>
                <w:lang w:val="en-US" w:eastAsia="zh-CN"/>
              </w:rPr>
              <w:t>2</w:t>
            </w:r>
            <w:r>
              <w:rPr>
                <w:rFonts w:hint="eastAsia" w:cs="Times New Roman"/>
                <w:b/>
                <w:color w:val="auto"/>
                <w:sz w:val="21"/>
                <w:lang w:val="en-US" w:eastAsia="zh-CN"/>
              </w:rPr>
              <w:t>6</w:t>
            </w:r>
            <w:r>
              <w:rPr>
                <w:rFonts w:hint="default" w:ascii="Times New Roman" w:hAnsi="Times New Roman" w:eastAsia="宋体" w:cs="Times New Roman"/>
                <w:b/>
                <w:color w:val="auto"/>
                <w:sz w:val="21"/>
                <w:lang w:val="en-US" w:eastAsia="zh-CN"/>
              </w:rPr>
              <w:t xml:space="preserve"> </w:t>
            </w:r>
            <w:r>
              <w:rPr>
                <w:rFonts w:hint="eastAsia" w:ascii="Times New Roman" w:hAnsi="Times New Roman" w:eastAsia="宋体" w:cs="Times New Roman"/>
                <w:b/>
                <w:bCs/>
                <w:color w:val="auto"/>
                <w:kern w:val="0"/>
                <w:sz w:val="21"/>
                <w:szCs w:val="21"/>
                <w:lang w:val="en-US" w:eastAsia="zh-CN"/>
              </w:rPr>
              <w:t>全厂</w:t>
            </w:r>
            <w:r>
              <w:rPr>
                <w:rFonts w:hint="default" w:ascii="Times New Roman" w:hAnsi="Times New Roman" w:cs="Times New Roman"/>
                <w:b/>
                <w:color w:val="auto"/>
                <w:sz w:val="21"/>
              </w:rPr>
              <w:t>危险物质设计储量及临界量指标</w:t>
            </w:r>
          </w:p>
          <w:tbl>
            <w:tblPr>
              <w:tblStyle w:val="20"/>
              <w:tblW w:w="814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33"/>
              <w:gridCol w:w="934"/>
              <w:gridCol w:w="1445"/>
              <w:gridCol w:w="1454"/>
              <w:gridCol w:w="1327"/>
              <w:gridCol w:w="2051"/>
            </w:tblGrid>
            <w:tr w14:paraId="08FD55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1867" w:type="dxa"/>
                  <w:gridSpan w:val="2"/>
                  <w:tcBorders>
                    <w:tl2br w:val="nil"/>
                    <w:tr2bl w:val="nil"/>
                  </w:tcBorders>
                  <w:noWrap w:val="0"/>
                  <w:vAlign w:val="center"/>
                </w:tcPr>
                <w:p w14:paraId="04A2B626">
                  <w:pPr>
                    <w:pStyle w:val="46"/>
                    <w:spacing w:before="116" w:line="240" w:lineRule="auto"/>
                    <w:ind w:right="85"/>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lang w:eastAsia="zh-CN"/>
                    </w:rPr>
                    <w:t>危险</w:t>
                  </w:r>
                  <w:r>
                    <w:rPr>
                      <w:rFonts w:hint="default" w:ascii="Times New Roman" w:hAnsi="Times New Roman" w:cs="Times New Roman"/>
                      <w:b/>
                      <w:color w:val="auto"/>
                      <w:sz w:val="18"/>
                      <w:szCs w:val="18"/>
                    </w:rPr>
                    <w:t>物质名称</w:t>
                  </w:r>
                </w:p>
              </w:tc>
              <w:tc>
                <w:tcPr>
                  <w:tcW w:w="1445" w:type="dxa"/>
                  <w:tcBorders>
                    <w:tl2br w:val="nil"/>
                    <w:tr2bl w:val="nil"/>
                  </w:tcBorders>
                  <w:noWrap w:val="0"/>
                  <w:vAlign w:val="center"/>
                </w:tcPr>
                <w:p w14:paraId="229A485E">
                  <w:pPr>
                    <w:pStyle w:val="46"/>
                    <w:spacing w:before="116" w:line="240" w:lineRule="auto"/>
                    <w:ind w:right="323"/>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CAS号</w:t>
                  </w:r>
                </w:p>
              </w:tc>
              <w:tc>
                <w:tcPr>
                  <w:tcW w:w="1454" w:type="dxa"/>
                  <w:tcBorders>
                    <w:tl2br w:val="nil"/>
                    <w:tr2bl w:val="nil"/>
                  </w:tcBorders>
                  <w:noWrap w:val="0"/>
                  <w:vAlign w:val="center"/>
                </w:tcPr>
                <w:p w14:paraId="41D6BAEC">
                  <w:pPr>
                    <w:pStyle w:val="46"/>
                    <w:spacing w:before="1" w:line="240" w:lineRule="auto"/>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储存单元最大储存量（</w:t>
                  </w:r>
                  <w:r>
                    <w:rPr>
                      <w:rFonts w:hint="default" w:ascii="Times New Roman" w:hAnsi="Times New Roman" w:eastAsia="Times New Roman" w:cs="Times New Roman"/>
                      <w:b/>
                      <w:color w:val="auto"/>
                      <w:sz w:val="18"/>
                      <w:szCs w:val="18"/>
                    </w:rPr>
                    <w:t>t</w:t>
                  </w:r>
                  <w:r>
                    <w:rPr>
                      <w:rFonts w:hint="default" w:ascii="Times New Roman" w:hAnsi="Times New Roman" w:cs="Times New Roman"/>
                      <w:b/>
                      <w:color w:val="auto"/>
                      <w:sz w:val="18"/>
                      <w:szCs w:val="18"/>
                    </w:rPr>
                    <w:t>）</w:t>
                  </w:r>
                </w:p>
              </w:tc>
              <w:tc>
                <w:tcPr>
                  <w:tcW w:w="1327" w:type="dxa"/>
                  <w:tcBorders>
                    <w:tl2br w:val="nil"/>
                    <w:tr2bl w:val="nil"/>
                  </w:tcBorders>
                  <w:noWrap w:val="0"/>
                  <w:vAlign w:val="center"/>
                </w:tcPr>
                <w:p w14:paraId="5507A468">
                  <w:pPr>
                    <w:pStyle w:val="46"/>
                    <w:spacing w:before="1" w:line="240" w:lineRule="auto"/>
                    <w:jc w:val="center"/>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临界量（</w:t>
                  </w:r>
                  <w:r>
                    <w:rPr>
                      <w:rFonts w:hint="default" w:ascii="Times New Roman" w:hAnsi="Times New Roman" w:eastAsia="Times New Roman" w:cs="Times New Roman"/>
                      <w:b/>
                      <w:color w:val="auto"/>
                      <w:sz w:val="18"/>
                      <w:szCs w:val="18"/>
                    </w:rPr>
                    <w:t>t</w:t>
                  </w:r>
                  <w:r>
                    <w:rPr>
                      <w:rFonts w:hint="default" w:ascii="Times New Roman" w:hAnsi="Times New Roman" w:cs="Times New Roman"/>
                      <w:b/>
                      <w:color w:val="auto"/>
                      <w:sz w:val="18"/>
                      <w:szCs w:val="18"/>
                    </w:rPr>
                    <w:t>）</w:t>
                  </w:r>
                </w:p>
              </w:tc>
              <w:tc>
                <w:tcPr>
                  <w:tcW w:w="2051" w:type="dxa"/>
                  <w:tcBorders>
                    <w:tl2br w:val="nil"/>
                    <w:tr2bl w:val="nil"/>
                  </w:tcBorders>
                  <w:noWrap w:val="0"/>
                  <w:vAlign w:val="center"/>
                </w:tcPr>
                <w:p w14:paraId="1F804C82">
                  <w:pPr>
                    <w:pStyle w:val="46"/>
                    <w:spacing w:before="1" w:line="240" w:lineRule="auto"/>
                    <w:jc w:val="center"/>
                    <w:rPr>
                      <w:rFonts w:hint="default" w:ascii="Times New Roman" w:hAnsi="Times New Roman" w:cs="Times New Roman"/>
                      <w:b/>
                      <w:color w:val="auto"/>
                      <w:sz w:val="18"/>
                      <w:szCs w:val="18"/>
                    </w:rPr>
                  </w:pPr>
                  <w:r>
                    <w:rPr>
                      <w:rFonts w:hint="default" w:ascii="Times New Roman" w:hAnsi="Times New Roman" w:cs="Times New Roman"/>
                      <w:b/>
                      <w:color w:val="auto"/>
                      <w:w w:val="95"/>
                      <w:sz w:val="18"/>
                      <w:szCs w:val="18"/>
                    </w:rPr>
                    <w:t>风险物质数量</w:t>
                  </w:r>
                  <w:r>
                    <w:rPr>
                      <w:rFonts w:hint="default" w:ascii="Times New Roman" w:hAnsi="Times New Roman" w:eastAsia="Times New Roman" w:cs="Times New Roman"/>
                      <w:b/>
                      <w:color w:val="auto"/>
                      <w:w w:val="95"/>
                      <w:sz w:val="18"/>
                      <w:szCs w:val="18"/>
                    </w:rPr>
                    <w:t>/</w:t>
                  </w:r>
                  <w:r>
                    <w:rPr>
                      <w:rFonts w:hint="default" w:ascii="Times New Roman" w:hAnsi="Times New Roman" w:cs="Times New Roman"/>
                      <w:b/>
                      <w:color w:val="auto"/>
                      <w:spacing w:val="-2"/>
                      <w:sz w:val="18"/>
                      <w:szCs w:val="18"/>
                    </w:rPr>
                    <w:t xml:space="preserve">临界量 </w:t>
                  </w:r>
                  <w:r>
                    <w:rPr>
                      <w:rFonts w:hint="default" w:ascii="Times New Roman" w:hAnsi="Times New Roman" w:cs="Times New Roman"/>
                      <w:b/>
                      <w:color w:val="auto"/>
                      <w:sz w:val="18"/>
                      <w:szCs w:val="18"/>
                    </w:rPr>
                    <w:t>（</w:t>
                  </w:r>
                  <w:r>
                    <w:rPr>
                      <w:rFonts w:hint="default" w:ascii="Times New Roman" w:hAnsi="Times New Roman" w:eastAsia="Times New Roman" w:cs="Times New Roman"/>
                      <w:b/>
                      <w:color w:val="auto"/>
                      <w:sz w:val="18"/>
                      <w:szCs w:val="18"/>
                    </w:rPr>
                    <w:t>Q</w:t>
                  </w:r>
                  <w:r>
                    <w:rPr>
                      <w:rFonts w:hint="default" w:ascii="Times New Roman" w:hAnsi="Times New Roman" w:cs="Times New Roman"/>
                      <w:b/>
                      <w:color w:val="auto"/>
                      <w:sz w:val="18"/>
                      <w:szCs w:val="18"/>
                    </w:rPr>
                    <w:t>）</w:t>
                  </w:r>
                </w:p>
              </w:tc>
            </w:tr>
            <w:tr w14:paraId="5BBEF0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867" w:type="dxa"/>
                  <w:gridSpan w:val="2"/>
                  <w:tcBorders>
                    <w:tl2br w:val="nil"/>
                    <w:tr2bl w:val="nil"/>
                  </w:tcBorders>
                  <w:shd w:val="clear" w:color="auto" w:fill="auto"/>
                  <w:noWrap w:val="0"/>
                  <w:vAlign w:val="center"/>
                </w:tcPr>
                <w:p w14:paraId="76D56678">
                  <w:pPr>
                    <w:pStyle w:val="64"/>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有机硅硬质涂层</w:t>
                  </w:r>
                </w:p>
              </w:tc>
              <w:tc>
                <w:tcPr>
                  <w:tcW w:w="1445" w:type="dxa"/>
                  <w:tcBorders>
                    <w:tl2br w:val="nil"/>
                    <w:tr2bl w:val="nil"/>
                  </w:tcBorders>
                  <w:noWrap w:val="0"/>
                  <w:vAlign w:val="center"/>
                </w:tcPr>
                <w:p w14:paraId="7B82E81E">
                  <w:pPr>
                    <w:pStyle w:val="46"/>
                    <w:spacing w:before="83" w:line="240" w:lineRule="auto"/>
                    <w:ind w:left="349" w:right="321"/>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454" w:type="dxa"/>
                  <w:tcBorders>
                    <w:tl2br w:val="nil"/>
                    <w:tr2bl w:val="nil"/>
                  </w:tcBorders>
                  <w:shd w:val="clear" w:color="auto" w:fill="auto"/>
                  <w:noWrap w:val="0"/>
                  <w:vAlign w:val="center"/>
                </w:tcPr>
                <w:p w14:paraId="63E587F1">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2</w:t>
                  </w:r>
                </w:p>
              </w:tc>
              <w:tc>
                <w:tcPr>
                  <w:tcW w:w="1327" w:type="dxa"/>
                  <w:tcBorders>
                    <w:tl2br w:val="nil"/>
                    <w:tr2bl w:val="nil"/>
                  </w:tcBorders>
                  <w:noWrap w:val="0"/>
                  <w:vAlign w:val="center"/>
                </w:tcPr>
                <w:p w14:paraId="61A4524B">
                  <w:pPr>
                    <w:pStyle w:val="46"/>
                    <w:spacing w:before="95" w:line="240" w:lineRule="auto"/>
                    <w:ind w:left="120" w:right="9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100</w:t>
                  </w:r>
                </w:p>
              </w:tc>
              <w:tc>
                <w:tcPr>
                  <w:tcW w:w="2051" w:type="dxa"/>
                  <w:tcBorders>
                    <w:tl2br w:val="nil"/>
                    <w:tr2bl w:val="nil"/>
                  </w:tcBorders>
                  <w:noWrap w:val="0"/>
                  <w:vAlign w:val="center"/>
                </w:tcPr>
                <w:p w14:paraId="6F1A80F9">
                  <w:pPr>
                    <w:pStyle w:val="52"/>
                    <w:spacing w:line="240" w:lineRule="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0.02</w:t>
                  </w:r>
                </w:p>
              </w:tc>
            </w:tr>
            <w:tr w14:paraId="4E3030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1867" w:type="dxa"/>
                  <w:gridSpan w:val="2"/>
                  <w:tcBorders>
                    <w:tl2br w:val="nil"/>
                    <w:tr2bl w:val="nil"/>
                  </w:tcBorders>
                  <w:shd w:val="clear" w:color="auto" w:fill="auto"/>
                  <w:noWrap w:val="0"/>
                  <w:vAlign w:val="center"/>
                </w:tcPr>
                <w:p w14:paraId="1C08D4FA">
                  <w:pPr>
                    <w:pStyle w:val="64"/>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防雾涂料</w:t>
                  </w:r>
                </w:p>
              </w:tc>
              <w:tc>
                <w:tcPr>
                  <w:tcW w:w="1445" w:type="dxa"/>
                  <w:tcBorders>
                    <w:tl2br w:val="nil"/>
                    <w:tr2bl w:val="nil"/>
                  </w:tcBorders>
                  <w:noWrap w:val="0"/>
                  <w:vAlign w:val="center"/>
                </w:tcPr>
                <w:p w14:paraId="4B433E2F">
                  <w:pPr>
                    <w:spacing w:before="83" w:line="240" w:lineRule="auto"/>
                    <w:ind w:left="349" w:right="321"/>
                    <w:jc w:val="center"/>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w:t>
                  </w:r>
                </w:p>
              </w:tc>
              <w:tc>
                <w:tcPr>
                  <w:tcW w:w="1454" w:type="dxa"/>
                  <w:tcBorders>
                    <w:tl2br w:val="nil"/>
                    <w:tr2bl w:val="nil"/>
                  </w:tcBorders>
                  <w:shd w:val="clear" w:color="auto" w:fill="auto"/>
                  <w:noWrap w:val="0"/>
                  <w:vAlign w:val="center"/>
                </w:tcPr>
                <w:p w14:paraId="47F209D0">
                  <w:pPr>
                    <w:spacing w:line="240" w:lineRule="auto"/>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1327" w:type="dxa"/>
                  <w:tcBorders>
                    <w:tl2br w:val="nil"/>
                    <w:tr2bl w:val="nil"/>
                  </w:tcBorders>
                  <w:noWrap w:val="0"/>
                  <w:vAlign w:val="center"/>
                </w:tcPr>
                <w:p w14:paraId="046CF750">
                  <w:pPr>
                    <w:spacing w:before="95" w:line="240" w:lineRule="auto"/>
                    <w:ind w:left="120" w:right="9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100</w:t>
                  </w:r>
                </w:p>
              </w:tc>
              <w:tc>
                <w:tcPr>
                  <w:tcW w:w="2051" w:type="dxa"/>
                  <w:tcBorders>
                    <w:tl2br w:val="nil"/>
                    <w:tr2bl w:val="nil"/>
                  </w:tcBorders>
                  <w:noWrap w:val="0"/>
                  <w:vAlign w:val="center"/>
                </w:tcPr>
                <w:p w14:paraId="31673C62">
                  <w:pPr>
                    <w:pStyle w:val="52"/>
                    <w:spacing w:line="240" w:lineRule="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0.01</w:t>
                  </w:r>
                </w:p>
              </w:tc>
            </w:tr>
            <w:tr w14:paraId="485DD6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33" w:type="dxa"/>
                  <w:vMerge w:val="restart"/>
                  <w:tcBorders>
                    <w:tl2br w:val="nil"/>
                    <w:tr2bl w:val="nil"/>
                  </w:tcBorders>
                  <w:shd w:val="clear" w:color="auto" w:fill="auto"/>
                  <w:noWrap w:val="0"/>
                  <w:vAlign w:val="center"/>
                </w:tcPr>
                <w:p w14:paraId="46E4D7F1">
                  <w:pPr>
                    <w:pStyle w:val="64"/>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清洗剂</w:t>
                  </w:r>
                </w:p>
              </w:tc>
              <w:tc>
                <w:tcPr>
                  <w:tcW w:w="934" w:type="dxa"/>
                  <w:tcBorders>
                    <w:tl2br w:val="nil"/>
                    <w:tr2bl w:val="nil"/>
                  </w:tcBorders>
                  <w:shd w:val="clear" w:color="auto" w:fill="auto"/>
                  <w:noWrap w:val="0"/>
                  <w:vAlign w:val="center"/>
                </w:tcPr>
                <w:p w14:paraId="3BECBD0D">
                  <w:pPr>
                    <w:pStyle w:val="64"/>
                    <w:rPr>
                      <w:rFonts w:hint="eastAsia" w:cs="Times New Roman"/>
                      <w:color w:val="auto"/>
                      <w:kern w:val="0"/>
                      <w:sz w:val="18"/>
                      <w:szCs w:val="18"/>
                      <w:lang w:val="en-US" w:eastAsia="zh-CN" w:bidi="ar"/>
                    </w:rPr>
                  </w:pPr>
                  <w:r>
                    <w:rPr>
                      <w:rFonts w:hint="eastAsia" w:cs="Times New Roman"/>
                      <w:color w:val="auto"/>
                      <w:kern w:val="0"/>
                      <w:sz w:val="18"/>
                      <w:szCs w:val="18"/>
                      <w:lang w:val="en-US" w:eastAsia="zh-CN" w:bidi="ar"/>
                    </w:rPr>
                    <w:t>异丙醇</w:t>
                  </w:r>
                </w:p>
              </w:tc>
              <w:tc>
                <w:tcPr>
                  <w:tcW w:w="1445" w:type="dxa"/>
                  <w:tcBorders>
                    <w:tl2br w:val="nil"/>
                    <w:tr2bl w:val="nil"/>
                  </w:tcBorders>
                  <w:noWrap w:val="0"/>
                  <w:vAlign w:val="center"/>
                </w:tcPr>
                <w:p w14:paraId="2EFC1344">
                  <w:pPr>
                    <w:pStyle w:val="46"/>
                    <w:spacing w:before="81" w:line="240" w:lineRule="auto"/>
                    <w:ind w:left="349" w:leftChars="0" w:right="321" w:rightChars="0"/>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67-63-0</w:t>
                  </w:r>
                </w:p>
              </w:tc>
              <w:tc>
                <w:tcPr>
                  <w:tcW w:w="1454" w:type="dxa"/>
                  <w:tcBorders>
                    <w:tl2br w:val="nil"/>
                    <w:tr2bl w:val="nil"/>
                  </w:tcBorders>
                  <w:shd w:val="clear" w:color="auto" w:fill="auto"/>
                  <w:noWrap w:val="0"/>
                  <w:vAlign w:val="center"/>
                </w:tcPr>
                <w:p w14:paraId="5B71F8CD">
                  <w:pPr>
                    <w:spacing w:line="240" w:lineRule="auto"/>
                    <w:ind w:firstLine="0" w:firstLineChars="0"/>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0.1</w:t>
                  </w:r>
                </w:p>
              </w:tc>
              <w:tc>
                <w:tcPr>
                  <w:tcW w:w="1327" w:type="dxa"/>
                  <w:tcBorders>
                    <w:tl2br w:val="nil"/>
                    <w:tr2bl w:val="nil"/>
                  </w:tcBorders>
                  <w:noWrap w:val="0"/>
                  <w:vAlign w:val="center"/>
                </w:tcPr>
                <w:p w14:paraId="1F7ABF7D">
                  <w:pPr>
                    <w:spacing w:line="320" w:lineRule="exact"/>
                    <w:ind w:firstLine="0" w:firstLineChars="0"/>
                    <w:jc w:val="center"/>
                    <w:rPr>
                      <w:color w:val="auto"/>
                      <w:sz w:val="18"/>
                      <w:szCs w:val="18"/>
                    </w:rPr>
                  </w:pPr>
                  <w:r>
                    <w:rPr>
                      <w:rFonts w:hint="eastAsia"/>
                      <w:color w:val="auto"/>
                      <w:sz w:val="18"/>
                      <w:szCs w:val="18"/>
                      <w:lang w:val="en-US" w:eastAsia="zh-CN"/>
                    </w:rPr>
                    <w:t>10</w:t>
                  </w:r>
                </w:p>
              </w:tc>
              <w:tc>
                <w:tcPr>
                  <w:tcW w:w="2051" w:type="dxa"/>
                  <w:tcBorders>
                    <w:tl2br w:val="nil"/>
                    <w:tr2bl w:val="nil"/>
                  </w:tcBorders>
                  <w:noWrap w:val="0"/>
                  <w:vAlign w:val="center"/>
                </w:tcPr>
                <w:p w14:paraId="4458DF83">
                  <w:pPr>
                    <w:pStyle w:val="52"/>
                    <w:spacing w:line="240" w:lineRule="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0.01</w:t>
                  </w:r>
                </w:p>
              </w:tc>
            </w:tr>
            <w:tr w14:paraId="5FF92E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33" w:type="dxa"/>
                  <w:vMerge w:val="continue"/>
                  <w:tcBorders>
                    <w:tl2br w:val="nil"/>
                    <w:tr2bl w:val="nil"/>
                  </w:tcBorders>
                  <w:shd w:val="clear" w:color="auto" w:fill="auto"/>
                  <w:noWrap w:val="0"/>
                  <w:vAlign w:val="center"/>
                </w:tcPr>
                <w:p w14:paraId="633ED17F">
                  <w:pPr>
                    <w:pStyle w:val="64"/>
                    <w:rPr>
                      <w:rFonts w:hint="eastAsia" w:cs="Times New Roman"/>
                      <w:color w:val="auto"/>
                      <w:kern w:val="0"/>
                      <w:sz w:val="18"/>
                      <w:szCs w:val="18"/>
                      <w:lang w:val="en-US" w:eastAsia="zh-CN" w:bidi="ar"/>
                    </w:rPr>
                  </w:pPr>
                </w:p>
              </w:tc>
              <w:tc>
                <w:tcPr>
                  <w:tcW w:w="934" w:type="dxa"/>
                  <w:tcBorders>
                    <w:tl2br w:val="nil"/>
                    <w:tr2bl w:val="nil"/>
                  </w:tcBorders>
                  <w:shd w:val="clear" w:color="auto" w:fill="auto"/>
                  <w:noWrap w:val="0"/>
                  <w:vAlign w:val="center"/>
                </w:tcPr>
                <w:p w14:paraId="624AC8A6">
                  <w:pPr>
                    <w:pStyle w:val="64"/>
                    <w:rPr>
                      <w:rFonts w:hint="eastAsia" w:cs="Times New Roman"/>
                      <w:color w:val="auto"/>
                      <w:kern w:val="0"/>
                      <w:sz w:val="18"/>
                      <w:szCs w:val="18"/>
                      <w:lang w:val="en-US" w:eastAsia="zh-CN" w:bidi="ar"/>
                    </w:rPr>
                  </w:pPr>
                  <w:r>
                    <w:rPr>
                      <w:rFonts w:hint="eastAsia" w:cs="Times New Roman"/>
                      <w:color w:val="auto"/>
                      <w:kern w:val="0"/>
                      <w:sz w:val="18"/>
                      <w:szCs w:val="18"/>
                      <w:lang w:val="en-US" w:eastAsia="zh-CN" w:bidi="ar"/>
                    </w:rPr>
                    <w:t>丁醇</w:t>
                  </w:r>
                </w:p>
              </w:tc>
              <w:tc>
                <w:tcPr>
                  <w:tcW w:w="1445" w:type="dxa"/>
                  <w:tcBorders>
                    <w:tl2br w:val="nil"/>
                    <w:tr2bl w:val="nil"/>
                  </w:tcBorders>
                  <w:noWrap w:val="0"/>
                  <w:vAlign w:val="center"/>
                </w:tcPr>
                <w:p w14:paraId="225556B4">
                  <w:pPr>
                    <w:pStyle w:val="46"/>
                    <w:spacing w:before="81" w:line="240" w:lineRule="auto"/>
                    <w:ind w:left="349" w:leftChars="0" w:right="321" w:rightChars="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71-36-3</w:t>
                  </w:r>
                </w:p>
              </w:tc>
              <w:tc>
                <w:tcPr>
                  <w:tcW w:w="1454" w:type="dxa"/>
                  <w:tcBorders>
                    <w:tl2br w:val="nil"/>
                    <w:tr2bl w:val="nil"/>
                  </w:tcBorders>
                  <w:shd w:val="clear" w:color="auto" w:fill="auto"/>
                  <w:noWrap w:val="0"/>
                  <w:vAlign w:val="center"/>
                </w:tcPr>
                <w:p w14:paraId="46E21D19">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0.05</w:t>
                  </w:r>
                </w:p>
              </w:tc>
              <w:tc>
                <w:tcPr>
                  <w:tcW w:w="1327" w:type="dxa"/>
                  <w:tcBorders>
                    <w:tl2br w:val="nil"/>
                    <w:tr2bl w:val="nil"/>
                  </w:tcBorders>
                  <w:noWrap w:val="0"/>
                  <w:vAlign w:val="center"/>
                </w:tcPr>
                <w:p w14:paraId="33D58362">
                  <w:pPr>
                    <w:spacing w:line="320" w:lineRule="exact"/>
                    <w:ind w:firstLine="0" w:firstLineChars="0"/>
                    <w:jc w:val="center"/>
                    <w:rPr>
                      <w:rFonts w:hint="eastAsia" w:ascii="Times New Roman" w:hAnsi="Times New Roman" w:cs="Times New Roman"/>
                      <w:color w:val="auto"/>
                      <w:sz w:val="18"/>
                      <w:szCs w:val="18"/>
                      <w:lang w:val="en-US" w:eastAsia="zh-CN"/>
                    </w:rPr>
                  </w:pPr>
                  <w:r>
                    <w:rPr>
                      <w:rFonts w:hint="eastAsia" w:cs="Times New Roman"/>
                      <w:color w:val="auto"/>
                      <w:sz w:val="18"/>
                      <w:szCs w:val="18"/>
                      <w:lang w:val="en-US" w:eastAsia="zh-CN"/>
                    </w:rPr>
                    <w:t>10</w:t>
                  </w:r>
                </w:p>
              </w:tc>
              <w:tc>
                <w:tcPr>
                  <w:tcW w:w="2051" w:type="dxa"/>
                  <w:tcBorders>
                    <w:tl2br w:val="nil"/>
                    <w:tr2bl w:val="nil"/>
                  </w:tcBorders>
                  <w:noWrap w:val="0"/>
                  <w:vAlign w:val="center"/>
                </w:tcPr>
                <w:p w14:paraId="7BCF538C">
                  <w:pPr>
                    <w:pStyle w:val="52"/>
                    <w:spacing w:line="240" w:lineRule="auto"/>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0.005</w:t>
                  </w:r>
                </w:p>
              </w:tc>
            </w:tr>
            <w:tr w14:paraId="146C55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33" w:type="dxa"/>
                  <w:vMerge w:val="continue"/>
                  <w:tcBorders>
                    <w:tl2br w:val="nil"/>
                    <w:tr2bl w:val="nil"/>
                  </w:tcBorders>
                  <w:shd w:val="clear" w:color="auto" w:fill="auto"/>
                  <w:noWrap w:val="0"/>
                  <w:vAlign w:val="center"/>
                </w:tcPr>
                <w:p w14:paraId="4D0F649F">
                  <w:pPr>
                    <w:pStyle w:val="64"/>
                    <w:rPr>
                      <w:rFonts w:hint="eastAsia" w:cs="Times New Roman"/>
                      <w:color w:val="auto"/>
                      <w:kern w:val="0"/>
                      <w:sz w:val="18"/>
                      <w:szCs w:val="18"/>
                      <w:lang w:val="en-US" w:eastAsia="zh-CN" w:bidi="ar"/>
                    </w:rPr>
                  </w:pPr>
                </w:p>
              </w:tc>
              <w:tc>
                <w:tcPr>
                  <w:tcW w:w="934" w:type="dxa"/>
                  <w:tcBorders>
                    <w:tl2br w:val="nil"/>
                    <w:tr2bl w:val="nil"/>
                  </w:tcBorders>
                  <w:shd w:val="clear" w:color="auto" w:fill="auto"/>
                  <w:noWrap w:val="0"/>
                  <w:vAlign w:val="center"/>
                </w:tcPr>
                <w:p w14:paraId="7DE68CBB">
                  <w:pPr>
                    <w:pStyle w:val="64"/>
                    <w:rPr>
                      <w:rFonts w:hint="eastAsia" w:cs="Times New Roman"/>
                      <w:color w:val="auto"/>
                      <w:kern w:val="0"/>
                      <w:sz w:val="18"/>
                      <w:szCs w:val="18"/>
                      <w:lang w:val="en-US" w:eastAsia="zh-CN" w:bidi="ar"/>
                    </w:rPr>
                  </w:pPr>
                  <w:r>
                    <w:rPr>
                      <w:rFonts w:hint="eastAsia" w:cs="Times New Roman"/>
                      <w:color w:val="auto"/>
                      <w:kern w:val="0"/>
                      <w:sz w:val="18"/>
                      <w:szCs w:val="18"/>
                      <w:lang w:val="en-US" w:eastAsia="zh-CN" w:bidi="ar"/>
                    </w:rPr>
                    <w:t>其余组分</w:t>
                  </w:r>
                </w:p>
              </w:tc>
              <w:tc>
                <w:tcPr>
                  <w:tcW w:w="1445" w:type="dxa"/>
                  <w:tcBorders>
                    <w:tl2br w:val="nil"/>
                    <w:tr2bl w:val="nil"/>
                  </w:tcBorders>
                  <w:noWrap w:val="0"/>
                  <w:vAlign w:val="center"/>
                </w:tcPr>
                <w:p w14:paraId="4753C249">
                  <w:pPr>
                    <w:pStyle w:val="46"/>
                    <w:spacing w:before="81" w:line="240" w:lineRule="auto"/>
                    <w:ind w:left="349" w:leftChars="0" w:right="321" w:rightChars="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454" w:type="dxa"/>
                  <w:tcBorders>
                    <w:tl2br w:val="nil"/>
                    <w:tr2bl w:val="nil"/>
                  </w:tcBorders>
                  <w:shd w:val="clear" w:color="auto" w:fill="auto"/>
                  <w:noWrap w:val="0"/>
                  <w:vAlign w:val="center"/>
                </w:tcPr>
                <w:p w14:paraId="68D70350">
                  <w:pPr>
                    <w:spacing w:line="240" w:lineRule="auto"/>
                    <w:ind w:firstLine="0" w:firstLineChars="0"/>
                    <w:jc w:val="center"/>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0.85</w:t>
                  </w:r>
                </w:p>
              </w:tc>
              <w:tc>
                <w:tcPr>
                  <w:tcW w:w="1327" w:type="dxa"/>
                  <w:tcBorders>
                    <w:tl2br w:val="nil"/>
                    <w:tr2bl w:val="nil"/>
                  </w:tcBorders>
                  <w:noWrap w:val="0"/>
                  <w:vAlign w:val="center"/>
                </w:tcPr>
                <w:p w14:paraId="300A208E">
                  <w:pPr>
                    <w:spacing w:line="320" w:lineRule="exact"/>
                    <w:ind w:firstLine="0" w:firstLineChars="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100</w:t>
                  </w:r>
                </w:p>
              </w:tc>
              <w:tc>
                <w:tcPr>
                  <w:tcW w:w="2051" w:type="dxa"/>
                  <w:tcBorders>
                    <w:tl2br w:val="nil"/>
                    <w:tr2bl w:val="nil"/>
                  </w:tcBorders>
                  <w:noWrap w:val="0"/>
                  <w:vAlign w:val="center"/>
                </w:tcPr>
                <w:p w14:paraId="61D3F973">
                  <w:pPr>
                    <w:pStyle w:val="52"/>
                    <w:spacing w:line="240" w:lineRule="auto"/>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0.0085</w:t>
                  </w:r>
                </w:p>
              </w:tc>
            </w:tr>
            <w:tr w14:paraId="59B91F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67" w:type="dxa"/>
                  <w:gridSpan w:val="2"/>
                  <w:tcBorders>
                    <w:tl2br w:val="nil"/>
                    <w:tr2bl w:val="nil"/>
                  </w:tcBorders>
                  <w:shd w:val="clear" w:color="auto" w:fill="auto"/>
                  <w:noWrap w:val="0"/>
                  <w:vAlign w:val="center"/>
                </w:tcPr>
                <w:p w14:paraId="29FF4657">
                  <w:pPr>
                    <w:pStyle w:val="64"/>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胶水</w:t>
                  </w:r>
                </w:p>
              </w:tc>
              <w:tc>
                <w:tcPr>
                  <w:tcW w:w="1445" w:type="dxa"/>
                  <w:tcBorders>
                    <w:tl2br w:val="nil"/>
                    <w:tr2bl w:val="nil"/>
                  </w:tcBorders>
                  <w:noWrap w:val="0"/>
                  <w:vAlign w:val="center"/>
                </w:tcPr>
                <w:p w14:paraId="3B0948EE">
                  <w:pPr>
                    <w:pStyle w:val="46"/>
                    <w:spacing w:before="81" w:line="240" w:lineRule="auto"/>
                    <w:ind w:left="349" w:right="321"/>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454" w:type="dxa"/>
                  <w:tcBorders>
                    <w:tl2br w:val="nil"/>
                    <w:tr2bl w:val="nil"/>
                  </w:tcBorders>
                  <w:shd w:val="clear" w:color="auto" w:fill="auto"/>
                  <w:noWrap w:val="0"/>
                  <w:vAlign w:val="center"/>
                </w:tcPr>
                <w:p w14:paraId="67753C71">
                  <w:pPr>
                    <w:spacing w:line="240" w:lineRule="auto"/>
                    <w:ind w:firstLine="0" w:firstLineChars="0"/>
                    <w:jc w:val="center"/>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1</w:t>
                  </w:r>
                </w:p>
              </w:tc>
              <w:tc>
                <w:tcPr>
                  <w:tcW w:w="1327" w:type="dxa"/>
                  <w:tcBorders>
                    <w:tl2br w:val="nil"/>
                    <w:tr2bl w:val="nil"/>
                  </w:tcBorders>
                  <w:noWrap w:val="0"/>
                  <w:vAlign w:val="center"/>
                </w:tcPr>
                <w:p w14:paraId="3A31EAF2">
                  <w:pPr>
                    <w:spacing w:line="320" w:lineRule="exact"/>
                    <w:ind w:firstLine="0" w:firstLineChars="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100</w:t>
                  </w:r>
                </w:p>
              </w:tc>
              <w:tc>
                <w:tcPr>
                  <w:tcW w:w="2051" w:type="dxa"/>
                  <w:tcBorders>
                    <w:tl2br w:val="nil"/>
                    <w:tr2bl w:val="nil"/>
                  </w:tcBorders>
                  <w:noWrap w:val="0"/>
                  <w:vAlign w:val="center"/>
                </w:tcPr>
                <w:p w14:paraId="2E9E1E34">
                  <w:pPr>
                    <w:pStyle w:val="52"/>
                    <w:spacing w:line="240" w:lineRule="auto"/>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0.01</w:t>
                  </w:r>
                </w:p>
              </w:tc>
            </w:tr>
            <w:tr w14:paraId="7F34CB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67" w:type="dxa"/>
                  <w:gridSpan w:val="2"/>
                  <w:tcBorders>
                    <w:tl2br w:val="nil"/>
                    <w:tr2bl w:val="nil"/>
                  </w:tcBorders>
                  <w:shd w:val="clear" w:color="auto" w:fill="auto"/>
                  <w:noWrap w:val="0"/>
                  <w:vAlign w:val="center"/>
                </w:tcPr>
                <w:p w14:paraId="49831EB5">
                  <w:pPr>
                    <w:pStyle w:val="64"/>
                    <w:rPr>
                      <w:rFonts w:hint="default" w:cs="Times New Roman"/>
                      <w:color w:val="auto"/>
                      <w:kern w:val="0"/>
                      <w:sz w:val="18"/>
                      <w:szCs w:val="18"/>
                      <w:lang w:val="en-US" w:eastAsia="zh-CN" w:bidi="ar"/>
                    </w:rPr>
                  </w:pPr>
                  <w:r>
                    <w:rPr>
                      <w:rFonts w:hint="eastAsia" w:cs="Times New Roman"/>
                      <w:color w:val="auto"/>
                      <w:kern w:val="0"/>
                      <w:sz w:val="18"/>
                      <w:szCs w:val="18"/>
                      <w:lang w:val="en-US" w:eastAsia="zh-CN" w:bidi="ar"/>
                    </w:rPr>
                    <w:t>UV光氧固化油墨</w:t>
                  </w:r>
                </w:p>
              </w:tc>
              <w:tc>
                <w:tcPr>
                  <w:tcW w:w="1445" w:type="dxa"/>
                  <w:tcBorders>
                    <w:tl2br w:val="nil"/>
                    <w:tr2bl w:val="nil"/>
                  </w:tcBorders>
                  <w:noWrap w:val="0"/>
                  <w:vAlign w:val="center"/>
                </w:tcPr>
                <w:p w14:paraId="63C9AF3A">
                  <w:pPr>
                    <w:pStyle w:val="46"/>
                    <w:spacing w:before="81" w:line="240" w:lineRule="auto"/>
                    <w:ind w:left="349" w:right="321"/>
                    <w:jc w:val="center"/>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454" w:type="dxa"/>
                  <w:tcBorders>
                    <w:tl2br w:val="nil"/>
                    <w:tr2bl w:val="nil"/>
                  </w:tcBorders>
                  <w:shd w:val="clear" w:color="auto" w:fill="auto"/>
                  <w:noWrap w:val="0"/>
                  <w:vAlign w:val="center"/>
                </w:tcPr>
                <w:p w14:paraId="5AD87190">
                  <w:pPr>
                    <w:spacing w:line="240" w:lineRule="auto"/>
                    <w:ind w:firstLine="0" w:firstLineChars="0"/>
                    <w:jc w:val="center"/>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0.5</w:t>
                  </w:r>
                </w:p>
              </w:tc>
              <w:tc>
                <w:tcPr>
                  <w:tcW w:w="1327" w:type="dxa"/>
                  <w:tcBorders>
                    <w:tl2br w:val="nil"/>
                    <w:tr2bl w:val="nil"/>
                  </w:tcBorders>
                  <w:noWrap w:val="0"/>
                  <w:vAlign w:val="center"/>
                </w:tcPr>
                <w:p w14:paraId="418D8FA8">
                  <w:pPr>
                    <w:spacing w:line="320" w:lineRule="exact"/>
                    <w:ind w:firstLine="0" w:firstLineChars="0"/>
                    <w:jc w:val="center"/>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100</w:t>
                  </w:r>
                </w:p>
              </w:tc>
              <w:tc>
                <w:tcPr>
                  <w:tcW w:w="2051" w:type="dxa"/>
                  <w:tcBorders>
                    <w:tl2br w:val="nil"/>
                    <w:tr2bl w:val="nil"/>
                  </w:tcBorders>
                  <w:noWrap w:val="0"/>
                  <w:vAlign w:val="center"/>
                </w:tcPr>
                <w:p w14:paraId="478BB5C5">
                  <w:pPr>
                    <w:pStyle w:val="52"/>
                    <w:spacing w:line="240" w:lineRule="auto"/>
                    <w:rPr>
                      <w:rFonts w:hint="eastAsia" w:cs="Times New Roman"/>
                      <w:color w:val="auto"/>
                      <w:sz w:val="18"/>
                      <w:szCs w:val="18"/>
                      <w:highlight w:val="none"/>
                      <w:lang w:val="en-US" w:eastAsia="zh-CN"/>
                    </w:rPr>
                  </w:pPr>
                  <w:r>
                    <w:rPr>
                      <w:rFonts w:hint="eastAsia" w:cs="Times New Roman"/>
                      <w:color w:val="auto"/>
                      <w:sz w:val="18"/>
                      <w:szCs w:val="18"/>
                      <w:highlight w:val="none"/>
                      <w:lang w:val="en-US" w:eastAsia="zh-CN"/>
                    </w:rPr>
                    <w:t>0.005</w:t>
                  </w:r>
                </w:p>
              </w:tc>
            </w:tr>
            <w:tr w14:paraId="428F09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67" w:type="dxa"/>
                  <w:gridSpan w:val="2"/>
                  <w:tcBorders>
                    <w:tl2br w:val="nil"/>
                    <w:tr2bl w:val="nil"/>
                  </w:tcBorders>
                  <w:shd w:val="clear" w:color="auto" w:fill="auto"/>
                  <w:noWrap w:val="0"/>
                  <w:vAlign w:val="center"/>
                </w:tcPr>
                <w:p w14:paraId="057F00C1">
                  <w:pPr>
                    <w:pStyle w:val="57"/>
                    <w:ind w:firstLine="0" w:firstLineChars="0"/>
                    <w:rPr>
                      <w:rFonts w:hint="default" w:ascii="Times New Roman" w:hAnsi="Times New Roman" w:eastAsia="宋体" w:cs="Times New Roman"/>
                      <w:color w:val="auto"/>
                      <w:kern w:val="2"/>
                      <w:sz w:val="18"/>
                      <w:szCs w:val="18"/>
                      <w:highlight w:val="none"/>
                      <w:lang w:val="zh-CN" w:eastAsia="zh-CN" w:bidi="ar-SA"/>
                    </w:rPr>
                  </w:pPr>
                  <w:r>
                    <w:rPr>
                      <w:rFonts w:hint="eastAsia" w:cs="Times New Roman"/>
                      <w:color w:val="auto"/>
                      <w:kern w:val="2"/>
                      <w:sz w:val="18"/>
                      <w:szCs w:val="18"/>
                      <w:highlight w:val="none"/>
                      <w:lang w:val="en-US" w:eastAsia="zh-CN" w:bidi="ar-SA"/>
                    </w:rPr>
                    <w:t>危险废物</w:t>
                  </w:r>
                </w:p>
              </w:tc>
              <w:tc>
                <w:tcPr>
                  <w:tcW w:w="1445" w:type="dxa"/>
                  <w:tcBorders>
                    <w:tl2br w:val="nil"/>
                    <w:tr2bl w:val="nil"/>
                  </w:tcBorders>
                  <w:noWrap w:val="0"/>
                  <w:vAlign w:val="center"/>
                </w:tcPr>
                <w:p w14:paraId="5FDF8F59">
                  <w:pPr>
                    <w:spacing w:before="81" w:line="240" w:lineRule="auto"/>
                    <w:ind w:left="349" w:right="321"/>
                    <w:jc w:val="center"/>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1454" w:type="dxa"/>
                  <w:tcBorders>
                    <w:tl2br w:val="nil"/>
                    <w:tr2bl w:val="nil"/>
                  </w:tcBorders>
                  <w:shd w:val="clear" w:color="auto" w:fill="auto"/>
                  <w:noWrap w:val="0"/>
                  <w:vAlign w:val="center"/>
                </w:tcPr>
                <w:p w14:paraId="7638BF22">
                  <w:pPr>
                    <w:pStyle w:val="52"/>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12.96</w:t>
                  </w:r>
                </w:p>
              </w:tc>
              <w:tc>
                <w:tcPr>
                  <w:tcW w:w="1327" w:type="dxa"/>
                  <w:tcBorders>
                    <w:tl2br w:val="nil"/>
                    <w:tr2bl w:val="nil"/>
                  </w:tcBorders>
                  <w:noWrap w:val="0"/>
                  <w:vAlign w:val="center"/>
                </w:tcPr>
                <w:p w14:paraId="465D7B26">
                  <w:pPr>
                    <w:spacing w:line="320" w:lineRule="exact"/>
                    <w:ind w:firstLine="0" w:firstLineChars="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50</w:t>
                  </w:r>
                </w:p>
              </w:tc>
              <w:tc>
                <w:tcPr>
                  <w:tcW w:w="2051" w:type="dxa"/>
                  <w:tcBorders>
                    <w:tl2br w:val="nil"/>
                    <w:tr2bl w:val="nil"/>
                  </w:tcBorders>
                  <w:noWrap w:val="0"/>
                  <w:vAlign w:val="center"/>
                </w:tcPr>
                <w:p w14:paraId="0C94D8B6">
                  <w:pPr>
                    <w:pStyle w:val="52"/>
                    <w:spacing w:line="240" w:lineRule="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0.2592</w:t>
                  </w:r>
                </w:p>
              </w:tc>
            </w:tr>
            <w:tr w14:paraId="1D9820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93" w:type="dxa"/>
                  <w:gridSpan w:val="5"/>
                  <w:tcBorders>
                    <w:tl2br w:val="nil"/>
                    <w:tr2bl w:val="nil"/>
                  </w:tcBorders>
                  <w:noWrap w:val="0"/>
                  <w:vAlign w:val="center"/>
                </w:tcPr>
                <w:p w14:paraId="3178BBBD">
                  <w:pPr>
                    <w:pStyle w:val="46"/>
                    <w:spacing w:before="94" w:line="240" w:lineRule="auto"/>
                    <w:ind w:left="120" w:right="9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总计</w:t>
                  </w:r>
                </w:p>
              </w:tc>
              <w:tc>
                <w:tcPr>
                  <w:tcW w:w="2051" w:type="dxa"/>
                  <w:tcBorders>
                    <w:tl2br w:val="nil"/>
                    <w:tr2bl w:val="nil"/>
                  </w:tcBorders>
                  <w:noWrap w:val="0"/>
                  <w:vAlign w:val="center"/>
                </w:tcPr>
                <w:p w14:paraId="1BD886A9">
                  <w:pPr>
                    <w:pStyle w:val="52"/>
                    <w:spacing w:line="240" w:lineRule="auto"/>
                    <w:rPr>
                      <w:rFonts w:hint="default" w:cs="Times New Roman"/>
                      <w:color w:val="auto"/>
                      <w:sz w:val="18"/>
                      <w:szCs w:val="18"/>
                      <w:highlight w:val="none"/>
                      <w:lang w:val="en-US" w:eastAsia="zh-CN"/>
                    </w:rPr>
                  </w:pPr>
                  <w:r>
                    <w:rPr>
                      <w:rFonts w:hint="eastAsia" w:cs="Times New Roman"/>
                      <w:color w:val="auto"/>
                      <w:sz w:val="18"/>
                      <w:szCs w:val="18"/>
                      <w:highlight w:val="none"/>
                      <w:lang w:val="en-US" w:eastAsia="zh-CN"/>
                    </w:rPr>
                    <w:t>0.3277</w:t>
                  </w:r>
                </w:p>
              </w:tc>
            </w:tr>
          </w:tbl>
          <w:p w14:paraId="57269A42">
            <w:pPr>
              <w:adjustRightInd w:val="0"/>
              <w:snapToGrid w:val="0"/>
              <w:spacing w:line="360" w:lineRule="auto"/>
              <w:ind w:firstLine="320" w:firstLineChars="200"/>
              <w:jc w:val="left"/>
              <w:rPr>
                <w:rFonts w:hint="default" w:cs="Times New Roman"/>
                <w:bCs/>
                <w:color w:val="auto"/>
                <w:spacing w:val="-10"/>
                <w:sz w:val="18"/>
                <w:szCs w:val="18"/>
                <w:highlight w:val="none"/>
                <w:lang w:val="en-US" w:eastAsia="zh-CN"/>
              </w:rPr>
            </w:pPr>
            <w:r>
              <w:rPr>
                <w:rFonts w:hint="eastAsia" w:cs="Times New Roman"/>
                <w:bCs/>
                <w:color w:val="auto"/>
                <w:spacing w:val="-10"/>
                <w:sz w:val="18"/>
                <w:szCs w:val="18"/>
                <w:highlight w:val="none"/>
                <w:lang w:val="en-US" w:eastAsia="zh-CN"/>
              </w:rPr>
              <w:t>注：危险废物属于健康危险急性毒性物质(类别2,类别3)，故临界值取50t，有机硅硬质涂层、防雾涂料、清洗剂、胶水、UV光氧固化油墨属于危害水环境物质(急性毒性类别1)，故临界值取100t。</w:t>
            </w:r>
          </w:p>
          <w:p w14:paraId="7AF385DF">
            <w:pPr>
              <w:adjustRightInd w:val="0"/>
              <w:snapToGrid w:val="0"/>
              <w:spacing w:line="360" w:lineRule="auto"/>
              <w:ind w:firstLine="380" w:firstLineChars="200"/>
              <w:jc w:val="left"/>
              <w:rPr>
                <w:rFonts w:hint="default" w:ascii="Times New Roman" w:hAnsi="Times New Roman" w:cs="Times New Roman"/>
                <w:b/>
                <w:bCs/>
                <w:color w:val="auto"/>
                <w:spacing w:val="-10"/>
                <w:sz w:val="21"/>
                <w:szCs w:val="21"/>
                <w:highlight w:val="none"/>
                <w:lang w:val="en-US" w:eastAsia="zh-CN"/>
              </w:rPr>
            </w:pPr>
            <w:r>
              <w:rPr>
                <w:rFonts w:hint="default" w:ascii="Times New Roman" w:hAnsi="Times New Roman" w:cs="Times New Roman"/>
                <w:bCs/>
                <w:color w:val="auto"/>
                <w:spacing w:val="-10"/>
                <w:sz w:val="21"/>
                <w:szCs w:val="21"/>
                <w:highlight w:val="none"/>
                <w:lang w:val="en-US" w:eastAsia="zh-CN"/>
              </w:rPr>
              <w:t>由上</w:t>
            </w:r>
            <w:r>
              <w:rPr>
                <w:rFonts w:hint="default" w:ascii="Times New Roman" w:hAnsi="Times New Roman" w:eastAsia="宋体" w:cs="Times New Roman"/>
                <w:color w:val="auto"/>
                <w:kern w:val="0"/>
                <w:sz w:val="21"/>
                <w:szCs w:val="21"/>
                <w:lang w:val="en-US" w:eastAsia="zh-CN" w:bidi="ar"/>
              </w:rPr>
              <w:t>表可知，本项目危险物质数量与临界量比值</w:t>
            </w:r>
            <w:r>
              <w:rPr>
                <w:rFonts w:hint="default" w:ascii="Times New Roman" w:hAnsi="Times New Roman" w:cs="Times New Roman"/>
                <w:bCs/>
                <w:color w:val="auto"/>
                <w:spacing w:val="-10"/>
                <w:sz w:val="21"/>
                <w:szCs w:val="21"/>
                <w:highlight w:val="none"/>
                <w:lang w:val="en-US" w:eastAsia="zh-CN"/>
              </w:rPr>
              <w:t>Q =</w:t>
            </w:r>
            <w:r>
              <w:rPr>
                <w:rFonts w:hint="eastAsia" w:cs="Times New Roman"/>
                <w:color w:val="auto"/>
                <w:kern w:val="0"/>
                <w:sz w:val="21"/>
                <w:szCs w:val="21"/>
                <w:lang w:val="en-US" w:eastAsia="zh-CN" w:bidi="ar"/>
              </w:rPr>
              <w:t>0.1127</w:t>
            </w:r>
            <w:r>
              <w:rPr>
                <w:rFonts w:hint="default" w:ascii="Times New Roman" w:hAnsi="Times New Roman" w:eastAsia="宋体" w:cs="Times New Roman"/>
                <w:color w:val="auto"/>
                <w:kern w:val="0"/>
                <w:sz w:val="21"/>
                <w:szCs w:val="21"/>
                <w:lang w:val="en-US" w:eastAsia="zh-CN" w:bidi="ar"/>
              </w:rPr>
              <w:t>＜ 1</w:t>
            </w:r>
            <w:r>
              <w:rPr>
                <w:rFonts w:hint="default" w:ascii="Times New Roman" w:hAnsi="Times New Roman" w:cs="Times New Roman"/>
                <w:bCs/>
                <w:color w:val="auto"/>
                <w:spacing w:val="-10"/>
                <w:sz w:val="21"/>
                <w:szCs w:val="21"/>
                <w:highlight w:val="none"/>
                <w:lang w:val="en-US" w:eastAsia="zh-CN"/>
              </w:rPr>
              <w:t>，</w:t>
            </w:r>
            <w:r>
              <w:rPr>
                <w:rFonts w:hint="eastAsia" w:cs="Times New Roman"/>
                <w:bCs/>
                <w:color w:val="auto"/>
                <w:spacing w:val="-10"/>
                <w:sz w:val="21"/>
                <w:szCs w:val="21"/>
                <w:highlight w:val="none"/>
                <w:lang w:val="en-US" w:eastAsia="zh-CN"/>
              </w:rPr>
              <w:t>全厂</w:t>
            </w:r>
            <w:r>
              <w:rPr>
                <w:rFonts w:hint="default" w:ascii="Times New Roman" w:hAnsi="Times New Roman" w:eastAsia="宋体" w:cs="Times New Roman"/>
                <w:color w:val="auto"/>
                <w:kern w:val="0"/>
                <w:sz w:val="21"/>
                <w:szCs w:val="21"/>
                <w:lang w:val="en-US" w:eastAsia="zh-CN" w:bidi="ar"/>
              </w:rPr>
              <w:t>危险物质数量与临界量比值</w:t>
            </w:r>
            <w:r>
              <w:rPr>
                <w:rFonts w:hint="default" w:ascii="Times New Roman" w:hAnsi="Times New Roman" w:cs="Times New Roman"/>
                <w:bCs/>
                <w:color w:val="auto"/>
                <w:spacing w:val="-10"/>
                <w:sz w:val="21"/>
                <w:szCs w:val="21"/>
                <w:highlight w:val="none"/>
                <w:lang w:val="en-US" w:eastAsia="zh-CN"/>
              </w:rPr>
              <w:t>Q =</w:t>
            </w:r>
            <w:r>
              <w:rPr>
                <w:rFonts w:hint="eastAsia" w:cs="Times New Roman"/>
                <w:color w:val="auto"/>
                <w:kern w:val="0"/>
                <w:sz w:val="21"/>
                <w:szCs w:val="21"/>
                <w:lang w:val="en-US" w:eastAsia="zh-CN" w:bidi="ar"/>
              </w:rPr>
              <w:t>0.3277</w:t>
            </w:r>
            <w:r>
              <w:rPr>
                <w:rFonts w:hint="default" w:ascii="Times New Roman" w:hAnsi="Times New Roman" w:eastAsia="宋体" w:cs="Times New Roman"/>
                <w:color w:val="auto"/>
                <w:kern w:val="0"/>
                <w:sz w:val="21"/>
                <w:szCs w:val="21"/>
                <w:lang w:val="en-US" w:eastAsia="zh-CN" w:bidi="ar"/>
              </w:rPr>
              <w:t>＜ 1</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根据《建设项目环境影响报告表编制技术指南（污染影响类）（试行）》可知，不需要设置专项评价。</w:t>
            </w:r>
          </w:p>
          <w:p w14:paraId="62F8607B">
            <w:pPr>
              <w:pStyle w:val="4"/>
              <w:bidi w:val="0"/>
              <w:rPr>
                <w:rFonts w:hint="default" w:ascii="Times New Roman" w:hAnsi="Times New Roman" w:cs="Times New Roman"/>
                <w:color w:val="auto"/>
                <w:lang w:eastAsia="zh-CN"/>
              </w:rPr>
            </w:pP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w:t>
            </w:r>
            <w:r>
              <w:rPr>
                <w:rFonts w:hint="default" w:ascii="Times New Roman" w:hAnsi="Times New Roman" w:cs="Times New Roman"/>
                <w:color w:val="auto"/>
              </w:rPr>
              <w:t>环境</w:t>
            </w:r>
            <w:r>
              <w:rPr>
                <w:rFonts w:hint="default" w:ascii="Times New Roman" w:hAnsi="Times New Roman" w:cs="Times New Roman"/>
                <w:color w:val="auto"/>
                <w:lang w:eastAsia="zh-CN"/>
              </w:rPr>
              <w:t>风险识别</w:t>
            </w:r>
          </w:p>
          <w:p w14:paraId="042026E1">
            <w:pPr>
              <w:spacing w:line="240" w:lineRule="auto"/>
              <w:ind w:firstLine="422" w:firstLineChars="200"/>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cs="Times New Roman"/>
                <w:b/>
                <w:color w:val="auto"/>
                <w:sz w:val="21"/>
                <w:szCs w:val="21"/>
              </w:rPr>
              <w:t>表</w:t>
            </w:r>
            <w:r>
              <w:rPr>
                <w:rFonts w:hint="default" w:ascii="Times New Roman" w:hAnsi="Times New Roman" w:cs="Times New Roman"/>
                <w:b/>
                <w:color w:val="auto"/>
                <w:sz w:val="21"/>
                <w:szCs w:val="21"/>
                <w:lang w:val="en-US" w:eastAsia="zh-CN"/>
              </w:rPr>
              <w:t>4</w:t>
            </w:r>
            <w:r>
              <w:rPr>
                <w:rFonts w:hint="default" w:ascii="Times New Roman" w:hAnsi="Times New Roman" w:eastAsia="Times New Roman" w:cs="Times New Roman"/>
                <w:b/>
                <w:color w:val="auto"/>
                <w:sz w:val="21"/>
                <w:szCs w:val="21"/>
              </w:rPr>
              <w:t>-</w:t>
            </w:r>
            <w:r>
              <w:rPr>
                <w:rFonts w:hint="eastAsia" w:eastAsia="宋体" w:cs="Times New Roman"/>
                <w:b/>
                <w:color w:val="auto"/>
                <w:sz w:val="21"/>
                <w:szCs w:val="21"/>
                <w:lang w:val="en-US" w:eastAsia="zh-CN"/>
              </w:rPr>
              <w:t>2</w:t>
            </w:r>
            <w:r>
              <w:rPr>
                <w:rFonts w:hint="eastAsia" w:cs="Times New Roman"/>
                <w:b/>
                <w:color w:val="auto"/>
                <w:sz w:val="21"/>
                <w:szCs w:val="21"/>
                <w:lang w:val="en-US" w:eastAsia="zh-CN"/>
              </w:rPr>
              <w:t>7</w:t>
            </w:r>
            <w:r>
              <w:rPr>
                <w:rFonts w:hint="default" w:ascii="Times New Roman" w:hAnsi="Times New Roman" w:eastAsia="Times New Roman" w:cs="Times New Roman"/>
                <w:b/>
                <w:color w:val="auto"/>
                <w:sz w:val="21"/>
                <w:szCs w:val="21"/>
              </w:rPr>
              <w:t xml:space="preserve"> </w:t>
            </w:r>
            <w:r>
              <w:rPr>
                <w:rFonts w:hint="default" w:ascii="Times New Roman" w:hAnsi="Times New Roman" w:cs="Times New Roman"/>
                <w:b/>
                <w:bCs/>
                <w:color w:val="auto"/>
                <w:kern w:val="0"/>
                <w:sz w:val="21"/>
                <w:szCs w:val="21"/>
              </w:rPr>
              <w:t>本项目</w:t>
            </w:r>
            <w:r>
              <w:rPr>
                <w:rFonts w:hint="default" w:ascii="Times New Roman" w:hAnsi="Times New Roman" w:eastAsia="宋体" w:cs="Times New Roman"/>
                <w:b/>
                <w:color w:val="auto"/>
                <w:sz w:val="21"/>
                <w:szCs w:val="21"/>
                <w:lang w:eastAsia="zh-CN"/>
              </w:rPr>
              <w:t>风险源分布情况及可能影响途径</w:t>
            </w:r>
          </w:p>
          <w:tbl>
            <w:tblPr>
              <w:tblStyle w:val="2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1713"/>
              <w:gridCol w:w="2250"/>
              <w:gridCol w:w="2366"/>
            </w:tblGrid>
            <w:tr w14:paraId="4B8566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102" w:type="pct"/>
                  <w:noWrap w:val="0"/>
                  <w:vAlign w:val="center"/>
                </w:tcPr>
                <w:p w14:paraId="6115CFB2">
                  <w:pPr>
                    <w:spacing w:line="240" w:lineRule="auto"/>
                    <w:jc w:val="center"/>
                    <w:rPr>
                      <w:rFonts w:hint="default" w:ascii="Times New Roman" w:hAnsi="Times New Roman" w:eastAsia="宋体" w:cs="Times New Roman"/>
                      <w:b/>
                      <w:color w:val="auto"/>
                      <w:sz w:val="18"/>
                      <w:szCs w:val="18"/>
                      <w:highlight w:val="none"/>
                      <w:lang w:eastAsia="zh-CN"/>
                    </w:rPr>
                  </w:pPr>
                  <w:r>
                    <w:rPr>
                      <w:rFonts w:hint="default" w:ascii="Times New Roman" w:hAnsi="Times New Roman" w:eastAsia="宋体" w:cs="Times New Roman"/>
                      <w:b/>
                      <w:color w:val="auto"/>
                      <w:sz w:val="18"/>
                      <w:szCs w:val="18"/>
                      <w:highlight w:val="none"/>
                      <w:lang w:eastAsia="zh-CN"/>
                    </w:rPr>
                    <w:t>风险源</w:t>
                  </w:r>
                </w:p>
              </w:tc>
              <w:tc>
                <w:tcPr>
                  <w:tcW w:w="1054" w:type="pct"/>
                  <w:noWrap w:val="0"/>
                  <w:vAlign w:val="center"/>
                </w:tcPr>
                <w:p w14:paraId="181732DB">
                  <w:pPr>
                    <w:spacing w:line="240" w:lineRule="auto"/>
                    <w:jc w:val="center"/>
                    <w:rPr>
                      <w:rFonts w:hint="default" w:ascii="Times New Roman" w:hAnsi="Times New Roman" w:eastAsia="宋体" w:cs="Times New Roman"/>
                      <w:b/>
                      <w:color w:val="auto"/>
                      <w:sz w:val="18"/>
                      <w:szCs w:val="18"/>
                      <w:highlight w:val="none"/>
                      <w:lang w:eastAsia="zh-CN"/>
                    </w:rPr>
                  </w:pPr>
                  <w:r>
                    <w:rPr>
                      <w:rFonts w:hint="default" w:ascii="Times New Roman" w:hAnsi="Times New Roman" w:eastAsia="宋体" w:cs="Times New Roman"/>
                      <w:b/>
                      <w:color w:val="auto"/>
                      <w:sz w:val="18"/>
                      <w:szCs w:val="18"/>
                      <w:highlight w:val="none"/>
                      <w:lang w:eastAsia="zh-CN"/>
                    </w:rPr>
                    <w:t>危险物质</w:t>
                  </w:r>
                </w:p>
              </w:tc>
              <w:tc>
                <w:tcPr>
                  <w:tcW w:w="1385" w:type="pct"/>
                  <w:noWrap w:val="0"/>
                  <w:vAlign w:val="center"/>
                </w:tcPr>
                <w:p w14:paraId="5B1999D3">
                  <w:pPr>
                    <w:spacing w:line="240" w:lineRule="auto"/>
                    <w:jc w:val="center"/>
                    <w:rPr>
                      <w:rFonts w:hint="default" w:ascii="Times New Roman" w:hAnsi="Times New Roman" w:eastAsia="宋体" w:cs="Times New Roman"/>
                      <w:b/>
                      <w:color w:val="auto"/>
                      <w:sz w:val="18"/>
                      <w:szCs w:val="18"/>
                      <w:highlight w:val="none"/>
                      <w:lang w:eastAsia="zh-CN"/>
                    </w:rPr>
                  </w:pPr>
                  <w:r>
                    <w:rPr>
                      <w:rFonts w:hint="default" w:ascii="Times New Roman" w:hAnsi="Times New Roman" w:eastAsia="宋体" w:cs="Times New Roman"/>
                      <w:b/>
                      <w:color w:val="auto"/>
                      <w:sz w:val="18"/>
                      <w:szCs w:val="18"/>
                      <w:highlight w:val="none"/>
                      <w:lang w:eastAsia="zh-CN"/>
                    </w:rPr>
                    <w:t>环境风险类型</w:t>
                  </w:r>
                </w:p>
              </w:tc>
              <w:tc>
                <w:tcPr>
                  <w:tcW w:w="1457" w:type="pct"/>
                  <w:noWrap w:val="0"/>
                  <w:vAlign w:val="center"/>
                </w:tcPr>
                <w:p w14:paraId="66C4F1CF">
                  <w:pPr>
                    <w:spacing w:line="240" w:lineRule="auto"/>
                    <w:jc w:val="center"/>
                    <w:rPr>
                      <w:rFonts w:hint="default" w:ascii="Times New Roman" w:hAnsi="Times New Roman" w:eastAsia="宋体" w:cs="Times New Roman"/>
                      <w:b/>
                      <w:color w:val="auto"/>
                      <w:sz w:val="18"/>
                      <w:szCs w:val="18"/>
                      <w:highlight w:val="none"/>
                      <w:lang w:eastAsia="zh-CN"/>
                    </w:rPr>
                  </w:pPr>
                  <w:r>
                    <w:rPr>
                      <w:rFonts w:hint="default" w:ascii="Times New Roman" w:hAnsi="Times New Roman" w:eastAsia="宋体" w:cs="Times New Roman"/>
                      <w:b/>
                      <w:color w:val="auto"/>
                      <w:sz w:val="18"/>
                      <w:szCs w:val="18"/>
                      <w:highlight w:val="none"/>
                      <w:lang w:eastAsia="zh-CN"/>
                    </w:rPr>
                    <w:t>影响环境途径</w:t>
                  </w:r>
                </w:p>
              </w:tc>
            </w:tr>
            <w:tr w14:paraId="556238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102" w:type="pct"/>
                  <w:noWrap w:val="0"/>
                  <w:vAlign w:val="center"/>
                </w:tcPr>
                <w:p w14:paraId="3C07B568">
                  <w:pPr>
                    <w:snapToGrid w:val="0"/>
                    <w:spacing w:line="240" w:lineRule="auto"/>
                    <w:jc w:val="center"/>
                    <w:rPr>
                      <w:rFonts w:hint="default" w:ascii="宋体" w:eastAsia="宋体" w:cs="Times New Roman"/>
                      <w:color w:val="auto"/>
                      <w:sz w:val="18"/>
                      <w:szCs w:val="24"/>
                      <w:highlight w:val="none"/>
                      <w:lang w:val="en-US" w:eastAsia="zh-CN"/>
                    </w:rPr>
                  </w:pPr>
                  <w:r>
                    <w:rPr>
                      <w:rFonts w:hint="eastAsia" w:ascii="宋体" w:eastAsia="宋体" w:cs="Times New Roman"/>
                      <w:color w:val="auto"/>
                      <w:sz w:val="18"/>
                      <w:szCs w:val="24"/>
                      <w:highlight w:val="none"/>
                      <w:lang w:val="en-US" w:eastAsia="zh-CN"/>
                    </w:rPr>
                    <w:t>生产车间</w:t>
                  </w:r>
                </w:p>
              </w:tc>
              <w:tc>
                <w:tcPr>
                  <w:tcW w:w="1054" w:type="pct"/>
                  <w:noWrap w:val="0"/>
                  <w:vAlign w:val="center"/>
                </w:tcPr>
                <w:p w14:paraId="47C48CF4">
                  <w:pPr>
                    <w:snapToGrid w:val="0"/>
                    <w:spacing w:line="240" w:lineRule="auto"/>
                    <w:jc w:val="center"/>
                    <w:rPr>
                      <w:rFonts w:hint="default" w:ascii="宋体" w:eastAsia="宋体" w:cs="Times New Roman"/>
                      <w:color w:val="auto"/>
                      <w:sz w:val="18"/>
                      <w:szCs w:val="24"/>
                      <w:highlight w:val="none"/>
                      <w:lang w:val="en-US" w:eastAsia="zh-CN"/>
                    </w:rPr>
                  </w:pPr>
                  <w:r>
                    <w:rPr>
                      <w:rFonts w:hint="eastAsia" w:ascii="宋体" w:eastAsia="宋体" w:cs="Times New Roman"/>
                      <w:color w:val="auto"/>
                      <w:sz w:val="18"/>
                      <w:szCs w:val="24"/>
                      <w:highlight w:val="none"/>
                      <w:lang w:val="en-US" w:eastAsia="zh-CN"/>
                    </w:rPr>
                    <w:t>有机硅硬质涂层、防雾涂料、清洗剂</w:t>
                  </w:r>
                </w:p>
              </w:tc>
              <w:tc>
                <w:tcPr>
                  <w:tcW w:w="1385" w:type="pct"/>
                  <w:noWrap w:val="0"/>
                  <w:vAlign w:val="center"/>
                </w:tcPr>
                <w:p w14:paraId="5677ECF4">
                  <w:pPr>
                    <w:snapToGrid w:val="0"/>
                    <w:spacing w:line="240" w:lineRule="auto"/>
                    <w:jc w:val="center"/>
                    <w:rPr>
                      <w:rFonts w:hint="eastAsia" w:ascii="Times New Roman" w:hAnsi="Times New Roman" w:eastAsia="宋体" w:cs="Times New Roman"/>
                      <w:color w:val="auto"/>
                      <w:kern w:val="0"/>
                      <w:sz w:val="18"/>
                      <w:szCs w:val="18"/>
                      <w:highlight w:val="none"/>
                      <w:lang w:eastAsia="zh-CN"/>
                    </w:rPr>
                  </w:pPr>
                  <w:r>
                    <w:rPr>
                      <w:rFonts w:hint="default" w:ascii="宋体" w:eastAsia="宋体" w:cs="Times New Roman"/>
                      <w:color w:val="auto"/>
                      <w:sz w:val="18"/>
                      <w:szCs w:val="24"/>
                      <w:highlight w:val="none"/>
                    </w:rPr>
                    <w:t>泄漏</w:t>
                  </w:r>
                  <w:r>
                    <w:rPr>
                      <w:rFonts w:hint="eastAsia" w:ascii="宋体" w:eastAsia="宋体" w:cs="Times New Roman"/>
                      <w:color w:val="auto"/>
                      <w:sz w:val="18"/>
                      <w:szCs w:val="24"/>
                      <w:highlight w:val="none"/>
                      <w:lang w:eastAsia="zh-CN"/>
                    </w:rPr>
                    <w:t>；</w:t>
                  </w:r>
                  <w:r>
                    <w:rPr>
                      <w:rFonts w:hint="default" w:ascii="宋体" w:eastAsia="宋体" w:cs="Times New Roman"/>
                      <w:color w:val="auto"/>
                      <w:sz w:val="18"/>
                      <w:szCs w:val="24"/>
                      <w:highlight w:val="none"/>
                    </w:rPr>
                    <w:t>火灾、爆炸等引发的伴生/次生污染物排放</w:t>
                  </w:r>
                </w:p>
              </w:tc>
              <w:tc>
                <w:tcPr>
                  <w:tcW w:w="1457" w:type="pct"/>
                  <w:noWrap w:val="0"/>
                  <w:vAlign w:val="center"/>
                </w:tcPr>
                <w:p w14:paraId="17F86E37">
                  <w:pPr>
                    <w:snapToGrid w:val="0"/>
                    <w:spacing w:line="240" w:lineRule="auto"/>
                    <w:jc w:val="center"/>
                    <w:rPr>
                      <w:rFonts w:hint="default" w:ascii="Times New Roman" w:hAnsi="Times New Roman" w:cs="Times New Roman"/>
                      <w:color w:val="auto"/>
                      <w:kern w:val="0"/>
                      <w:sz w:val="18"/>
                      <w:szCs w:val="18"/>
                      <w:highlight w:val="none"/>
                    </w:rPr>
                  </w:pPr>
                  <w:r>
                    <w:rPr>
                      <w:rFonts w:hint="default" w:ascii="宋体" w:eastAsia="宋体" w:cs="Times New Roman"/>
                      <w:color w:val="auto"/>
                      <w:sz w:val="18"/>
                      <w:szCs w:val="24"/>
                      <w:highlight w:val="none"/>
                    </w:rPr>
                    <w:t>周边地表水、地下水和大气环境</w:t>
                  </w:r>
                </w:p>
              </w:tc>
            </w:tr>
            <w:tr w14:paraId="35D7B4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102" w:type="pct"/>
                  <w:noWrap w:val="0"/>
                  <w:vAlign w:val="center"/>
                </w:tcPr>
                <w:p w14:paraId="54456DF6">
                  <w:pPr>
                    <w:snapToGrid w:val="0"/>
                    <w:spacing w:line="240" w:lineRule="auto"/>
                    <w:jc w:val="center"/>
                    <w:rPr>
                      <w:rFonts w:hint="default"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原料仓库</w:t>
                  </w:r>
                </w:p>
              </w:tc>
              <w:tc>
                <w:tcPr>
                  <w:tcW w:w="1054" w:type="pct"/>
                  <w:noWrap w:val="0"/>
                  <w:vAlign w:val="center"/>
                </w:tcPr>
                <w:p w14:paraId="5D3E3ACA">
                  <w:pPr>
                    <w:snapToGrid w:val="0"/>
                    <w:spacing w:line="240" w:lineRule="auto"/>
                    <w:jc w:val="center"/>
                    <w:rPr>
                      <w:rFonts w:hint="default" w:ascii="Times New Roman" w:hAnsi="Times New Roman" w:eastAsia="宋体" w:cs="Times New Roman"/>
                      <w:color w:val="auto"/>
                      <w:kern w:val="0"/>
                      <w:sz w:val="18"/>
                      <w:szCs w:val="18"/>
                      <w:highlight w:val="none"/>
                      <w:lang w:val="en-US" w:eastAsia="zh-CN"/>
                    </w:rPr>
                  </w:pPr>
                  <w:r>
                    <w:rPr>
                      <w:rFonts w:hint="eastAsia" w:ascii="宋体" w:eastAsia="宋体" w:cs="Times New Roman"/>
                      <w:color w:val="auto"/>
                      <w:sz w:val="18"/>
                      <w:szCs w:val="24"/>
                      <w:highlight w:val="none"/>
                      <w:lang w:val="en-US" w:eastAsia="zh-CN"/>
                    </w:rPr>
                    <w:t>有机硅硬质涂层、防雾涂料、清洗剂</w:t>
                  </w:r>
                </w:p>
              </w:tc>
              <w:tc>
                <w:tcPr>
                  <w:tcW w:w="1385" w:type="pct"/>
                  <w:noWrap w:val="0"/>
                  <w:vAlign w:val="center"/>
                </w:tcPr>
                <w:p w14:paraId="4D1A981A">
                  <w:pPr>
                    <w:snapToGrid w:val="0"/>
                    <w:spacing w:line="240" w:lineRule="auto"/>
                    <w:jc w:val="center"/>
                    <w:rPr>
                      <w:rFonts w:hint="default" w:ascii="Times New Roman" w:hAnsi="Times New Roman" w:cs="Times New Roman"/>
                      <w:color w:val="auto"/>
                      <w:kern w:val="0"/>
                      <w:sz w:val="18"/>
                      <w:szCs w:val="18"/>
                      <w:highlight w:val="none"/>
                    </w:rPr>
                  </w:pPr>
                  <w:r>
                    <w:rPr>
                      <w:rFonts w:hint="default" w:ascii="宋体" w:eastAsia="宋体" w:cs="Times New Roman"/>
                      <w:color w:val="auto"/>
                      <w:sz w:val="18"/>
                      <w:szCs w:val="24"/>
                      <w:highlight w:val="none"/>
                    </w:rPr>
                    <w:t>泄漏</w:t>
                  </w:r>
                  <w:r>
                    <w:rPr>
                      <w:rFonts w:hint="eastAsia" w:ascii="宋体" w:eastAsia="宋体" w:cs="Times New Roman"/>
                      <w:color w:val="auto"/>
                      <w:sz w:val="18"/>
                      <w:szCs w:val="24"/>
                      <w:highlight w:val="none"/>
                      <w:lang w:eastAsia="zh-CN"/>
                    </w:rPr>
                    <w:t>；</w:t>
                  </w:r>
                  <w:r>
                    <w:rPr>
                      <w:rFonts w:hint="default" w:ascii="宋体" w:eastAsia="宋体" w:cs="Times New Roman"/>
                      <w:color w:val="auto"/>
                      <w:sz w:val="18"/>
                      <w:szCs w:val="24"/>
                      <w:highlight w:val="none"/>
                    </w:rPr>
                    <w:t>火灾、爆炸等引发的伴生/次生污染物排放</w:t>
                  </w:r>
                </w:p>
              </w:tc>
              <w:tc>
                <w:tcPr>
                  <w:tcW w:w="1457" w:type="pct"/>
                  <w:noWrap w:val="0"/>
                  <w:vAlign w:val="center"/>
                </w:tcPr>
                <w:p w14:paraId="139678C8">
                  <w:pPr>
                    <w:snapToGrid w:val="0"/>
                    <w:spacing w:line="240" w:lineRule="auto"/>
                    <w:jc w:val="center"/>
                    <w:rPr>
                      <w:rFonts w:hint="default" w:ascii="Times New Roman" w:hAnsi="Times New Roman" w:cs="Times New Roman"/>
                      <w:color w:val="auto"/>
                      <w:sz w:val="18"/>
                      <w:szCs w:val="18"/>
                      <w:highlight w:val="none"/>
                      <w:lang w:bidi="ar"/>
                    </w:rPr>
                  </w:pPr>
                  <w:r>
                    <w:rPr>
                      <w:rFonts w:hint="default" w:ascii="宋体" w:eastAsia="宋体" w:cs="Times New Roman"/>
                      <w:color w:val="auto"/>
                      <w:sz w:val="18"/>
                      <w:szCs w:val="24"/>
                      <w:highlight w:val="none"/>
                    </w:rPr>
                    <w:t>周边地表水、地下水和大气环境</w:t>
                  </w:r>
                </w:p>
              </w:tc>
            </w:tr>
            <w:tr w14:paraId="27F579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102" w:type="pct"/>
                  <w:noWrap w:val="0"/>
                  <w:vAlign w:val="center"/>
                </w:tcPr>
                <w:p w14:paraId="7501AD8F">
                  <w:pPr>
                    <w:snapToGrid w:val="0"/>
                    <w:spacing w:line="240" w:lineRule="auto"/>
                    <w:jc w:val="center"/>
                    <w:rPr>
                      <w:rFonts w:hint="default" w:ascii="Times New Roman" w:hAnsi="Times New Roman" w:cs="Times New Roman"/>
                      <w:color w:val="auto"/>
                      <w:sz w:val="18"/>
                      <w:szCs w:val="18"/>
                      <w:highlight w:val="none"/>
                      <w:lang w:val="en-US" w:eastAsia="zh-CN" w:bidi="ar"/>
                    </w:rPr>
                  </w:pPr>
                  <w:r>
                    <w:rPr>
                      <w:rFonts w:hint="eastAsia" w:cs="Times New Roman"/>
                      <w:color w:val="auto"/>
                      <w:sz w:val="18"/>
                      <w:szCs w:val="18"/>
                      <w:highlight w:val="none"/>
                      <w:lang w:val="en-US" w:eastAsia="zh-CN" w:bidi="ar"/>
                    </w:rPr>
                    <w:t>危废仓库</w:t>
                  </w:r>
                </w:p>
              </w:tc>
              <w:tc>
                <w:tcPr>
                  <w:tcW w:w="1054" w:type="pct"/>
                  <w:noWrap w:val="0"/>
                  <w:vAlign w:val="center"/>
                </w:tcPr>
                <w:p w14:paraId="74114EDB">
                  <w:pPr>
                    <w:snapToGrid w:val="0"/>
                    <w:spacing w:line="240" w:lineRule="auto"/>
                    <w:jc w:val="center"/>
                    <w:rPr>
                      <w:rFonts w:hint="default" w:ascii="宋体" w:eastAsia="宋体" w:cs="Times New Roman"/>
                      <w:color w:val="auto"/>
                      <w:sz w:val="18"/>
                      <w:szCs w:val="24"/>
                      <w:highlight w:val="none"/>
                      <w:lang w:val="en-US" w:eastAsia="zh-CN"/>
                    </w:rPr>
                  </w:pPr>
                  <w:r>
                    <w:rPr>
                      <w:rFonts w:hint="eastAsia" w:ascii="宋体" w:eastAsia="宋体" w:cs="Times New Roman"/>
                      <w:color w:val="auto"/>
                      <w:sz w:val="18"/>
                      <w:szCs w:val="24"/>
                      <w:highlight w:val="none"/>
                      <w:lang w:val="en-US" w:eastAsia="zh-CN"/>
                    </w:rPr>
                    <w:t>废包装、废活性炭、废清洗剂、漆渣</w:t>
                  </w:r>
                </w:p>
              </w:tc>
              <w:tc>
                <w:tcPr>
                  <w:tcW w:w="1385" w:type="pct"/>
                  <w:noWrap w:val="0"/>
                  <w:vAlign w:val="center"/>
                </w:tcPr>
                <w:p w14:paraId="37E3F6F3">
                  <w:pPr>
                    <w:snapToGrid w:val="0"/>
                    <w:spacing w:line="240" w:lineRule="auto"/>
                    <w:jc w:val="center"/>
                    <w:rPr>
                      <w:rFonts w:hint="default" w:ascii="宋体" w:eastAsia="宋体" w:cs="Times New Roman"/>
                      <w:color w:val="auto"/>
                      <w:sz w:val="18"/>
                      <w:szCs w:val="24"/>
                      <w:highlight w:val="none"/>
                      <w:lang w:val="en-US" w:eastAsia="zh-CN"/>
                    </w:rPr>
                  </w:pPr>
                  <w:r>
                    <w:rPr>
                      <w:rFonts w:hint="default" w:ascii="宋体" w:eastAsia="宋体" w:cs="Times New Roman"/>
                      <w:color w:val="auto"/>
                      <w:sz w:val="18"/>
                      <w:szCs w:val="24"/>
                      <w:highlight w:val="none"/>
                      <w:lang w:val="en-US" w:eastAsia="zh-CN"/>
                    </w:rPr>
                    <w:t>泄漏</w:t>
                  </w:r>
                  <w:r>
                    <w:rPr>
                      <w:rFonts w:hint="eastAsia" w:ascii="宋体" w:eastAsia="宋体" w:cs="Times New Roman"/>
                      <w:color w:val="auto"/>
                      <w:sz w:val="18"/>
                      <w:szCs w:val="24"/>
                      <w:highlight w:val="none"/>
                      <w:lang w:val="en-US" w:eastAsia="zh-CN"/>
                    </w:rPr>
                    <w:t>；</w:t>
                  </w:r>
                  <w:r>
                    <w:rPr>
                      <w:rFonts w:hint="default" w:ascii="宋体" w:eastAsia="宋体" w:cs="Times New Roman"/>
                      <w:color w:val="auto"/>
                      <w:sz w:val="18"/>
                      <w:szCs w:val="24"/>
                      <w:highlight w:val="none"/>
                      <w:lang w:val="en-US" w:eastAsia="zh-CN"/>
                    </w:rPr>
                    <w:t>火灾、爆炸等引发的伴生/次生污染物排放</w:t>
                  </w:r>
                </w:p>
              </w:tc>
              <w:tc>
                <w:tcPr>
                  <w:tcW w:w="1457" w:type="pct"/>
                  <w:noWrap w:val="0"/>
                  <w:vAlign w:val="center"/>
                </w:tcPr>
                <w:p w14:paraId="790F482C">
                  <w:pPr>
                    <w:snapToGrid w:val="0"/>
                    <w:spacing w:line="240" w:lineRule="auto"/>
                    <w:jc w:val="center"/>
                    <w:rPr>
                      <w:rFonts w:hint="default" w:ascii="Times New Roman" w:hAnsi="Times New Roman" w:cs="Times New Roman"/>
                      <w:color w:val="auto"/>
                      <w:sz w:val="18"/>
                      <w:szCs w:val="18"/>
                      <w:highlight w:val="none"/>
                      <w:lang w:eastAsia="zh-CN" w:bidi="ar"/>
                    </w:rPr>
                  </w:pPr>
                  <w:r>
                    <w:rPr>
                      <w:rFonts w:hint="default" w:ascii="宋体" w:eastAsia="宋体" w:cs="Times New Roman"/>
                      <w:color w:val="auto"/>
                      <w:sz w:val="18"/>
                      <w:szCs w:val="24"/>
                      <w:highlight w:val="none"/>
                    </w:rPr>
                    <w:t>周边地表水、地下水和大气环境</w:t>
                  </w:r>
                </w:p>
              </w:tc>
            </w:tr>
            <w:tr w14:paraId="36C460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102" w:type="pct"/>
                  <w:shd w:val="clear" w:color="auto" w:fill="auto"/>
                  <w:noWrap w:val="0"/>
                  <w:vAlign w:val="center"/>
                </w:tcPr>
                <w:p w14:paraId="4048B8D7">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18"/>
                      <w:szCs w:val="18"/>
                      <w:lang w:val="en-US" w:eastAsia="zh-CN" w:bidi="ar"/>
                    </w:rPr>
                  </w:pPr>
                  <w:r>
                    <w:rPr>
                      <w:rFonts w:hint="eastAsia" w:ascii="Times New Roman" w:hAnsi="Times New Roman" w:cs="Times New Roman"/>
                      <w:color w:val="auto"/>
                      <w:sz w:val="18"/>
                      <w:szCs w:val="18"/>
                      <w:lang w:val="en-US" w:eastAsia="zh-CN" w:bidi="ar"/>
                    </w:rPr>
                    <w:t>废气处理装置</w:t>
                  </w:r>
                </w:p>
              </w:tc>
              <w:tc>
                <w:tcPr>
                  <w:tcW w:w="1054" w:type="pct"/>
                  <w:shd w:val="clear" w:color="auto" w:fill="auto"/>
                  <w:noWrap w:val="0"/>
                  <w:vAlign w:val="center"/>
                </w:tcPr>
                <w:p w14:paraId="32962FCC">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18"/>
                      <w:szCs w:val="18"/>
                      <w:lang w:val="en-US" w:eastAsia="zh-CN" w:bidi="ar"/>
                    </w:rPr>
                  </w:pPr>
                  <w:r>
                    <w:rPr>
                      <w:rFonts w:hint="eastAsia" w:ascii="Times New Roman" w:hAnsi="Times New Roman" w:cs="Times New Roman"/>
                      <w:color w:val="auto"/>
                      <w:sz w:val="18"/>
                      <w:szCs w:val="18"/>
                      <w:lang w:val="en-US" w:eastAsia="zh-CN" w:bidi="ar"/>
                    </w:rPr>
                    <w:t>颗粒物、非甲烷总烃</w:t>
                  </w:r>
                </w:p>
              </w:tc>
              <w:tc>
                <w:tcPr>
                  <w:tcW w:w="1385" w:type="pct"/>
                  <w:shd w:val="clear" w:color="auto" w:fill="auto"/>
                  <w:noWrap w:val="0"/>
                  <w:vAlign w:val="center"/>
                </w:tcPr>
                <w:p w14:paraId="30B266AE">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18"/>
                      <w:szCs w:val="18"/>
                      <w:lang w:val="en-US" w:eastAsia="zh-CN" w:bidi="ar"/>
                    </w:rPr>
                  </w:pPr>
                  <w:r>
                    <w:rPr>
                      <w:rFonts w:hint="default" w:ascii="宋体" w:eastAsia="宋体" w:cs="Times New Roman"/>
                      <w:color w:val="auto"/>
                      <w:sz w:val="18"/>
                      <w:szCs w:val="24"/>
                      <w:highlight w:val="none"/>
                    </w:rPr>
                    <w:t>设备故障或操作不当导致废气非正常排放</w:t>
                  </w:r>
                </w:p>
              </w:tc>
              <w:tc>
                <w:tcPr>
                  <w:tcW w:w="1457" w:type="pct"/>
                  <w:shd w:val="clear" w:color="auto" w:fill="auto"/>
                  <w:noWrap w:val="0"/>
                  <w:vAlign w:val="center"/>
                </w:tcPr>
                <w:p w14:paraId="5423D40E">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0"/>
                      <w:sz w:val="18"/>
                      <w:szCs w:val="18"/>
                      <w:lang w:val="en-US" w:eastAsia="zh-CN" w:bidi="ar-SA"/>
                    </w:rPr>
                  </w:pPr>
                  <w:r>
                    <w:rPr>
                      <w:rFonts w:hint="default" w:ascii="宋体" w:eastAsia="宋体" w:cs="Times New Roman"/>
                      <w:color w:val="auto"/>
                      <w:sz w:val="18"/>
                      <w:szCs w:val="24"/>
                      <w:highlight w:val="none"/>
                    </w:rPr>
                    <w:t>周边大气环境</w:t>
                  </w:r>
                </w:p>
              </w:tc>
            </w:tr>
          </w:tbl>
          <w:p w14:paraId="57057FCD">
            <w:pPr>
              <w:pStyle w:val="4"/>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、环境风险影响分析</w:t>
            </w:r>
          </w:p>
          <w:p w14:paraId="0BE047C7">
            <w:pPr>
              <w:spacing w:line="360" w:lineRule="auto"/>
              <w:ind w:firstLine="422"/>
              <w:rPr>
                <w:rFonts w:hint="default" w:eastAsia="宋体" w:cs="Times New Roman"/>
                <w:b w:val="0"/>
                <w:bCs/>
                <w:color w:val="auto"/>
                <w:sz w:val="21"/>
                <w:szCs w:val="24"/>
                <w:highlight w:val="none"/>
              </w:rPr>
            </w:pPr>
            <w:r>
              <w:rPr>
                <w:rFonts w:hint="default" w:eastAsia="宋体" w:cs="Times New Roman"/>
                <w:b w:val="0"/>
                <w:bCs/>
                <w:color w:val="auto"/>
                <w:sz w:val="21"/>
                <w:szCs w:val="24"/>
                <w:highlight w:val="none"/>
              </w:rPr>
              <w:t>结合本公司实际情况，公司可能发生突发环境事件情景如下：</w:t>
            </w:r>
          </w:p>
          <w:p w14:paraId="2662A273">
            <w:pPr>
              <w:numPr>
                <w:ilvl w:val="0"/>
                <w:numId w:val="0"/>
              </w:numPr>
              <w:spacing w:line="360" w:lineRule="auto"/>
              <w:ind w:firstLine="210" w:firstLineChars="100"/>
              <w:rPr>
                <w:rFonts w:hint="default" w:eastAsia="宋体" w:cs="Times New Roman"/>
                <w:b w:val="0"/>
                <w:bCs/>
                <w:color w:val="auto"/>
                <w:sz w:val="21"/>
                <w:szCs w:val="24"/>
                <w:highlight w:val="none"/>
              </w:rPr>
            </w:pPr>
            <w:r>
              <w:rPr>
                <w:rFonts w:hint="eastAsia" w:cs="Times New Roman"/>
                <w:b w:val="0"/>
                <w:bCs/>
                <w:color w:val="auto"/>
                <w:sz w:val="21"/>
                <w:szCs w:val="24"/>
                <w:highlight w:val="none"/>
                <w:lang w:eastAsia="zh-CN"/>
              </w:rPr>
              <w:t>（</w:t>
            </w:r>
            <w:r>
              <w:rPr>
                <w:rFonts w:hint="eastAsia" w:cs="Times New Roman"/>
                <w:b w:val="0"/>
                <w:bCs/>
                <w:color w:val="auto"/>
                <w:sz w:val="21"/>
                <w:szCs w:val="24"/>
                <w:highlight w:val="none"/>
                <w:lang w:val="en-US" w:eastAsia="zh-CN"/>
              </w:rPr>
              <w:t>1</w:t>
            </w:r>
            <w:r>
              <w:rPr>
                <w:rFonts w:hint="eastAsia" w:cs="Times New Roman"/>
                <w:b w:val="0"/>
                <w:bCs/>
                <w:color w:val="auto"/>
                <w:sz w:val="21"/>
                <w:szCs w:val="24"/>
                <w:highlight w:val="none"/>
                <w:lang w:eastAsia="zh-CN"/>
              </w:rPr>
              <w:t>）</w:t>
            </w:r>
            <w:r>
              <w:rPr>
                <w:rFonts w:hint="default" w:eastAsia="宋体" w:cs="Times New Roman"/>
                <w:b w:val="0"/>
                <w:bCs/>
                <w:color w:val="auto"/>
                <w:sz w:val="21"/>
                <w:szCs w:val="24"/>
                <w:highlight w:val="none"/>
              </w:rPr>
              <w:t>火灾、爆炸、泄漏等事故</w:t>
            </w:r>
          </w:p>
          <w:p w14:paraId="7FCAC0BE">
            <w:pPr>
              <w:numPr>
                <w:ilvl w:val="0"/>
                <w:numId w:val="0"/>
              </w:numPr>
              <w:spacing w:line="360" w:lineRule="auto"/>
              <w:ind w:firstLine="420" w:firstLineChars="200"/>
              <w:rPr>
                <w:rFonts w:hint="default" w:eastAsia="宋体" w:cs="Times New Roman"/>
                <w:b w:val="0"/>
                <w:bCs/>
                <w:color w:val="auto"/>
                <w:sz w:val="21"/>
                <w:szCs w:val="24"/>
                <w:highlight w:val="none"/>
              </w:rPr>
            </w:pPr>
            <w:r>
              <w:rPr>
                <w:rFonts w:hint="default" w:eastAsia="宋体" w:cs="Times New Roman"/>
                <w:b w:val="0"/>
                <w:bCs/>
                <w:color w:val="auto"/>
                <w:sz w:val="21"/>
                <w:szCs w:val="24"/>
                <w:highlight w:val="none"/>
              </w:rPr>
              <w:t>公司火灾、爆炸、泄漏事故可能情景见</w:t>
            </w:r>
            <w:r>
              <w:rPr>
                <w:rFonts w:hint="eastAsia" w:eastAsia="宋体" w:cs="Times New Roman"/>
                <w:b w:val="0"/>
                <w:bCs/>
                <w:color w:val="auto"/>
                <w:sz w:val="21"/>
                <w:szCs w:val="24"/>
                <w:highlight w:val="none"/>
                <w:lang w:val="en-US" w:eastAsia="zh-CN"/>
              </w:rPr>
              <w:t>下表</w:t>
            </w:r>
            <w:r>
              <w:rPr>
                <w:rFonts w:hint="default" w:eastAsia="宋体" w:cs="Times New Roman"/>
                <w:b w:val="0"/>
                <w:bCs/>
                <w:color w:val="auto"/>
                <w:sz w:val="21"/>
                <w:szCs w:val="24"/>
                <w:highlight w:val="none"/>
              </w:rPr>
              <w:t>。</w:t>
            </w:r>
          </w:p>
          <w:p w14:paraId="4BB6F983">
            <w:pPr>
              <w:spacing w:line="240" w:lineRule="auto"/>
              <w:ind w:firstLine="422"/>
              <w:jc w:val="center"/>
              <w:rPr>
                <w:rFonts w:hint="default" w:eastAsia="宋体" w:cs="Times New Roman"/>
                <w:b/>
                <w:bCs w:val="0"/>
                <w:color w:val="auto"/>
                <w:sz w:val="21"/>
                <w:szCs w:val="24"/>
                <w:highlight w:val="none"/>
              </w:rPr>
            </w:pPr>
            <w:r>
              <w:rPr>
                <w:rFonts w:hint="default" w:eastAsia="宋体" w:cs="Times New Roman"/>
                <w:b/>
                <w:bCs w:val="0"/>
                <w:color w:val="auto"/>
                <w:sz w:val="21"/>
                <w:szCs w:val="24"/>
                <w:highlight w:val="none"/>
              </w:rPr>
              <w:t>表</w:t>
            </w:r>
            <w:r>
              <w:rPr>
                <w:rFonts w:hint="eastAsia" w:eastAsia="宋体" w:cs="Times New Roman"/>
                <w:b/>
                <w:bCs w:val="0"/>
                <w:color w:val="auto"/>
                <w:sz w:val="21"/>
                <w:szCs w:val="24"/>
                <w:highlight w:val="none"/>
                <w:lang w:val="en-US" w:eastAsia="zh-CN"/>
              </w:rPr>
              <w:t>4-</w:t>
            </w:r>
            <w:r>
              <w:rPr>
                <w:rFonts w:hint="eastAsia" w:cs="Times New Roman"/>
                <w:b/>
                <w:bCs w:val="0"/>
                <w:color w:val="auto"/>
                <w:sz w:val="21"/>
                <w:szCs w:val="24"/>
                <w:highlight w:val="none"/>
                <w:lang w:val="en-US" w:eastAsia="zh-CN"/>
              </w:rPr>
              <w:t>28</w:t>
            </w:r>
            <w:r>
              <w:rPr>
                <w:rFonts w:hint="eastAsia" w:eastAsia="宋体" w:cs="Times New Roman"/>
                <w:b/>
                <w:bCs w:val="0"/>
                <w:color w:val="auto"/>
                <w:sz w:val="21"/>
                <w:szCs w:val="24"/>
                <w:highlight w:val="none"/>
                <w:lang w:val="en-US" w:eastAsia="zh-CN"/>
              </w:rPr>
              <w:t xml:space="preserve"> </w:t>
            </w:r>
            <w:r>
              <w:rPr>
                <w:rFonts w:hint="default" w:eastAsia="宋体" w:cs="Times New Roman"/>
                <w:b/>
                <w:bCs w:val="0"/>
                <w:color w:val="auto"/>
                <w:sz w:val="21"/>
                <w:szCs w:val="24"/>
                <w:highlight w:val="none"/>
              </w:rPr>
              <w:t>火灾、爆炸、泄漏事故可能情景</w:t>
            </w:r>
          </w:p>
          <w:tbl>
            <w:tblPr>
              <w:tblStyle w:val="20"/>
              <w:tblW w:w="809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39"/>
              <w:gridCol w:w="1425"/>
              <w:gridCol w:w="1756"/>
              <w:gridCol w:w="2393"/>
              <w:gridCol w:w="1585"/>
            </w:tblGrid>
            <w:tr w14:paraId="7A4AB5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8" w:hRule="atLeast"/>
                <w:jc w:val="center"/>
              </w:trPr>
              <w:tc>
                <w:tcPr>
                  <w:tcW w:w="939" w:type="dxa"/>
                  <w:tcBorders>
                    <w:tl2br w:val="nil"/>
                    <w:tr2bl w:val="nil"/>
                  </w:tcBorders>
                  <w:noWrap w:val="0"/>
                  <w:vAlign w:val="center"/>
                </w:tcPr>
                <w:p w14:paraId="3C08C3F5">
                  <w:pPr>
                    <w:pStyle w:val="68"/>
                    <w:rPr>
                      <w:rFonts w:hint="default" w:ascii="宋体" w:hAnsi="Times New Roman" w:eastAsia="宋体" w:cs="Times New Roman"/>
                      <w:b/>
                      <w:bCs/>
                      <w:color w:val="auto"/>
                      <w:sz w:val="18"/>
                      <w:szCs w:val="24"/>
                      <w:highlight w:val="none"/>
                    </w:rPr>
                  </w:pPr>
                  <w:r>
                    <w:rPr>
                      <w:rFonts w:hint="default" w:ascii="宋体" w:hAnsi="Times New Roman" w:eastAsia="宋体" w:cs="Times New Roman"/>
                      <w:b/>
                      <w:bCs/>
                      <w:color w:val="auto"/>
                      <w:sz w:val="18"/>
                      <w:szCs w:val="24"/>
                      <w:highlight w:val="none"/>
                    </w:rPr>
                    <w:t>风险类别</w:t>
                  </w:r>
                </w:p>
              </w:tc>
              <w:tc>
                <w:tcPr>
                  <w:tcW w:w="1425" w:type="dxa"/>
                  <w:tcBorders>
                    <w:tl2br w:val="nil"/>
                    <w:tr2bl w:val="nil"/>
                  </w:tcBorders>
                  <w:noWrap w:val="0"/>
                  <w:vAlign w:val="center"/>
                </w:tcPr>
                <w:p w14:paraId="4D17D320">
                  <w:pPr>
                    <w:pStyle w:val="68"/>
                    <w:rPr>
                      <w:rFonts w:hint="default" w:ascii="宋体" w:hAnsi="Times New Roman" w:eastAsia="宋体" w:cs="Times New Roman"/>
                      <w:b/>
                      <w:bCs/>
                      <w:color w:val="auto"/>
                      <w:sz w:val="18"/>
                      <w:szCs w:val="24"/>
                      <w:highlight w:val="none"/>
                    </w:rPr>
                  </w:pPr>
                  <w:r>
                    <w:rPr>
                      <w:rFonts w:hint="default" w:ascii="宋体" w:hAnsi="Times New Roman" w:eastAsia="宋体" w:cs="Times New Roman"/>
                      <w:b/>
                      <w:bCs/>
                      <w:color w:val="auto"/>
                      <w:sz w:val="18"/>
                      <w:szCs w:val="24"/>
                      <w:highlight w:val="none"/>
                    </w:rPr>
                    <w:t>产生区域</w:t>
                  </w:r>
                </w:p>
              </w:tc>
              <w:tc>
                <w:tcPr>
                  <w:tcW w:w="1756" w:type="dxa"/>
                  <w:tcBorders>
                    <w:tl2br w:val="nil"/>
                    <w:tr2bl w:val="nil"/>
                  </w:tcBorders>
                  <w:noWrap w:val="0"/>
                  <w:vAlign w:val="center"/>
                </w:tcPr>
                <w:p w14:paraId="38810ACB">
                  <w:pPr>
                    <w:pStyle w:val="68"/>
                    <w:rPr>
                      <w:rFonts w:hint="default" w:ascii="宋体" w:hAnsi="Times New Roman" w:eastAsia="宋体" w:cs="Times New Roman"/>
                      <w:b/>
                      <w:bCs/>
                      <w:color w:val="auto"/>
                      <w:sz w:val="18"/>
                      <w:szCs w:val="24"/>
                      <w:highlight w:val="none"/>
                    </w:rPr>
                  </w:pPr>
                  <w:r>
                    <w:rPr>
                      <w:rFonts w:hint="default" w:ascii="宋体" w:hAnsi="Times New Roman" w:eastAsia="宋体" w:cs="Times New Roman"/>
                      <w:b/>
                      <w:bCs/>
                      <w:color w:val="auto"/>
                      <w:sz w:val="18"/>
                      <w:szCs w:val="24"/>
                      <w:highlight w:val="none"/>
                    </w:rPr>
                    <w:t>可能引起的原因</w:t>
                  </w:r>
                </w:p>
              </w:tc>
              <w:tc>
                <w:tcPr>
                  <w:tcW w:w="2393" w:type="dxa"/>
                  <w:tcBorders>
                    <w:tl2br w:val="nil"/>
                    <w:tr2bl w:val="nil"/>
                  </w:tcBorders>
                  <w:noWrap w:val="0"/>
                  <w:vAlign w:val="center"/>
                </w:tcPr>
                <w:p w14:paraId="28530DDD">
                  <w:pPr>
                    <w:pStyle w:val="68"/>
                    <w:rPr>
                      <w:rFonts w:hint="default" w:ascii="宋体" w:hAnsi="Times New Roman" w:eastAsia="宋体" w:cs="Times New Roman"/>
                      <w:b/>
                      <w:bCs/>
                      <w:color w:val="auto"/>
                      <w:sz w:val="18"/>
                      <w:szCs w:val="24"/>
                      <w:highlight w:val="none"/>
                    </w:rPr>
                  </w:pPr>
                  <w:r>
                    <w:rPr>
                      <w:rFonts w:hint="default" w:ascii="宋体" w:hAnsi="Times New Roman" w:eastAsia="宋体" w:cs="Times New Roman"/>
                      <w:b/>
                      <w:bCs/>
                      <w:color w:val="auto"/>
                      <w:sz w:val="18"/>
                      <w:szCs w:val="24"/>
                      <w:highlight w:val="none"/>
                    </w:rPr>
                    <w:t>主要危害和后果</w:t>
                  </w:r>
                </w:p>
              </w:tc>
              <w:tc>
                <w:tcPr>
                  <w:tcW w:w="1585" w:type="dxa"/>
                  <w:tcBorders>
                    <w:tl2br w:val="nil"/>
                    <w:tr2bl w:val="nil"/>
                  </w:tcBorders>
                  <w:noWrap w:val="0"/>
                  <w:vAlign w:val="center"/>
                </w:tcPr>
                <w:p w14:paraId="38BFAFBB">
                  <w:pPr>
                    <w:pStyle w:val="68"/>
                    <w:rPr>
                      <w:rFonts w:hint="default" w:ascii="宋体" w:hAnsi="Times New Roman" w:eastAsia="宋体" w:cs="Times New Roman"/>
                      <w:b/>
                      <w:bCs/>
                      <w:color w:val="auto"/>
                      <w:sz w:val="18"/>
                      <w:szCs w:val="24"/>
                      <w:highlight w:val="none"/>
                    </w:rPr>
                  </w:pPr>
                  <w:r>
                    <w:rPr>
                      <w:rFonts w:hint="default" w:ascii="宋体" w:hAnsi="Times New Roman" w:eastAsia="宋体" w:cs="Times New Roman"/>
                      <w:b/>
                      <w:bCs/>
                      <w:color w:val="auto"/>
                      <w:sz w:val="18"/>
                      <w:szCs w:val="24"/>
                      <w:highlight w:val="none"/>
                    </w:rPr>
                    <w:t>伴生和次生事故及产物</w:t>
                  </w:r>
                </w:p>
              </w:tc>
            </w:tr>
            <w:tr w14:paraId="561A96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21" w:hRule="atLeast"/>
                <w:jc w:val="center"/>
              </w:trPr>
              <w:tc>
                <w:tcPr>
                  <w:tcW w:w="939" w:type="dxa"/>
                  <w:tcBorders>
                    <w:tl2br w:val="nil"/>
                    <w:tr2bl w:val="nil"/>
                  </w:tcBorders>
                  <w:noWrap w:val="0"/>
                  <w:vAlign w:val="center"/>
                </w:tcPr>
                <w:p w14:paraId="6CD4DFE1">
                  <w:pPr>
                    <w:pStyle w:val="68"/>
                    <w:rPr>
                      <w:rFonts w:hint="default" w:ascii="宋体" w:hAnsi="Times New Roman" w:eastAsia="宋体" w:cs="Times New Roman"/>
                      <w:color w:val="auto"/>
                      <w:sz w:val="18"/>
                      <w:szCs w:val="24"/>
                      <w:highlight w:val="none"/>
                    </w:rPr>
                  </w:pPr>
                  <w:r>
                    <w:rPr>
                      <w:rFonts w:hint="default" w:ascii="宋体" w:hAnsi="Times New Roman" w:eastAsia="宋体" w:cs="Times New Roman"/>
                      <w:color w:val="auto"/>
                      <w:sz w:val="18"/>
                      <w:szCs w:val="24"/>
                      <w:highlight w:val="none"/>
                    </w:rPr>
                    <w:t>化学品泄漏</w:t>
                  </w:r>
                </w:p>
              </w:tc>
              <w:tc>
                <w:tcPr>
                  <w:tcW w:w="1425" w:type="dxa"/>
                  <w:tcBorders>
                    <w:tl2br w:val="nil"/>
                    <w:tr2bl w:val="nil"/>
                  </w:tcBorders>
                  <w:noWrap w:val="0"/>
                  <w:vAlign w:val="center"/>
                </w:tcPr>
                <w:p w14:paraId="5D6E6D99">
                  <w:pPr>
                    <w:pStyle w:val="68"/>
                    <w:rPr>
                      <w:rFonts w:hint="default" w:ascii="宋体" w:hAnsi="Times New Roman" w:eastAsia="宋体" w:cs="Times New Roman"/>
                      <w:color w:val="auto"/>
                      <w:sz w:val="18"/>
                      <w:szCs w:val="24"/>
                      <w:highlight w:val="none"/>
                      <w:lang w:val="en-US" w:eastAsia="zh-CN"/>
                    </w:rPr>
                  </w:pPr>
                  <w:r>
                    <w:rPr>
                      <w:rFonts w:hint="eastAsia" w:ascii="宋体" w:cs="Times New Roman"/>
                      <w:color w:val="auto"/>
                      <w:sz w:val="18"/>
                      <w:szCs w:val="24"/>
                      <w:highlight w:val="none"/>
                      <w:lang w:val="en-US" w:eastAsia="zh-CN"/>
                    </w:rPr>
                    <w:t>喷涂车间</w:t>
                  </w:r>
                </w:p>
              </w:tc>
              <w:tc>
                <w:tcPr>
                  <w:tcW w:w="1756" w:type="dxa"/>
                  <w:tcBorders>
                    <w:tl2br w:val="nil"/>
                    <w:tr2bl w:val="nil"/>
                  </w:tcBorders>
                  <w:noWrap w:val="0"/>
                  <w:vAlign w:val="center"/>
                </w:tcPr>
                <w:p w14:paraId="69F15DD6">
                  <w:pPr>
                    <w:pStyle w:val="68"/>
                    <w:rPr>
                      <w:rFonts w:hint="default" w:ascii="宋体" w:hAnsi="Times New Roman" w:eastAsia="宋体" w:cs="Times New Roman"/>
                      <w:color w:val="auto"/>
                      <w:sz w:val="18"/>
                      <w:szCs w:val="24"/>
                      <w:highlight w:val="none"/>
                    </w:rPr>
                  </w:pPr>
                  <w:r>
                    <w:rPr>
                      <w:rFonts w:hint="default" w:ascii="宋体" w:hAnsi="Times New Roman" w:eastAsia="宋体" w:cs="Times New Roman"/>
                      <w:color w:val="auto"/>
                      <w:sz w:val="18"/>
                      <w:szCs w:val="24"/>
                      <w:highlight w:val="none"/>
                    </w:rPr>
                    <w:t>装卸物料时失误、设备缺陷、操作失误等</w:t>
                  </w:r>
                </w:p>
              </w:tc>
              <w:tc>
                <w:tcPr>
                  <w:tcW w:w="2393" w:type="dxa"/>
                  <w:tcBorders>
                    <w:tl2br w:val="nil"/>
                    <w:tr2bl w:val="nil"/>
                  </w:tcBorders>
                  <w:noWrap w:val="0"/>
                  <w:vAlign w:val="center"/>
                </w:tcPr>
                <w:p w14:paraId="7E41F914">
                  <w:pPr>
                    <w:pStyle w:val="68"/>
                    <w:rPr>
                      <w:rFonts w:hint="default" w:ascii="宋体" w:hAnsi="Times New Roman" w:eastAsia="宋体" w:cs="Times New Roman"/>
                      <w:color w:val="auto"/>
                      <w:sz w:val="18"/>
                      <w:szCs w:val="24"/>
                      <w:highlight w:val="none"/>
                      <w:lang w:val="en-US" w:eastAsia="zh-CN"/>
                    </w:rPr>
                  </w:pPr>
                  <w:r>
                    <w:rPr>
                      <w:rFonts w:hint="default" w:ascii="宋体" w:hAnsi="Times New Roman" w:eastAsia="宋体" w:cs="Times New Roman"/>
                      <w:color w:val="auto"/>
                      <w:sz w:val="18"/>
                      <w:szCs w:val="24"/>
                      <w:highlight w:val="none"/>
                      <w:lang w:val="en-US" w:eastAsia="zh-CN"/>
                    </w:rPr>
                    <w:t>挥发产生有害物影响周围大气和居民健康，以及对周围水体的污染</w:t>
                  </w:r>
                </w:p>
              </w:tc>
              <w:tc>
                <w:tcPr>
                  <w:tcW w:w="1585" w:type="dxa"/>
                  <w:tcBorders>
                    <w:tl2br w:val="nil"/>
                    <w:tr2bl w:val="nil"/>
                  </w:tcBorders>
                  <w:noWrap w:val="0"/>
                  <w:vAlign w:val="center"/>
                </w:tcPr>
                <w:p w14:paraId="2C8E1C4B">
                  <w:pPr>
                    <w:pStyle w:val="68"/>
                    <w:rPr>
                      <w:rFonts w:hint="default" w:ascii="宋体" w:hAnsi="Times New Roman" w:eastAsia="宋体" w:cs="Times New Roman"/>
                      <w:color w:val="auto"/>
                      <w:sz w:val="18"/>
                      <w:szCs w:val="24"/>
                      <w:highlight w:val="none"/>
                      <w:lang w:val="en-US" w:eastAsia="zh-CN"/>
                    </w:rPr>
                  </w:pPr>
                  <w:r>
                    <w:rPr>
                      <w:rFonts w:hint="default" w:ascii="宋体" w:hAnsi="Times New Roman" w:eastAsia="宋体" w:cs="Times New Roman"/>
                      <w:color w:val="auto"/>
                      <w:sz w:val="18"/>
                      <w:szCs w:val="24"/>
                      <w:highlight w:val="none"/>
                      <w:lang w:val="en-US" w:eastAsia="zh-CN"/>
                    </w:rPr>
                    <w:t>/</w:t>
                  </w:r>
                </w:p>
              </w:tc>
            </w:tr>
            <w:tr w14:paraId="43BCEB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25" w:hRule="atLeast"/>
                <w:jc w:val="center"/>
              </w:trPr>
              <w:tc>
                <w:tcPr>
                  <w:tcW w:w="939" w:type="dxa"/>
                  <w:tcBorders>
                    <w:tl2br w:val="nil"/>
                    <w:tr2bl w:val="nil"/>
                  </w:tcBorders>
                  <w:noWrap w:val="0"/>
                  <w:vAlign w:val="center"/>
                </w:tcPr>
                <w:p w14:paraId="5DBEDF58">
                  <w:pPr>
                    <w:pStyle w:val="68"/>
                    <w:rPr>
                      <w:rFonts w:hint="default" w:ascii="宋体" w:hAnsi="Times New Roman" w:eastAsia="宋体" w:cs="Times New Roman"/>
                      <w:color w:val="auto"/>
                      <w:sz w:val="18"/>
                      <w:szCs w:val="24"/>
                      <w:highlight w:val="none"/>
                    </w:rPr>
                  </w:pPr>
                  <w:r>
                    <w:rPr>
                      <w:rFonts w:hint="default" w:ascii="宋体" w:hAnsi="Times New Roman" w:eastAsia="宋体" w:cs="Times New Roman"/>
                      <w:color w:val="auto"/>
                      <w:sz w:val="18"/>
                      <w:szCs w:val="24"/>
                      <w:highlight w:val="none"/>
                    </w:rPr>
                    <w:t>火灾爆炸</w:t>
                  </w:r>
                </w:p>
              </w:tc>
              <w:tc>
                <w:tcPr>
                  <w:tcW w:w="1425" w:type="dxa"/>
                  <w:tcBorders>
                    <w:tl2br w:val="nil"/>
                    <w:tr2bl w:val="nil"/>
                  </w:tcBorders>
                  <w:noWrap w:val="0"/>
                  <w:vAlign w:val="center"/>
                </w:tcPr>
                <w:p w14:paraId="57905DCC">
                  <w:pPr>
                    <w:pStyle w:val="68"/>
                    <w:rPr>
                      <w:rFonts w:hint="default" w:ascii="宋体" w:hAnsi="Times New Roman" w:eastAsia="宋体" w:cs="Times New Roman"/>
                      <w:color w:val="auto"/>
                      <w:sz w:val="18"/>
                      <w:szCs w:val="24"/>
                      <w:highlight w:val="none"/>
                      <w:lang w:val="en-US" w:eastAsia="zh-CN"/>
                    </w:rPr>
                  </w:pPr>
                  <w:r>
                    <w:rPr>
                      <w:rFonts w:hint="eastAsia" w:ascii="宋体" w:cs="Times New Roman"/>
                      <w:color w:val="auto"/>
                      <w:sz w:val="18"/>
                      <w:szCs w:val="24"/>
                      <w:highlight w:val="none"/>
                      <w:lang w:val="en-US" w:eastAsia="zh-CN"/>
                    </w:rPr>
                    <w:t>危废仓库</w:t>
                  </w:r>
                </w:p>
              </w:tc>
              <w:tc>
                <w:tcPr>
                  <w:tcW w:w="1756" w:type="dxa"/>
                  <w:tcBorders>
                    <w:tl2br w:val="nil"/>
                    <w:tr2bl w:val="nil"/>
                  </w:tcBorders>
                  <w:noWrap w:val="0"/>
                  <w:vAlign w:val="center"/>
                </w:tcPr>
                <w:p w14:paraId="777FE61C">
                  <w:pPr>
                    <w:pStyle w:val="68"/>
                    <w:rPr>
                      <w:rFonts w:hint="default" w:ascii="宋体" w:hAnsi="Times New Roman" w:eastAsia="宋体" w:cs="Times New Roman"/>
                      <w:color w:val="auto"/>
                      <w:sz w:val="18"/>
                      <w:szCs w:val="24"/>
                      <w:highlight w:val="none"/>
                    </w:rPr>
                  </w:pPr>
                  <w:r>
                    <w:rPr>
                      <w:rFonts w:hint="default" w:ascii="宋体" w:hAnsi="Times New Roman" w:eastAsia="宋体" w:cs="Times New Roman"/>
                      <w:color w:val="auto"/>
                      <w:sz w:val="18"/>
                      <w:szCs w:val="24"/>
                      <w:highlight w:val="none"/>
                    </w:rPr>
                    <w:t>危险物质泄漏；火灾、爆炸等引发的伴生/次生污染物排放</w:t>
                  </w:r>
                </w:p>
              </w:tc>
              <w:tc>
                <w:tcPr>
                  <w:tcW w:w="2393" w:type="dxa"/>
                  <w:tcBorders>
                    <w:tl2br w:val="nil"/>
                    <w:tr2bl w:val="nil"/>
                  </w:tcBorders>
                  <w:noWrap w:val="0"/>
                  <w:vAlign w:val="center"/>
                </w:tcPr>
                <w:p w14:paraId="4FB4FF73">
                  <w:pPr>
                    <w:pStyle w:val="68"/>
                    <w:rPr>
                      <w:rFonts w:hint="default" w:ascii="宋体" w:hAnsi="Times New Roman" w:eastAsia="宋体" w:cs="Times New Roman"/>
                      <w:color w:val="auto"/>
                      <w:sz w:val="18"/>
                      <w:szCs w:val="24"/>
                      <w:highlight w:val="none"/>
                      <w:lang w:val="en-US" w:eastAsia="zh-CN"/>
                    </w:rPr>
                  </w:pPr>
                  <w:r>
                    <w:rPr>
                      <w:rFonts w:hint="default" w:ascii="宋体" w:hAnsi="Times New Roman" w:eastAsia="宋体" w:cs="Times New Roman"/>
                      <w:color w:val="auto"/>
                      <w:sz w:val="18"/>
                      <w:szCs w:val="24"/>
                      <w:highlight w:val="none"/>
                      <w:lang w:val="en-US" w:eastAsia="zh-CN"/>
                    </w:rPr>
                    <w:t>烟气弥散，超声波危害，消防废水排放</w:t>
                  </w:r>
                </w:p>
              </w:tc>
              <w:tc>
                <w:tcPr>
                  <w:tcW w:w="1585" w:type="dxa"/>
                  <w:tcBorders>
                    <w:tl2br w:val="nil"/>
                    <w:tr2bl w:val="nil"/>
                  </w:tcBorders>
                  <w:noWrap w:val="0"/>
                  <w:vAlign w:val="center"/>
                </w:tcPr>
                <w:p w14:paraId="25EC9C95">
                  <w:pPr>
                    <w:pStyle w:val="68"/>
                    <w:rPr>
                      <w:rFonts w:hint="default" w:ascii="宋体" w:hAnsi="Times New Roman" w:eastAsia="宋体" w:cs="Times New Roman"/>
                      <w:color w:val="auto"/>
                      <w:sz w:val="18"/>
                      <w:szCs w:val="24"/>
                      <w:highlight w:val="none"/>
                    </w:rPr>
                  </w:pPr>
                  <w:r>
                    <w:rPr>
                      <w:rFonts w:hint="default" w:ascii="宋体" w:hAnsi="Times New Roman" w:eastAsia="宋体" w:cs="Times New Roman"/>
                      <w:color w:val="auto"/>
                      <w:sz w:val="18"/>
                      <w:szCs w:val="24"/>
                      <w:highlight w:val="none"/>
                    </w:rPr>
                    <w:t>一氧化碳、二氧化碳、氮氧化物</w:t>
                  </w:r>
                </w:p>
              </w:tc>
            </w:tr>
            <w:tr w14:paraId="50665D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25" w:hRule="atLeast"/>
                <w:jc w:val="center"/>
              </w:trPr>
              <w:tc>
                <w:tcPr>
                  <w:tcW w:w="939" w:type="dxa"/>
                  <w:tcBorders>
                    <w:tl2br w:val="nil"/>
                    <w:tr2bl w:val="nil"/>
                  </w:tcBorders>
                  <w:noWrap w:val="0"/>
                  <w:vAlign w:val="center"/>
                </w:tcPr>
                <w:p w14:paraId="6293C065">
                  <w:pPr>
                    <w:pStyle w:val="68"/>
                    <w:rPr>
                      <w:rFonts w:hint="default" w:ascii="宋体" w:hAnsi="Times New Roman" w:eastAsia="宋体" w:cs="Times New Roman"/>
                      <w:color w:val="auto"/>
                      <w:sz w:val="18"/>
                      <w:szCs w:val="24"/>
                      <w:highlight w:val="none"/>
                      <w:lang w:val="en-US" w:eastAsia="zh-CN"/>
                    </w:rPr>
                  </w:pPr>
                  <w:r>
                    <w:rPr>
                      <w:rFonts w:hint="eastAsia" w:ascii="宋体" w:cs="Times New Roman"/>
                      <w:color w:val="auto"/>
                      <w:sz w:val="18"/>
                      <w:szCs w:val="24"/>
                      <w:highlight w:val="none"/>
                      <w:lang w:val="en-US" w:eastAsia="zh-CN"/>
                    </w:rPr>
                    <w:t>原料仓库火灾</w:t>
                  </w:r>
                </w:p>
              </w:tc>
              <w:tc>
                <w:tcPr>
                  <w:tcW w:w="1425" w:type="dxa"/>
                  <w:tcBorders>
                    <w:tl2br w:val="nil"/>
                    <w:tr2bl w:val="nil"/>
                  </w:tcBorders>
                  <w:noWrap w:val="0"/>
                  <w:vAlign w:val="center"/>
                </w:tcPr>
                <w:p w14:paraId="3AA2A74E">
                  <w:pPr>
                    <w:pStyle w:val="68"/>
                    <w:rPr>
                      <w:rFonts w:hint="default" w:ascii="宋体" w:hAnsi="Times New Roman" w:eastAsia="宋体" w:cs="Times New Roman"/>
                      <w:color w:val="auto"/>
                      <w:sz w:val="18"/>
                      <w:szCs w:val="24"/>
                      <w:highlight w:val="none"/>
                      <w:lang w:val="en-US" w:eastAsia="zh-CN"/>
                    </w:rPr>
                  </w:pPr>
                  <w:r>
                    <w:rPr>
                      <w:rFonts w:hint="eastAsia" w:ascii="宋体" w:cs="Times New Roman"/>
                      <w:color w:val="auto"/>
                      <w:sz w:val="18"/>
                      <w:szCs w:val="24"/>
                      <w:highlight w:val="none"/>
                      <w:lang w:val="en-US" w:eastAsia="zh-CN"/>
                    </w:rPr>
                    <w:t>原料仓库</w:t>
                  </w:r>
                </w:p>
              </w:tc>
              <w:tc>
                <w:tcPr>
                  <w:tcW w:w="1756" w:type="dxa"/>
                  <w:tcBorders>
                    <w:tl2br w:val="nil"/>
                    <w:tr2bl w:val="nil"/>
                  </w:tcBorders>
                  <w:noWrap w:val="0"/>
                  <w:vAlign w:val="center"/>
                </w:tcPr>
                <w:p w14:paraId="4037B778">
                  <w:pPr>
                    <w:pStyle w:val="68"/>
                    <w:rPr>
                      <w:rFonts w:hint="default" w:ascii="宋体" w:hAnsi="Times New Roman" w:eastAsia="宋体" w:cs="Times New Roman"/>
                      <w:color w:val="auto"/>
                      <w:sz w:val="18"/>
                      <w:szCs w:val="24"/>
                      <w:highlight w:val="none"/>
                      <w:lang w:val="en-US" w:eastAsia="zh-CN"/>
                    </w:rPr>
                  </w:pPr>
                  <w:r>
                    <w:rPr>
                      <w:rFonts w:hint="eastAsia" w:ascii="宋体" w:eastAsia="宋体" w:cs="Times New Roman"/>
                      <w:color w:val="auto"/>
                      <w:sz w:val="18"/>
                      <w:szCs w:val="24"/>
                      <w:highlight w:val="none"/>
                      <w:lang w:val="en-US" w:eastAsia="zh-CN"/>
                    </w:rPr>
                    <w:t>有机硅硬质涂层、防雾涂料、清洗剂</w:t>
                  </w:r>
                  <w:r>
                    <w:rPr>
                      <w:rFonts w:hint="eastAsia" w:ascii="宋体" w:cs="Times New Roman"/>
                      <w:color w:val="auto"/>
                      <w:sz w:val="18"/>
                      <w:szCs w:val="24"/>
                      <w:highlight w:val="none"/>
                      <w:lang w:val="en-US" w:eastAsia="zh-CN"/>
                    </w:rPr>
                    <w:t>等物料泄漏发生火灾</w:t>
                  </w:r>
                  <w:r>
                    <w:rPr>
                      <w:rFonts w:hint="default" w:ascii="宋体" w:hAnsi="Times New Roman" w:eastAsia="宋体" w:cs="Times New Roman"/>
                      <w:color w:val="auto"/>
                      <w:sz w:val="18"/>
                      <w:szCs w:val="24"/>
                      <w:highlight w:val="none"/>
                    </w:rPr>
                    <w:t>引发的伴生/次生污染物排放</w:t>
                  </w:r>
                </w:p>
              </w:tc>
              <w:tc>
                <w:tcPr>
                  <w:tcW w:w="2393" w:type="dxa"/>
                  <w:tcBorders>
                    <w:tl2br w:val="nil"/>
                    <w:tr2bl w:val="nil"/>
                  </w:tcBorders>
                  <w:noWrap w:val="0"/>
                  <w:vAlign w:val="center"/>
                </w:tcPr>
                <w:p w14:paraId="78BAEE4F">
                  <w:pPr>
                    <w:pStyle w:val="68"/>
                    <w:rPr>
                      <w:rFonts w:hint="default" w:ascii="宋体" w:hAnsi="Times New Roman" w:eastAsia="宋体" w:cs="Times New Roman"/>
                      <w:color w:val="auto"/>
                      <w:sz w:val="18"/>
                      <w:szCs w:val="24"/>
                      <w:highlight w:val="none"/>
                      <w:lang w:val="en-US" w:eastAsia="zh-CN"/>
                    </w:rPr>
                  </w:pPr>
                  <w:r>
                    <w:rPr>
                      <w:rFonts w:hint="default" w:ascii="宋体" w:hAnsi="Times New Roman" w:eastAsia="宋体" w:cs="Times New Roman"/>
                      <w:color w:val="auto"/>
                      <w:sz w:val="18"/>
                      <w:szCs w:val="24"/>
                      <w:highlight w:val="none"/>
                      <w:lang w:val="en-US" w:eastAsia="zh-CN"/>
                    </w:rPr>
                    <w:t>烟气弥散，超声波危害，消防废水排放</w:t>
                  </w:r>
                </w:p>
              </w:tc>
              <w:tc>
                <w:tcPr>
                  <w:tcW w:w="1585" w:type="dxa"/>
                  <w:tcBorders>
                    <w:tl2br w:val="nil"/>
                    <w:tr2bl w:val="nil"/>
                  </w:tcBorders>
                  <w:noWrap w:val="0"/>
                  <w:vAlign w:val="center"/>
                </w:tcPr>
                <w:p w14:paraId="39E3FDC6">
                  <w:pPr>
                    <w:pStyle w:val="68"/>
                    <w:rPr>
                      <w:rFonts w:hint="default" w:ascii="宋体" w:hAnsi="Times New Roman" w:eastAsia="宋体" w:cs="Times New Roman"/>
                      <w:color w:val="auto"/>
                      <w:sz w:val="18"/>
                      <w:szCs w:val="24"/>
                      <w:highlight w:val="none"/>
                      <w:lang w:val="en-US" w:eastAsia="zh-CN"/>
                    </w:rPr>
                  </w:pPr>
                  <w:r>
                    <w:rPr>
                      <w:rFonts w:hint="default" w:ascii="宋体" w:hAnsi="Times New Roman" w:eastAsia="宋体" w:cs="Times New Roman"/>
                      <w:color w:val="auto"/>
                      <w:sz w:val="18"/>
                      <w:szCs w:val="24"/>
                      <w:highlight w:val="none"/>
                    </w:rPr>
                    <w:t>一氧化碳、二氧化碳、氮氧化物</w:t>
                  </w:r>
                  <w:r>
                    <w:rPr>
                      <w:rFonts w:hint="eastAsia" w:ascii="宋体" w:cs="Times New Roman"/>
                      <w:color w:val="auto"/>
                      <w:sz w:val="18"/>
                      <w:szCs w:val="24"/>
                      <w:highlight w:val="none"/>
                      <w:lang w:eastAsia="zh-CN"/>
                    </w:rPr>
                    <w:t>、</w:t>
                  </w:r>
                  <w:r>
                    <w:rPr>
                      <w:rFonts w:hint="eastAsia" w:ascii="宋体" w:cs="Times New Roman"/>
                      <w:color w:val="auto"/>
                      <w:sz w:val="18"/>
                      <w:szCs w:val="24"/>
                      <w:highlight w:val="none"/>
                      <w:lang w:val="en-US" w:eastAsia="zh-CN"/>
                    </w:rPr>
                    <w:t>二氧化硫、苯系物等</w:t>
                  </w:r>
                </w:p>
              </w:tc>
            </w:tr>
            <w:tr w14:paraId="3B4CEE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25" w:hRule="atLeast"/>
                <w:jc w:val="center"/>
              </w:trPr>
              <w:tc>
                <w:tcPr>
                  <w:tcW w:w="939" w:type="dxa"/>
                  <w:tcBorders>
                    <w:tl2br w:val="nil"/>
                    <w:tr2bl w:val="nil"/>
                  </w:tcBorders>
                  <w:noWrap w:val="0"/>
                  <w:vAlign w:val="center"/>
                </w:tcPr>
                <w:p w14:paraId="6F719FD9">
                  <w:pPr>
                    <w:pStyle w:val="68"/>
                    <w:rPr>
                      <w:rFonts w:hint="default" w:ascii="宋体" w:cs="Times New Roman"/>
                      <w:color w:val="auto"/>
                      <w:sz w:val="18"/>
                      <w:szCs w:val="24"/>
                      <w:highlight w:val="none"/>
                      <w:lang w:val="en-US" w:eastAsia="zh-CN"/>
                    </w:rPr>
                  </w:pPr>
                  <w:r>
                    <w:rPr>
                      <w:rFonts w:hint="eastAsia" w:ascii="宋体" w:cs="Times New Roman"/>
                      <w:color w:val="auto"/>
                      <w:sz w:val="18"/>
                      <w:szCs w:val="24"/>
                      <w:highlight w:val="none"/>
                      <w:lang w:val="en-US" w:eastAsia="zh-CN"/>
                    </w:rPr>
                    <w:t>废气处理设施故障</w:t>
                  </w:r>
                </w:p>
              </w:tc>
              <w:tc>
                <w:tcPr>
                  <w:tcW w:w="1425" w:type="dxa"/>
                  <w:tcBorders>
                    <w:tl2br w:val="nil"/>
                    <w:tr2bl w:val="nil"/>
                  </w:tcBorders>
                  <w:noWrap w:val="0"/>
                  <w:vAlign w:val="center"/>
                </w:tcPr>
                <w:p w14:paraId="7E05C9E0">
                  <w:pPr>
                    <w:pStyle w:val="68"/>
                    <w:rPr>
                      <w:rFonts w:hint="default" w:ascii="宋体" w:cs="Times New Roman"/>
                      <w:color w:val="auto"/>
                      <w:sz w:val="18"/>
                      <w:szCs w:val="24"/>
                      <w:highlight w:val="none"/>
                      <w:lang w:val="en-US" w:eastAsia="zh-CN"/>
                    </w:rPr>
                  </w:pPr>
                  <w:r>
                    <w:rPr>
                      <w:rFonts w:hint="eastAsia" w:ascii="宋体" w:cs="Times New Roman"/>
                      <w:color w:val="auto"/>
                      <w:sz w:val="18"/>
                      <w:szCs w:val="24"/>
                      <w:highlight w:val="none"/>
                      <w:lang w:val="en-US" w:eastAsia="zh-CN"/>
                    </w:rPr>
                    <w:t>废气处理设施故障</w:t>
                  </w:r>
                </w:p>
              </w:tc>
              <w:tc>
                <w:tcPr>
                  <w:tcW w:w="1756" w:type="dxa"/>
                  <w:tcBorders>
                    <w:tl2br w:val="nil"/>
                    <w:tr2bl w:val="nil"/>
                  </w:tcBorders>
                  <w:noWrap w:val="0"/>
                  <w:vAlign w:val="center"/>
                </w:tcPr>
                <w:p w14:paraId="194792EF">
                  <w:pPr>
                    <w:pStyle w:val="68"/>
                    <w:rPr>
                      <w:rFonts w:hint="default" w:ascii="宋体" w:eastAsia="宋体" w:cs="Times New Roman"/>
                      <w:color w:val="auto"/>
                      <w:sz w:val="18"/>
                      <w:szCs w:val="24"/>
                      <w:highlight w:val="none"/>
                      <w:lang w:val="en-US" w:eastAsia="zh-CN"/>
                    </w:rPr>
                  </w:pPr>
                  <w:r>
                    <w:rPr>
                      <w:rFonts w:hint="eastAsia" w:ascii="宋体" w:cs="Times New Roman"/>
                      <w:color w:val="auto"/>
                      <w:sz w:val="18"/>
                      <w:szCs w:val="24"/>
                      <w:highlight w:val="none"/>
                      <w:lang w:val="en-US" w:eastAsia="zh-CN"/>
                    </w:rPr>
                    <w:t>环保设施非正常运行</w:t>
                  </w:r>
                </w:p>
              </w:tc>
              <w:tc>
                <w:tcPr>
                  <w:tcW w:w="2393" w:type="dxa"/>
                  <w:tcBorders>
                    <w:tl2br w:val="nil"/>
                    <w:tr2bl w:val="nil"/>
                  </w:tcBorders>
                  <w:noWrap w:val="0"/>
                  <w:vAlign w:val="center"/>
                </w:tcPr>
                <w:p w14:paraId="73433B33">
                  <w:pPr>
                    <w:pStyle w:val="68"/>
                    <w:rPr>
                      <w:rFonts w:hint="default" w:ascii="宋体" w:hAnsi="Times New Roman" w:eastAsia="宋体" w:cs="Times New Roman"/>
                      <w:color w:val="auto"/>
                      <w:sz w:val="18"/>
                      <w:szCs w:val="24"/>
                      <w:highlight w:val="none"/>
                      <w:lang w:val="en-US" w:eastAsia="zh-CN"/>
                    </w:rPr>
                  </w:pPr>
                  <w:r>
                    <w:rPr>
                      <w:rFonts w:hint="default" w:ascii="宋体" w:hAnsi="Times New Roman" w:eastAsia="宋体" w:cs="Times New Roman"/>
                      <w:color w:val="auto"/>
                      <w:sz w:val="18"/>
                      <w:szCs w:val="24"/>
                      <w:highlight w:val="none"/>
                      <w:lang w:val="en-US" w:eastAsia="zh-CN"/>
                    </w:rPr>
                    <w:t>产生有害物影响周围大气和居民健康</w:t>
                  </w:r>
                </w:p>
              </w:tc>
              <w:tc>
                <w:tcPr>
                  <w:tcW w:w="1585" w:type="dxa"/>
                  <w:tcBorders>
                    <w:tl2br w:val="nil"/>
                    <w:tr2bl w:val="nil"/>
                  </w:tcBorders>
                  <w:noWrap w:val="0"/>
                  <w:vAlign w:val="center"/>
                </w:tcPr>
                <w:p w14:paraId="17A3DD12">
                  <w:pPr>
                    <w:pStyle w:val="68"/>
                    <w:rPr>
                      <w:rFonts w:hint="eastAsia" w:ascii="宋体" w:hAnsi="Times New Roman" w:eastAsia="宋体" w:cs="Times New Roman"/>
                      <w:color w:val="auto"/>
                      <w:sz w:val="18"/>
                      <w:szCs w:val="24"/>
                      <w:highlight w:val="none"/>
                      <w:lang w:val="en-US" w:eastAsia="zh-CN"/>
                    </w:rPr>
                  </w:pPr>
                  <w:r>
                    <w:rPr>
                      <w:rFonts w:hint="eastAsia" w:ascii="宋体" w:cs="Times New Roman"/>
                      <w:color w:val="auto"/>
                      <w:sz w:val="18"/>
                      <w:szCs w:val="24"/>
                      <w:highlight w:val="none"/>
                      <w:lang w:val="en-US" w:eastAsia="zh-CN"/>
                    </w:rPr>
                    <w:t>/</w:t>
                  </w:r>
                </w:p>
              </w:tc>
            </w:tr>
          </w:tbl>
          <w:p w14:paraId="539F3841">
            <w:pPr>
              <w:spacing w:line="360" w:lineRule="auto"/>
              <w:ind w:firstLine="422"/>
              <w:rPr>
                <w:rFonts w:hint="default" w:eastAsia="宋体" w:cs="Times New Roman"/>
                <w:b w:val="0"/>
                <w:bCs/>
                <w:color w:val="auto"/>
                <w:sz w:val="21"/>
                <w:szCs w:val="24"/>
                <w:highlight w:val="none"/>
              </w:rPr>
            </w:pPr>
            <w:r>
              <w:rPr>
                <w:rFonts w:hint="eastAsia" w:cs="Times New Roman"/>
                <w:b w:val="0"/>
                <w:bCs/>
                <w:color w:val="auto"/>
                <w:sz w:val="21"/>
                <w:szCs w:val="24"/>
                <w:highlight w:val="none"/>
                <w:lang w:val="en-US" w:eastAsia="zh-CN"/>
              </w:rPr>
              <w:t>1）</w:t>
            </w:r>
            <w:r>
              <w:rPr>
                <w:rFonts w:hint="default" w:eastAsia="宋体" w:cs="Times New Roman"/>
                <w:b w:val="0"/>
                <w:bCs/>
                <w:color w:val="auto"/>
                <w:sz w:val="21"/>
                <w:szCs w:val="24"/>
                <w:highlight w:val="none"/>
              </w:rPr>
              <w:t>泄露环境风险分析</w:t>
            </w:r>
          </w:p>
          <w:p w14:paraId="0332355C">
            <w:pPr>
              <w:spacing w:line="360" w:lineRule="auto"/>
              <w:ind w:firstLine="422"/>
              <w:rPr>
                <w:rFonts w:hint="default" w:eastAsia="宋体" w:cs="Times New Roman"/>
                <w:b w:val="0"/>
                <w:bCs/>
                <w:color w:val="auto"/>
                <w:sz w:val="21"/>
                <w:szCs w:val="24"/>
                <w:highlight w:val="none"/>
              </w:rPr>
            </w:pPr>
            <w:r>
              <w:rPr>
                <w:rFonts w:hint="eastAsia" w:eastAsia="宋体" w:cs="Times New Roman"/>
                <w:b w:val="0"/>
                <w:bCs/>
                <w:color w:val="auto"/>
                <w:sz w:val="21"/>
                <w:szCs w:val="24"/>
                <w:highlight w:val="none"/>
                <w:lang w:val="en-US" w:eastAsia="zh-CN"/>
              </w:rPr>
              <w:t>有机硅硬质涂层、防雾涂料、清洗剂</w:t>
            </w:r>
            <w:r>
              <w:rPr>
                <w:rFonts w:hint="default" w:eastAsia="宋体" w:cs="Times New Roman"/>
                <w:b w:val="0"/>
                <w:bCs/>
                <w:color w:val="auto"/>
                <w:sz w:val="21"/>
                <w:szCs w:val="24"/>
                <w:highlight w:val="none"/>
              </w:rPr>
              <w:t>等原料和危险废物</w:t>
            </w:r>
            <w:r>
              <w:rPr>
                <w:rFonts w:hint="eastAsia"/>
                <w:color w:val="auto"/>
                <w:lang w:val="en-US" w:eastAsia="zh-CN"/>
              </w:rPr>
              <w:t>在使用过程中因设备泄露或操作不当等原因容易造成泄漏，对人身安全造成威胁，运输、储存过程操作不当导致储料桶破损、物料泄露的情况，如处置不当则会直接或随冲洗水流入雨水管网进入附近水体，影响附近水体水质。可燃物料遇到明火则可能发生火灾爆炸事件，产生的消防废水，可能携带污染物排入雨水管网而影响附近水体水质</w:t>
            </w:r>
            <w:r>
              <w:rPr>
                <w:rFonts w:hint="default" w:eastAsia="宋体" w:cs="Times New Roman"/>
                <w:b w:val="0"/>
                <w:bCs/>
                <w:color w:val="auto"/>
                <w:sz w:val="21"/>
                <w:szCs w:val="24"/>
                <w:highlight w:val="none"/>
              </w:rPr>
              <w:t>。</w:t>
            </w:r>
          </w:p>
          <w:p w14:paraId="4B109A59">
            <w:pPr>
              <w:spacing w:line="360" w:lineRule="auto"/>
              <w:ind w:firstLine="422"/>
              <w:rPr>
                <w:rFonts w:hint="default" w:eastAsia="宋体" w:cs="Times New Roman"/>
                <w:b w:val="0"/>
                <w:bCs/>
                <w:color w:val="auto"/>
                <w:sz w:val="21"/>
                <w:szCs w:val="24"/>
                <w:highlight w:val="none"/>
              </w:rPr>
            </w:pPr>
            <w:r>
              <w:rPr>
                <w:rFonts w:hint="eastAsia" w:cs="Times New Roman"/>
                <w:b w:val="0"/>
                <w:bCs/>
                <w:color w:val="auto"/>
                <w:sz w:val="21"/>
                <w:szCs w:val="24"/>
                <w:highlight w:val="none"/>
                <w:lang w:val="en-US" w:eastAsia="zh-CN"/>
              </w:rPr>
              <w:t>原料及危废中存在挥发性有机物，泄露会导致</w:t>
            </w:r>
            <w:r>
              <w:rPr>
                <w:rFonts w:hint="default" w:eastAsia="宋体" w:cs="Times New Roman"/>
                <w:b w:val="0"/>
                <w:bCs/>
                <w:color w:val="auto"/>
                <w:sz w:val="21"/>
                <w:szCs w:val="24"/>
                <w:highlight w:val="none"/>
              </w:rPr>
              <w:t>挥发性有机物直接排放大气环境。</w:t>
            </w:r>
            <w:r>
              <w:rPr>
                <w:rFonts w:hint="eastAsia" w:eastAsia="宋体" w:cs="Times New Roman"/>
                <w:b w:val="0"/>
                <w:bCs/>
                <w:color w:val="auto"/>
                <w:sz w:val="21"/>
                <w:szCs w:val="24"/>
                <w:highlight w:val="none"/>
                <w:lang w:val="en-US" w:eastAsia="zh-CN"/>
              </w:rPr>
              <w:t>有机硅硬质涂层、防雾涂料、清洗剂</w:t>
            </w:r>
            <w:r>
              <w:rPr>
                <w:rFonts w:hint="eastAsia" w:cs="Times New Roman"/>
                <w:b w:val="0"/>
                <w:bCs/>
                <w:color w:val="auto"/>
                <w:sz w:val="21"/>
                <w:szCs w:val="24"/>
                <w:highlight w:val="none"/>
                <w:lang w:val="en-US" w:eastAsia="zh-CN"/>
              </w:rPr>
              <w:t>、废漆渣、废活性炭、废包装、废清洗剂具有可燃性</w:t>
            </w:r>
            <w:r>
              <w:rPr>
                <w:rFonts w:hint="default" w:ascii="Times New Roman" w:hAnsi="Times New Roman" w:eastAsia="宋体" w:cs="Times New Roman"/>
                <w:color w:val="auto"/>
                <w:spacing w:val="-2"/>
                <w:sz w:val="21"/>
                <w:szCs w:val="21"/>
                <w:lang w:eastAsia="zh-CN"/>
              </w:rPr>
              <w:t>，这些物质</w:t>
            </w:r>
            <w:r>
              <w:rPr>
                <w:rFonts w:hint="default" w:ascii="Times New Roman" w:hAnsi="Times New Roman" w:eastAsia="宋体" w:cs="Times New Roman"/>
                <w:color w:val="auto"/>
                <w:spacing w:val="-2"/>
                <w:sz w:val="21"/>
                <w:szCs w:val="21"/>
              </w:rPr>
              <w:t>遇明火易发生火灾，一旦生产装置出现故障或生产</w:t>
            </w:r>
            <w:r>
              <w:rPr>
                <w:rFonts w:hint="default" w:ascii="Times New Roman" w:hAnsi="Times New Roman" w:eastAsia="宋体" w:cs="Times New Roman"/>
                <w:color w:val="auto"/>
                <w:spacing w:val="-4"/>
                <w:sz w:val="21"/>
                <w:szCs w:val="21"/>
              </w:rPr>
              <w:t>过程中因操作失误、设备老化等原因，造成超温等情况，就会引发火灾，燃烧产生的</w:t>
            </w:r>
            <w:r>
              <w:rPr>
                <w:rFonts w:hint="default" w:ascii="Times New Roman" w:hAnsi="Times New Roman" w:eastAsia="宋体" w:cs="Times New Roman"/>
                <w:color w:val="auto"/>
                <w:spacing w:val="-4"/>
                <w:sz w:val="21"/>
                <w:szCs w:val="21"/>
                <w:lang w:eastAsia="zh-CN"/>
              </w:rPr>
              <w:t>一氧化碳、</w:t>
            </w:r>
            <w:r>
              <w:rPr>
                <w:rFonts w:hint="default" w:ascii="Times New Roman" w:hAnsi="Times New Roman" w:eastAsia="宋体" w:cs="Times New Roman"/>
                <w:color w:val="auto"/>
                <w:spacing w:val="-4"/>
                <w:sz w:val="21"/>
                <w:szCs w:val="21"/>
              </w:rPr>
              <w:t>二氧化硫、氮氧化物、烟粉尘等</w:t>
            </w:r>
            <w:r>
              <w:rPr>
                <w:rFonts w:hint="default" w:ascii="Times New Roman" w:hAnsi="Times New Roman" w:eastAsia="宋体" w:cs="Times New Roman"/>
                <w:color w:val="auto"/>
                <w:spacing w:val="-4"/>
                <w:sz w:val="21"/>
                <w:szCs w:val="21"/>
                <w:lang w:eastAsia="zh-CN"/>
              </w:rPr>
              <w:t>次生污染物</w:t>
            </w:r>
            <w:r>
              <w:rPr>
                <w:rFonts w:hint="default" w:ascii="Times New Roman" w:hAnsi="Times New Roman" w:eastAsia="宋体" w:cs="Times New Roman"/>
                <w:color w:val="auto"/>
                <w:spacing w:val="-4"/>
                <w:sz w:val="21"/>
                <w:szCs w:val="21"/>
              </w:rPr>
              <w:t>将对空气环境造成影响</w:t>
            </w:r>
            <w:r>
              <w:rPr>
                <w:rFonts w:hint="default" w:ascii="Times New Roman" w:hAnsi="Times New Roman" w:eastAsia="宋体" w:cs="Times New Roman"/>
                <w:color w:val="auto"/>
                <w:spacing w:val="-4"/>
                <w:sz w:val="21"/>
                <w:szCs w:val="21"/>
                <w:lang w:eastAsia="zh-CN"/>
              </w:rPr>
              <w:t>，</w:t>
            </w:r>
            <w:r>
              <w:rPr>
                <w:rFonts w:hint="default" w:ascii="Times New Roman" w:hAnsi="Times New Roman" w:eastAsia="宋体" w:cs="Times New Roman"/>
                <w:color w:val="auto"/>
                <w:sz w:val="21"/>
                <w:szCs w:val="21"/>
              </w:rPr>
              <w:t>造成大气污染。</w:t>
            </w:r>
          </w:p>
          <w:p w14:paraId="1325D6DA">
            <w:pPr>
              <w:spacing w:line="360" w:lineRule="auto"/>
              <w:ind w:firstLine="422"/>
              <w:rPr>
                <w:rFonts w:hint="default" w:eastAsia="宋体" w:cs="Times New Roman"/>
                <w:b w:val="0"/>
                <w:bCs/>
                <w:color w:val="auto"/>
                <w:sz w:val="21"/>
                <w:szCs w:val="24"/>
                <w:highlight w:val="none"/>
              </w:rPr>
            </w:pPr>
            <w:r>
              <w:rPr>
                <w:rFonts w:hint="default" w:eastAsia="宋体" w:cs="Times New Roman"/>
                <w:b w:val="0"/>
                <w:bCs/>
                <w:color w:val="auto"/>
                <w:sz w:val="21"/>
                <w:szCs w:val="24"/>
                <w:highlight w:val="none"/>
              </w:rPr>
              <w:t>因此，建设单位应重视原料使用的安全措施，严格按照不同原料的性质分类贮存；对危废仓库、</w:t>
            </w:r>
            <w:r>
              <w:rPr>
                <w:rFonts w:hint="eastAsia" w:cs="Times New Roman"/>
                <w:b w:val="0"/>
                <w:bCs/>
                <w:color w:val="auto"/>
                <w:sz w:val="21"/>
                <w:szCs w:val="24"/>
                <w:highlight w:val="none"/>
                <w:lang w:val="en-US" w:eastAsia="zh-CN"/>
              </w:rPr>
              <w:t>原料仓库</w:t>
            </w:r>
            <w:r>
              <w:rPr>
                <w:rFonts w:hint="default" w:eastAsia="宋体" w:cs="Times New Roman"/>
                <w:b w:val="0"/>
                <w:bCs/>
                <w:color w:val="auto"/>
                <w:sz w:val="21"/>
                <w:szCs w:val="24"/>
                <w:highlight w:val="none"/>
              </w:rPr>
              <w:t>须定期进行检查，一旦发现有老化、破损现象须及时更换包装，杜绝风险事故的发生。另外，</w:t>
            </w:r>
            <w:r>
              <w:rPr>
                <w:rFonts w:hint="eastAsia" w:cs="Times New Roman"/>
                <w:b w:val="0"/>
                <w:bCs/>
                <w:color w:val="auto"/>
                <w:sz w:val="21"/>
                <w:szCs w:val="24"/>
                <w:highlight w:val="none"/>
                <w:lang w:val="en-US" w:eastAsia="zh-CN"/>
              </w:rPr>
              <w:t>原料仓库</w:t>
            </w:r>
            <w:r>
              <w:rPr>
                <w:rFonts w:hint="default" w:eastAsia="宋体" w:cs="Times New Roman"/>
                <w:b w:val="0"/>
                <w:bCs/>
                <w:color w:val="auto"/>
                <w:sz w:val="21"/>
                <w:szCs w:val="24"/>
                <w:highlight w:val="none"/>
              </w:rPr>
              <w:t>、危废仓库地面及四周做防渗处理，防止渗漏液泄漏进入周边土壤。通过以上措施能基本控制事故情况下对地下水造成的影响。</w:t>
            </w:r>
          </w:p>
          <w:p w14:paraId="2F460894">
            <w:pPr>
              <w:spacing w:line="360" w:lineRule="auto"/>
              <w:ind w:firstLine="422"/>
              <w:rPr>
                <w:rFonts w:hint="default" w:eastAsia="宋体" w:cs="Times New Roman"/>
                <w:b w:val="0"/>
                <w:bCs/>
                <w:color w:val="auto"/>
                <w:sz w:val="21"/>
                <w:szCs w:val="24"/>
                <w:highlight w:val="none"/>
              </w:rPr>
            </w:pPr>
            <w:r>
              <w:rPr>
                <w:rFonts w:hint="eastAsia" w:cs="Times New Roman"/>
                <w:b w:val="0"/>
                <w:bCs/>
                <w:color w:val="auto"/>
                <w:sz w:val="21"/>
                <w:szCs w:val="24"/>
                <w:highlight w:val="none"/>
                <w:lang w:val="en-US" w:eastAsia="zh-CN"/>
              </w:rPr>
              <w:t>2）</w:t>
            </w:r>
            <w:r>
              <w:rPr>
                <w:rFonts w:hint="default" w:eastAsia="宋体" w:cs="Times New Roman"/>
                <w:b w:val="0"/>
                <w:bCs/>
                <w:color w:val="auto"/>
                <w:sz w:val="21"/>
                <w:szCs w:val="24"/>
                <w:highlight w:val="none"/>
              </w:rPr>
              <w:t>毒害影响分析</w:t>
            </w:r>
          </w:p>
          <w:p w14:paraId="42FF544E">
            <w:pPr>
              <w:spacing w:line="360" w:lineRule="auto"/>
              <w:ind w:firstLine="422"/>
              <w:rPr>
                <w:rFonts w:hint="default" w:eastAsia="宋体" w:cs="Times New Roman"/>
                <w:b w:val="0"/>
                <w:bCs/>
                <w:color w:val="auto"/>
                <w:sz w:val="21"/>
                <w:szCs w:val="24"/>
                <w:highlight w:val="none"/>
              </w:rPr>
            </w:pPr>
            <w:r>
              <w:rPr>
                <w:rFonts w:hint="eastAsia" w:eastAsia="宋体" w:cs="Times New Roman"/>
                <w:b w:val="0"/>
                <w:bCs/>
                <w:color w:val="auto"/>
                <w:sz w:val="21"/>
                <w:szCs w:val="24"/>
                <w:highlight w:val="none"/>
                <w:lang w:val="en-US" w:eastAsia="zh-CN"/>
              </w:rPr>
              <w:t>有机硅硬质涂层、防雾涂料、清洗剂</w:t>
            </w:r>
            <w:r>
              <w:rPr>
                <w:rFonts w:hint="default" w:eastAsia="宋体" w:cs="Times New Roman"/>
                <w:b w:val="0"/>
                <w:bCs/>
                <w:color w:val="auto"/>
                <w:sz w:val="21"/>
                <w:szCs w:val="24"/>
                <w:highlight w:val="none"/>
                <w:lang w:val="en-US" w:eastAsia="zh-CN"/>
              </w:rPr>
              <w:t>等原料</w:t>
            </w:r>
            <w:r>
              <w:rPr>
                <w:rFonts w:hint="default" w:eastAsia="宋体" w:cs="Times New Roman"/>
                <w:b w:val="0"/>
                <w:bCs/>
                <w:color w:val="auto"/>
                <w:sz w:val="21"/>
                <w:szCs w:val="24"/>
                <w:highlight w:val="none"/>
              </w:rPr>
              <w:t>、清洗溶剂发生火灾会产生二次污染物</w:t>
            </w:r>
            <w:r>
              <w:rPr>
                <w:rFonts w:hint="eastAsia" w:cs="Times New Roman"/>
                <w:b w:val="0"/>
                <w:bCs/>
                <w:color w:val="auto"/>
                <w:sz w:val="21"/>
                <w:szCs w:val="24"/>
                <w:highlight w:val="none"/>
                <w:lang w:val="en-US" w:eastAsia="zh-CN"/>
              </w:rPr>
              <w:t>一氧化碳、苯系物</w:t>
            </w:r>
            <w:r>
              <w:rPr>
                <w:rFonts w:hint="default" w:eastAsia="宋体" w:cs="Times New Roman"/>
                <w:b w:val="0"/>
                <w:bCs/>
                <w:color w:val="auto"/>
                <w:sz w:val="21"/>
                <w:szCs w:val="24"/>
                <w:highlight w:val="none"/>
              </w:rPr>
              <w:t>，具有一定的毒性。中毒指的是急性中毒或中毒性窒息，中毒危险主要表现为毒物对人体及动物的伤害，通常情况下，毒害品主要经呼吸道和皮肤进入体内，亦可经消化道进入。呼吸道是工业生产中毒物进入体内的最重要的途径，以气体、蒸汽、雾、烟、粉尘等形式存在的毒物，均可经呼吸道侵入体内。</w:t>
            </w:r>
          </w:p>
          <w:p w14:paraId="59AAE29F">
            <w:pPr>
              <w:spacing w:line="360" w:lineRule="auto"/>
              <w:ind w:firstLine="422"/>
              <w:rPr>
                <w:rFonts w:hint="default" w:eastAsia="宋体" w:cs="Times New Roman"/>
                <w:b w:val="0"/>
                <w:bCs/>
                <w:color w:val="auto"/>
                <w:sz w:val="21"/>
                <w:szCs w:val="24"/>
                <w:highlight w:val="none"/>
              </w:rPr>
            </w:pPr>
            <w:r>
              <w:rPr>
                <w:rFonts w:hint="default" w:eastAsia="宋体" w:cs="Times New Roman"/>
                <w:b w:val="0"/>
                <w:bCs/>
                <w:color w:val="auto"/>
                <w:sz w:val="21"/>
                <w:szCs w:val="24"/>
                <w:highlight w:val="none"/>
              </w:rPr>
              <w:t>在毒害品中，挥发性液体和蒸汽、固体的粉尘最容易通过呼吸器官进入肺部，被肺泡表面所吸收，随着血液循环引起中毒。呼吸道的鼻、喉、气管黏膜等，也具有相当大的吸收能力，很容易被吸收而引起中毒，同时呼吸中毒也比较快，而且比较严重。在进行有毒品操作后，未经洗手就饮食、吸烟或在操作中误将毒品服入消化器官，进入肠胃引起中毒。此外，毒害性跟毒害品在水中溶解度有关，溶解度越大，毒性越大。有些毒害品虽不溶于水中但可溶于脂肪，也会对人体产生一定危害。毒物在空气中的浓度与物质挥发度有直接关系。在一定时间内，毒物的挥发性越大，毒性越大;一般沸点越低的物质，其挥发性也越强。</w:t>
            </w:r>
          </w:p>
          <w:p w14:paraId="6266CBD6">
            <w:pPr>
              <w:spacing w:line="360" w:lineRule="auto"/>
              <w:ind w:firstLine="420" w:firstLineChars="200"/>
              <w:rPr>
                <w:rFonts w:hint="default" w:eastAsia="宋体" w:cs="Times New Roman"/>
                <w:b w:val="0"/>
                <w:bCs/>
                <w:color w:val="auto"/>
                <w:sz w:val="21"/>
                <w:szCs w:val="24"/>
                <w:highlight w:val="none"/>
              </w:rPr>
            </w:pPr>
            <w:r>
              <w:rPr>
                <w:rFonts w:hint="eastAsia" w:cs="Times New Roman"/>
                <w:b w:val="0"/>
                <w:bCs/>
                <w:color w:val="auto"/>
                <w:sz w:val="21"/>
                <w:szCs w:val="24"/>
                <w:highlight w:val="none"/>
                <w:lang w:eastAsia="zh-CN"/>
              </w:rPr>
              <w:t>（</w:t>
            </w:r>
            <w:r>
              <w:rPr>
                <w:rFonts w:hint="eastAsia" w:cs="Times New Roman"/>
                <w:b w:val="0"/>
                <w:bCs/>
                <w:color w:val="auto"/>
                <w:sz w:val="21"/>
                <w:szCs w:val="24"/>
                <w:highlight w:val="none"/>
                <w:lang w:val="en-US" w:eastAsia="zh-CN"/>
              </w:rPr>
              <w:t>2</w:t>
            </w:r>
            <w:r>
              <w:rPr>
                <w:rFonts w:hint="eastAsia" w:cs="Times New Roman"/>
                <w:b w:val="0"/>
                <w:bCs/>
                <w:color w:val="auto"/>
                <w:sz w:val="21"/>
                <w:szCs w:val="24"/>
                <w:highlight w:val="none"/>
                <w:lang w:eastAsia="zh-CN"/>
              </w:rPr>
              <w:t>）</w:t>
            </w:r>
            <w:r>
              <w:rPr>
                <w:rFonts w:hint="default" w:eastAsia="宋体" w:cs="Times New Roman"/>
                <w:b w:val="0"/>
                <w:bCs/>
                <w:color w:val="auto"/>
                <w:sz w:val="21"/>
                <w:szCs w:val="24"/>
                <w:highlight w:val="none"/>
              </w:rPr>
              <w:t>环境风险防控设施失灵或非正常操作</w:t>
            </w:r>
          </w:p>
          <w:p w14:paraId="381C7AA3">
            <w:pPr>
              <w:spacing w:line="360" w:lineRule="auto"/>
              <w:ind w:firstLine="422"/>
              <w:rPr>
                <w:rFonts w:hint="default" w:eastAsia="宋体" w:cs="Times New Roman"/>
                <w:b w:val="0"/>
                <w:bCs/>
                <w:color w:val="auto"/>
                <w:sz w:val="21"/>
                <w:szCs w:val="24"/>
                <w:highlight w:val="none"/>
              </w:rPr>
            </w:pPr>
            <w:r>
              <w:rPr>
                <w:rFonts w:hint="default" w:eastAsia="宋体" w:cs="Times New Roman"/>
                <w:b w:val="0"/>
                <w:bCs/>
                <w:color w:val="auto"/>
                <w:sz w:val="21"/>
                <w:szCs w:val="24"/>
                <w:highlight w:val="none"/>
              </w:rPr>
              <w:t>环境风险防控措施失灵或非正常操作时会产生以下情况：</w:t>
            </w:r>
          </w:p>
          <w:p w14:paraId="41D615A4">
            <w:pPr>
              <w:spacing w:line="360" w:lineRule="auto"/>
              <w:ind w:firstLine="422"/>
              <w:rPr>
                <w:rFonts w:hint="default" w:eastAsia="宋体" w:cs="Times New Roman"/>
                <w:b w:val="0"/>
                <w:bCs/>
                <w:color w:val="auto"/>
                <w:sz w:val="21"/>
                <w:szCs w:val="24"/>
                <w:highlight w:val="none"/>
              </w:rPr>
            </w:pPr>
            <w:r>
              <w:rPr>
                <w:rFonts w:hint="default" w:eastAsia="宋体" w:cs="Times New Roman"/>
                <w:b w:val="0"/>
                <w:bCs/>
                <w:color w:val="auto"/>
                <w:sz w:val="21"/>
                <w:szCs w:val="24"/>
                <w:highlight w:val="none"/>
                <w:lang w:val="en-US" w:eastAsia="zh-CN"/>
              </w:rPr>
              <w:t>I、</w:t>
            </w:r>
            <w:r>
              <w:rPr>
                <w:rFonts w:hint="default" w:eastAsia="宋体" w:cs="Times New Roman"/>
                <w:b w:val="0"/>
                <w:bCs/>
                <w:color w:val="auto"/>
                <w:sz w:val="21"/>
                <w:szCs w:val="24"/>
                <w:highlight w:val="none"/>
              </w:rPr>
              <w:t>当截流措施失效或未有效打开时，当发生降雨或事故时，事故废液无法有效收集，污染物直接外排污染环境；</w:t>
            </w:r>
          </w:p>
          <w:p w14:paraId="5F13149C">
            <w:pPr>
              <w:spacing w:line="360" w:lineRule="auto"/>
              <w:ind w:firstLine="422"/>
              <w:rPr>
                <w:rFonts w:hint="default" w:eastAsia="宋体" w:cs="Times New Roman"/>
                <w:b w:val="0"/>
                <w:bCs/>
                <w:color w:val="auto"/>
                <w:sz w:val="21"/>
                <w:szCs w:val="24"/>
                <w:highlight w:val="none"/>
              </w:rPr>
            </w:pPr>
            <w:r>
              <w:rPr>
                <w:rFonts w:hint="default" w:eastAsia="宋体" w:cs="Times New Roman"/>
                <w:b w:val="0"/>
                <w:bCs/>
                <w:color w:val="auto"/>
                <w:sz w:val="21"/>
                <w:szCs w:val="24"/>
                <w:highlight w:val="none"/>
                <w:lang w:val="en-US" w:eastAsia="zh-CN"/>
              </w:rPr>
              <w:t>II、</w:t>
            </w:r>
            <w:r>
              <w:rPr>
                <w:rFonts w:hint="default" w:eastAsia="宋体" w:cs="Times New Roman"/>
                <w:b w:val="0"/>
                <w:bCs/>
                <w:color w:val="auto"/>
                <w:sz w:val="21"/>
                <w:szCs w:val="24"/>
                <w:highlight w:val="none"/>
              </w:rPr>
              <w:t>当事故水池等设施失效时，事故废水、消防废水无法有效收集，排入外环境，造成环境污染。</w:t>
            </w:r>
          </w:p>
          <w:p w14:paraId="749B89F1">
            <w:pPr>
              <w:spacing w:line="360" w:lineRule="auto"/>
              <w:ind w:firstLine="422"/>
              <w:rPr>
                <w:rFonts w:hint="default" w:eastAsia="宋体" w:cs="Times New Roman"/>
                <w:b w:val="0"/>
                <w:bCs/>
                <w:color w:val="auto"/>
                <w:sz w:val="21"/>
                <w:szCs w:val="24"/>
                <w:highlight w:val="none"/>
                <w:lang w:val="en-US" w:eastAsia="zh-CN"/>
              </w:rPr>
            </w:pPr>
            <w:r>
              <w:rPr>
                <w:rFonts w:hint="eastAsia" w:cs="Times New Roman"/>
                <w:b w:val="0"/>
                <w:bCs/>
                <w:color w:val="auto"/>
                <w:sz w:val="21"/>
                <w:szCs w:val="24"/>
                <w:highlight w:val="none"/>
                <w:lang w:eastAsia="zh-CN"/>
              </w:rPr>
              <w:t>（</w:t>
            </w:r>
            <w:r>
              <w:rPr>
                <w:rFonts w:hint="eastAsia" w:cs="Times New Roman"/>
                <w:b w:val="0"/>
                <w:bCs/>
                <w:color w:val="auto"/>
                <w:sz w:val="21"/>
                <w:szCs w:val="24"/>
                <w:highlight w:val="none"/>
                <w:lang w:val="en-US" w:eastAsia="zh-CN"/>
              </w:rPr>
              <w:t>3</w:t>
            </w:r>
            <w:r>
              <w:rPr>
                <w:rFonts w:hint="eastAsia" w:cs="Times New Roman"/>
                <w:b w:val="0"/>
                <w:bCs/>
                <w:color w:val="auto"/>
                <w:sz w:val="21"/>
                <w:szCs w:val="24"/>
                <w:highlight w:val="none"/>
                <w:lang w:eastAsia="zh-CN"/>
              </w:rPr>
              <w:t>）</w:t>
            </w:r>
            <w:r>
              <w:rPr>
                <w:rFonts w:hint="default" w:eastAsia="宋体" w:cs="Times New Roman"/>
                <w:b w:val="0"/>
                <w:bCs/>
                <w:color w:val="auto"/>
                <w:sz w:val="21"/>
                <w:szCs w:val="24"/>
                <w:highlight w:val="none"/>
              </w:rPr>
              <w:t>非正常工况（如开、停车等）生产装置区因开停车造成的废气废水的非正常排放。</w:t>
            </w:r>
          </w:p>
          <w:p w14:paraId="7FCC7354">
            <w:pPr>
              <w:spacing w:line="360" w:lineRule="auto"/>
              <w:ind w:firstLine="420" w:firstLineChars="200"/>
              <w:rPr>
                <w:rFonts w:hint="default" w:eastAsia="宋体" w:cs="Times New Roman"/>
                <w:b w:val="0"/>
                <w:bCs/>
                <w:color w:val="auto"/>
                <w:sz w:val="21"/>
                <w:szCs w:val="24"/>
                <w:highlight w:val="none"/>
              </w:rPr>
            </w:pPr>
            <w:r>
              <w:rPr>
                <w:rFonts w:hint="eastAsia" w:cs="Times New Roman"/>
                <w:b w:val="0"/>
                <w:bCs/>
                <w:color w:val="auto"/>
                <w:sz w:val="21"/>
                <w:szCs w:val="24"/>
                <w:highlight w:val="none"/>
                <w:lang w:eastAsia="zh-CN"/>
              </w:rPr>
              <w:t>（</w:t>
            </w:r>
            <w:r>
              <w:rPr>
                <w:rFonts w:hint="eastAsia" w:cs="Times New Roman"/>
                <w:b w:val="0"/>
                <w:bCs/>
                <w:color w:val="auto"/>
                <w:sz w:val="21"/>
                <w:szCs w:val="24"/>
                <w:highlight w:val="none"/>
                <w:lang w:val="en-US" w:eastAsia="zh-CN"/>
              </w:rPr>
              <w:t>4</w:t>
            </w:r>
            <w:r>
              <w:rPr>
                <w:rFonts w:hint="eastAsia" w:cs="Times New Roman"/>
                <w:b w:val="0"/>
                <w:bCs/>
                <w:color w:val="auto"/>
                <w:sz w:val="21"/>
                <w:szCs w:val="24"/>
                <w:highlight w:val="none"/>
                <w:lang w:eastAsia="zh-CN"/>
              </w:rPr>
              <w:t>）</w:t>
            </w:r>
            <w:r>
              <w:rPr>
                <w:rFonts w:hint="eastAsia" w:cs="Times New Roman"/>
                <w:b w:val="0"/>
                <w:bCs/>
                <w:color w:val="auto"/>
                <w:sz w:val="21"/>
                <w:szCs w:val="24"/>
                <w:highlight w:val="none"/>
                <w:lang w:val="en-US" w:eastAsia="zh-CN"/>
              </w:rPr>
              <w:t>设备故障</w:t>
            </w:r>
            <w:r>
              <w:rPr>
                <w:rFonts w:hint="default" w:eastAsia="宋体" w:cs="Times New Roman"/>
                <w:b w:val="0"/>
                <w:bCs/>
                <w:color w:val="auto"/>
                <w:sz w:val="21"/>
                <w:szCs w:val="24"/>
                <w:highlight w:val="none"/>
              </w:rPr>
              <w:t>排污</w:t>
            </w:r>
          </w:p>
          <w:p w14:paraId="358E7EC6">
            <w:pPr>
              <w:spacing w:line="360" w:lineRule="auto"/>
              <w:ind w:firstLine="422"/>
              <w:rPr>
                <w:rFonts w:hint="default" w:eastAsia="宋体" w:cs="Times New Roman"/>
                <w:b w:val="0"/>
                <w:bCs/>
                <w:color w:val="auto"/>
                <w:sz w:val="21"/>
                <w:szCs w:val="24"/>
                <w:highlight w:val="none"/>
              </w:rPr>
            </w:pPr>
            <w:r>
              <w:rPr>
                <w:rFonts w:hint="default" w:eastAsia="宋体" w:cs="Times New Roman"/>
                <w:b w:val="0"/>
                <w:bCs/>
                <w:color w:val="auto"/>
                <w:sz w:val="21"/>
                <w:szCs w:val="24"/>
                <w:highlight w:val="none"/>
                <w:lang w:val="en-US" w:eastAsia="zh-CN"/>
              </w:rPr>
              <w:t>I、</w:t>
            </w:r>
            <w:r>
              <w:rPr>
                <w:rFonts w:hint="default" w:eastAsia="宋体" w:cs="Times New Roman"/>
                <w:b w:val="0"/>
                <w:bCs/>
                <w:color w:val="auto"/>
                <w:sz w:val="21"/>
                <w:szCs w:val="24"/>
                <w:highlight w:val="none"/>
              </w:rPr>
              <w:t>废气超标排放的危害若产生的废气不经处理，直接外排，则会污染大气环境。</w:t>
            </w:r>
          </w:p>
          <w:p w14:paraId="432158B2">
            <w:pPr>
              <w:spacing w:line="360" w:lineRule="auto"/>
              <w:ind w:firstLine="422"/>
              <w:rPr>
                <w:rFonts w:hint="default" w:eastAsia="宋体" w:cs="Times New Roman"/>
                <w:b w:val="0"/>
                <w:bCs/>
                <w:color w:val="auto"/>
                <w:sz w:val="21"/>
                <w:szCs w:val="24"/>
                <w:highlight w:val="none"/>
              </w:rPr>
            </w:pPr>
            <w:r>
              <w:rPr>
                <w:rFonts w:hint="eastAsia" w:cs="Times New Roman"/>
                <w:b w:val="0"/>
                <w:bCs/>
                <w:color w:val="auto"/>
                <w:sz w:val="21"/>
                <w:szCs w:val="24"/>
                <w:highlight w:val="none"/>
                <w:lang w:eastAsia="zh-CN"/>
              </w:rPr>
              <w:t>（</w:t>
            </w:r>
            <w:r>
              <w:rPr>
                <w:rFonts w:hint="eastAsia" w:cs="Times New Roman"/>
                <w:b w:val="0"/>
                <w:bCs/>
                <w:color w:val="auto"/>
                <w:sz w:val="21"/>
                <w:szCs w:val="24"/>
                <w:highlight w:val="none"/>
                <w:lang w:val="en-US" w:eastAsia="zh-CN"/>
              </w:rPr>
              <w:t>5</w:t>
            </w:r>
            <w:r>
              <w:rPr>
                <w:rFonts w:hint="eastAsia" w:cs="Times New Roman"/>
                <w:b w:val="0"/>
                <w:bCs/>
                <w:color w:val="auto"/>
                <w:sz w:val="21"/>
                <w:szCs w:val="24"/>
                <w:highlight w:val="none"/>
                <w:lang w:eastAsia="zh-CN"/>
              </w:rPr>
              <w:t>）</w:t>
            </w:r>
            <w:r>
              <w:rPr>
                <w:rFonts w:hint="default" w:eastAsia="宋体" w:cs="Times New Roman"/>
                <w:b w:val="0"/>
                <w:bCs/>
                <w:color w:val="auto"/>
                <w:sz w:val="21"/>
                <w:szCs w:val="24"/>
                <w:highlight w:val="none"/>
              </w:rPr>
              <w:t>停电、断水、停气等停电、断水、停气事故发生概率较小，应与供电、供气部门紧密联系，避免此种情况发生。</w:t>
            </w:r>
          </w:p>
          <w:p w14:paraId="7C64568F">
            <w:pPr>
              <w:spacing w:line="360" w:lineRule="auto"/>
              <w:ind w:firstLine="422"/>
              <w:rPr>
                <w:rFonts w:hint="default" w:eastAsia="宋体" w:cs="Times New Roman"/>
                <w:b w:val="0"/>
                <w:bCs/>
                <w:color w:val="auto"/>
                <w:sz w:val="21"/>
                <w:szCs w:val="24"/>
                <w:highlight w:val="none"/>
              </w:rPr>
            </w:pPr>
            <w:r>
              <w:rPr>
                <w:rFonts w:hint="eastAsia" w:cs="Times New Roman"/>
                <w:b w:val="0"/>
                <w:bCs/>
                <w:color w:val="auto"/>
                <w:sz w:val="21"/>
                <w:szCs w:val="24"/>
                <w:highlight w:val="none"/>
                <w:lang w:eastAsia="zh-CN"/>
              </w:rPr>
              <w:t>（</w:t>
            </w:r>
            <w:r>
              <w:rPr>
                <w:rFonts w:hint="eastAsia" w:cs="Times New Roman"/>
                <w:b w:val="0"/>
                <w:bCs/>
                <w:color w:val="auto"/>
                <w:sz w:val="21"/>
                <w:szCs w:val="24"/>
                <w:highlight w:val="none"/>
                <w:lang w:val="en-US" w:eastAsia="zh-CN"/>
              </w:rPr>
              <w:t>6</w:t>
            </w:r>
            <w:r>
              <w:rPr>
                <w:rFonts w:hint="eastAsia" w:cs="Times New Roman"/>
                <w:b w:val="0"/>
                <w:bCs/>
                <w:color w:val="auto"/>
                <w:sz w:val="21"/>
                <w:szCs w:val="24"/>
                <w:highlight w:val="none"/>
                <w:lang w:eastAsia="zh-CN"/>
              </w:rPr>
              <w:t>）</w:t>
            </w:r>
            <w:r>
              <w:rPr>
                <w:rFonts w:hint="default" w:eastAsia="宋体" w:cs="Times New Roman"/>
                <w:b w:val="0"/>
                <w:bCs/>
                <w:color w:val="auto"/>
                <w:sz w:val="21"/>
                <w:szCs w:val="24"/>
                <w:highlight w:val="none"/>
              </w:rPr>
              <w:t>通讯或运输系统故障通讯、运输系统发生故障时，在厂外运输不能及时进行沟通、控制，对风险缺少控制力。公司应建立通讯录，保持企业内部人员沟通顺畅。危险化学品运输需委托相关资质单位运输，减少环境风险。</w:t>
            </w:r>
          </w:p>
          <w:p w14:paraId="61C312C0">
            <w:pPr>
              <w:pStyle w:val="4"/>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w:t>
            </w:r>
            <w:r>
              <w:rPr>
                <w:rFonts w:hint="default" w:ascii="Times New Roman" w:hAnsi="Times New Roman" w:cs="Times New Roman"/>
                <w:color w:val="auto"/>
              </w:rPr>
              <w:t>环境风险防范措施</w:t>
            </w:r>
          </w:p>
          <w:p w14:paraId="6B492AB7">
            <w:pPr>
              <w:keepNext w:val="0"/>
              <w:keepLines w:val="0"/>
              <w:widowControl/>
              <w:suppressLineNumbers w:val="0"/>
              <w:spacing w:line="360" w:lineRule="auto"/>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（1）各风险物质储存点张贴醒目标志，配备灭火消防设备；消防器材周围禁止堆放杂物。对各储存点进行日常巡查，及时排查潜在的泄漏点。</w:t>
            </w:r>
          </w:p>
          <w:p w14:paraId="0FB2505F">
            <w:pPr>
              <w:keepNext w:val="0"/>
              <w:keepLines w:val="0"/>
              <w:widowControl/>
              <w:suppressLineNumbers w:val="0"/>
              <w:spacing w:line="360" w:lineRule="auto"/>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（2）风险物质尽量遵循少存放、勤清理的原则，减少厂内储存量。</w:t>
            </w:r>
          </w:p>
          <w:p w14:paraId="23BBC9B3">
            <w:pPr>
              <w:pStyle w:val="12"/>
              <w:numPr>
                <w:ilvl w:val="0"/>
                <w:numId w:val="0"/>
              </w:numPr>
              <w:spacing w:line="360" w:lineRule="auto"/>
              <w:ind w:right="0" w:right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储存</w:t>
            </w:r>
            <w:r>
              <w:rPr>
                <w:rFonts w:hint="eastAsia" w:cs="Times New Roman"/>
                <w:color w:val="auto"/>
                <w:sz w:val="21"/>
                <w:szCs w:val="21"/>
                <w:u w:val="none"/>
                <w:lang w:val="en-US" w:eastAsia="zh-CN"/>
              </w:rPr>
              <w:t>有机硅硬质涂层、防雾涂料、清洗剂</w:t>
            </w:r>
            <w:r>
              <w:rPr>
                <w:rFonts w:hint="default" w:ascii="Times New Roman" w:hAnsi="Times New Roman" w:cs="Times New Roman"/>
                <w:color w:val="auto"/>
                <w:sz w:val="21"/>
                <w:szCs w:val="21"/>
                <w:lang w:eastAsia="zh-CN"/>
              </w:rPr>
              <w:t>等风险物质的区域</w:t>
            </w:r>
            <w:r>
              <w:rPr>
                <w:rFonts w:hint="default" w:ascii="Times New Roman" w:hAnsi="Times New Roman" w:cs="Times New Roman"/>
                <w:color w:val="auto"/>
                <w:sz w:val="21"/>
                <w:szCs w:val="21"/>
                <w:lang w:eastAsia="zh-CN"/>
              </w:rPr>
              <w:t xml:space="preserve">，需进行地面硬化处理，旁边放置吸附棉等泄漏应急物资，确保发生泄漏时能及时处理；危废暂存间采取防渗防腐蚀处理。 </w:t>
            </w:r>
          </w:p>
          <w:p w14:paraId="4B0C9476">
            <w:pPr>
              <w:pStyle w:val="12"/>
              <w:numPr>
                <w:ilvl w:val="0"/>
                <w:numId w:val="0"/>
              </w:numPr>
              <w:spacing w:line="360" w:lineRule="auto"/>
              <w:ind w:right="0" w:rightChars="0"/>
              <w:rPr>
                <w:rFonts w:hint="default" w:ascii="Times New Roman" w:hAnsi="Times New Roman" w:eastAsia="宋体" w:cs="Times New Roman"/>
                <w:color w:val="auto"/>
                <w:sz w:val="21"/>
                <w:szCs w:val="21"/>
                <w:lang w:val="zh-CN" w:eastAsia="zh-CN" w:bidi="zh-CN"/>
              </w:rPr>
            </w:pP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lang w:eastAsia="zh-CN"/>
              </w:rPr>
              <w:t>）</w:t>
            </w:r>
            <w:r>
              <w:rPr>
                <w:rFonts w:hint="default" w:ascii="Times New Roman" w:hAnsi="Times New Roman" w:eastAsia="宋体" w:cs="Times New Roman"/>
                <w:color w:val="auto"/>
                <w:kern w:val="0"/>
                <w:sz w:val="21"/>
                <w:szCs w:val="21"/>
                <w:lang w:val="en-US" w:eastAsia="zh-CN" w:bidi="ar"/>
              </w:rPr>
              <w:t>建设单位应</w:t>
            </w:r>
            <w:r>
              <w:rPr>
                <w:rFonts w:hint="default" w:ascii="Times New Roman" w:hAnsi="Times New Roman" w:eastAsia="宋体" w:cs="Times New Roman"/>
                <w:color w:val="auto"/>
                <w:sz w:val="21"/>
                <w:szCs w:val="21"/>
                <w:lang w:val="zh-CN" w:eastAsia="zh-CN" w:bidi="zh-CN"/>
              </w:rPr>
              <w:t>建立健全厂区安全生产及消防的规章制度，采取属地管理的方式，由部门车间对所区域内的风险源进行日常检查，强化管理，对各风险源进行定检查或不定期抽查，当班员工每小时室外巡查，并做好巡查记录。定期检修和维护，并且培训上岗，严格遵守操作规范，做好个人防护。</w:t>
            </w:r>
          </w:p>
          <w:p w14:paraId="25040ACD">
            <w:pPr>
              <w:keepNext w:val="0"/>
              <w:keepLines w:val="0"/>
              <w:widowControl/>
              <w:suppressLineNumbers w:val="0"/>
              <w:spacing w:line="360" w:lineRule="auto"/>
              <w:jc w:val="left"/>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zh-CN" w:eastAsia="zh-CN" w:bidi="zh-CN"/>
              </w:rPr>
              <w:t>（</w:t>
            </w:r>
            <w:r>
              <w:rPr>
                <w:rFonts w:hint="default" w:ascii="Times New Roman" w:hAnsi="Times New Roman" w:eastAsia="宋体" w:cs="Times New Roman"/>
                <w:color w:val="auto"/>
                <w:sz w:val="21"/>
                <w:szCs w:val="21"/>
                <w:lang w:val="en-US" w:eastAsia="zh-CN" w:bidi="zh-CN"/>
              </w:rPr>
              <w:t>5</w:t>
            </w:r>
            <w:r>
              <w:rPr>
                <w:rFonts w:hint="default" w:ascii="Times New Roman" w:hAnsi="Times New Roman" w:eastAsia="宋体" w:cs="Times New Roman"/>
                <w:color w:val="auto"/>
                <w:sz w:val="21"/>
                <w:szCs w:val="21"/>
                <w:lang w:val="zh-CN" w:eastAsia="zh-CN" w:bidi="zh-CN"/>
              </w:rPr>
              <w:t>）</w:t>
            </w:r>
            <w:r>
              <w:rPr>
                <w:rFonts w:hint="default" w:ascii="Times New Roman" w:hAnsi="Times New Roman" w:eastAsia="宋体" w:cs="Times New Roman"/>
                <w:color w:val="auto"/>
                <w:kern w:val="0"/>
                <w:sz w:val="21"/>
                <w:szCs w:val="21"/>
                <w:lang w:val="en-US" w:eastAsia="zh-CN" w:bidi="ar"/>
              </w:rPr>
              <w:t xml:space="preserve">建设单位应组建安全环保管理机构，配备管理人员，通过技能培训，承担该公司运 </w:t>
            </w:r>
          </w:p>
          <w:p w14:paraId="13942DA5">
            <w:pPr>
              <w:keepNext w:val="0"/>
              <w:keepLines w:val="0"/>
              <w:widowControl/>
              <w:suppressLineNumbers w:val="0"/>
              <w:spacing w:line="360" w:lineRule="auto"/>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行中的环保安全工作。安全环保机构将根据相关的环境管理要求，结合厂区具体情况， </w:t>
            </w:r>
          </w:p>
          <w:p w14:paraId="082564DB">
            <w:pPr>
              <w:keepNext w:val="0"/>
              <w:keepLines w:val="0"/>
              <w:widowControl/>
              <w:suppressLineNumbers w:val="0"/>
              <w:spacing w:line="360" w:lineRule="auto"/>
              <w:jc w:val="left"/>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 xml:space="preserve">制定各项安全生产管理制度、严格的生产操作规则和完善的事故应急计划及相应的应急 </w:t>
            </w:r>
          </w:p>
          <w:p w14:paraId="3826B7BF">
            <w:pPr>
              <w:keepNext w:val="0"/>
              <w:keepLines w:val="0"/>
              <w:widowControl/>
              <w:suppressLineNumbers w:val="0"/>
              <w:spacing w:line="360" w:lineRule="auto"/>
              <w:jc w:val="left"/>
              <w:rPr>
                <w:rFonts w:hint="default" w:ascii="Times New Roman" w:hAnsi="Times New Roman" w:eastAsia="宋体" w:cs="Times New Roman"/>
                <w:color w:val="auto"/>
                <w:sz w:val="21"/>
                <w:szCs w:val="21"/>
                <w:lang w:val="zh-CN" w:eastAsia="zh-CN" w:bidi="zh-CN"/>
              </w:rPr>
            </w:pPr>
            <w:r>
              <w:rPr>
                <w:rFonts w:hint="default" w:ascii="Times New Roman" w:hAnsi="Times New Roman" w:eastAsia="宋体" w:cs="Times New Roman"/>
                <w:color w:val="auto"/>
                <w:kern w:val="0"/>
                <w:sz w:val="21"/>
                <w:szCs w:val="21"/>
                <w:lang w:val="en-US" w:eastAsia="zh-CN" w:bidi="ar"/>
              </w:rPr>
              <w:t>处理手段和设施，同时加强安全教育，以提高职工的安全意识和安全防范能力。</w:t>
            </w:r>
          </w:p>
          <w:p w14:paraId="4E020DF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1"/>
                <w:szCs w:val="21"/>
                <w:lang w:val="en-US" w:eastAsia="zh-CN" w:bidi="ar"/>
              </w:rPr>
            </w:pPr>
            <w:r>
              <w:rPr>
                <w:rFonts w:hint="eastAsia" w:ascii="宋体" w:hAnsi="宋体" w:cs="宋体"/>
                <w:color w:val="auto"/>
                <w:kern w:val="0"/>
                <w:sz w:val="21"/>
                <w:szCs w:val="21"/>
                <w:lang w:val="en-US" w:eastAsia="zh-CN" w:bidi="ar"/>
              </w:rPr>
              <w:t>（6）</w:t>
            </w:r>
            <w:r>
              <w:rPr>
                <w:rFonts w:hint="eastAsia" w:ascii="宋体" w:hAnsi="宋体" w:eastAsia="宋体" w:cs="宋体"/>
                <w:color w:val="auto"/>
                <w:kern w:val="0"/>
                <w:sz w:val="21"/>
                <w:szCs w:val="21"/>
                <w:lang w:val="en-US" w:eastAsia="zh-CN" w:bidi="ar"/>
              </w:rPr>
              <w:t>贮运工程风险防范措施</w:t>
            </w:r>
          </w:p>
          <w:p w14:paraId="22BE1D13">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①原料仓库、油品仓库等场所设置液体泄漏物收集导排及收容设施，液体原料放置在防渗漏托盘上。</w:t>
            </w:r>
          </w:p>
          <w:p w14:paraId="3FDF4886">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②原料桶不得露天堆放，储存于阴凉通风仓间内，远离火种、热源，防止阳光直射，应与易燃或可燃物分开存放。搬运时轻装轻卸，防止原料桶破损或倾倒。</w:t>
            </w:r>
          </w:p>
          <w:p w14:paraId="73EE1D8F">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③划定禁火区，在明显地点设有警示标志，输配电线、灯具、火灾事故照明和疏散指示标志均应符合安全要求；严禁未安装灭火星装置的车辆出入生产装置区。</w:t>
            </w:r>
          </w:p>
          <w:p w14:paraId="10F0F1D6">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④合理规划运输路线及时间，加强危险化学物品运输车辆的管理，严格遵守危险品运输管理规定，避免运输过程事故的发生。</w:t>
            </w:r>
          </w:p>
          <w:p w14:paraId="2FA0422F">
            <w:pPr>
              <w:pStyle w:val="12"/>
              <w:numPr>
                <w:ilvl w:val="0"/>
                <w:numId w:val="0"/>
              </w:numPr>
              <w:spacing w:line="360" w:lineRule="auto"/>
              <w:ind w:right="0" w:rightChars="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r>
              <w:rPr>
                <w:rFonts w:hint="eastAsia" w:cs="Times New Roman"/>
                <w:color w:val="auto"/>
                <w:sz w:val="21"/>
                <w:szCs w:val="21"/>
                <w:lang w:val="en-US" w:eastAsia="zh-CN"/>
              </w:rPr>
              <w:t>7</w:t>
            </w:r>
            <w:r>
              <w:rPr>
                <w:rFonts w:hint="default" w:ascii="Times New Roman" w:hAnsi="Times New Roman" w:cs="Times New Roman"/>
                <w:color w:val="auto"/>
                <w:sz w:val="21"/>
                <w:szCs w:val="21"/>
                <w:lang w:eastAsia="zh-CN"/>
              </w:rPr>
              <w:t>）突发环境事故应急预案</w:t>
            </w:r>
          </w:p>
          <w:p w14:paraId="08987974">
            <w:pPr>
              <w:pStyle w:val="12"/>
              <w:numPr>
                <w:ilvl w:val="0"/>
                <w:numId w:val="0"/>
              </w:numPr>
              <w:spacing w:line="360" w:lineRule="auto"/>
              <w:ind w:right="0" w:rightChars="0" w:firstLine="420" w:firstLineChars="200"/>
              <w:rPr>
                <w:rFonts w:hint="default" w:ascii="Times New Roman" w:hAnsi="Times New Roman" w:eastAsia="宋体" w:cs="Times New Roman"/>
                <w:color w:val="auto"/>
                <w:sz w:val="21"/>
                <w:szCs w:val="21"/>
                <w:lang w:val="zh-CN" w:eastAsia="zh-CN" w:bidi="zh-CN"/>
              </w:rPr>
            </w:pPr>
            <w:r>
              <w:rPr>
                <w:rFonts w:hint="default" w:ascii="Times New Roman" w:hAnsi="Times New Roman" w:eastAsia="宋体" w:cs="Times New Roman"/>
                <w:color w:val="auto"/>
                <w:sz w:val="21"/>
                <w:szCs w:val="21"/>
                <w:lang w:val="zh-CN" w:eastAsia="zh-CN" w:bidi="zh-CN"/>
              </w:rPr>
              <w:t>企业应根据《江苏省突发环境事件应急预案编制导则》（试行）（企事业单位版）、《关于企业事业单位突发环境事件应急预案备案管理有关事项的通知》（环发[2015]224号）、《关于印发南通市企事业单位突发环境事件应急预案备案管理制度的通知》（通环办[2016]16号）等相关要求，制定企业突发环境事件应急预案。</w:t>
            </w:r>
          </w:p>
          <w:p w14:paraId="2DA116ED">
            <w:pPr>
              <w:pStyle w:val="12"/>
              <w:numPr>
                <w:ilvl w:val="0"/>
                <w:numId w:val="0"/>
              </w:numPr>
              <w:spacing w:line="360" w:lineRule="auto"/>
              <w:ind w:right="0" w:rightChars="0"/>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zh-CN" w:eastAsia="zh-CN" w:bidi="zh-CN"/>
              </w:rPr>
              <w:t>（</w:t>
            </w:r>
            <w:r>
              <w:rPr>
                <w:rFonts w:hint="eastAsia" w:cs="Times New Roman"/>
                <w:color w:val="auto"/>
                <w:sz w:val="21"/>
                <w:szCs w:val="21"/>
                <w:lang w:val="en-US" w:eastAsia="zh-CN" w:bidi="zh-CN"/>
              </w:rPr>
              <w:t>8</w:t>
            </w:r>
            <w:r>
              <w:rPr>
                <w:rFonts w:hint="default" w:ascii="Times New Roman" w:hAnsi="Times New Roman" w:eastAsia="宋体" w:cs="Times New Roman"/>
                <w:color w:val="auto"/>
                <w:sz w:val="21"/>
                <w:szCs w:val="21"/>
                <w:lang w:val="zh-CN" w:eastAsia="zh-CN" w:bidi="zh-CN"/>
              </w:rPr>
              <w:t>）</w:t>
            </w:r>
            <w:r>
              <w:rPr>
                <w:rFonts w:hint="eastAsia" w:cs="Times New Roman"/>
                <w:color w:val="auto"/>
                <w:sz w:val="21"/>
                <w:szCs w:val="21"/>
                <w:lang w:val="en-US" w:eastAsia="zh-CN" w:bidi="zh-CN"/>
              </w:rPr>
              <w:t>事故废水收集及暂存设施</w:t>
            </w:r>
          </w:p>
          <w:p w14:paraId="73C1ED8A">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当发生火灾或泄露事件时，相关负责人应及时关闭雨水排口截止阀，防止事故废水排入外环境，同时打开事故废水暂存设施的截止阀。</w:t>
            </w:r>
          </w:p>
          <w:p w14:paraId="4BBDD127">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color w:val="auto"/>
                <w:kern w:val="0"/>
                <w:sz w:val="21"/>
                <w:szCs w:val="21"/>
                <w:lang w:val="en-US" w:eastAsia="zh-CN" w:bidi="ar"/>
              </w:rPr>
            </w:pPr>
            <w:r>
              <w:rPr>
                <w:rFonts w:hint="eastAsia" w:ascii="宋体" w:hAnsi="宋体" w:eastAsia="宋体" w:cs="宋体"/>
                <w:color w:val="auto"/>
                <w:kern w:val="0"/>
                <w:sz w:val="21"/>
                <w:szCs w:val="21"/>
                <w:lang w:val="en-US" w:eastAsia="zh-CN" w:bidi="ar"/>
              </w:rPr>
              <w:t>事故废水暂存设施总有效容积：</w:t>
            </w:r>
            <w:r>
              <w:rPr>
                <w:rFonts w:hint="default" w:ascii="Times New Roman" w:hAnsi="Times New Roman" w:eastAsia="宋体" w:cs="Times New Roman"/>
                <w:color w:val="auto"/>
                <w:kern w:val="0"/>
                <w:sz w:val="21"/>
                <w:szCs w:val="21"/>
                <w:lang w:val="en-US" w:eastAsia="zh-CN" w:bidi="ar"/>
              </w:rPr>
              <w:t>V总=（V1+V2-V3）max+V4+V5</w:t>
            </w:r>
          </w:p>
          <w:p w14:paraId="51759DB2">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其中（V1+V2-V3）max 是指对收集系统范围内不同罐区或装置分别计算V1+V2-V3，取其中最大值。</w:t>
            </w:r>
          </w:p>
          <w:p w14:paraId="553FA4B8">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V1—收集系统范围内发生事故的一个罐区或一套装置的物料量（注：储存相同物料的罐组按一个最大储罐计，装置物料量按存留最大物料量的一台反应器或中间储罐计）；</w:t>
            </w:r>
          </w:p>
          <w:p w14:paraId="41BFADBF">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V2—发生事故的储罐或装置的最大消防水量，m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val="en-US" w:eastAsia="zh-CN" w:bidi="ar"/>
              </w:rPr>
              <w:t>；</w:t>
            </w:r>
          </w:p>
          <w:p w14:paraId="625F4AA0">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V3—发生事故时可以转输到其他储存或处理设施的物料量，m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val="en-US" w:eastAsia="zh-CN" w:bidi="ar"/>
              </w:rPr>
              <w:t>；</w:t>
            </w:r>
          </w:p>
          <w:p w14:paraId="24733263">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V4—发生事故时必须进入该收集系统的生产废水量，m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val="en-US" w:eastAsia="zh-CN" w:bidi="ar"/>
              </w:rPr>
              <w:t>；</w:t>
            </w:r>
          </w:p>
          <w:p w14:paraId="44D3CDBF">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V5—发生事故时可能进入该收集系统的降雨量，m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val="en-US" w:eastAsia="zh-CN" w:bidi="ar"/>
              </w:rPr>
              <w:t>。</w:t>
            </w:r>
          </w:p>
          <w:p w14:paraId="1456F3E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kern w:val="0"/>
                <w:sz w:val="21"/>
                <w:szCs w:val="21"/>
                <w:lang w:val="en-US" w:eastAsia="zh-CN" w:bidi="ar"/>
              </w:rPr>
            </w:pPr>
            <w:r>
              <w:rPr>
                <w:rFonts w:hint="eastAsia" w:ascii="宋体" w:hAnsi="宋体" w:eastAsia="宋体" w:cs="宋体"/>
                <w:b/>
                <w:bCs/>
                <w:color w:val="auto"/>
                <w:kern w:val="0"/>
                <w:sz w:val="21"/>
                <w:szCs w:val="21"/>
                <w:lang w:val="en-US" w:eastAsia="zh-CN" w:bidi="ar"/>
              </w:rPr>
              <w:t>则本项目</w:t>
            </w:r>
            <w:r>
              <w:rPr>
                <w:rFonts w:hint="default" w:ascii="Times New Roman" w:hAnsi="Times New Roman" w:eastAsia="宋体" w:cs="Times New Roman"/>
                <w:b/>
                <w:bCs/>
                <w:color w:val="auto"/>
                <w:kern w:val="0"/>
                <w:sz w:val="21"/>
                <w:szCs w:val="21"/>
                <w:lang w:val="en-US" w:eastAsia="zh-CN" w:bidi="ar"/>
              </w:rPr>
              <w:t>V总</w:t>
            </w:r>
            <w:r>
              <w:rPr>
                <w:rFonts w:hint="eastAsia" w:ascii="宋体" w:hAnsi="宋体" w:eastAsia="宋体" w:cs="宋体"/>
                <w:b/>
                <w:bCs/>
                <w:color w:val="auto"/>
                <w:kern w:val="0"/>
                <w:sz w:val="21"/>
                <w:szCs w:val="21"/>
                <w:lang w:val="en-US" w:eastAsia="zh-CN" w:bidi="ar"/>
              </w:rPr>
              <w:t>计算如下：</w:t>
            </w:r>
          </w:p>
          <w:p w14:paraId="4842CE3B">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color w:val="auto"/>
                <w:kern w:val="0"/>
                <w:sz w:val="21"/>
                <w:szCs w:val="21"/>
                <w:u w:val="none"/>
                <w:lang w:val="en-US" w:eastAsia="zh-CN" w:bidi="ar"/>
              </w:rPr>
            </w:pPr>
            <w:r>
              <w:rPr>
                <w:rFonts w:hint="eastAsia" w:ascii="宋体" w:hAnsi="宋体" w:eastAsia="宋体" w:cs="宋体"/>
                <w:color w:val="auto"/>
                <w:kern w:val="0"/>
                <w:sz w:val="21"/>
                <w:szCs w:val="21"/>
                <w:u w:val="none"/>
                <w:lang w:val="en-US" w:eastAsia="zh-CN" w:bidi="ar"/>
              </w:rPr>
              <w:t>本项目不设置储罐，本项目</w:t>
            </w:r>
            <w:r>
              <w:rPr>
                <w:rFonts w:hint="eastAsia" w:ascii="宋体" w:hAnsi="宋体" w:cs="宋体"/>
                <w:color w:val="auto"/>
                <w:kern w:val="0"/>
                <w:sz w:val="21"/>
                <w:szCs w:val="21"/>
                <w:u w:val="none"/>
                <w:lang w:val="en-US" w:eastAsia="zh-CN" w:bidi="ar"/>
              </w:rPr>
              <w:t>液态物料</w:t>
            </w:r>
            <w:r>
              <w:rPr>
                <w:rFonts w:hint="eastAsia" w:ascii="宋体" w:hAnsi="宋体" w:eastAsia="宋体" w:cs="宋体"/>
                <w:color w:val="auto"/>
                <w:kern w:val="0"/>
                <w:sz w:val="21"/>
                <w:szCs w:val="21"/>
                <w:u w:val="none"/>
                <w:lang w:val="en-US" w:eastAsia="zh-CN" w:bidi="ar"/>
              </w:rPr>
              <w:t>最大物料量</w:t>
            </w:r>
            <w:r>
              <w:rPr>
                <w:rFonts w:hint="default" w:ascii="Times New Roman" w:hAnsi="Times New Roman" w:cs="Times New Roman"/>
                <w:color w:val="auto"/>
                <w:kern w:val="0"/>
                <w:sz w:val="21"/>
                <w:szCs w:val="21"/>
                <w:u w:val="none"/>
                <w:lang w:val="en-US" w:eastAsia="zh-CN" w:bidi="ar"/>
              </w:rPr>
              <w:t>1+0.5+</w:t>
            </w:r>
            <w:r>
              <w:rPr>
                <w:rFonts w:hint="eastAsia" w:ascii="Times New Roman" w:hAnsi="Times New Roman" w:cs="Times New Roman"/>
                <w:color w:val="auto"/>
                <w:kern w:val="0"/>
                <w:sz w:val="21"/>
                <w:szCs w:val="21"/>
                <w:u w:val="none"/>
                <w:lang w:val="en-US" w:eastAsia="zh-CN" w:bidi="ar"/>
              </w:rPr>
              <w:t>0.5=2</w:t>
            </w:r>
            <w:r>
              <w:rPr>
                <w:rFonts w:hint="default" w:ascii="Times New Roman" w:hAnsi="Times New Roman" w:eastAsia="宋体" w:cs="Times New Roman"/>
                <w:color w:val="auto"/>
                <w:kern w:val="0"/>
                <w:sz w:val="21"/>
                <w:szCs w:val="21"/>
                <w:u w:val="none"/>
                <w:lang w:val="en-US" w:eastAsia="zh-CN" w:bidi="ar"/>
              </w:rPr>
              <w:t>m</w:t>
            </w:r>
            <w:r>
              <w:rPr>
                <w:rFonts w:hint="default" w:ascii="Times New Roman" w:hAnsi="Times New Roman" w:eastAsia="宋体" w:cs="Times New Roman"/>
                <w:color w:val="auto"/>
                <w:kern w:val="0"/>
                <w:sz w:val="21"/>
                <w:szCs w:val="21"/>
                <w:u w:val="none"/>
                <w:vertAlign w:val="superscript"/>
                <w:lang w:val="en-US" w:eastAsia="zh-CN" w:bidi="ar"/>
              </w:rPr>
              <w:t>3</w:t>
            </w:r>
            <w:r>
              <w:rPr>
                <w:rFonts w:hint="eastAsia" w:ascii="Times New Roman" w:hAnsi="Times New Roman" w:eastAsia="宋体" w:cs="Times New Roman"/>
                <w:color w:val="auto"/>
                <w:kern w:val="0"/>
                <w:sz w:val="21"/>
                <w:szCs w:val="21"/>
                <w:u w:val="none"/>
                <w:vertAlign w:val="baseline"/>
                <w:lang w:val="en-US" w:eastAsia="zh-CN" w:bidi="ar"/>
              </w:rPr>
              <w:t>，现有项目</w:t>
            </w:r>
            <w:r>
              <w:rPr>
                <w:rFonts w:hint="eastAsia" w:ascii="宋体" w:hAnsi="宋体" w:cs="宋体"/>
                <w:color w:val="auto"/>
                <w:kern w:val="0"/>
                <w:sz w:val="21"/>
                <w:szCs w:val="21"/>
                <w:u w:val="none"/>
                <w:lang w:val="en-US" w:eastAsia="zh-CN" w:bidi="ar"/>
              </w:rPr>
              <w:t>液态物料</w:t>
            </w:r>
            <w:r>
              <w:rPr>
                <w:rFonts w:hint="eastAsia" w:ascii="宋体" w:hAnsi="宋体" w:eastAsia="宋体" w:cs="宋体"/>
                <w:color w:val="auto"/>
                <w:kern w:val="0"/>
                <w:sz w:val="21"/>
                <w:szCs w:val="21"/>
                <w:u w:val="none"/>
                <w:lang w:val="en-US" w:eastAsia="zh-CN" w:bidi="ar"/>
              </w:rPr>
              <w:t>最大物料量</w:t>
            </w:r>
            <w:r>
              <w:rPr>
                <w:rFonts w:hint="default" w:ascii="Times New Roman" w:hAnsi="Times New Roman" w:cs="Times New Roman"/>
                <w:color w:val="auto"/>
                <w:kern w:val="0"/>
                <w:sz w:val="21"/>
                <w:szCs w:val="21"/>
                <w:u w:val="none"/>
                <w:lang w:val="en-US" w:eastAsia="zh-CN" w:bidi="ar"/>
              </w:rPr>
              <w:t>1+0.5</w:t>
            </w:r>
            <w:r>
              <w:rPr>
                <w:rFonts w:hint="eastAsia" w:ascii="Times New Roman" w:hAnsi="Times New Roman" w:cs="Times New Roman"/>
                <w:color w:val="auto"/>
                <w:kern w:val="0"/>
                <w:sz w:val="21"/>
                <w:szCs w:val="21"/>
                <w:u w:val="none"/>
                <w:lang w:val="en-US" w:eastAsia="zh-CN" w:bidi="ar"/>
              </w:rPr>
              <w:t>=1.5</w:t>
            </w:r>
            <w:r>
              <w:rPr>
                <w:rFonts w:hint="default" w:ascii="Times New Roman" w:hAnsi="Times New Roman" w:eastAsia="宋体" w:cs="Times New Roman"/>
                <w:color w:val="auto"/>
                <w:kern w:val="0"/>
                <w:sz w:val="21"/>
                <w:szCs w:val="21"/>
                <w:u w:val="none"/>
                <w:lang w:val="en-US" w:eastAsia="zh-CN" w:bidi="ar"/>
              </w:rPr>
              <w:t>m</w:t>
            </w:r>
            <w:r>
              <w:rPr>
                <w:rFonts w:hint="default" w:ascii="Times New Roman" w:hAnsi="Times New Roman" w:eastAsia="宋体" w:cs="Times New Roman"/>
                <w:color w:val="auto"/>
                <w:kern w:val="0"/>
                <w:sz w:val="21"/>
                <w:szCs w:val="21"/>
                <w:u w:val="none"/>
                <w:vertAlign w:val="superscript"/>
                <w:lang w:val="en-US" w:eastAsia="zh-CN" w:bidi="ar"/>
              </w:rPr>
              <w:t>3</w:t>
            </w:r>
            <w:r>
              <w:rPr>
                <w:rFonts w:hint="eastAsia" w:ascii="Times New Roman" w:hAnsi="Times New Roman" w:eastAsia="宋体" w:cs="Times New Roman"/>
                <w:color w:val="auto"/>
                <w:kern w:val="0"/>
                <w:sz w:val="21"/>
                <w:szCs w:val="21"/>
                <w:u w:val="none"/>
                <w:vertAlign w:val="baseline"/>
                <w:lang w:val="en-US" w:eastAsia="zh-CN" w:bidi="ar"/>
              </w:rPr>
              <w:t>，则V1=</w:t>
            </w:r>
            <w:r>
              <w:rPr>
                <w:rFonts w:hint="eastAsia" w:cs="Times New Roman"/>
                <w:color w:val="auto"/>
                <w:kern w:val="0"/>
                <w:sz w:val="21"/>
                <w:szCs w:val="21"/>
                <w:u w:val="none"/>
                <w:vertAlign w:val="baseline"/>
                <w:lang w:val="en-US" w:eastAsia="zh-CN" w:bidi="ar"/>
              </w:rPr>
              <w:t>3.5</w:t>
            </w:r>
            <w:r>
              <w:rPr>
                <w:rFonts w:hint="default" w:ascii="Times New Roman" w:hAnsi="Times New Roman" w:eastAsia="宋体" w:cs="Times New Roman"/>
                <w:color w:val="auto"/>
                <w:kern w:val="0"/>
                <w:sz w:val="21"/>
                <w:szCs w:val="21"/>
                <w:u w:val="none"/>
                <w:lang w:val="en-US" w:eastAsia="zh-CN" w:bidi="ar"/>
              </w:rPr>
              <w:t>m</w:t>
            </w:r>
            <w:r>
              <w:rPr>
                <w:rFonts w:hint="default" w:ascii="Times New Roman" w:hAnsi="Times New Roman" w:eastAsia="宋体" w:cs="Times New Roman"/>
                <w:color w:val="auto"/>
                <w:kern w:val="0"/>
                <w:sz w:val="21"/>
                <w:szCs w:val="21"/>
                <w:u w:val="none"/>
                <w:vertAlign w:val="superscript"/>
                <w:lang w:val="en-US" w:eastAsia="zh-CN" w:bidi="ar"/>
              </w:rPr>
              <w:t>3</w:t>
            </w:r>
            <w:r>
              <w:rPr>
                <w:rFonts w:hint="eastAsia" w:ascii="Times New Roman" w:hAnsi="Times New Roman" w:eastAsia="宋体" w:cs="Times New Roman"/>
                <w:color w:val="auto"/>
                <w:kern w:val="0"/>
                <w:sz w:val="21"/>
                <w:szCs w:val="21"/>
                <w:u w:val="none"/>
                <w:vertAlign w:val="baseline"/>
                <w:lang w:val="en-US" w:eastAsia="zh-CN" w:bidi="ar"/>
              </w:rPr>
              <w:t>。</w:t>
            </w:r>
          </w:p>
          <w:p w14:paraId="6F65B85E">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kern w:val="0"/>
                <w:sz w:val="21"/>
                <w:szCs w:val="21"/>
                <w:u w:val="none"/>
                <w:lang w:val="en-US" w:eastAsia="zh-CN" w:bidi="ar"/>
              </w:rPr>
            </w:pPr>
            <w:r>
              <w:rPr>
                <w:rFonts w:hint="eastAsia" w:ascii="Times New Roman" w:hAnsi="Times New Roman" w:eastAsia="宋体" w:cs="Times New Roman"/>
                <w:color w:val="auto"/>
                <w:kern w:val="0"/>
                <w:sz w:val="21"/>
                <w:szCs w:val="21"/>
                <w:u w:val="none"/>
                <w:lang w:val="en-US" w:eastAsia="zh-CN" w:bidi="ar"/>
              </w:rPr>
              <w:t>根据《消防给水及消防栓系统技术规范》（GB50974-2014）中的资料，当占地面积小于等于100hm</w:t>
            </w:r>
            <w:r>
              <w:rPr>
                <w:rFonts w:hint="eastAsia" w:ascii="Times New Roman" w:hAnsi="Times New Roman" w:eastAsia="宋体" w:cs="Times New Roman"/>
                <w:color w:val="auto"/>
                <w:kern w:val="0"/>
                <w:sz w:val="21"/>
                <w:szCs w:val="21"/>
                <w:u w:val="none"/>
                <w:vertAlign w:val="superscript"/>
                <w:lang w:val="en-US" w:eastAsia="zh-CN" w:bidi="ar"/>
              </w:rPr>
              <w:t>2</w:t>
            </w:r>
            <w:r>
              <w:rPr>
                <w:rFonts w:hint="eastAsia" w:ascii="Times New Roman" w:hAnsi="Times New Roman" w:eastAsia="宋体" w:cs="Times New Roman"/>
                <w:color w:val="auto"/>
                <w:kern w:val="0"/>
                <w:sz w:val="21"/>
                <w:szCs w:val="21"/>
                <w:u w:val="none"/>
                <w:lang w:val="en-US" w:eastAsia="zh-CN" w:bidi="ar"/>
              </w:rPr>
              <w:t>，且附近居住区人数小于或等于1.5万人时，同一时间内的火灾起数应按1起确定。本项目考虑生产车间（戊类）发生事故，则消防给水流量按室内10L/s、室外20L/s计，消防历时按2h计。则V2=（10+20）*3600*2/1000=216m</w:t>
            </w:r>
            <w:r>
              <w:rPr>
                <w:rFonts w:hint="eastAsia" w:ascii="Times New Roman" w:hAnsi="Times New Roman" w:eastAsia="宋体" w:cs="Times New Roman"/>
                <w:color w:val="auto"/>
                <w:kern w:val="0"/>
                <w:sz w:val="21"/>
                <w:szCs w:val="21"/>
                <w:u w:val="none"/>
                <w:vertAlign w:val="superscript"/>
                <w:lang w:val="en-US" w:eastAsia="zh-CN" w:bidi="ar"/>
              </w:rPr>
              <w:t>3</w:t>
            </w:r>
            <w:r>
              <w:rPr>
                <w:rFonts w:hint="eastAsia" w:ascii="Times New Roman" w:hAnsi="Times New Roman" w:eastAsia="宋体" w:cs="Times New Roman"/>
                <w:color w:val="auto"/>
                <w:kern w:val="0"/>
                <w:sz w:val="21"/>
                <w:szCs w:val="21"/>
                <w:u w:val="none"/>
                <w:vertAlign w:val="baseline"/>
                <w:lang w:val="en-US" w:eastAsia="zh-CN" w:bidi="ar"/>
              </w:rPr>
              <w:t>。</w:t>
            </w:r>
          </w:p>
          <w:p w14:paraId="239E9ADF">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u w:val="none"/>
                <w:lang w:val="en-US" w:eastAsia="zh-CN" w:bidi="ar"/>
              </w:rPr>
            </w:pPr>
            <w:r>
              <w:rPr>
                <w:bCs/>
                <w:color w:val="auto"/>
                <w:szCs w:val="21"/>
              </w:rPr>
              <w:t>V</w:t>
            </w:r>
            <w:r>
              <w:rPr>
                <w:bCs/>
                <w:color w:val="auto"/>
                <w:szCs w:val="21"/>
                <w:vertAlign w:val="subscript"/>
              </w:rPr>
              <w:t>3</w:t>
            </w:r>
            <w:r>
              <w:rPr>
                <w:bCs/>
                <w:color w:val="auto"/>
                <w:szCs w:val="21"/>
              </w:rPr>
              <w:t>--发生事故时可以转输到其他储存或处理设施的物料量，m</w:t>
            </w:r>
            <w:r>
              <w:rPr>
                <w:bCs/>
                <w:color w:val="auto"/>
                <w:szCs w:val="21"/>
                <w:vertAlign w:val="superscript"/>
              </w:rPr>
              <w:t>3</w:t>
            </w:r>
            <w:r>
              <w:rPr>
                <w:bCs/>
                <w:color w:val="auto"/>
                <w:szCs w:val="21"/>
              </w:rPr>
              <w:t>；</w:t>
            </w:r>
            <w:r>
              <w:rPr>
                <w:rFonts w:hint="eastAsia"/>
                <w:bCs/>
                <w:color w:val="auto"/>
                <w:szCs w:val="21"/>
                <w:lang w:val="en-US" w:eastAsia="zh-CN"/>
              </w:rPr>
              <w:t>考虑到</w:t>
            </w:r>
            <w:r>
              <w:rPr>
                <w:rFonts w:hint="eastAsia"/>
                <w:color w:val="auto"/>
                <w:lang w:val="en-US" w:eastAsia="zh-CN"/>
              </w:rPr>
              <w:t>用雨水管容纳事故水，可能存在较大隐患</w:t>
            </w:r>
            <w:r>
              <w:rPr>
                <w:bCs/>
                <w:color w:val="auto"/>
                <w:szCs w:val="21"/>
              </w:rPr>
              <w:t>，则V</w:t>
            </w:r>
            <w:r>
              <w:rPr>
                <w:bCs/>
                <w:color w:val="auto"/>
                <w:szCs w:val="21"/>
                <w:vertAlign w:val="subscript"/>
              </w:rPr>
              <w:t>3</w:t>
            </w:r>
            <w:r>
              <w:rPr>
                <w:bCs/>
                <w:color w:val="auto"/>
                <w:szCs w:val="21"/>
              </w:rPr>
              <w:t>=</w:t>
            </w:r>
            <w:r>
              <w:rPr>
                <w:rFonts w:hint="eastAsia"/>
                <w:bCs/>
                <w:color w:val="auto"/>
                <w:szCs w:val="21"/>
                <w:lang w:val="en-US" w:eastAsia="zh-CN"/>
              </w:rPr>
              <w:t>0</w:t>
            </w:r>
            <w:r>
              <w:rPr>
                <w:bCs/>
                <w:color w:val="auto"/>
                <w:szCs w:val="21"/>
              </w:rPr>
              <w:t>m</w:t>
            </w:r>
            <w:r>
              <w:rPr>
                <w:bCs/>
                <w:color w:val="auto"/>
                <w:szCs w:val="21"/>
                <w:vertAlign w:val="superscript"/>
              </w:rPr>
              <w:t>3</w:t>
            </w:r>
            <w:r>
              <w:rPr>
                <w:rFonts w:hint="default" w:ascii="Times New Roman" w:hAnsi="Times New Roman" w:eastAsia="宋体" w:cs="Times New Roman"/>
                <w:color w:val="auto"/>
                <w:kern w:val="0"/>
                <w:sz w:val="21"/>
                <w:szCs w:val="21"/>
                <w:u w:val="none"/>
                <w:lang w:val="en-US" w:eastAsia="zh-CN" w:bidi="ar"/>
              </w:rPr>
              <w:t>。</w:t>
            </w:r>
          </w:p>
          <w:p w14:paraId="3BC43F1D">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kern w:val="0"/>
                <w:sz w:val="21"/>
                <w:szCs w:val="21"/>
                <w:u w:val="none"/>
                <w:lang w:val="en-US" w:eastAsia="zh-CN" w:bidi="ar"/>
              </w:rPr>
            </w:pPr>
            <w:r>
              <w:rPr>
                <w:rFonts w:hint="default" w:ascii="Times New Roman" w:hAnsi="Times New Roman" w:eastAsia="宋体" w:cs="Times New Roman"/>
                <w:color w:val="auto"/>
                <w:kern w:val="0"/>
                <w:sz w:val="21"/>
                <w:szCs w:val="21"/>
                <w:u w:val="none"/>
                <w:lang w:val="en-US" w:eastAsia="zh-CN" w:bidi="ar"/>
              </w:rPr>
              <w:t>本项目</w:t>
            </w:r>
            <w:r>
              <w:rPr>
                <w:rFonts w:hint="eastAsia" w:ascii="Times New Roman" w:hAnsi="Times New Roman" w:eastAsia="宋体" w:cs="Times New Roman"/>
                <w:color w:val="auto"/>
                <w:kern w:val="0"/>
                <w:sz w:val="21"/>
                <w:szCs w:val="21"/>
                <w:u w:val="none"/>
                <w:lang w:val="en-US" w:eastAsia="zh-CN" w:bidi="ar"/>
              </w:rPr>
              <w:t>发生事故时，车间内液态物料可留存在生产设备内不外排，</w:t>
            </w:r>
            <w:r>
              <w:rPr>
                <w:rFonts w:hint="eastAsia" w:cs="Times New Roman"/>
                <w:color w:val="auto"/>
                <w:kern w:val="0"/>
                <w:sz w:val="21"/>
                <w:szCs w:val="21"/>
                <w:u w:val="none"/>
                <w:lang w:val="en-US" w:eastAsia="zh-CN" w:bidi="ar"/>
              </w:rPr>
              <w:t>本项目不产生生产生产废水</w:t>
            </w:r>
            <w:r>
              <w:rPr>
                <w:rFonts w:hint="eastAsia" w:ascii="Times New Roman" w:hAnsi="Times New Roman" w:eastAsia="宋体" w:cs="Times New Roman"/>
                <w:color w:val="auto"/>
                <w:kern w:val="0"/>
                <w:sz w:val="21"/>
                <w:szCs w:val="21"/>
                <w:u w:val="none"/>
                <w:lang w:val="en-US" w:eastAsia="zh-CN" w:bidi="ar"/>
              </w:rPr>
              <w:t>，</w:t>
            </w:r>
            <w:r>
              <w:rPr>
                <w:rFonts w:hint="default" w:ascii="Times New Roman" w:hAnsi="Times New Roman" w:eastAsia="宋体" w:cs="Times New Roman"/>
                <w:color w:val="auto"/>
                <w:kern w:val="0"/>
                <w:sz w:val="21"/>
                <w:szCs w:val="21"/>
                <w:u w:val="none"/>
                <w:lang w:val="en-US" w:eastAsia="zh-CN" w:bidi="ar"/>
              </w:rPr>
              <w:t>故V</w:t>
            </w:r>
            <w:r>
              <w:rPr>
                <w:rFonts w:hint="eastAsia" w:ascii="Times New Roman" w:hAnsi="Times New Roman" w:eastAsia="宋体" w:cs="Times New Roman"/>
                <w:color w:val="auto"/>
                <w:kern w:val="0"/>
                <w:sz w:val="21"/>
                <w:szCs w:val="21"/>
                <w:u w:val="none"/>
                <w:lang w:val="en-US" w:eastAsia="zh-CN" w:bidi="ar"/>
              </w:rPr>
              <w:t>4</w:t>
            </w:r>
            <w:r>
              <w:rPr>
                <w:rFonts w:hint="default" w:ascii="Times New Roman" w:hAnsi="Times New Roman" w:eastAsia="宋体" w:cs="Times New Roman"/>
                <w:color w:val="auto"/>
                <w:kern w:val="0"/>
                <w:sz w:val="21"/>
                <w:szCs w:val="21"/>
                <w:u w:val="none"/>
                <w:lang w:val="en-US" w:eastAsia="zh-CN" w:bidi="ar"/>
              </w:rPr>
              <w:t>取0。</w:t>
            </w:r>
          </w:p>
          <w:p w14:paraId="12A0D363">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u w:val="none"/>
                <w:lang w:val="en-US" w:eastAsia="zh-CN" w:bidi="ar"/>
              </w:rPr>
            </w:pPr>
            <w:r>
              <w:rPr>
                <w:rFonts w:hint="eastAsia"/>
                <w:color w:val="auto"/>
                <w:sz w:val="21"/>
                <w:szCs w:val="21"/>
                <w:u w:val="none"/>
              </w:rPr>
              <w:t>V5为发生事故时可能进入该收集系统的降雨量（m</w:t>
            </w:r>
            <w:r>
              <w:rPr>
                <w:rFonts w:hint="eastAsia"/>
                <w:color w:val="auto"/>
                <w:sz w:val="21"/>
                <w:szCs w:val="21"/>
                <w:u w:val="none"/>
                <w:vertAlign w:val="superscript"/>
              </w:rPr>
              <w:t>3</w:t>
            </w:r>
            <w:r>
              <w:rPr>
                <w:rFonts w:hint="eastAsia"/>
                <w:color w:val="auto"/>
                <w:sz w:val="21"/>
                <w:szCs w:val="21"/>
                <w:u w:val="none"/>
              </w:rPr>
              <w:t>），V雨=10×q×F</w:t>
            </w:r>
            <w:r>
              <w:rPr>
                <w:rFonts w:hint="eastAsia"/>
                <w:color w:val="auto"/>
                <w:sz w:val="21"/>
                <w:szCs w:val="21"/>
                <w:u w:val="none"/>
              </w:rPr>
              <w:t>，q 为降雨强度（mm），按平均日降雨量计算（q</w:t>
            </w:r>
            <w:r>
              <w:rPr>
                <w:rFonts w:hint="eastAsia"/>
                <w:color w:val="auto"/>
                <w:sz w:val="21"/>
                <w:szCs w:val="21"/>
                <w:u w:val="none"/>
                <w:vertAlign w:val="subscript"/>
              </w:rPr>
              <w:t>n</w:t>
            </w:r>
            <w:r>
              <w:rPr>
                <w:rFonts w:hint="eastAsia"/>
                <w:color w:val="auto"/>
                <w:sz w:val="21"/>
                <w:szCs w:val="21"/>
                <w:u w:val="none"/>
              </w:rPr>
              <w:t>=q</w:t>
            </w:r>
            <w:r>
              <w:rPr>
                <w:rFonts w:hint="eastAsia"/>
                <w:color w:val="auto"/>
                <w:sz w:val="21"/>
                <w:szCs w:val="21"/>
                <w:u w:val="none"/>
                <w:vertAlign w:val="subscript"/>
              </w:rPr>
              <w:t>n</w:t>
            </w:r>
            <w:r>
              <w:rPr>
                <w:rFonts w:hint="eastAsia"/>
                <w:color w:val="auto"/>
                <w:sz w:val="21"/>
                <w:szCs w:val="21"/>
                <w:u w:val="none"/>
              </w:rPr>
              <w:t>/n，q</w:t>
            </w:r>
            <w:r>
              <w:rPr>
                <w:rFonts w:hint="eastAsia"/>
                <w:color w:val="auto"/>
                <w:sz w:val="21"/>
                <w:szCs w:val="21"/>
                <w:u w:val="none"/>
                <w:vertAlign w:val="subscript"/>
              </w:rPr>
              <w:t>n</w:t>
            </w:r>
            <w:r>
              <w:rPr>
                <w:rFonts w:hint="eastAsia"/>
                <w:color w:val="auto"/>
                <w:sz w:val="21"/>
                <w:szCs w:val="21"/>
                <w:u w:val="none"/>
              </w:rPr>
              <w:t>为年平均降雨量，mm；n为年平均降雨日数）</w:t>
            </w:r>
            <w:r>
              <w:rPr>
                <w:rFonts w:hint="eastAsia"/>
                <w:color w:val="auto"/>
                <w:sz w:val="21"/>
                <w:szCs w:val="21"/>
                <w:u w:val="none"/>
                <w:lang w:eastAsia="zh-CN"/>
              </w:rPr>
              <w:t>，</w:t>
            </w:r>
            <w:r>
              <w:rPr>
                <w:rFonts w:hint="eastAsia"/>
                <w:color w:val="auto"/>
                <w:sz w:val="21"/>
                <w:szCs w:val="21"/>
                <w:u w:val="none"/>
              </w:rPr>
              <w:t>根据2022年南通市统计年鉴中数据，2022年全年降水总量1041.2mm，全年降水天数116天，因此q=8.97，F为必须进入事故废水收集系统的雨水汇水面积（hm</w:t>
            </w:r>
            <w:r>
              <w:rPr>
                <w:rFonts w:hint="eastAsia"/>
                <w:color w:val="auto"/>
                <w:sz w:val="21"/>
                <w:szCs w:val="21"/>
                <w:u w:val="none"/>
                <w:vertAlign w:val="superscript"/>
              </w:rPr>
              <w:t>2</w:t>
            </w:r>
            <w:r>
              <w:rPr>
                <w:rFonts w:hint="eastAsia"/>
                <w:color w:val="auto"/>
                <w:sz w:val="21"/>
                <w:szCs w:val="21"/>
                <w:u w:val="none"/>
              </w:rPr>
              <w:t>）</w:t>
            </w:r>
            <w:r>
              <w:rPr>
                <w:rFonts w:hint="eastAsia"/>
                <w:color w:val="auto"/>
                <w:sz w:val="21"/>
                <w:szCs w:val="21"/>
                <w:u w:val="none"/>
                <w:lang w:eastAsia="zh-CN"/>
              </w:rPr>
              <w:t>，</w:t>
            </w:r>
            <w:r>
              <w:rPr>
                <w:rFonts w:hint="eastAsia"/>
                <w:color w:val="auto"/>
                <w:sz w:val="21"/>
                <w:szCs w:val="21"/>
                <w:u w:val="none"/>
                <w:lang w:val="en-US" w:eastAsia="zh-CN"/>
              </w:rPr>
              <w:t>经统计，全厂汇水面积约1.5</w:t>
            </w:r>
            <w:r>
              <w:rPr>
                <w:rFonts w:hint="eastAsia"/>
                <w:color w:val="auto"/>
                <w:sz w:val="21"/>
                <w:szCs w:val="21"/>
                <w:u w:val="none"/>
              </w:rPr>
              <w:t>hm</w:t>
            </w:r>
            <w:r>
              <w:rPr>
                <w:rFonts w:hint="eastAsia"/>
                <w:color w:val="auto"/>
                <w:sz w:val="21"/>
                <w:szCs w:val="21"/>
                <w:u w:val="none"/>
                <w:vertAlign w:val="superscript"/>
              </w:rPr>
              <w:t>2</w:t>
            </w:r>
            <w:r>
              <w:rPr>
                <w:rFonts w:hint="eastAsia"/>
                <w:color w:val="auto"/>
                <w:sz w:val="21"/>
                <w:szCs w:val="21"/>
                <w:u w:val="none"/>
              </w:rPr>
              <w:t>。则V雨=10q•F=10×</w:t>
            </w:r>
            <w:r>
              <w:rPr>
                <w:rFonts w:hint="eastAsia"/>
                <w:color w:val="auto"/>
                <w:sz w:val="21"/>
                <w:szCs w:val="21"/>
                <w:u w:val="none"/>
                <w:lang w:val="en-US" w:eastAsia="zh-CN"/>
              </w:rPr>
              <w:t>8.97</w:t>
            </w:r>
            <w:r>
              <w:rPr>
                <w:rFonts w:hint="eastAsia"/>
                <w:color w:val="auto"/>
                <w:sz w:val="21"/>
                <w:szCs w:val="21"/>
                <w:u w:val="none"/>
              </w:rPr>
              <w:t>×</w:t>
            </w:r>
            <w:r>
              <w:rPr>
                <w:rFonts w:hint="eastAsia"/>
                <w:color w:val="auto"/>
                <w:sz w:val="21"/>
                <w:szCs w:val="21"/>
                <w:u w:val="none"/>
                <w:lang w:val="en-US" w:eastAsia="zh-CN"/>
              </w:rPr>
              <w:t>1.5</w:t>
            </w:r>
            <w:r>
              <w:rPr>
                <w:rFonts w:hint="eastAsia"/>
                <w:color w:val="auto"/>
                <w:sz w:val="21"/>
                <w:szCs w:val="21"/>
                <w:u w:val="none"/>
              </w:rPr>
              <w:t>=</w:t>
            </w:r>
            <w:r>
              <w:rPr>
                <w:rFonts w:hint="eastAsia"/>
                <w:color w:val="auto"/>
                <w:sz w:val="21"/>
                <w:szCs w:val="21"/>
                <w:u w:val="none"/>
                <w:lang w:val="en-US" w:eastAsia="zh-CN"/>
              </w:rPr>
              <w:t>134.55</w:t>
            </w:r>
            <w:r>
              <w:rPr>
                <w:rFonts w:hint="eastAsia"/>
                <w:color w:val="auto"/>
                <w:sz w:val="21"/>
                <w:szCs w:val="21"/>
                <w:u w:val="none"/>
              </w:rPr>
              <w:t>m</w:t>
            </w:r>
            <w:r>
              <w:rPr>
                <w:rFonts w:hint="eastAsia"/>
                <w:color w:val="auto"/>
                <w:sz w:val="21"/>
                <w:szCs w:val="21"/>
                <w:u w:val="none"/>
                <w:vertAlign w:val="superscript"/>
              </w:rPr>
              <w:t>3</w:t>
            </w:r>
            <w:r>
              <w:rPr>
                <w:rFonts w:hint="eastAsia"/>
                <w:color w:val="auto"/>
                <w:sz w:val="21"/>
                <w:szCs w:val="21"/>
                <w:u w:val="none"/>
              </w:rPr>
              <w:t>，因此V5取</w:t>
            </w:r>
            <w:r>
              <w:rPr>
                <w:rFonts w:hint="eastAsia"/>
                <w:color w:val="auto"/>
                <w:sz w:val="21"/>
                <w:szCs w:val="21"/>
                <w:u w:val="none"/>
                <w:lang w:val="en-US" w:eastAsia="zh-CN"/>
              </w:rPr>
              <w:t>134.55</w:t>
            </w:r>
            <w:r>
              <w:rPr>
                <w:rFonts w:hint="eastAsia"/>
                <w:color w:val="auto"/>
                <w:sz w:val="21"/>
                <w:szCs w:val="21"/>
                <w:u w:val="none"/>
              </w:rPr>
              <w:t>m</w:t>
            </w:r>
            <w:r>
              <w:rPr>
                <w:rFonts w:hint="eastAsia"/>
                <w:color w:val="auto"/>
                <w:sz w:val="21"/>
                <w:szCs w:val="21"/>
                <w:u w:val="none"/>
                <w:vertAlign w:val="superscript"/>
              </w:rPr>
              <w:t>3</w:t>
            </w:r>
            <w:r>
              <w:rPr>
                <w:rFonts w:hint="default" w:ascii="Times New Roman" w:hAnsi="Times New Roman" w:eastAsia="宋体" w:cs="Times New Roman"/>
                <w:color w:val="auto"/>
                <w:kern w:val="0"/>
                <w:sz w:val="21"/>
                <w:szCs w:val="21"/>
                <w:u w:val="none"/>
                <w:lang w:val="en-US" w:eastAsia="zh-CN" w:bidi="ar"/>
              </w:rPr>
              <w:t>。</w:t>
            </w:r>
          </w:p>
          <w:p w14:paraId="54DFF257">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u w:val="none"/>
                <w:vertAlign w:val="baseline"/>
                <w:lang w:val="en-US" w:eastAsia="zh-CN" w:bidi="ar"/>
              </w:rPr>
            </w:pPr>
            <w:r>
              <w:rPr>
                <w:rFonts w:hint="default" w:ascii="Times New Roman" w:hAnsi="Times New Roman" w:eastAsia="宋体" w:cs="Times New Roman"/>
                <w:color w:val="auto"/>
                <w:kern w:val="0"/>
                <w:sz w:val="21"/>
                <w:szCs w:val="21"/>
                <w:u w:val="none"/>
                <w:lang w:val="en-US" w:eastAsia="zh-CN" w:bidi="ar"/>
              </w:rPr>
              <w:t>综上所述，本项目V总=</w:t>
            </w:r>
            <w:r>
              <w:rPr>
                <w:rFonts w:hint="eastAsia" w:cs="Times New Roman"/>
                <w:color w:val="auto"/>
                <w:kern w:val="0"/>
                <w:sz w:val="21"/>
                <w:szCs w:val="21"/>
                <w:u w:val="none"/>
                <w:lang w:val="en-US" w:eastAsia="zh-CN" w:bidi="ar"/>
              </w:rPr>
              <w:t>3.5+216-0+0+134.55=354.05</w:t>
            </w:r>
            <w:r>
              <w:rPr>
                <w:rFonts w:hint="default" w:ascii="Times New Roman" w:hAnsi="Times New Roman" w:eastAsia="宋体" w:cs="Times New Roman"/>
                <w:color w:val="auto"/>
                <w:kern w:val="0"/>
                <w:sz w:val="21"/>
                <w:szCs w:val="21"/>
                <w:u w:val="none"/>
                <w:lang w:val="en-US" w:eastAsia="zh-CN" w:bidi="ar"/>
              </w:rPr>
              <w:t>m</w:t>
            </w:r>
            <w:r>
              <w:rPr>
                <w:rFonts w:hint="default" w:ascii="Times New Roman" w:hAnsi="Times New Roman" w:eastAsia="宋体" w:cs="Times New Roman"/>
                <w:color w:val="auto"/>
                <w:kern w:val="0"/>
                <w:sz w:val="21"/>
                <w:szCs w:val="21"/>
                <w:u w:val="none"/>
                <w:vertAlign w:val="superscript"/>
                <w:lang w:val="en-US" w:eastAsia="zh-CN" w:bidi="ar"/>
              </w:rPr>
              <w:t>3</w:t>
            </w:r>
            <w:r>
              <w:rPr>
                <w:rFonts w:hint="default" w:ascii="Times New Roman" w:hAnsi="Times New Roman" w:eastAsia="宋体" w:cs="Times New Roman"/>
                <w:color w:val="auto"/>
                <w:kern w:val="0"/>
                <w:sz w:val="21"/>
                <w:szCs w:val="21"/>
                <w:u w:val="none"/>
                <w:vertAlign w:val="baseline"/>
                <w:lang w:val="en-US" w:eastAsia="zh-CN" w:bidi="ar"/>
              </w:rPr>
              <w:t>。</w:t>
            </w:r>
          </w:p>
          <w:p w14:paraId="3B1B6523">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u w:val="none"/>
                <w:lang w:val="en-US" w:eastAsia="zh-CN" w:bidi="ar"/>
              </w:rPr>
            </w:pPr>
            <w:r>
              <w:rPr>
                <w:rFonts w:hint="eastAsia" w:ascii="Times New Roman" w:hAnsi="Times New Roman" w:eastAsia="宋体" w:cs="Times New Roman"/>
                <w:color w:val="auto"/>
                <w:kern w:val="0"/>
                <w:sz w:val="21"/>
                <w:szCs w:val="21"/>
                <w:u w:val="none"/>
                <w:lang w:val="en-US" w:eastAsia="zh-CN" w:bidi="ar"/>
              </w:rPr>
              <w:t>本项目现有35</w:t>
            </w:r>
            <w:r>
              <w:rPr>
                <w:rFonts w:hint="default" w:ascii="Times New Roman" w:hAnsi="Times New Roman" w:eastAsia="宋体" w:cs="Times New Roman"/>
                <w:color w:val="auto"/>
                <w:kern w:val="0"/>
                <w:sz w:val="21"/>
                <w:szCs w:val="21"/>
                <w:u w:val="none"/>
                <w:lang w:val="en-US" w:eastAsia="zh-CN" w:bidi="ar"/>
              </w:rPr>
              <w:t>m</w:t>
            </w:r>
            <w:r>
              <w:rPr>
                <w:rFonts w:hint="default" w:ascii="Times New Roman" w:hAnsi="Times New Roman" w:eastAsia="宋体" w:cs="Times New Roman"/>
                <w:color w:val="auto"/>
                <w:kern w:val="0"/>
                <w:sz w:val="21"/>
                <w:szCs w:val="21"/>
                <w:u w:val="none"/>
                <w:vertAlign w:val="superscript"/>
                <w:lang w:val="en-US" w:eastAsia="zh-CN" w:bidi="ar"/>
              </w:rPr>
              <w:t>3</w:t>
            </w:r>
            <w:r>
              <w:rPr>
                <w:rFonts w:hint="eastAsia" w:ascii="Times New Roman" w:hAnsi="Times New Roman" w:eastAsia="宋体" w:cs="Times New Roman"/>
                <w:color w:val="auto"/>
                <w:kern w:val="0"/>
                <w:sz w:val="21"/>
                <w:szCs w:val="21"/>
                <w:u w:val="none"/>
                <w:lang w:val="en-US" w:eastAsia="zh-CN" w:bidi="ar"/>
              </w:rPr>
              <w:t>的事故应急池</w:t>
            </w:r>
            <w:r>
              <w:rPr>
                <w:rFonts w:hint="eastAsia" w:cs="Times New Roman"/>
                <w:color w:val="auto"/>
                <w:kern w:val="0"/>
                <w:sz w:val="21"/>
                <w:szCs w:val="21"/>
                <w:u w:val="none"/>
                <w:lang w:val="en-US" w:eastAsia="zh-CN" w:bidi="ar"/>
              </w:rPr>
              <w:t>并将购买可储存330m</w:t>
            </w:r>
            <w:r>
              <w:rPr>
                <w:rFonts w:hint="eastAsia" w:cs="Times New Roman"/>
                <w:color w:val="auto"/>
                <w:kern w:val="0"/>
                <w:sz w:val="21"/>
                <w:szCs w:val="21"/>
                <w:u w:val="none"/>
                <w:vertAlign w:val="superscript"/>
                <w:lang w:val="en-US" w:eastAsia="zh-CN" w:bidi="ar"/>
              </w:rPr>
              <w:t>3</w:t>
            </w:r>
            <w:r>
              <w:rPr>
                <w:rFonts w:hint="eastAsia" w:cs="Times New Roman"/>
                <w:color w:val="auto"/>
                <w:kern w:val="0"/>
                <w:sz w:val="21"/>
                <w:szCs w:val="21"/>
                <w:u w:val="none"/>
                <w:lang w:val="en-US" w:eastAsia="zh-CN" w:bidi="ar"/>
              </w:rPr>
              <w:t>废水的应急水囊与配套的应急电源和泵</w:t>
            </w:r>
            <w:r>
              <w:rPr>
                <w:rFonts w:hint="eastAsia" w:ascii="Times New Roman" w:hAnsi="Times New Roman" w:eastAsia="宋体" w:cs="Times New Roman"/>
                <w:color w:val="auto"/>
                <w:kern w:val="0"/>
                <w:sz w:val="21"/>
                <w:szCs w:val="21"/>
                <w:u w:val="none"/>
                <w:lang w:val="en-US" w:eastAsia="zh-CN" w:bidi="ar"/>
              </w:rPr>
              <w:t>，</w:t>
            </w:r>
            <w:r>
              <w:rPr>
                <w:rFonts w:hint="eastAsia" w:cs="Times New Roman"/>
                <w:color w:val="auto"/>
                <w:kern w:val="0"/>
                <w:sz w:val="21"/>
                <w:szCs w:val="21"/>
                <w:u w:val="none"/>
                <w:lang w:val="en-US" w:eastAsia="zh-CN" w:bidi="ar"/>
              </w:rPr>
              <w:t>并将事故应急池作为收集井使用，发生事故时，关闭雨污水排口截止阀，打开事故应急池截止阀，通过泵将事故废水从事故应急池中，抽入应急水囊中，本项目事故应急池和应急水囊共计可储存事故废水365m</w:t>
            </w:r>
            <w:r>
              <w:rPr>
                <w:rFonts w:hint="eastAsia" w:cs="Times New Roman"/>
                <w:color w:val="auto"/>
                <w:kern w:val="0"/>
                <w:sz w:val="21"/>
                <w:szCs w:val="21"/>
                <w:u w:val="none"/>
                <w:vertAlign w:val="superscript"/>
                <w:lang w:val="en-US" w:eastAsia="zh-CN" w:bidi="ar"/>
              </w:rPr>
              <w:t>3</w:t>
            </w:r>
            <w:r>
              <w:rPr>
                <w:rFonts w:hint="eastAsia" w:cs="Times New Roman"/>
                <w:color w:val="auto"/>
                <w:kern w:val="0"/>
                <w:sz w:val="21"/>
                <w:szCs w:val="21"/>
                <w:u w:val="none"/>
                <w:lang w:val="en-US" w:eastAsia="zh-CN" w:bidi="ar"/>
              </w:rPr>
              <w:t>，</w:t>
            </w:r>
            <w:r>
              <w:rPr>
                <w:rFonts w:hint="eastAsia" w:ascii="Times New Roman" w:hAnsi="Times New Roman" w:eastAsia="宋体" w:cs="Times New Roman"/>
                <w:color w:val="auto"/>
                <w:kern w:val="0"/>
                <w:sz w:val="21"/>
                <w:szCs w:val="21"/>
                <w:u w:val="none"/>
                <w:lang w:val="en-US" w:eastAsia="zh-CN" w:bidi="ar"/>
              </w:rPr>
              <w:t>足够使用。</w:t>
            </w:r>
            <w:r>
              <w:rPr>
                <w:rFonts w:hint="eastAsia" w:cs="Times New Roman"/>
                <w:color w:val="auto"/>
                <w:kern w:val="0"/>
                <w:sz w:val="21"/>
                <w:szCs w:val="21"/>
                <w:u w:val="none"/>
                <w:lang w:val="en-US" w:eastAsia="zh-CN" w:bidi="ar"/>
              </w:rPr>
              <w:t>事故结束后，将事故废水委托有资质单位处置。</w:t>
            </w:r>
          </w:p>
          <w:p w14:paraId="5BE97C21">
            <w:pPr>
              <w:pStyle w:val="12"/>
              <w:numPr>
                <w:ilvl w:val="0"/>
                <w:numId w:val="0"/>
              </w:numPr>
              <w:spacing w:line="360" w:lineRule="auto"/>
              <w:ind w:right="0" w:rightChars="0"/>
              <w:rPr>
                <w:rFonts w:hint="default" w:ascii="Times New Roman" w:hAnsi="Times New Roman" w:eastAsia="宋体" w:cs="Times New Roman"/>
                <w:color w:val="auto"/>
                <w:sz w:val="21"/>
                <w:szCs w:val="21"/>
                <w:lang w:val="zh-CN" w:eastAsia="zh-CN" w:bidi="zh-CN"/>
              </w:rPr>
            </w:pPr>
            <w:r>
              <w:rPr>
                <w:rFonts w:hint="eastAsia" w:cs="Times New Roman"/>
                <w:color w:val="auto"/>
                <w:sz w:val="21"/>
                <w:szCs w:val="21"/>
                <w:lang w:val="zh-CN" w:eastAsia="zh-CN" w:bidi="zh-CN"/>
              </w:rPr>
              <w:t>（</w:t>
            </w:r>
            <w:r>
              <w:rPr>
                <w:rFonts w:hint="eastAsia" w:cs="Times New Roman"/>
                <w:color w:val="auto"/>
                <w:sz w:val="21"/>
                <w:szCs w:val="21"/>
                <w:lang w:val="en-US" w:eastAsia="zh-CN" w:bidi="zh-CN"/>
              </w:rPr>
              <w:t>9</w:t>
            </w:r>
            <w:r>
              <w:rPr>
                <w:rFonts w:hint="eastAsia" w:cs="Times New Roman"/>
                <w:color w:val="auto"/>
                <w:sz w:val="21"/>
                <w:szCs w:val="21"/>
                <w:lang w:val="zh-CN" w:eastAsia="zh-CN" w:bidi="zh-CN"/>
              </w:rPr>
              <w:t>）</w:t>
            </w:r>
            <w:r>
              <w:rPr>
                <w:rFonts w:hint="default" w:ascii="Times New Roman" w:hAnsi="Times New Roman" w:eastAsia="宋体" w:cs="Times New Roman"/>
                <w:color w:val="auto"/>
                <w:sz w:val="21"/>
                <w:szCs w:val="21"/>
                <w:lang w:val="zh-CN" w:eastAsia="zh-CN" w:bidi="zh-CN"/>
              </w:rPr>
              <w:t xml:space="preserve">制定应急监测计划 </w:t>
            </w:r>
          </w:p>
          <w:p w14:paraId="73860028">
            <w:pPr>
              <w:pStyle w:val="12"/>
              <w:numPr>
                <w:ilvl w:val="0"/>
                <w:numId w:val="0"/>
              </w:numPr>
              <w:spacing w:line="360" w:lineRule="auto"/>
              <w:ind w:right="0" w:rightChars="0" w:firstLine="420" w:firstLineChars="200"/>
              <w:rPr>
                <w:rFonts w:hint="default" w:ascii="Times New Roman" w:hAnsi="Times New Roman" w:eastAsia="宋体" w:cs="Times New Roman"/>
                <w:color w:val="auto"/>
                <w:sz w:val="21"/>
                <w:szCs w:val="21"/>
                <w:lang w:val="zh-CN" w:eastAsia="zh-CN" w:bidi="zh-CN"/>
              </w:rPr>
            </w:pPr>
            <w:r>
              <w:rPr>
                <w:rFonts w:hint="default" w:ascii="Times New Roman" w:hAnsi="Times New Roman" w:eastAsia="宋体" w:cs="Times New Roman"/>
                <w:color w:val="auto"/>
                <w:sz w:val="21"/>
                <w:szCs w:val="21"/>
                <w:lang w:val="zh-CN" w:eastAsia="zh-CN" w:bidi="zh-CN"/>
              </w:rPr>
              <w:t>应急监测计划包括事故的规模、事态发展的趋向、事故影响边界、气象条件、污染物浓度和流量及污染物质滞留区等。</w:t>
            </w:r>
          </w:p>
          <w:p w14:paraId="109BA4B4">
            <w:pPr>
              <w:pStyle w:val="12"/>
              <w:numPr>
                <w:ilvl w:val="0"/>
                <w:numId w:val="0"/>
              </w:numPr>
              <w:spacing w:line="360" w:lineRule="auto"/>
              <w:ind w:right="0" w:rightChars="0" w:firstLine="420" w:firstLineChars="200"/>
              <w:rPr>
                <w:rFonts w:hint="default" w:ascii="Times New Roman" w:hAnsi="Times New Roman" w:eastAsia="宋体" w:cs="Times New Roman"/>
                <w:color w:val="auto"/>
                <w:sz w:val="21"/>
                <w:szCs w:val="21"/>
                <w:lang w:val="zh-CN" w:eastAsia="zh-CN" w:bidi="zh-CN"/>
              </w:rPr>
            </w:pPr>
            <w:r>
              <w:rPr>
                <w:rFonts w:hint="default" w:ascii="Times New Roman" w:hAnsi="Times New Roman" w:eastAsia="宋体" w:cs="Times New Roman"/>
                <w:color w:val="auto"/>
                <w:sz w:val="21"/>
                <w:szCs w:val="21"/>
                <w:lang w:val="zh-CN" w:eastAsia="zh-CN" w:bidi="zh-CN"/>
              </w:rPr>
              <w:t>水应急监测：</w:t>
            </w:r>
            <w:r>
              <w:rPr>
                <w:rFonts w:hint="default" w:ascii="Times New Roman" w:hAnsi="Times New Roman" w:eastAsia="宋体" w:cs="Times New Roman"/>
                <w:color w:val="auto"/>
                <w:sz w:val="21"/>
                <w:szCs w:val="21"/>
                <w:lang w:val="zh-CN" w:eastAsia="zh-CN" w:bidi="zh-CN"/>
              </w:rPr>
              <w:t>厂区</w:t>
            </w:r>
            <w:r>
              <w:rPr>
                <w:rFonts w:hint="eastAsia" w:cs="Times New Roman"/>
                <w:color w:val="auto"/>
                <w:sz w:val="21"/>
                <w:szCs w:val="21"/>
                <w:lang w:val="en-US" w:eastAsia="zh-CN" w:bidi="zh-CN"/>
              </w:rPr>
              <w:t>雨水</w:t>
            </w:r>
            <w:r>
              <w:rPr>
                <w:rFonts w:hint="default" w:ascii="Times New Roman" w:hAnsi="Times New Roman" w:eastAsia="宋体" w:cs="Times New Roman"/>
                <w:color w:val="auto"/>
                <w:sz w:val="21"/>
                <w:szCs w:val="21"/>
                <w:lang w:val="zh-CN" w:eastAsia="zh-CN" w:bidi="zh-CN"/>
              </w:rPr>
              <w:t>排口设置采样点</w:t>
            </w:r>
            <w:r>
              <w:rPr>
                <w:rFonts w:hint="default" w:ascii="Times New Roman" w:hAnsi="Times New Roman" w:eastAsia="宋体" w:cs="Times New Roman"/>
                <w:color w:val="auto"/>
                <w:sz w:val="21"/>
                <w:szCs w:val="21"/>
                <w:lang w:val="zh-CN" w:eastAsia="zh-CN" w:bidi="zh-CN"/>
              </w:rPr>
              <w:t>，</w:t>
            </w:r>
            <w:r>
              <w:rPr>
                <w:rFonts w:hint="default" w:ascii="Times New Roman" w:hAnsi="Times New Roman" w:eastAsia="宋体" w:cs="Times New Roman"/>
                <w:color w:val="auto"/>
                <w:sz w:val="21"/>
                <w:szCs w:val="21"/>
                <w:lang w:val="zh-CN" w:eastAsia="zh-CN" w:bidi="zh-CN"/>
              </w:rPr>
              <w:t>并视情况在附近地表水增设1个监测点</w:t>
            </w:r>
            <w:r>
              <w:rPr>
                <w:rFonts w:hint="eastAsia" w:cs="Times New Roman"/>
                <w:color w:val="auto"/>
                <w:sz w:val="21"/>
                <w:szCs w:val="21"/>
                <w:lang w:val="zh-CN" w:eastAsia="zh-CN" w:bidi="zh-CN"/>
              </w:rPr>
              <w:t>，</w:t>
            </w:r>
            <w:r>
              <w:rPr>
                <w:rFonts w:hint="default" w:ascii="Times New Roman" w:hAnsi="Times New Roman" w:eastAsia="宋体" w:cs="Times New Roman"/>
                <w:color w:val="auto"/>
                <w:sz w:val="21"/>
                <w:szCs w:val="21"/>
                <w:lang w:val="zh-CN" w:eastAsia="zh-CN" w:bidi="zh-CN"/>
              </w:rPr>
              <w:t>监测因子为</w:t>
            </w:r>
            <w:r>
              <w:rPr>
                <w:rFonts w:hint="default" w:ascii="Times New Roman" w:hAnsi="Times New Roman" w:eastAsia="宋体" w:cs="Times New Roman"/>
                <w:color w:val="auto"/>
                <w:sz w:val="21"/>
                <w:szCs w:val="21"/>
                <w:u w:val="none"/>
                <w:lang w:val="zh-CN" w:eastAsia="zh-CN" w:bidi="zh-CN"/>
              </w:rPr>
              <w:t>pH、COD、氨氮、总磷</w:t>
            </w:r>
            <w:r>
              <w:rPr>
                <w:rFonts w:hint="eastAsia" w:cs="Times New Roman"/>
                <w:color w:val="auto"/>
                <w:sz w:val="21"/>
                <w:szCs w:val="21"/>
                <w:u w:val="none"/>
                <w:lang w:val="zh-CN" w:eastAsia="zh-CN" w:bidi="zh-CN"/>
              </w:rPr>
              <w:t>、</w:t>
            </w:r>
            <w:r>
              <w:rPr>
                <w:rFonts w:hint="eastAsia" w:cs="Times New Roman"/>
                <w:color w:val="auto"/>
                <w:sz w:val="21"/>
                <w:szCs w:val="21"/>
                <w:u w:val="none"/>
                <w:lang w:val="en-US" w:eastAsia="zh-CN" w:bidi="zh-CN"/>
              </w:rPr>
              <w:t>石油类</w:t>
            </w:r>
            <w:r>
              <w:rPr>
                <w:rFonts w:hint="default" w:ascii="Times New Roman" w:hAnsi="Times New Roman" w:eastAsia="宋体" w:cs="Times New Roman"/>
                <w:color w:val="auto"/>
                <w:sz w:val="21"/>
                <w:szCs w:val="21"/>
                <w:lang w:val="zh-CN" w:eastAsia="zh-CN" w:bidi="zh-CN"/>
              </w:rPr>
              <w:t>等。</w:t>
            </w:r>
          </w:p>
          <w:p w14:paraId="6D85B6E3">
            <w:pPr>
              <w:pStyle w:val="12"/>
              <w:numPr>
                <w:ilvl w:val="0"/>
                <w:numId w:val="0"/>
              </w:numPr>
              <w:spacing w:line="360" w:lineRule="auto"/>
              <w:ind w:right="0" w:rightChars="0" w:firstLine="420" w:firstLineChars="200"/>
              <w:rPr>
                <w:rFonts w:hint="default" w:ascii="Times New Roman" w:hAnsi="Times New Roman" w:eastAsia="宋体" w:cs="Times New Roman"/>
                <w:color w:val="auto"/>
                <w:sz w:val="21"/>
                <w:szCs w:val="21"/>
                <w:lang w:val="zh-CN" w:eastAsia="zh-CN" w:bidi="zh-CN"/>
              </w:rPr>
            </w:pPr>
            <w:r>
              <w:rPr>
                <w:rFonts w:hint="default" w:ascii="Times New Roman" w:hAnsi="Times New Roman" w:eastAsia="宋体" w:cs="Times New Roman"/>
                <w:color w:val="auto"/>
                <w:sz w:val="21"/>
                <w:szCs w:val="21"/>
                <w:lang w:val="zh-CN" w:eastAsia="zh-CN" w:bidi="zh-CN"/>
              </w:rPr>
              <w:t>大气应急监测：厂界、厂界上风向、下风向敏感目标设置采样点，监测因子为</w:t>
            </w:r>
            <w:r>
              <w:rPr>
                <w:rFonts w:hint="eastAsia" w:cs="Times New Roman"/>
                <w:color w:val="auto"/>
                <w:sz w:val="21"/>
                <w:szCs w:val="21"/>
                <w:lang w:val="en-US" w:eastAsia="zh-CN" w:bidi="zh-CN"/>
              </w:rPr>
              <w:t>CO、氮氧化物、颗粒物、二氧化硫、非甲烷总烃等</w:t>
            </w:r>
            <w:r>
              <w:rPr>
                <w:rFonts w:hint="default" w:ascii="Times New Roman" w:hAnsi="Times New Roman" w:eastAsia="宋体" w:cs="Times New Roman"/>
                <w:color w:val="auto"/>
                <w:sz w:val="21"/>
                <w:szCs w:val="21"/>
                <w:lang w:val="zh-CN" w:eastAsia="zh-CN" w:bidi="zh-CN"/>
              </w:rPr>
              <w:t xml:space="preserve">。 </w:t>
            </w:r>
          </w:p>
          <w:p w14:paraId="7E466242">
            <w:pPr>
              <w:pStyle w:val="12"/>
              <w:numPr>
                <w:ilvl w:val="0"/>
                <w:numId w:val="0"/>
              </w:numPr>
              <w:spacing w:line="360" w:lineRule="auto"/>
              <w:ind w:right="0" w:rightChars="0" w:firstLine="380" w:firstLineChars="200"/>
              <w:rPr>
                <w:rFonts w:hint="default" w:ascii="Times New Roman" w:hAnsi="Times New Roman" w:eastAsia="宋体" w:cs="Times New Roman"/>
                <w:bCs/>
                <w:color w:val="auto"/>
                <w:spacing w:val="-10"/>
                <w:sz w:val="21"/>
                <w:szCs w:val="21"/>
                <w:highlight w:val="none"/>
                <w:lang w:val="zh-CN" w:eastAsia="zh-CN" w:bidi="zh-CN"/>
              </w:rPr>
            </w:pPr>
            <w:r>
              <w:rPr>
                <w:rFonts w:hint="default" w:ascii="Times New Roman" w:hAnsi="Times New Roman" w:eastAsia="宋体" w:cs="Times New Roman"/>
                <w:bCs/>
                <w:color w:val="auto"/>
                <w:spacing w:val="-10"/>
                <w:sz w:val="21"/>
                <w:szCs w:val="21"/>
                <w:highlight w:val="none"/>
                <w:lang w:val="zh-CN" w:eastAsia="zh-CN" w:bidi="zh-CN"/>
              </w:rPr>
              <w:t>具体监测任务视事故发生状况进一步确定。</w:t>
            </w:r>
          </w:p>
          <w:p w14:paraId="2ADDFCA5">
            <w:pPr>
              <w:pStyle w:val="12"/>
              <w:numPr>
                <w:ilvl w:val="0"/>
                <w:numId w:val="0"/>
              </w:numPr>
              <w:spacing w:line="360" w:lineRule="auto"/>
              <w:ind w:right="0" w:rightChars="0"/>
              <w:rPr>
                <w:rFonts w:hint="eastAsia" w:cs="Times New Roman"/>
                <w:bCs/>
                <w:color w:val="auto"/>
                <w:spacing w:val="-10"/>
                <w:sz w:val="21"/>
                <w:szCs w:val="21"/>
                <w:highlight w:val="none"/>
                <w:lang w:val="zh-CN" w:eastAsia="zh-CN" w:bidi="zh-CN"/>
              </w:rPr>
            </w:pPr>
            <w:r>
              <w:rPr>
                <w:rFonts w:hint="eastAsia" w:cs="Times New Roman"/>
                <w:bCs/>
                <w:color w:val="auto"/>
                <w:spacing w:val="-10"/>
                <w:sz w:val="21"/>
                <w:szCs w:val="21"/>
                <w:highlight w:val="none"/>
                <w:lang w:val="zh-CN" w:eastAsia="zh-CN" w:bidi="zh-CN"/>
              </w:rPr>
              <w:t>（</w:t>
            </w:r>
            <w:r>
              <w:rPr>
                <w:rFonts w:hint="eastAsia" w:cs="Times New Roman"/>
                <w:bCs/>
                <w:color w:val="auto"/>
                <w:spacing w:val="-10"/>
                <w:sz w:val="21"/>
                <w:szCs w:val="21"/>
                <w:highlight w:val="none"/>
                <w:lang w:val="en-US" w:eastAsia="zh-CN" w:bidi="zh-CN"/>
              </w:rPr>
              <w:t>10</w:t>
            </w:r>
            <w:r>
              <w:rPr>
                <w:rFonts w:hint="eastAsia" w:cs="Times New Roman"/>
                <w:bCs/>
                <w:color w:val="auto"/>
                <w:spacing w:val="-10"/>
                <w:sz w:val="21"/>
                <w:szCs w:val="21"/>
                <w:highlight w:val="none"/>
                <w:lang w:val="zh-CN" w:eastAsia="zh-CN" w:bidi="zh-CN"/>
              </w:rPr>
              <w:t>）</w:t>
            </w:r>
            <w:r>
              <w:rPr>
                <w:rFonts w:hint="eastAsia"/>
                <w:color w:val="auto"/>
                <w:lang w:val="en-US" w:eastAsia="zh-CN"/>
              </w:rPr>
              <w:t>建立与园区对接、联动的风险防范体系</w:t>
            </w:r>
          </w:p>
          <w:p w14:paraId="76B7F8CE">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拟</w:t>
            </w:r>
            <w:r>
              <w:rPr>
                <w:rFonts w:hint="default" w:ascii="Times New Roman" w:hAnsi="Times New Roman" w:eastAsia="宋体" w:cs="Times New Roman"/>
                <w:color w:val="auto"/>
                <w:kern w:val="0"/>
                <w:sz w:val="21"/>
                <w:szCs w:val="21"/>
                <w:highlight w:val="none"/>
                <w:vertAlign w:val="baseline"/>
                <w:lang w:val="en-US" w:eastAsia="zh-CN"/>
              </w:rPr>
              <w:t>建立与园区对接、联动的风险防范体系。从以下几个方面进行建设：</w:t>
            </w:r>
          </w:p>
          <w:p w14:paraId="093D7D6E">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①与园区环境风险应急预案的衔接 </w:t>
            </w:r>
          </w:p>
          <w:p w14:paraId="7D414704">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（1）应急预案体系 </w:t>
            </w:r>
          </w:p>
          <w:p w14:paraId="1BE98C5D">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公司应急预案体系包括总体预案与事故应急处置方案。本预案为突发环境事件综合预案。预案体系还包括上级政府突发环境事件应急预案，公司</w:t>
            </w:r>
            <w:r>
              <w:rPr>
                <w:rFonts w:hint="eastAsia" w:ascii="Times New Roman" w:hAnsi="Times New Roman" w:eastAsia="宋体" w:cs="Times New Roman"/>
                <w:color w:val="auto"/>
                <w:kern w:val="0"/>
                <w:sz w:val="21"/>
                <w:szCs w:val="21"/>
                <w:highlight w:val="none"/>
                <w:vertAlign w:val="baseline"/>
                <w:lang w:val="en-US" w:eastAsia="zh-CN"/>
              </w:rPr>
              <w:t>拟</w:t>
            </w:r>
            <w:r>
              <w:rPr>
                <w:rFonts w:hint="default" w:ascii="Times New Roman" w:hAnsi="Times New Roman" w:eastAsia="宋体" w:cs="Times New Roman"/>
                <w:color w:val="auto"/>
                <w:kern w:val="0"/>
                <w:sz w:val="21"/>
                <w:szCs w:val="21"/>
                <w:highlight w:val="none"/>
                <w:vertAlign w:val="baseline"/>
                <w:lang w:val="en-US" w:eastAsia="zh-CN"/>
              </w:rPr>
              <w:t>每年进行演练并进行总结学习。</w:t>
            </w:r>
          </w:p>
          <w:p w14:paraId="7B5809F8">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（2）与政府部门应急预案的衔接 </w:t>
            </w:r>
          </w:p>
          <w:p w14:paraId="7324F1BA">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cs="Times New Roman"/>
                <w:color w:val="auto"/>
                <w:kern w:val="0"/>
                <w:sz w:val="21"/>
                <w:szCs w:val="21"/>
                <w:highlight w:val="none"/>
                <w:vertAlign w:val="baseline"/>
                <w:lang w:val="en-US" w:eastAsia="zh-CN"/>
              </w:rPr>
              <w:t>建设单位</w:t>
            </w:r>
            <w:r>
              <w:rPr>
                <w:rFonts w:hint="default" w:ascii="Times New Roman" w:hAnsi="Times New Roman" w:eastAsia="宋体" w:cs="Times New Roman"/>
                <w:color w:val="auto"/>
                <w:kern w:val="0"/>
                <w:sz w:val="21"/>
                <w:szCs w:val="21"/>
                <w:highlight w:val="none"/>
                <w:vertAlign w:val="baseline"/>
                <w:lang w:val="en-US" w:eastAsia="zh-CN"/>
              </w:rPr>
              <w:t>应急预案与园区突发环境事件应急预案、海门区突发环境事件应急预案、南通市突发环境事件应急处理预案等相衔接。当</w:t>
            </w:r>
            <w:r>
              <w:rPr>
                <w:rFonts w:hint="eastAsia" w:ascii="Times New Roman" w:hAnsi="Times New Roman" w:cs="Times New Roman"/>
                <w:color w:val="auto"/>
                <w:kern w:val="0"/>
                <w:sz w:val="21"/>
                <w:szCs w:val="21"/>
                <w:highlight w:val="none"/>
                <w:vertAlign w:val="baseline"/>
                <w:lang w:val="en-US" w:eastAsia="zh-CN"/>
              </w:rPr>
              <w:t>建设单位</w:t>
            </w:r>
            <w:r>
              <w:rPr>
                <w:rFonts w:hint="default" w:ascii="Times New Roman" w:hAnsi="Times New Roman" w:eastAsia="宋体" w:cs="Times New Roman"/>
                <w:color w:val="auto"/>
                <w:kern w:val="0"/>
                <w:sz w:val="21"/>
                <w:szCs w:val="21"/>
                <w:highlight w:val="none"/>
                <w:vertAlign w:val="baseline"/>
                <w:lang w:val="en-US" w:eastAsia="zh-CN"/>
              </w:rPr>
              <w:t xml:space="preserve">发生重大突发环境事件，超出企业处理能力时，由上级主管部门启动相应应急预案。 </w:t>
            </w:r>
          </w:p>
          <w:p w14:paraId="49127015">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1）应急组织机构、人员的衔接 </w:t>
            </w:r>
          </w:p>
          <w:p w14:paraId="7390B2CD">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当发生风险事故时，公司通讯联络组应及时承担起与当地区域或各职能管理部门的应急指挥机构的联系工作，及时将事故发生情况及最新进展向有关部门汇报，并将上级指挥机构的命令及时向公司应急指挥部汇报；应急监测组、应急技术组共同编制环境污染事故报告，并将报告向上级部门汇报。 </w:t>
            </w:r>
          </w:p>
          <w:p w14:paraId="09A18F3F">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2）预案分级响应的衔接 </w:t>
            </w:r>
          </w:p>
          <w:p w14:paraId="261351AB">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①重大污染事故：应急指挥部在接到事故报警后，及时向园区突发环境事件应急指挥中心、海门区突发环境事件应急指挥中心、南通市突发环境事件应急指挥中心、江苏省生态环境厅报告，并请求支援；上级应急处理指挥部进行紧急动员，适时启动本级环境污染事故应急预案，迅速调集救援力量，指挥各成员单位相关职能部门，根据本级应急预案组成各个应急行动小组，按照各自的职责和现场救援具体方案开展抢险救援工作，厂内各小队听从上级现场指挥部的领导。当污染事故有进一步扩大、发展趋势，或因事故衍生问题造成重大社会不稳定事态，上级现场指挥将根据事态发展，及时向上汇报以及时调整应急响应级别。 </w:t>
            </w:r>
          </w:p>
          <w:p w14:paraId="10E3BA45">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②较大突发环境事件：应急指挥部应在接报后立即向园区突发环境事件应急指挥中心、海门区突发环境事件应急指挥中心、南通市突发环境事件应急指挥中心上报，启动公司突发环境事件应急预案，必要时向固定机构或其他单位请求援助，实时进行事故处理动态情况续报，事故处置完毕后及时进行总结，将事故处理结果进行上报。 </w:t>
            </w:r>
          </w:p>
          <w:p w14:paraId="468862E2">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③一般突发环境事件：立即启动公司突发环境事件应急预案，在污染事故现场处置妥当后，经应急指挥部研究确定后，向当地环保部门报告处理结果。 </w:t>
            </w:r>
          </w:p>
          <w:p w14:paraId="75254110">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（3）应急救援保障的衔接 </w:t>
            </w:r>
          </w:p>
          <w:p w14:paraId="6E296DE8">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①单位互助体系：建设单位和周边企业建立良好的应急互助关系，在重大事故发生后，相互支援。 </w:t>
            </w:r>
          </w:p>
          <w:p w14:paraId="2ACC0727">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②公共援助力量：厂区需要外部援助时可第一时间向园区公安派出所求助，还可以联系海门区、南通市公共消防队、医院、公安、交通、应急管理局以及各相关职能部门，请求救援力量、设备的支持。 </w:t>
            </w:r>
          </w:p>
          <w:p w14:paraId="4C85F5F1">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③专家援助：企业建立风险事故救援安全专家库，在紧急情况下，可以联系获取救援支持。 </w:t>
            </w:r>
          </w:p>
          <w:p w14:paraId="4EE62EF5">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（4）应急培训计划的衔接 </w:t>
            </w:r>
          </w:p>
          <w:p w14:paraId="719A85DE">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企业在开展应急培训计划的同时，还应积极配合园区、海门区、南通市开展的应急培训计划，在发生风险事故时，及时与上级应急组织取得联系。 </w:t>
            </w:r>
          </w:p>
          <w:p w14:paraId="11F4C88E">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（5）信息通报系统 </w:t>
            </w:r>
          </w:p>
          <w:p w14:paraId="2F4B2217">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建设畅通的信息通道。公司突发环境事件应急指挥部必须与周边企业、村庄村委会保持 24 小时的电话联系。一旦发生风险事故，可在第一时间通知相关单位组织居民疏散、撤离。 </w:t>
            </w:r>
          </w:p>
          <w:p w14:paraId="290AD86F">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（6）公众教育的衔接 </w:t>
            </w:r>
          </w:p>
          <w:p w14:paraId="04284D7F">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企业对单位员工开展教育、培训时，应对周边公众和相邻单位进行环境应急基本知识的宣传，如发生事故，可以更好的疏散、做好个人防护。</w:t>
            </w:r>
          </w:p>
          <w:p w14:paraId="4955F006">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②与园区环境风险防范联动 </w:t>
            </w:r>
          </w:p>
          <w:p w14:paraId="1BDBEE71">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1）建立应急联动机制 </w:t>
            </w:r>
          </w:p>
          <w:p w14:paraId="5C7F3193">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建立企业、园区两级应急联动机制，当事件超出本企业应急能力时，及时请求园区应急指挥部支援，由园区协调相关部门参与有关道路运输、土壤、河流等方面的突发环境事件现场处置工作，提供专业技术指导，并为应急处置人员提供开展城建、管道、道路、地质、水利设施等信息资料，确保应急救援工作顺利开展同时应建立与当地环保公司、检测公司的应急联动机制，广泛调动社会力量，保障事故能得到快速有效的处理处置。</w:t>
            </w:r>
          </w:p>
          <w:p w14:paraId="136C9876">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公司应有明确的“单元-厂区-园区”环境风险防控体系要求，其中“单元”指生产装置区、</w:t>
            </w:r>
            <w:r>
              <w:rPr>
                <w:rFonts w:hint="eastAsia" w:ascii="Times New Roman" w:hAnsi="Times New Roman" w:eastAsia="宋体" w:cs="Times New Roman"/>
                <w:color w:val="auto"/>
                <w:kern w:val="0"/>
                <w:sz w:val="21"/>
                <w:szCs w:val="21"/>
                <w:highlight w:val="none"/>
                <w:vertAlign w:val="baseline"/>
                <w:lang w:val="en-US" w:eastAsia="zh-CN"/>
              </w:rPr>
              <w:t>气</w:t>
            </w:r>
            <w:r>
              <w:rPr>
                <w:rFonts w:hint="default" w:ascii="Times New Roman" w:hAnsi="Times New Roman" w:eastAsia="宋体" w:cs="Times New Roman"/>
                <w:color w:val="auto"/>
                <w:kern w:val="0"/>
                <w:sz w:val="21"/>
                <w:szCs w:val="21"/>
                <w:highlight w:val="none"/>
                <w:vertAlign w:val="baseline"/>
                <w:lang w:val="en-US" w:eastAsia="zh-CN"/>
              </w:rPr>
              <w:t>罐区、</w:t>
            </w:r>
            <w:r>
              <w:rPr>
                <w:rFonts w:hint="eastAsia" w:ascii="Times New Roman" w:hAnsi="Times New Roman" w:eastAsia="宋体" w:cs="Times New Roman"/>
                <w:color w:val="auto"/>
                <w:kern w:val="0"/>
                <w:sz w:val="21"/>
                <w:szCs w:val="21"/>
                <w:highlight w:val="none"/>
                <w:vertAlign w:val="baseline"/>
                <w:lang w:val="en-US" w:eastAsia="zh-CN"/>
              </w:rPr>
              <w:t>仓库</w:t>
            </w:r>
            <w:r>
              <w:rPr>
                <w:rFonts w:hint="default" w:ascii="Times New Roman" w:hAnsi="Times New Roman" w:eastAsia="宋体" w:cs="Times New Roman"/>
                <w:color w:val="auto"/>
                <w:kern w:val="0"/>
                <w:sz w:val="21"/>
                <w:szCs w:val="21"/>
                <w:highlight w:val="none"/>
                <w:vertAlign w:val="baseline"/>
                <w:lang w:val="en-US" w:eastAsia="zh-CN"/>
              </w:rPr>
              <w:t>区、装卸区等等相对独立区域，均应设置截流措施，并且设置雨、污水分流及雨污水切换阀门并与事故应急池联通。</w:t>
            </w:r>
          </w:p>
          <w:p w14:paraId="2A80C385">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“厂区”应重点关注内部危险化学品运输固定路线情况在厂区内相应道路设置污水管网，防止危废物料在运输过程中跑冒滴漏进入雨水管网，且项目</w:t>
            </w:r>
            <w:r>
              <w:rPr>
                <w:rFonts w:hint="eastAsia" w:ascii="Times New Roman" w:hAnsi="Times New Roman" w:eastAsia="宋体" w:cs="Times New Roman"/>
                <w:color w:val="auto"/>
                <w:kern w:val="0"/>
                <w:sz w:val="21"/>
                <w:szCs w:val="21"/>
                <w:highlight w:val="none"/>
                <w:vertAlign w:val="baseline"/>
                <w:lang w:val="en-US" w:eastAsia="zh-CN"/>
              </w:rPr>
              <w:t>现有35立方</w:t>
            </w:r>
            <w:r>
              <w:rPr>
                <w:rFonts w:hint="default" w:ascii="Times New Roman" w:hAnsi="Times New Roman" w:eastAsia="宋体" w:cs="Times New Roman"/>
                <w:color w:val="auto"/>
                <w:kern w:val="0"/>
                <w:sz w:val="21"/>
                <w:szCs w:val="21"/>
                <w:highlight w:val="none"/>
                <w:vertAlign w:val="baseline"/>
                <w:lang w:val="en-US" w:eastAsia="zh-CN"/>
              </w:rPr>
              <w:t>事故应急池，用以储存事故时产生的事故废水、消防废水和污染雨水，事故废水通过污水管网。</w:t>
            </w:r>
          </w:p>
          <w:p w14:paraId="44AD3744">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园区”为项目所在的园区，厂内环境风险防控系统应纳入园区环境风险防控体系，明确风险防控措施，在应急组织体系、应急响应事故分级、应急物资、应急培训、应急演练方面与园区风险防控体系进行衔接。根据境内园区的突发环境事故应急预案，若本项目事故影响超出厂区范围，应上报上级环境保护局，按照分级响应要求及时启动园区突发环境事件应急预案，开展事故响应，实现厂内与园区环境风险防控设施及管理有效联动，有效防范环境风险。 </w:t>
            </w:r>
          </w:p>
          <w:p w14:paraId="179AEA69">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本项目依托的三级防控体系如下： </w:t>
            </w:r>
          </w:p>
          <w:p w14:paraId="68DC1012">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①企业厂界 </w:t>
            </w:r>
          </w:p>
          <w:p w14:paraId="78C7A798">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实现雨污分流，建设事故应急池。 </w:t>
            </w:r>
          </w:p>
          <w:p w14:paraId="4373EC2C">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②园区边界</w:t>
            </w:r>
          </w:p>
          <w:p w14:paraId="1D5A2A7C">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通过园区雨水管网、闸坝、污水处理厂等构筑物，收集、暂存、隔断事故无废水，确保当企业事故废水未能有效控制在厂界内蔓延至园区时或园区公共区域发生泄漏等突发环境事件时，园区能够借助公共实施有效截留污废水，确保将水污染控制在园区边界。 </w:t>
            </w:r>
          </w:p>
          <w:p w14:paraId="00A758F5">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③周边水体 </w:t>
            </w:r>
          </w:p>
          <w:p w14:paraId="0EF29B42">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通过充分利用现有园区内河道、闸站等可用资源，建设完成以进出园区河流、周边重要水体为防控目标的一系列水利调控、隔断设施，实现事故废水的可防可控，防止园区内事故废水的扩散对周边水体造成污染与影响。</w:t>
            </w:r>
          </w:p>
          <w:p w14:paraId="345BDA4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通过依托三级防控体系，有效实现企业与园区联动，将环境风险降到最低。 </w:t>
            </w:r>
          </w:p>
          <w:p w14:paraId="6AEEABD9">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2）建立应急响应机制 </w:t>
            </w:r>
          </w:p>
          <w:p w14:paraId="752FF456">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按企业突发环境事件的可控性、严重程度和影响范围，将该企业突发环境事件的应急响应分四级，响应级别由高到低分别为Ⅰ级响应（特大突发环境事件Ⅰ级预警）、Ⅱ级响应（重大突发环境事件Ⅱ级预警）、Ⅲ级响应（较大突发环境事件Ⅲ级预警）和Ⅳ级响应（一般突发环境事件Ⅳ级预警）。 </w:t>
            </w:r>
          </w:p>
          <w:p w14:paraId="31C7F40E">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当本项目厂区发生突发环境事故时，公司应急救援指挥中心接到报警后应判断事件达到几级预警，根据预警级别的不同，启动相应的响应级别。响应分级及联动机制启动条件如下： </w:t>
            </w:r>
          </w:p>
          <w:p w14:paraId="4FA7C539">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Ⅰ级响应：当公司发生特别重大环境污染事件（Ⅰ级预警）时启动，由公司应急救援指挥中心进行先期处置并上报园区应急办公室，园区应急办公室2h内上报海门区应急指挥办公室，由海门区应急指挥部进行分析判断，并负责启动响应和应对工作。</w:t>
            </w:r>
          </w:p>
          <w:p w14:paraId="151F6A51">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凡符合下列情形之一的，为特大环境污染事件： </w:t>
            </w:r>
          </w:p>
          <w:p w14:paraId="7C411880">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（1）由于污染或破坏行为造成直接经济损失在 10 万元以上； </w:t>
            </w:r>
          </w:p>
          <w:p w14:paraId="21AA21EE">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（2）人群发生明显中毒症状； </w:t>
            </w:r>
          </w:p>
          <w:p w14:paraId="04F415EF">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（3）人员中毒死亡； </w:t>
            </w:r>
          </w:p>
          <w:p w14:paraId="7071752E">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（4）因环境污染使当地经济、社会的正常活动受到严重影响； </w:t>
            </w:r>
          </w:p>
          <w:p w14:paraId="486166B7">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（5）对环境造成严重危害。 </w:t>
            </w:r>
          </w:p>
          <w:p w14:paraId="21D136D1">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Ⅱ级响应：当公司发生重大环境污染事件（Ⅱ级预警）时启动，由公司应急救援指挥中心和园区应急指挥部指挥开展现场应急处置工作。</w:t>
            </w:r>
          </w:p>
          <w:p w14:paraId="14077DCA">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凡符合下列情形之一的，为重大环境污染事件： </w:t>
            </w:r>
          </w:p>
          <w:p w14:paraId="39AE1E95">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（1）由于污染或破坏行为造成直接经济损失在万元以上、10 万元以下（不含 10 万元）； </w:t>
            </w:r>
          </w:p>
          <w:p w14:paraId="68C31C68">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（2）人员发生明显中毒症状或可能导致伤残后果； </w:t>
            </w:r>
          </w:p>
          <w:p w14:paraId="3B62F823">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（3）人群发生中毒(10 人以上)症状； </w:t>
            </w:r>
          </w:p>
          <w:p w14:paraId="042D1A75">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（4）因环境污染使社会安定收到影响； </w:t>
            </w:r>
          </w:p>
          <w:p w14:paraId="7FEB0BCF">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（5）对环境造成较大危害。 </w:t>
            </w:r>
          </w:p>
          <w:p w14:paraId="134AD233">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Ⅲ级响应：当公司发生较大环境污染事件（Ⅲ级预警）时启动，由公司应急救援指挥中心及各车间、各班组开展现场应急处置工作。 </w:t>
            </w:r>
          </w:p>
          <w:p w14:paraId="238107FF">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凡符合下列情形之一的，为较大环境污染事件： </w:t>
            </w:r>
          </w:p>
          <w:p w14:paraId="1C016F50">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（1）由于污染或破坏行为造成直接经济损失在万元以下； </w:t>
            </w:r>
          </w:p>
          <w:p w14:paraId="3555BEBA">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（2）人员发生 3 人以上(含 3 人)中毒症状； </w:t>
            </w:r>
          </w:p>
          <w:p w14:paraId="16451BC7">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（3）因环境污染引起冲突； </w:t>
            </w:r>
          </w:p>
          <w:p w14:paraId="5C2E966C">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（4）对环境造成危害。 </w:t>
            </w:r>
          </w:p>
          <w:p w14:paraId="381B02F1">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Ⅳ级响应：当公司发生一般环境污染事件（Ⅳ级预警）时启动，由各车间、各班组开展现场应急处置工作。当安全生产事件的事态无法有效控制时，应按照有关程序向应急救援指挥中心请求扩大应急响应。 </w:t>
            </w:r>
          </w:p>
          <w:p w14:paraId="5CF2E87B">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凡符合下列情形之一的，为一般环境污染事件：除特别重大突发环境事件、重大突发环境事件、较大突发环境事件以外的突发环境事件。 </w:t>
            </w:r>
          </w:p>
          <w:p w14:paraId="05CD88B1">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（3）联动方式及流程 </w:t>
            </w:r>
          </w:p>
          <w:p w14:paraId="29102A75">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1）信息报告 </w:t>
            </w:r>
          </w:p>
          <w:p w14:paraId="5DF77074">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突发环境事件发生后，建设单位必须采取应对措施，并立即向当地的生态环境主管部门和相关部门报告，同时通报可能受到污染危害的单位和居民。 </w:t>
            </w:r>
          </w:p>
          <w:p w14:paraId="107577C7">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2）应急响应 </w:t>
            </w:r>
          </w:p>
          <w:p w14:paraId="4005330C">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园区环境保护主管部门接到突发环境事件信息报告或监测到相关信息后，立即进行核实，对突发环境事件的性质和类别做出初步确认，按照国家规定的时限、 程序和要求向上级环境保护部门和同级区人民政府报告，并通报同级其他相关部门，必要时通知环境监测站抵达事故现场开展应急监测工作，确定事故的影响程 度与范围。若突发污染事件信息属实，对事件级别进行初步判定，若不满足预案的启动条件，则由园区环境保护局指导与统筹事发单位开展应急处置工作。若满 足预案启动条件则通报园区应急办公室，并组织应急专家，协同分析、排查确定出污染源。 </w:t>
            </w:r>
          </w:p>
          <w:p w14:paraId="1BE61C2E">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3）应急处理 </w:t>
            </w:r>
          </w:p>
          <w:p w14:paraId="08E64CDA">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应急处理阶段建设单位应当按照本项目突发环境事件应急预案立即启动应急响应，采取有效措施切断污染源、防止污染扩散，负责消除污染，通报可能受到污染危害的单位和居民，按规定及时向环境保护局和有关部门报告最新情况。并将受损害的环境恢复原状，或承担相应费用。环境保护局或其他监管部门派遣相关人员抵达现场指导与协助企业对污染源进行消除，对污染物进行控制，及时向周边可能造成影响的敏感点发出通报。必要时环境保护局与其他监管部门先行派遣人员抵达现场指导与协助事发单位向周边群众发出通报，开展警戒、疏散群众、控制现场、救护、抢险等基础处置工作。 </w:t>
            </w:r>
          </w:p>
          <w:p w14:paraId="414B4640">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 xml:space="preserve">4）应急终止程序 </w:t>
            </w:r>
          </w:p>
          <w:p w14:paraId="3C6BCAF1">
            <w:pPr>
              <w:pStyle w:val="12"/>
              <w:keepNext w:val="0"/>
              <w:keepLines w:val="0"/>
              <w:pageBreakBefore w:val="0"/>
              <w:widowControl w:val="0"/>
              <w:numPr>
                <w:ilvl w:val="0"/>
                <w:numId w:val="0"/>
              </w:numPr>
              <w:kinsoku/>
              <w:wordWrap/>
              <w:overflowPunct/>
              <w:topLinePunct w:val="0"/>
              <w:autoSpaceDE/>
              <w:autoSpaceDN/>
              <w:bidi w:val="0"/>
              <w:spacing w:line="360" w:lineRule="auto"/>
              <w:ind w:right="0" w:rightChars="0" w:firstLine="420" w:firstLineChars="200"/>
              <w:textAlignment w:val="auto"/>
              <w:rPr>
                <w:rFonts w:hint="eastAsia"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当事件现场得到控制，事件条件得到消除；污染源的泄漏或释放已降至规定限值内后。生态环境局与环境监测站根据应急监测、监控快报，确认事件已具备应急终止条件后，报请应急指挥部批准；必要时，由应急指挥部向社会发布突发环境事件应急终止的公告；应急终止后，相关应急救援专业组应根据应急指挥部有关指示和实际情况，继续进行监测、监控和评价工作，直至本次事件的影响完全消除为止</w:t>
            </w:r>
            <w:r>
              <w:rPr>
                <w:rFonts w:hint="eastAsia" w:ascii="Times New Roman" w:hAnsi="Times New Roman" w:eastAsia="宋体" w:cs="Times New Roman"/>
                <w:color w:val="auto"/>
                <w:kern w:val="0"/>
                <w:sz w:val="21"/>
                <w:szCs w:val="21"/>
                <w:highlight w:val="none"/>
                <w:vertAlign w:val="baseline"/>
                <w:lang w:val="en-US" w:eastAsia="zh-CN"/>
              </w:rPr>
              <w:t>。</w:t>
            </w:r>
          </w:p>
          <w:p w14:paraId="7FF5DA51">
            <w:pPr>
              <w:pStyle w:val="12"/>
              <w:keepNext w:val="0"/>
              <w:keepLines w:val="0"/>
              <w:pageBreakBefore w:val="0"/>
              <w:widowControl w:val="0"/>
              <w:numPr>
                <w:ilvl w:val="0"/>
                <w:numId w:val="0"/>
              </w:numPr>
              <w:kinsoku/>
              <w:wordWrap/>
              <w:overflowPunct/>
              <w:topLinePunct w:val="0"/>
              <w:autoSpaceDE/>
              <w:autoSpaceDN/>
              <w:bidi w:val="0"/>
              <w:spacing w:line="360" w:lineRule="auto"/>
              <w:ind w:right="0" w:rightChars="0"/>
              <w:textAlignment w:val="auto"/>
              <w:rPr>
                <w:rFonts w:hint="eastAsia" w:ascii="Times New Roman" w:hAnsi="Times New Roman"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vertAlign w:val="baseline"/>
                <w:lang w:val="en-US" w:eastAsia="zh-CN"/>
              </w:rPr>
              <w:t>（9）“强基提能”相关要求</w:t>
            </w:r>
          </w:p>
          <w:p w14:paraId="18757D23">
            <w:pPr>
              <w:widowControl w:val="0"/>
              <w:numPr>
                <w:ilvl w:val="0"/>
                <w:numId w:val="0"/>
              </w:numPr>
              <w:spacing w:line="360" w:lineRule="auto"/>
              <w:ind w:firstLine="420" w:firstLineChars="20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对照省生态环境厅关于印发《全省生态环境安全与应急管理“强基提能”三年行动计划》的通知(苏环发[2023]5号)</w:t>
            </w:r>
            <w:r>
              <w:rPr>
                <w:rFonts w:hint="eastAsia" w:ascii="Times New Roman" w:hAnsi="Times New Roman" w:eastAsia="宋体" w:cs="Times New Roman"/>
                <w:color w:val="auto"/>
                <w:sz w:val="21"/>
                <w:szCs w:val="21"/>
                <w:lang w:val="en-US" w:eastAsia="zh-CN"/>
              </w:rPr>
              <w:t>，如下表：</w:t>
            </w:r>
          </w:p>
          <w:p w14:paraId="675F5001">
            <w:pPr>
              <w:widowControl w:val="0"/>
              <w:numPr>
                <w:ilvl w:val="0"/>
                <w:numId w:val="0"/>
              </w:numPr>
              <w:spacing w:line="240" w:lineRule="auto"/>
              <w:jc w:val="center"/>
              <w:rPr>
                <w:rFonts w:hint="eastAsia"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表4-</w:t>
            </w:r>
            <w:r>
              <w:rPr>
                <w:rFonts w:hint="eastAsia" w:cs="Times New Roman"/>
                <w:b/>
                <w:bCs/>
                <w:color w:val="auto"/>
                <w:sz w:val="21"/>
                <w:szCs w:val="21"/>
                <w:lang w:val="en-US" w:eastAsia="zh-CN"/>
              </w:rPr>
              <w:t>29</w:t>
            </w:r>
            <w:r>
              <w:rPr>
                <w:rFonts w:hint="eastAsia" w:ascii="Times New Roman" w:hAnsi="Times New Roman" w:cs="Times New Roman"/>
                <w:b/>
                <w:bCs/>
                <w:color w:val="auto"/>
                <w:sz w:val="21"/>
                <w:szCs w:val="21"/>
                <w:lang w:val="en-US" w:eastAsia="zh-CN"/>
              </w:rPr>
              <w:t xml:space="preserve"> 与苏环发[2023]5号文相符性分析</w:t>
            </w:r>
          </w:p>
          <w:tbl>
            <w:tblPr>
              <w:tblStyle w:val="21"/>
              <w:tblW w:w="81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62"/>
              <w:gridCol w:w="2711"/>
              <w:gridCol w:w="766"/>
            </w:tblGrid>
            <w:tr w14:paraId="600BA7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4662" w:type="dxa"/>
                  <w:tcBorders>
                    <w:tl2br w:val="nil"/>
                    <w:tr2bl w:val="nil"/>
                  </w:tcBorders>
                  <w:vAlign w:val="center"/>
                </w:tcPr>
                <w:p w14:paraId="6B79A47F">
                  <w:pPr>
                    <w:widowControl w:val="0"/>
                    <w:numPr>
                      <w:ilvl w:val="0"/>
                      <w:numId w:val="0"/>
                    </w:numPr>
                    <w:spacing w:line="240" w:lineRule="auto"/>
                    <w:jc w:val="center"/>
                    <w:rPr>
                      <w:rFonts w:hint="default" w:ascii="Times New Roman" w:hAnsi="Times New Roman" w:cs="Times New Roman"/>
                      <w:b/>
                      <w:bCs/>
                      <w:color w:val="auto"/>
                      <w:sz w:val="18"/>
                      <w:szCs w:val="18"/>
                      <w:vertAlign w:val="baseline"/>
                      <w:lang w:val="en-US" w:eastAsia="zh-CN"/>
                    </w:rPr>
                  </w:pPr>
                  <w:r>
                    <w:rPr>
                      <w:rFonts w:hint="eastAsia" w:ascii="Times New Roman" w:hAnsi="Times New Roman" w:cs="Times New Roman"/>
                      <w:b/>
                      <w:bCs/>
                      <w:color w:val="auto"/>
                      <w:sz w:val="18"/>
                      <w:szCs w:val="18"/>
                      <w:vertAlign w:val="baseline"/>
                      <w:lang w:val="en-US" w:eastAsia="zh-CN"/>
                    </w:rPr>
                    <w:t>文件要求</w:t>
                  </w:r>
                </w:p>
              </w:tc>
              <w:tc>
                <w:tcPr>
                  <w:tcW w:w="2711" w:type="dxa"/>
                  <w:tcBorders>
                    <w:tl2br w:val="nil"/>
                    <w:tr2bl w:val="nil"/>
                  </w:tcBorders>
                  <w:vAlign w:val="center"/>
                </w:tcPr>
                <w:p w14:paraId="3F19E89B">
                  <w:pPr>
                    <w:widowControl w:val="0"/>
                    <w:numPr>
                      <w:ilvl w:val="0"/>
                      <w:numId w:val="0"/>
                    </w:numPr>
                    <w:spacing w:line="240" w:lineRule="auto"/>
                    <w:jc w:val="center"/>
                    <w:rPr>
                      <w:rFonts w:hint="default" w:ascii="Times New Roman" w:hAnsi="Times New Roman" w:cs="Times New Roman"/>
                      <w:b/>
                      <w:bCs/>
                      <w:color w:val="auto"/>
                      <w:sz w:val="18"/>
                      <w:szCs w:val="18"/>
                      <w:vertAlign w:val="baseline"/>
                      <w:lang w:val="en-US" w:eastAsia="zh-CN"/>
                    </w:rPr>
                  </w:pPr>
                  <w:r>
                    <w:rPr>
                      <w:rFonts w:hint="eastAsia" w:ascii="Times New Roman" w:hAnsi="Times New Roman" w:cs="Times New Roman"/>
                      <w:b/>
                      <w:bCs/>
                      <w:color w:val="auto"/>
                      <w:sz w:val="18"/>
                      <w:szCs w:val="18"/>
                      <w:vertAlign w:val="baseline"/>
                      <w:lang w:val="en-US" w:eastAsia="zh-CN"/>
                    </w:rPr>
                    <w:t>本项目情况</w:t>
                  </w:r>
                </w:p>
              </w:tc>
              <w:tc>
                <w:tcPr>
                  <w:tcW w:w="766" w:type="dxa"/>
                  <w:tcBorders>
                    <w:tl2br w:val="nil"/>
                    <w:tr2bl w:val="nil"/>
                  </w:tcBorders>
                  <w:vAlign w:val="center"/>
                </w:tcPr>
                <w:p w14:paraId="01589A34">
                  <w:pPr>
                    <w:widowControl w:val="0"/>
                    <w:numPr>
                      <w:ilvl w:val="0"/>
                      <w:numId w:val="0"/>
                    </w:numPr>
                    <w:spacing w:line="240" w:lineRule="auto"/>
                    <w:jc w:val="center"/>
                    <w:rPr>
                      <w:rFonts w:hint="default" w:ascii="Times New Roman" w:hAnsi="Times New Roman" w:cs="Times New Roman"/>
                      <w:b/>
                      <w:bCs/>
                      <w:color w:val="auto"/>
                      <w:sz w:val="18"/>
                      <w:szCs w:val="18"/>
                      <w:vertAlign w:val="baseline"/>
                      <w:lang w:val="en-US" w:eastAsia="zh-CN"/>
                    </w:rPr>
                  </w:pPr>
                  <w:r>
                    <w:rPr>
                      <w:rFonts w:hint="eastAsia" w:ascii="Times New Roman" w:hAnsi="Times New Roman" w:cs="Times New Roman"/>
                      <w:b/>
                      <w:bCs/>
                      <w:color w:val="auto"/>
                      <w:sz w:val="18"/>
                      <w:szCs w:val="18"/>
                      <w:vertAlign w:val="baseline"/>
                      <w:lang w:val="en-US" w:eastAsia="zh-CN"/>
                    </w:rPr>
                    <w:t>相符性</w:t>
                  </w:r>
                </w:p>
              </w:tc>
            </w:tr>
            <w:tr w14:paraId="6657CB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4" w:hRule="atLeast"/>
                <w:jc w:val="center"/>
              </w:trPr>
              <w:tc>
                <w:tcPr>
                  <w:tcW w:w="4662" w:type="dxa"/>
                  <w:tcBorders>
                    <w:tl2br w:val="nil"/>
                    <w:tr2bl w:val="nil"/>
                  </w:tcBorders>
                  <w:vAlign w:val="center"/>
                </w:tcPr>
                <w:p w14:paraId="6842D165">
                  <w:pPr>
                    <w:widowControl w:val="0"/>
                    <w:numPr>
                      <w:ilvl w:val="0"/>
                      <w:numId w:val="0"/>
                    </w:numPr>
                    <w:spacing w:line="240" w:lineRule="auto"/>
                    <w:jc w:val="center"/>
                    <w:rPr>
                      <w:rFonts w:hint="eastAsia" w:ascii="Times New Roman" w:hAnsi="Times New Roman" w:cs="Times New Roman"/>
                      <w:b w:val="0"/>
                      <w:bCs w:val="0"/>
                      <w:color w:val="auto"/>
                      <w:sz w:val="18"/>
                      <w:szCs w:val="18"/>
                      <w:vertAlign w:val="baseline"/>
                      <w:lang w:val="en-US" w:eastAsia="zh-CN"/>
                    </w:rPr>
                  </w:pPr>
                  <w:r>
                    <w:rPr>
                      <w:rFonts w:hint="eastAsia" w:ascii="Times New Roman" w:hAnsi="Times New Roman" w:cs="Times New Roman"/>
                      <w:b/>
                      <w:bCs/>
                      <w:color w:val="auto"/>
                      <w:sz w:val="18"/>
                      <w:szCs w:val="18"/>
                      <w:vertAlign w:val="baseline"/>
                      <w:lang w:val="en-US" w:eastAsia="zh-CN"/>
                    </w:rPr>
                    <w:t>推动环境安全主体责任落实。</w:t>
                  </w:r>
                  <w:r>
                    <w:rPr>
                      <w:rFonts w:hint="eastAsia" w:ascii="Times New Roman" w:hAnsi="Times New Roman" w:cs="Times New Roman"/>
                      <w:b w:val="0"/>
                      <w:bCs w:val="0"/>
                      <w:color w:val="auto"/>
                      <w:sz w:val="18"/>
                      <w:szCs w:val="18"/>
                      <w:vertAlign w:val="baseline"/>
                      <w:lang w:val="en-US" w:eastAsia="zh-CN"/>
                    </w:rPr>
                    <w:t>建立企业环境安全责任“三落实三必须”机制。落实主要负责人环境安全第一责任人责任必须对企业环境风险物质和点位全部知晓、风险防控体系全部明晰:落实环保负责人主管责任，必须对企业风险源防控应对措施应急物资和救援力量情况全部知晓;落实岗位人员直接责任，必须对应急处置措施、应急设施设备操作规程熟练掌握。企业“三落实三必须”执行情况纳入常态化环境安全隐患排查内容，执行不到位的，作为重大隐患进行整治。</w:t>
                  </w:r>
                </w:p>
              </w:tc>
              <w:tc>
                <w:tcPr>
                  <w:tcW w:w="2711" w:type="dxa"/>
                  <w:tcBorders>
                    <w:tl2br w:val="nil"/>
                    <w:tr2bl w:val="nil"/>
                  </w:tcBorders>
                  <w:vAlign w:val="center"/>
                </w:tcPr>
                <w:p w14:paraId="1F128324">
                  <w:pPr>
                    <w:widowControl w:val="0"/>
                    <w:numPr>
                      <w:ilvl w:val="0"/>
                      <w:numId w:val="0"/>
                    </w:numPr>
                    <w:spacing w:line="240" w:lineRule="auto"/>
                    <w:jc w:val="center"/>
                    <w:rPr>
                      <w:rFonts w:hint="eastAsia" w:ascii="Times New Roman" w:hAnsi="Times New Roman" w:cs="Times New Roman"/>
                      <w:b w:val="0"/>
                      <w:bCs w:val="0"/>
                      <w:color w:val="auto"/>
                      <w:sz w:val="18"/>
                      <w:szCs w:val="18"/>
                      <w:vertAlign w:val="baseline"/>
                      <w:lang w:val="en-US" w:eastAsia="zh-CN"/>
                    </w:rPr>
                  </w:pPr>
                  <w:r>
                    <w:rPr>
                      <w:rFonts w:hint="eastAsia" w:ascii="Times New Roman" w:hAnsi="Times New Roman" w:cs="Times New Roman"/>
                      <w:b w:val="0"/>
                      <w:bCs w:val="0"/>
                      <w:color w:val="auto"/>
                      <w:sz w:val="18"/>
                      <w:szCs w:val="18"/>
                      <w:vertAlign w:val="baseline"/>
                      <w:lang w:val="en-US" w:eastAsia="zh-CN"/>
                    </w:rPr>
                    <w:t>项目建成后，企业拟编制突发环境事故应急预案，落实主要负责人及主管责任、岗位人员直接责任，并将“三落实三必须”执行情况纳入常态化环境安全隐患排查内容。</w:t>
                  </w:r>
                </w:p>
              </w:tc>
              <w:tc>
                <w:tcPr>
                  <w:tcW w:w="766" w:type="dxa"/>
                  <w:tcBorders>
                    <w:tl2br w:val="nil"/>
                    <w:tr2bl w:val="nil"/>
                  </w:tcBorders>
                  <w:vAlign w:val="center"/>
                </w:tcPr>
                <w:p w14:paraId="2775CEBE">
                  <w:pPr>
                    <w:widowControl w:val="0"/>
                    <w:numPr>
                      <w:ilvl w:val="0"/>
                      <w:numId w:val="0"/>
                    </w:numPr>
                    <w:spacing w:line="240" w:lineRule="auto"/>
                    <w:jc w:val="center"/>
                    <w:rPr>
                      <w:rFonts w:hint="default" w:ascii="Times New Roman" w:hAnsi="Times New Roman" w:cs="Times New Roman"/>
                      <w:b w:val="0"/>
                      <w:bCs w:val="0"/>
                      <w:color w:val="auto"/>
                      <w:sz w:val="18"/>
                      <w:szCs w:val="18"/>
                      <w:vertAlign w:val="baseline"/>
                      <w:lang w:val="en-US" w:eastAsia="zh-CN"/>
                    </w:rPr>
                  </w:pPr>
                  <w:r>
                    <w:rPr>
                      <w:rFonts w:hint="eastAsia" w:ascii="Times New Roman" w:hAnsi="Times New Roman" w:cs="Times New Roman"/>
                      <w:b w:val="0"/>
                      <w:bCs w:val="0"/>
                      <w:color w:val="auto"/>
                      <w:sz w:val="18"/>
                      <w:szCs w:val="18"/>
                      <w:vertAlign w:val="baseline"/>
                      <w:lang w:val="en-US" w:eastAsia="zh-CN"/>
                    </w:rPr>
                    <w:t>符合</w:t>
                  </w:r>
                </w:p>
              </w:tc>
            </w:tr>
            <w:tr w14:paraId="0D0984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0" w:hRule="atLeast"/>
                <w:jc w:val="center"/>
              </w:trPr>
              <w:tc>
                <w:tcPr>
                  <w:tcW w:w="4662" w:type="dxa"/>
                  <w:tcBorders>
                    <w:tl2br w:val="nil"/>
                    <w:tr2bl w:val="nil"/>
                  </w:tcBorders>
                  <w:vAlign w:val="center"/>
                </w:tcPr>
                <w:p w14:paraId="4E3F2C2F">
                  <w:pPr>
                    <w:widowControl w:val="0"/>
                    <w:numPr>
                      <w:ilvl w:val="0"/>
                      <w:numId w:val="0"/>
                    </w:numPr>
                    <w:spacing w:line="240" w:lineRule="auto"/>
                    <w:jc w:val="center"/>
                    <w:rPr>
                      <w:rFonts w:hint="eastAsia" w:ascii="Times New Roman" w:hAnsi="Times New Roman" w:cs="Times New Roman"/>
                      <w:b w:val="0"/>
                      <w:bCs w:val="0"/>
                      <w:color w:val="auto"/>
                      <w:sz w:val="18"/>
                      <w:szCs w:val="18"/>
                      <w:vertAlign w:val="baseline"/>
                      <w:lang w:val="en-US" w:eastAsia="zh-CN"/>
                    </w:rPr>
                  </w:pPr>
                  <w:r>
                    <w:rPr>
                      <w:rFonts w:hint="eastAsia" w:ascii="Times New Roman" w:hAnsi="Times New Roman" w:cs="Times New Roman"/>
                      <w:b/>
                      <w:bCs/>
                      <w:color w:val="auto"/>
                      <w:sz w:val="18"/>
                      <w:szCs w:val="18"/>
                      <w:vertAlign w:val="baseline"/>
                      <w:lang w:val="en-US" w:eastAsia="zh-CN"/>
                    </w:rPr>
                    <w:t>推动环评和预案质量提升。</w:t>
                  </w:r>
                  <w:r>
                    <w:rPr>
                      <w:rFonts w:hint="eastAsia" w:ascii="Times New Roman" w:hAnsi="Times New Roman" w:cs="Times New Roman"/>
                      <w:b w:val="0"/>
                      <w:bCs w:val="0"/>
                      <w:color w:val="auto"/>
                      <w:sz w:val="18"/>
                      <w:szCs w:val="18"/>
                      <w:vertAlign w:val="baseline"/>
                      <w:lang w:val="en-US" w:eastAsia="zh-CN"/>
                    </w:rPr>
                    <w:t>建设项目环评文件必须做到环境风险识别、典型事故情形、风险防范措施、应急管理制度和竣工验收内容“五个明确”。2023年底前省厅修订出台《江苏省突发环境事件应急预案管理办法》，实施“一图两单两卡”管理，即绘制预案管理“一张图”，编制环境风险辨识、环境风险防范措施“两个清单”，实行环境安全职责承诺、应急处置</w:t>
                  </w:r>
                </w:p>
                <w:p w14:paraId="348F3A3E">
                  <w:pPr>
                    <w:widowControl w:val="0"/>
                    <w:numPr>
                      <w:ilvl w:val="0"/>
                      <w:numId w:val="0"/>
                    </w:numPr>
                    <w:spacing w:line="240" w:lineRule="auto"/>
                    <w:jc w:val="center"/>
                    <w:rPr>
                      <w:rFonts w:hint="eastAsia" w:ascii="Times New Roman" w:hAnsi="Times New Roman" w:cs="Times New Roman"/>
                      <w:b w:val="0"/>
                      <w:bCs w:val="0"/>
                      <w:color w:val="auto"/>
                      <w:sz w:val="18"/>
                      <w:szCs w:val="18"/>
                      <w:vertAlign w:val="baseline"/>
                      <w:lang w:val="en-US" w:eastAsia="zh-CN"/>
                    </w:rPr>
                  </w:pPr>
                  <w:r>
                    <w:rPr>
                      <w:rFonts w:hint="eastAsia" w:ascii="Times New Roman" w:hAnsi="Times New Roman" w:cs="Times New Roman"/>
                      <w:b w:val="0"/>
                      <w:bCs w:val="0"/>
                      <w:color w:val="auto"/>
                      <w:sz w:val="18"/>
                      <w:szCs w:val="18"/>
                      <w:vertAlign w:val="baseline"/>
                      <w:lang w:val="en-US" w:eastAsia="zh-CN"/>
                    </w:rPr>
                    <w:t>措施“两张卡”按规定对应急预案和风险评估报告进行回顾性评估和修订，开展验证演练，较大以上风险企业每年至少开展。</w:t>
                  </w:r>
                </w:p>
              </w:tc>
              <w:tc>
                <w:tcPr>
                  <w:tcW w:w="2711" w:type="dxa"/>
                  <w:tcBorders>
                    <w:tl2br w:val="nil"/>
                    <w:tr2bl w:val="nil"/>
                  </w:tcBorders>
                  <w:vAlign w:val="center"/>
                </w:tcPr>
                <w:p w14:paraId="53604504">
                  <w:pPr>
                    <w:widowControl w:val="0"/>
                    <w:numPr>
                      <w:ilvl w:val="0"/>
                      <w:numId w:val="0"/>
                    </w:numPr>
                    <w:spacing w:line="240" w:lineRule="auto"/>
                    <w:jc w:val="center"/>
                    <w:rPr>
                      <w:rFonts w:hint="eastAsia" w:ascii="Times New Roman" w:hAnsi="Times New Roman" w:cs="Times New Roman"/>
                      <w:b w:val="0"/>
                      <w:bCs w:val="0"/>
                      <w:color w:val="auto"/>
                      <w:sz w:val="18"/>
                      <w:szCs w:val="18"/>
                      <w:vertAlign w:val="baseline"/>
                      <w:lang w:val="en-US" w:eastAsia="zh-CN"/>
                    </w:rPr>
                  </w:pPr>
                  <w:r>
                    <w:rPr>
                      <w:rFonts w:hint="eastAsia" w:ascii="Times New Roman" w:hAnsi="Times New Roman" w:cs="Times New Roman"/>
                      <w:b w:val="0"/>
                      <w:bCs w:val="0"/>
                      <w:color w:val="auto"/>
                      <w:sz w:val="18"/>
                      <w:szCs w:val="18"/>
                      <w:vertAlign w:val="baseline"/>
                      <w:lang w:val="en-US" w:eastAsia="zh-CN"/>
                    </w:rPr>
                    <w:t>本次环评已明确环境风险识别、典型事故情形、风险防范昔施、应急管理制度和竣工验收内容，项目运营期，企业需根据应急预案要求定期开展应急演练，每年一次。</w:t>
                  </w:r>
                </w:p>
              </w:tc>
              <w:tc>
                <w:tcPr>
                  <w:tcW w:w="766" w:type="dxa"/>
                  <w:tcBorders>
                    <w:tl2br w:val="nil"/>
                    <w:tr2bl w:val="nil"/>
                  </w:tcBorders>
                  <w:vAlign w:val="center"/>
                </w:tcPr>
                <w:p w14:paraId="69B29BFC">
                  <w:pPr>
                    <w:widowControl w:val="0"/>
                    <w:numPr>
                      <w:ilvl w:val="0"/>
                      <w:numId w:val="0"/>
                    </w:numPr>
                    <w:spacing w:line="240" w:lineRule="auto"/>
                    <w:jc w:val="center"/>
                    <w:rPr>
                      <w:rFonts w:hint="eastAsia" w:ascii="Times New Roman" w:hAnsi="Times New Roman" w:cs="Times New Roman"/>
                      <w:b w:val="0"/>
                      <w:bCs w:val="0"/>
                      <w:color w:val="auto"/>
                      <w:sz w:val="18"/>
                      <w:szCs w:val="18"/>
                      <w:vertAlign w:val="baseline"/>
                      <w:lang w:val="en-US" w:eastAsia="zh-CN"/>
                    </w:rPr>
                  </w:pPr>
                  <w:r>
                    <w:rPr>
                      <w:rFonts w:hint="eastAsia" w:ascii="Times New Roman" w:hAnsi="Times New Roman" w:cs="Times New Roman"/>
                      <w:b w:val="0"/>
                      <w:bCs w:val="0"/>
                      <w:color w:val="auto"/>
                      <w:sz w:val="18"/>
                      <w:szCs w:val="18"/>
                      <w:vertAlign w:val="baseline"/>
                      <w:lang w:val="en-US" w:eastAsia="zh-CN"/>
                    </w:rPr>
                    <w:t>符合</w:t>
                  </w:r>
                </w:p>
              </w:tc>
            </w:tr>
            <w:tr w14:paraId="1A896B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4" w:hRule="atLeast"/>
                <w:jc w:val="center"/>
              </w:trPr>
              <w:tc>
                <w:tcPr>
                  <w:tcW w:w="4662" w:type="dxa"/>
                  <w:tcBorders>
                    <w:tl2br w:val="nil"/>
                    <w:tr2bl w:val="nil"/>
                  </w:tcBorders>
                  <w:vAlign w:val="center"/>
                </w:tcPr>
                <w:p w14:paraId="705827D1">
                  <w:pPr>
                    <w:widowControl w:val="0"/>
                    <w:numPr>
                      <w:ilvl w:val="0"/>
                      <w:numId w:val="0"/>
                    </w:numPr>
                    <w:spacing w:line="240" w:lineRule="auto"/>
                    <w:jc w:val="center"/>
                    <w:rPr>
                      <w:rFonts w:hint="eastAsia" w:ascii="Times New Roman" w:hAnsi="Times New Roman" w:cs="Times New Roman"/>
                      <w:b w:val="0"/>
                      <w:bCs w:val="0"/>
                      <w:color w:val="auto"/>
                      <w:sz w:val="18"/>
                      <w:szCs w:val="18"/>
                      <w:vertAlign w:val="baseline"/>
                      <w:lang w:val="en-US" w:eastAsia="zh-CN"/>
                    </w:rPr>
                  </w:pPr>
                  <w:r>
                    <w:rPr>
                      <w:rFonts w:hint="eastAsia" w:ascii="Times New Roman" w:hAnsi="Times New Roman" w:cs="Times New Roman"/>
                      <w:b/>
                      <w:bCs/>
                      <w:color w:val="auto"/>
                      <w:sz w:val="18"/>
                      <w:szCs w:val="18"/>
                      <w:vertAlign w:val="baseline"/>
                      <w:lang w:val="en-US" w:eastAsia="zh-CN"/>
                    </w:rPr>
                    <w:t>推动环境应急基础设施建设。</w:t>
                  </w:r>
                  <w:r>
                    <w:rPr>
                      <w:rFonts w:hint="eastAsia" w:ascii="Times New Roman" w:hAnsi="Times New Roman" w:cs="Times New Roman"/>
                      <w:b w:val="0"/>
                      <w:bCs w:val="0"/>
                      <w:color w:val="auto"/>
                      <w:sz w:val="18"/>
                      <w:szCs w:val="18"/>
                      <w:vertAlign w:val="baseline"/>
                      <w:lang w:val="en-US" w:eastAsia="zh-CN"/>
                    </w:rPr>
                    <w:t>构筑企业“风险单元-管网应急池-厂界”的突发水污染事件“三道防线”，设置环境风险单元初期雨水及事故水截流、导流措施，建设排水管网雨污分流系统和事故应急池等事故水收集设施，厂区雨水排口配备手自一体开关切换装置，上述点位均接入企业自动化监控系统。重大、较大风险企业分别于2024年底、2025年底前完成改造。排放有毒有害大气污染物的企业要建立环境风险预警体系，将在线监测数据接入重大危险源监测监控系统。</w:t>
                  </w:r>
                </w:p>
              </w:tc>
              <w:tc>
                <w:tcPr>
                  <w:tcW w:w="2711" w:type="dxa"/>
                  <w:tcBorders>
                    <w:tl2br w:val="nil"/>
                    <w:tr2bl w:val="nil"/>
                  </w:tcBorders>
                  <w:vAlign w:val="center"/>
                </w:tcPr>
                <w:p w14:paraId="25D72490">
                  <w:pPr>
                    <w:widowControl w:val="0"/>
                    <w:numPr>
                      <w:ilvl w:val="0"/>
                      <w:numId w:val="0"/>
                    </w:numPr>
                    <w:spacing w:line="240" w:lineRule="auto"/>
                    <w:jc w:val="center"/>
                    <w:rPr>
                      <w:rFonts w:hint="eastAsia" w:ascii="Times New Roman" w:hAnsi="Times New Roman" w:cs="Times New Roman"/>
                      <w:b w:val="0"/>
                      <w:bCs w:val="0"/>
                      <w:color w:val="auto"/>
                      <w:sz w:val="18"/>
                      <w:szCs w:val="18"/>
                      <w:vertAlign w:val="baseline"/>
                      <w:lang w:val="en-US" w:eastAsia="zh-CN"/>
                    </w:rPr>
                  </w:pPr>
                  <w:r>
                    <w:rPr>
                      <w:rFonts w:hint="eastAsia" w:ascii="Times New Roman" w:hAnsi="Times New Roman" w:cs="Times New Roman"/>
                      <w:b w:val="0"/>
                      <w:bCs w:val="0"/>
                      <w:color w:val="auto"/>
                      <w:sz w:val="18"/>
                      <w:szCs w:val="18"/>
                      <w:vertAlign w:val="baseline"/>
                      <w:lang w:val="en-US" w:eastAsia="zh-CN"/>
                    </w:rPr>
                    <w:t>企业已建35立方应急事故池、事故水截流、导流措施。厂区雨水排口配备手自一体开关切换装置，上述点位均接入企业自动化监控系统。</w:t>
                  </w:r>
                </w:p>
              </w:tc>
              <w:tc>
                <w:tcPr>
                  <w:tcW w:w="766" w:type="dxa"/>
                  <w:tcBorders>
                    <w:tl2br w:val="nil"/>
                    <w:tr2bl w:val="nil"/>
                  </w:tcBorders>
                  <w:vAlign w:val="center"/>
                </w:tcPr>
                <w:p w14:paraId="56D51C34">
                  <w:pPr>
                    <w:widowControl w:val="0"/>
                    <w:numPr>
                      <w:ilvl w:val="0"/>
                      <w:numId w:val="0"/>
                    </w:numPr>
                    <w:spacing w:line="240" w:lineRule="auto"/>
                    <w:jc w:val="center"/>
                    <w:rPr>
                      <w:rFonts w:hint="eastAsia" w:ascii="Times New Roman" w:hAnsi="Times New Roman" w:cs="Times New Roman"/>
                      <w:b w:val="0"/>
                      <w:bCs w:val="0"/>
                      <w:color w:val="auto"/>
                      <w:sz w:val="18"/>
                      <w:szCs w:val="18"/>
                      <w:vertAlign w:val="baseline"/>
                      <w:lang w:val="en-US" w:eastAsia="zh-CN"/>
                    </w:rPr>
                  </w:pPr>
                  <w:r>
                    <w:rPr>
                      <w:rFonts w:hint="eastAsia" w:ascii="Times New Roman" w:hAnsi="Times New Roman" w:cs="Times New Roman"/>
                      <w:b w:val="0"/>
                      <w:bCs w:val="0"/>
                      <w:color w:val="auto"/>
                      <w:sz w:val="18"/>
                      <w:szCs w:val="18"/>
                      <w:vertAlign w:val="baseline"/>
                      <w:lang w:val="en-US" w:eastAsia="zh-CN"/>
                    </w:rPr>
                    <w:t>符合</w:t>
                  </w:r>
                </w:p>
              </w:tc>
            </w:tr>
            <w:tr w14:paraId="3DA7AB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42" w:hRule="atLeast"/>
                <w:jc w:val="center"/>
              </w:trPr>
              <w:tc>
                <w:tcPr>
                  <w:tcW w:w="4662" w:type="dxa"/>
                  <w:tcBorders>
                    <w:tl2br w:val="nil"/>
                    <w:tr2bl w:val="nil"/>
                  </w:tcBorders>
                  <w:vAlign w:val="center"/>
                </w:tcPr>
                <w:p w14:paraId="351454EB">
                  <w:pPr>
                    <w:widowControl w:val="0"/>
                    <w:numPr>
                      <w:ilvl w:val="0"/>
                      <w:numId w:val="0"/>
                    </w:numPr>
                    <w:spacing w:line="240" w:lineRule="auto"/>
                    <w:jc w:val="center"/>
                    <w:rPr>
                      <w:rFonts w:hint="eastAsia" w:ascii="Times New Roman" w:hAnsi="Times New Roman" w:cs="Times New Roman"/>
                      <w:b w:val="0"/>
                      <w:bCs w:val="0"/>
                      <w:color w:val="auto"/>
                      <w:sz w:val="18"/>
                      <w:szCs w:val="18"/>
                      <w:vertAlign w:val="baseline"/>
                      <w:lang w:val="en-US" w:eastAsia="zh-CN"/>
                    </w:rPr>
                  </w:pPr>
                  <w:r>
                    <w:rPr>
                      <w:rFonts w:hint="eastAsia" w:ascii="Times New Roman" w:hAnsi="Times New Roman" w:cs="Times New Roman"/>
                      <w:b/>
                      <w:bCs/>
                      <w:color w:val="auto"/>
                      <w:sz w:val="18"/>
                      <w:szCs w:val="18"/>
                      <w:vertAlign w:val="baseline"/>
                      <w:lang w:val="en-US" w:eastAsia="zh-CN"/>
                    </w:rPr>
                    <w:t>强化常态化隐患排查治理。</w:t>
                  </w:r>
                  <w:r>
                    <w:rPr>
                      <w:rFonts w:hint="eastAsia" w:ascii="Times New Roman" w:hAnsi="Times New Roman" w:cs="Times New Roman"/>
                      <w:b w:val="0"/>
                      <w:bCs w:val="0"/>
                      <w:color w:val="auto"/>
                      <w:sz w:val="18"/>
                      <w:szCs w:val="18"/>
                      <w:vertAlign w:val="baseline"/>
                      <w:lang w:val="en-US" w:eastAsia="zh-CN"/>
                    </w:rPr>
                    <w:t>环境风险企业建立常态化隐患排查制度。较大以上等级风险企业每半年至少开展一次全面综合排查，每月至少开展一次环境风险单元巡视排查，列出隐患清单限期整改闭环。每半年至少开展一次专项培训，提升主动发现和解决环境隐患问题的意愿和能力。</w:t>
                  </w:r>
                </w:p>
              </w:tc>
              <w:tc>
                <w:tcPr>
                  <w:tcW w:w="2711" w:type="dxa"/>
                  <w:tcBorders>
                    <w:tl2br w:val="nil"/>
                    <w:tr2bl w:val="nil"/>
                  </w:tcBorders>
                  <w:vAlign w:val="center"/>
                </w:tcPr>
                <w:p w14:paraId="745A8B98">
                  <w:pPr>
                    <w:widowControl w:val="0"/>
                    <w:numPr>
                      <w:ilvl w:val="0"/>
                      <w:numId w:val="0"/>
                    </w:numPr>
                    <w:spacing w:line="240" w:lineRule="auto"/>
                    <w:jc w:val="center"/>
                    <w:rPr>
                      <w:rFonts w:hint="eastAsia" w:ascii="Times New Roman" w:hAnsi="Times New Roman" w:cs="Times New Roman"/>
                      <w:b w:val="0"/>
                      <w:bCs w:val="0"/>
                      <w:color w:val="auto"/>
                      <w:sz w:val="18"/>
                      <w:szCs w:val="18"/>
                      <w:vertAlign w:val="baseline"/>
                      <w:lang w:val="en-US" w:eastAsia="zh-CN"/>
                    </w:rPr>
                  </w:pPr>
                  <w:r>
                    <w:rPr>
                      <w:rFonts w:hint="eastAsia" w:ascii="Times New Roman" w:hAnsi="Times New Roman" w:cs="Times New Roman"/>
                      <w:b w:val="0"/>
                      <w:bCs w:val="0"/>
                      <w:color w:val="auto"/>
                      <w:sz w:val="18"/>
                      <w:szCs w:val="18"/>
                      <w:vertAlign w:val="baseline"/>
                      <w:lang w:val="en-US" w:eastAsia="zh-CN"/>
                    </w:rPr>
                    <w:t>项目建成后，企业拟建立常态化隐患排查制度，定期开展隐患排查，及专项培训。</w:t>
                  </w:r>
                </w:p>
              </w:tc>
              <w:tc>
                <w:tcPr>
                  <w:tcW w:w="766" w:type="dxa"/>
                  <w:tcBorders>
                    <w:tl2br w:val="nil"/>
                    <w:tr2bl w:val="nil"/>
                  </w:tcBorders>
                  <w:vAlign w:val="center"/>
                </w:tcPr>
                <w:p w14:paraId="55EECC05">
                  <w:pPr>
                    <w:widowControl w:val="0"/>
                    <w:numPr>
                      <w:ilvl w:val="0"/>
                      <w:numId w:val="0"/>
                    </w:numPr>
                    <w:spacing w:line="240" w:lineRule="auto"/>
                    <w:jc w:val="center"/>
                    <w:rPr>
                      <w:rFonts w:hint="eastAsia" w:ascii="Times New Roman" w:hAnsi="Times New Roman" w:cs="Times New Roman"/>
                      <w:b w:val="0"/>
                      <w:bCs w:val="0"/>
                      <w:color w:val="auto"/>
                      <w:sz w:val="18"/>
                      <w:szCs w:val="18"/>
                      <w:vertAlign w:val="baseline"/>
                      <w:lang w:val="en-US" w:eastAsia="zh-CN"/>
                    </w:rPr>
                  </w:pPr>
                  <w:r>
                    <w:rPr>
                      <w:rFonts w:hint="eastAsia" w:ascii="Times New Roman" w:hAnsi="Times New Roman" w:cs="Times New Roman"/>
                      <w:b w:val="0"/>
                      <w:bCs w:val="0"/>
                      <w:color w:val="auto"/>
                      <w:sz w:val="18"/>
                      <w:szCs w:val="18"/>
                      <w:vertAlign w:val="baseline"/>
                      <w:lang w:val="en-US" w:eastAsia="zh-CN"/>
                    </w:rPr>
                    <w:t>符合</w:t>
                  </w:r>
                </w:p>
              </w:tc>
            </w:tr>
          </w:tbl>
          <w:p w14:paraId="1D8B6125">
            <w:pPr>
              <w:pStyle w:val="4"/>
              <w:bidi w:val="0"/>
              <w:spacing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6、风险结论</w:t>
            </w:r>
          </w:p>
          <w:p w14:paraId="4D28DF2B">
            <w:pPr>
              <w:pStyle w:val="12"/>
              <w:numPr>
                <w:ilvl w:val="0"/>
                <w:numId w:val="0"/>
              </w:numPr>
              <w:spacing w:line="360" w:lineRule="auto"/>
              <w:ind w:leftChars="0" w:right="0" w:rightChars="0"/>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bCs/>
                <w:color w:val="auto"/>
                <w:spacing w:val="-10"/>
                <w:sz w:val="21"/>
                <w:szCs w:val="21"/>
                <w:highlight w:val="none"/>
                <w:lang w:val="en-US" w:eastAsia="zh-CN" w:bidi="zh-CN"/>
              </w:rPr>
              <w:t xml:space="preserve">     </w:t>
            </w:r>
            <w:r>
              <w:rPr>
                <w:rFonts w:hint="default" w:ascii="Times New Roman" w:hAnsi="Times New Roman" w:eastAsia="宋体" w:cs="Times New Roman"/>
                <w:color w:val="auto"/>
                <w:sz w:val="21"/>
                <w:szCs w:val="21"/>
                <w:lang w:val="zh-CN" w:eastAsia="zh-CN" w:bidi="zh-CN"/>
              </w:rPr>
              <w:t>企业认真落实各种风险防范措施，通过相应的技术手段降低风险发生概率，并在风险事故发生后，及时采取风险防范措施和应急预案，可</w:t>
            </w:r>
            <w:r>
              <w:rPr>
                <w:rFonts w:hint="default" w:ascii="Times New Roman" w:hAnsi="Times New Roman" w:eastAsia="宋体" w:cs="Times New Roman"/>
                <w:color w:val="auto"/>
                <w:sz w:val="21"/>
                <w:szCs w:val="21"/>
                <w:lang w:val="en-US" w:eastAsia="zh-CN" w:bidi="zh-CN"/>
              </w:rPr>
              <w:t>最大程度上减少对环境的危害，本项目对环境的风险影响可接受。</w:t>
            </w:r>
          </w:p>
          <w:p w14:paraId="493E037E">
            <w:pPr>
              <w:pStyle w:val="3"/>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（八）电磁辐射</w:t>
            </w:r>
          </w:p>
          <w:p w14:paraId="35878616">
            <w:pPr>
              <w:adjustRightInd w:val="0"/>
              <w:snapToGrid w:val="0"/>
              <w:ind w:firstLine="420" w:firstLineChars="200"/>
              <w:rPr>
                <w:rFonts w:hint="eastAsia" w:ascii="宋体" w:hAnsi="宋体" w:cs="宋体"/>
                <w:bCs/>
                <w:color w:val="auto"/>
                <w:spacing w:val="-10"/>
                <w:szCs w:val="21"/>
                <w:lang w:eastAsia="zh-CN"/>
              </w:rPr>
            </w:pPr>
            <w:r>
              <w:rPr>
                <w:rFonts w:hint="default" w:ascii="Times New Roman" w:hAnsi="Times New Roman" w:eastAsia="宋体" w:cs="Times New Roman"/>
                <w:b w:val="0"/>
                <w:color w:val="auto"/>
                <w:kern w:val="0"/>
                <w:sz w:val="21"/>
                <w:szCs w:val="21"/>
                <w:lang w:val="en-US" w:eastAsia="zh-CN" w:bidi="ar"/>
              </w:rPr>
              <w:t>本项目</w:t>
            </w:r>
            <w:r>
              <w:rPr>
                <w:rFonts w:hint="eastAsia" w:ascii="Times New Roman" w:hAnsi="Times New Roman" w:eastAsia="宋体" w:cs="Times New Roman"/>
                <w:b w:val="0"/>
                <w:color w:val="auto"/>
                <w:kern w:val="0"/>
                <w:sz w:val="21"/>
                <w:szCs w:val="21"/>
                <w:lang w:val="en-US" w:eastAsia="zh-CN" w:bidi="ar"/>
              </w:rPr>
              <w:t>使用的设备及工艺均</w:t>
            </w:r>
            <w:r>
              <w:rPr>
                <w:rFonts w:hint="default" w:ascii="Times New Roman" w:hAnsi="Times New Roman" w:eastAsia="宋体" w:cs="Times New Roman"/>
                <w:b w:val="0"/>
                <w:color w:val="auto"/>
                <w:kern w:val="0"/>
                <w:sz w:val="21"/>
                <w:szCs w:val="21"/>
                <w:lang w:val="en-US" w:eastAsia="zh-CN" w:bidi="ar"/>
              </w:rPr>
              <w:t>不涉及电磁辐射</w:t>
            </w:r>
            <w:r>
              <w:rPr>
                <w:rFonts w:hint="default" w:ascii="Times New Roman" w:hAnsi="Times New Roman" w:cs="Times New Roman"/>
                <w:b w:val="0"/>
                <w:bCs w:val="0"/>
                <w:color w:val="auto"/>
                <w:spacing w:val="-10"/>
                <w:sz w:val="21"/>
                <w:szCs w:val="21"/>
                <w:highlight w:val="none"/>
                <w:lang w:val="en-US" w:eastAsia="zh-CN"/>
              </w:rPr>
              <w:t>。</w:t>
            </w:r>
          </w:p>
          <w:p w14:paraId="033F5E7F">
            <w:pPr>
              <w:adjustRightInd w:val="0"/>
              <w:snapToGrid w:val="0"/>
              <w:rPr>
                <w:rFonts w:hint="eastAsia" w:ascii="宋体" w:hAnsi="宋体" w:eastAsia="宋体" w:cs="宋体"/>
                <w:bCs/>
                <w:color w:val="auto"/>
                <w:spacing w:val="-10"/>
                <w:szCs w:val="21"/>
                <w:lang w:eastAsia="zh-CN"/>
              </w:rPr>
            </w:pPr>
          </w:p>
        </w:tc>
      </w:tr>
    </w:tbl>
    <w:p w14:paraId="48F1AB11">
      <w:pPr>
        <w:rPr>
          <w:rFonts w:hint="eastAsia"/>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0CF4B78B">
      <w:pPr>
        <w:pStyle w:val="2"/>
        <w:bidi w:val="0"/>
        <w:rPr>
          <w:color w:val="auto"/>
        </w:rPr>
      </w:pPr>
      <w:bookmarkStart w:id="21" w:name="_Toc4775"/>
      <w:r>
        <w:rPr>
          <w:rFonts w:hint="eastAsia"/>
          <w:color w:val="auto"/>
        </w:rPr>
        <w:t>五、</w:t>
      </w:r>
      <w:bookmarkStart w:id="22" w:name="_Hlk54167917"/>
      <w:r>
        <w:rPr>
          <w:rFonts w:hint="eastAsia"/>
          <w:color w:val="auto"/>
        </w:rPr>
        <w:t>环境保护措施监督检查清单</w:t>
      </w:r>
      <w:bookmarkEnd w:id="21"/>
      <w:bookmarkEnd w:id="22"/>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1746"/>
        <w:gridCol w:w="1329"/>
        <w:gridCol w:w="1365"/>
        <w:gridCol w:w="1412"/>
        <w:gridCol w:w="1812"/>
      </w:tblGrid>
      <w:tr w14:paraId="2B37A9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96" w:type="dxa"/>
            <w:tcBorders>
              <w:tl2br w:val="single" w:color="auto" w:sz="4" w:space="0"/>
            </w:tcBorders>
            <w:noWrap w:val="0"/>
            <w:vAlign w:val="top"/>
          </w:tcPr>
          <w:p w14:paraId="1747C320">
            <w:pPr>
              <w:adjustRightInd w:val="0"/>
              <w:snapToGrid w:val="0"/>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内容</w:t>
            </w:r>
          </w:p>
          <w:p w14:paraId="6E55C54D">
            <w:pPr>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要素</w:t>
            </w:r>
          </w:p>
        </w:tc>
        <w:tc>
          <w:tcPr>
            <w:tcW w:w="1746" w:type="dxa"/>
            <w:noWrap w:val="0"/>
            <w:vAlign w:val="center"/>
          </w:tcPr>
          <w:p w14:paraId="2BC5ECFD">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排放口(编号、</w:t>
            </w:r>
          </w:p>
          <w:p w14:paraId="5E30A7D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名称)/污染源</w:t>
            </w:r>
          </w:p>
        </w:tc>
        <w:tc>
          <w:tcPr>
            <w:tcW w:w="1329" w:type="dxa"/>
            <w:noWrap w:val="0"/>
            <w:vAlign w:val="center"/>
          </w:tcPr>
          <w:p w14:paraId="2AFE4AE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污染物项目</w:t>
            </w:r>
          </w:p>
        </w:tc>
        <w:tc>
          <w:tcPr>
            <w:tcW w:w="1365" w:type="dxa"/>
            <w:noWrap w:val="0"/>
            <w:vAlign w:val="center"/>
          </w:tcPr>
          <w:p w14:paraId="46DBF23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环境保护措施</w:t>
            </w:r>
          </w:p>
        </w:tc>
        <w:tc>
          <w:tcPr>
            <w:tcW w:w="1412" w:type="dxa"/>
            <w:noWrap w:val="0"/>
            <w:vAlign w:val="center"/>
          </w:tcPr>
          <w:p w14:paraId="69EA311C">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标准限值</w:t>
            </w:r>
          </w:p>
        </w:tc>
        <w:tc>
          <w:tcPr>
            <w:tcW w:w="1812" w:type="dxa"/>
            <w:noWrap w:val="0"/>
            <w:vAlign w:val="center"/>
          </w:tcPr>
          <w:p w14:paraId="0661FCE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执行标准</w:t>
            </w:r>
          </w:p>
        </w:tc>
      </w:tr>
      <w:tr w14:paraId="345886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196" w:type="dxa"/>
            <w:vMerge w:val="restart"/>
            <w:noWrap w:val="0"/>
            <w:vAlign w:val="center"/>
          </w:tcPr>
          <w:p w14:paraId="489B471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大气环境</w:t>
            </w:r>
          </w:p>
        </w:tc>
        <w:tc>
          <w:tcPr>
            <w:tcW w:w="1746" w:type="dxa"/>
            <w:vMerge w:val="restart"/>
            <w:noWrap w:val="0"/>
            <w:vAlign w:val="center"/>
          </w:tcPr>
          <w:p w14:paraId="63279117">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DA016</w:t>
            </w:r>
            <w:r>
              <w:rPr>
                <w:rFonts w:hint="default" w:ascii="Times New Roman" w:hAnsi="Times New Roman" w:cs="Times New Roman"/>
                <w:color w:val="auto"/>
                <w:sz w:val="21"/>
                <w:szCs w:val="21"/>
                <w:lang w:val="en-US" w:eastAsia="zh-CN"/>
              </w:rPr>
              <w:t>排气筒</w:t>
            </w:r>
          </w:p>
        </w:tc>
        <w:tc>
          <w:tcPr>
            <w:tcW w:w="1329" w:type="dxa"/>
            <w:noWrap w:val="0"/>
            <w:vAlign w:val="center"/>
          </w:tcPr>
          <w:p w14:paraId="37C8672B">
            <w:pPr>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kern w:val="2"/>
                <w:sz w:val="21"/>
                <w:szCs w:val="21"/>
                <w:vertAlign w:val="baseline"/>
                <w:lang w:val="en-US" w:eastAsia="zh-CN" w:bidi="ar-SA"/>
              </w:rPr>
              <w:t>颗粒物</w:t>
            </w:r>
          </w:p>
        </w:tc>
        <w:tc>
          <w:tcPr>
            <w:tcW w:w="1365" w:type="dxa"/>
            <w:vMerge w:val="restart"/>
            <w:noWrap w:val="0"/>
            <w:vAlign w:val="center"/>
          </w:tcPr>
          <w:p w14:paraId="3AE86292">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干式漆雾过滤器+二级活性炭吸附装置</w:t>
            </w:r>
          </w:p>
        </w:tc>
        <w:tc>
          <w:tcPr>
            <w:tcW w:w="1412" w:type="dxa"/>
            <w:noWrap w:val="0"/>
            <w:vAlign w:val="center"/>
          </w:tcPr>
          <w:p w14:paraId="79786317">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lang w:val="en-US" w:eastAsia="zh-CN"/>
              </w:rPr>
              <w:t>，0.6k</w:t>
            </w:r>
            <w:r>
              <w:rPr>
                <w:rFonts w:hint="default" w:ascii="Times New Roman" w:hAnsi="Times New Roman" w:cs="Times New Roman"/>
                <w:color w:val="auto"/>
                <w:sz w:val="21"/>
                <w:szCs w:val="21"/>
              </w:rPr>
              <w:t>g/h</w:t>
            </w:r>
          </w:p>
        </w:tc>
        <w:tc>
          <w:tcPr>
            <w:tcW w:w="1812" w:type="dxa"/>
            <w:vMerge w:val="restart"/>
            <w:noWrap w:val="0"/>
            <w:vAlign w:val="center"/>
          </w:tcPr>
          <w:p w14:paraId="22878107">
            <w:pPr>
              <w:wordWrap w:val="0"/>
              <w:spacing w:line="240" w:lineRule="exact"/>
              <w:jc w:val="center"/>
              <w:rPr>
                <w:rFonts w:hint="default" w:ascii="Times New Roman" w:hAnsi="Times New Roman" w:eastAsia="宋体" w:cs="Times New Roman"/>
                <w:b w:val="0"/>
                <w:bCs w:val="0"/>
                <w:color w:val="auto"/>
                <w:kern w:val="2"/>
                <w:sz w:val="21"/>
                <w:szCs w:val="21"/>
                <w:vertAlign w:val="baseline"/>
                <w:lang w:val="en-US" w:eastAsia="zh-CN" w:bidi="zh-CN"/>
              </w:rPr>
            </w:pPr>
            <w:r>
              <w:rPr>
                <w:rFonts w:hint="eastAsia"/>
                <w:color w:val="auto"/>
                <w:sz w:val="21"/>
                <w:szCs w:val="21"/>
                <w:highlight w:val="none"/>
              </w:rPr>
              <w:t>《表面涂装（汽车零部件）大气污染物排放标准》（DB32/3966-2021）表1中标准</w:t>
            </w:r>
          </w:p>
        </w:tc>
      </w:tr>
      <w:tr w14:paraId="49C8F3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196" w:type="dxa"/>
            <w:vMerge w:val="continue"/>
            <w:noWrap w:val="0"/>
            <w:vAlign w:val="center"/>
          </w:tcPr>
          <w:p w14:paraId="783100A3">
            <w:pPr>
              <w:adjustRightInd w:val="0"/>
              <w:snapToGrid w:val="0"/>
              <w:spacing w:line="240" w:lineRule="auto"/>
              <w:jc w:val="center"/>
              <w:rPr>
                <w:color w:val="auto"/>
              </w:rPr>
            </w:pPr>
          </w:p>
        </w:tc>
        <w:tc>
          <w:tcPr>
            <w:tcW w:w="1746" w:type="dxa"/>
            <w:vMerge w:val="continue"/>
            <w:noWrap w:val="0"/>
            <w:vAlign w:val="center"/>
          </w:tcPr>
          <w:p w14:paraId="74FAD4F5">
            <w:pPr>
              <w:adjustRightInd w:val="0"/>
              <w:snapToGrid w:val="0"/>
              <w:spacing w:line="240" w:lineRule="auto"/>
              <w:jc w:val="center"/>
              <w:rPr>
                <w:color w:val="auto"/>
              </w:rPr>
            </w:pPr>
          </w:p>
        </w:tc>
        <w:tc>
          <w:tcPr>
            <w:tcW w:w="1329" w:type="dxa"/>
            <w:noWrap w:val="0"/>
            <w:vAlign w:val="center"/>
          </w:tcPr>
          <w:p w14:paraId="38673103">
            <w:pPr>
              <w:adjustRightInd w:val="0"/>
              <w:snapToGrid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kern w:val="2"/>
                <w:sz w:val="21"/>
                <w:szCs w:val="21"/>
                <w:vertAlign w:val="baseline"/>
                <w:lang w:val="en-US" w:eastAsia="zh-CN" w:bidi="ar-SA"/>
              </w:rPr>
              <w:t>非甲烷总烃</w:t>
            </w:r>
          </w:p>
        </w:tc>
        <w:tc>
          <w:tcPr>
            <w:tcW w:w="1365" w:type="dxa"/>
            <w:vMerge w:val="continue"/>
            <w:noWrap w:val="0"/>
            <w:vAlign w:val="center"/>
          </w:tcPr>
          <w:p w14:paraId="34CB3451">
            <w:pPr>
              <w:adjustRightInd w:val="0"/>
              <w:snapToGrid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p>
        </w:tc>
        <w:tc>
          <w:tcPr>
            <w:tcW w:w="1412" w:type="dxa"/>
            <w:noWrap w:val="0"/>
            <w:vAlign w:val="center"/>
          </w:tcPr>
          <w:p w14:paraId="0991E77E">
            <w:pPr>
              <w:adjustRightInd w:val="0"/>
              <w:snapToGrid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color w:val="auto"/>
                <w:sz w:val="21"/>
                <w:szCs w:val="21"/>
                <w:lang w:val="en-US" w:eastAsia="zh-CN"/>
              </w:rPr>
              <w:t>40</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1.8</w:t>
            </w:r>
            <w:r>
              <w:rPr>
                <w:rFonts w:hint="default" w:ascii="Times New Roman" w:hAnsi="Times New Roman" w:cs="Times New Roman"/>
                <w:color w:val="auto"/>
                <w:sz w:val="21"/>
                <w:szCs w:val="21"/>
                <w:lang w:val="en-US" w:eastAsia="zh-CN"/>
              </w:rPr>
              <w:t>k</w:t>
            </w:r>
            <w:r>
              <w:rPr>
                <w:rFonts w:hint="default" w:ascii="Times New Roman" w:hAnsi="Times New Roman" w:cs="Times New Roman"/>
                <w:color w:val="auto"/>
                <w:sz w:val="21"/>
                <w:szCs w:val="21"/>
              </w:rPr>
              <w:t>g/h</w:t>
            </w:r>
          </w:p>
        </w:tc>
        <w:tc>
          <w:tcPr>
            <w:tcW w:w="1812" w:type="dxa"/>
            <w:vMerge w:val="continue"/>
            <w:noWrap w:val="0"/>
            <w:vAlign w:val="center"/>
          </w:tcPr>
          <w:p w14:paraId="20351076">
            <w:pPr>
              <w:adjustRightInd w:val="0"/>
              <w:snapToGrid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p>
        </w:tc>
      </w:tr>
      <w:tr w14:paraId="468D55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196" w:type="dxa"/>
            <w:vMerge w:val="continue"/>
            <w:noWrap w:val="0"/>
            <w:vAlign w:val="center"/>
          </w:tcPr>
          <w:p w14:paraId="5DDF889F">
            <w:pPr>
              <w:adjustRightInd w:val="0"/>
              <w:snapToGrid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p>
        </w:tc>
        <w:tc>
          <w:tcPr>
            <w:tcW w:w="1746" w:type="dxa"/>
            <w:vMerge w:val="continue"/>
            <w:noWrap w:val="0"/>
            <w:vAlign w:val="center"/>
          </w:tcPr>
          <w:p w14:paraId="5728056A">
            <w:pPr>
              <w:adjustRightInd w:val="0"/>
              <w:snapToGrid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p>
        </w:tc>
        <w:tc>
          <w:tcPr>
            <w:tcW w:w="1329" w:type="dxa"/>
            <w:noWrap w:val="0"/>
            <w:vAlign w:val="center"/>
          </w:tcPr>
          <w:p w14:paraId="7960EBB7">
            <w:pPr>
              <w:adjustRightInd w:val="0"/>
              <w:snapToGrid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kern w:val="2"/>
                <w:sz w:val="21"/>
                <w:szCs w:val="21"/>
                <w:vertAlign w:val="baseline"/>
                <w:lang w:val="en-US" w:eastAsia="zh-CN" w:bidi="ar-SA"/>
              </w:rPr>
              <w:t>TVOC</w:t>
            </w:r>
          </w:p>
        </w:tc>
        <w:tc>
          <w:tcPr>
            <w:tcW w:w="1365" w:type="dxa"/>
            <w:vMerge w:val="continue"/>
            <w:noWrap w:val="0"/>
            <w:vAlign w:val="center"/>
          </w:tcPr>
          <w:p w14:paraId="4A72D512">
            <w:pPr>
              <w:adjustRightInd w:val="0"/>
              <w:snapToGrid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p>
        </w:tc>
        <w:tc>
          <w:tcPr>
            <w:tcW w:w="1412" w:type="dxa"/>
            <w:noWrap w:val="0"/>
            <w:vAlign w:val="center"/>
          </w:tcPr>
          <w:p w14:paraId="56F9F808">
            <w:pPr>
              <w:adjustRightInd w:val="0"/>
              <w:snapToGrid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color w:val="auto"/>
                <w:sz w:val="21"/>
                <w:szCs w:val="21"/>
                <w:lang w:val="en-US" w:eastAsia="zh-CN"/>
              </w:rPr>
              <w:t>60</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2.0</w:t>
            </w:r>
            <w:r>
              <w:rPr>
                <w:rFonts w:hint="default" w:ascii="Times New Roman" w:hAnsi="Times New Roman" w:cs="Times New Roman"/>
                <w:color w:val="auto"/>
                <w:sz w:val="21"/>
                <w:szCs w:val="21"/>
                <w:lang w:val="en-US" w:eastAsia="zh-CN"/>
              </w:rPr>
              <w:t>k</w:t>
            </w:r>
            <w:r>
              <w:rPr>
                <w:rFonts w:hint="default" w:ascii="Times New Roman" w:hAnsi="Times New Roman" w:cs="Times New Roman"/>
                <w:color w:val="auto"/>
                <w:sz w:val="21"/>
                <w:szCs w:val="21"/>
              </w:rPr>
              <w:t>g/h</w:t>
            </w:r>
          </w:p>
        </w:tc>
        <w:tc>
          <w:tcPr>
            <w:tcW w:w="1812" w:type="dxa"/>
            <w:vMerge w:val="continue"/>
            <w:noWrap w:val="0"/>
            <w:vAlign w:val="center"/>
          </w:tcPr>
          <w:p w14:paraId="26BEB0EC">
            <w:pPr>
              <w:adjustRightInd w:val="0"/>
              <w:snapToGrid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p>
        </w:tc>
      </w:tr>
      <w:tr w14:paraId="47CB04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196" w:type="dxa"/>
            <w:vMerge w:val="continue"/>
            <w:noWrap w:val="0"/>
            <w:vAlign w:val="center"/>
          </w:tcPr>
          <w:p w14:paraId="36925C63">
            <w:pPr>
              <w:adjustRightInd w:val="0"/>
              <w:snapToGrid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p>
        </w:tc>
        <w:tc>
          <w:tcPr>
            <w:tcW w:w="1746" w:type="dxa"/>
            <w:noWrap w:val="0"/>
            <w:vAlign w:val="center"/>
          </w:tcPr>
          <w:p w14:paraId="0B1CD4ED">
            <w:pPr>
              <w:adjustRightInd w:val="0"/>
              <w:snapToGrid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kern w:val="2"/>
                <w:sz w:val="21"/>
                <w:szCs w:val="21"/>
                <w:vertAlign w:val="baseline"/>
                <w:lang w:val="en-US" w:eastAsia="zh-CN" w:bidi="ar-SA"/>
              </w:rPr>
              <w:t>DA010排气筒</w:t>
            </w:r>
          </w:p>
        </w:tc>
        <w:tc>
          <w:tcPr>
            <w:tcW w:w="1329" w:type="dxa"/>
            <w:noWrap w:val="0"/>
            <w:vAlign w:val="center"/>
          </w:tcPr>
          <w:p w14:paraId="69586D61">
            <w:pPr>
              <w:adjustRightInd w:val="0"/>
              <w:snapToGrid w:val="0"/>
              <w:spacing w:line="240" w:lineRule="auto"/>
              <w:jc w:val="center"/>
              <w:rPr>
                <w:rFonts w:hint="default" w:cs="Times New Roman"/>
                <w:b w:val="0"/>
                <w:bCs w:val="0"/>
                <w:color w:val="auto"/>
                <w:kern w:val="2"/>
                <w:sz w:val="21"/>
                <w:szCs w:val="21"/>
                <w:vertAlign w:val="baseline"/>
                <w:lang w:val="en-US" w:eastAsia="zh-CN" w:bidi="ar-SA"/>
              </w:rPr>
            </w:pPr>
            <w:r>
              <w:rPr>
                <w:rFonts w:hint="eastAsia" w:cs="Times New Roman"/>
                <w:b w:val="0"/>
                <w:bCs w:val="0"/>
                <w:color w:val="auto"/>
                <w:kern w:val="2"/>
                <w:sz w:val="21"/>
                <w:szCs w:val="21"/>
                <w:vertAlign w:val="baseline"/>
                <w:lang w:val="en-US" w:eastAsia="zh-CN" w:bidi="ar-SA"/>
              </w:rPr>
              <w:t>非甲烷总烃</w:t>
            </w:r>
          </w:p>
        </w:tc>
        <w:tc>
          <w:tcPr>
            <w:tcW w:w="1365" w:type="dxa"/>
            <w:noWrap w:val="0"/>
            <w:vAlign w:val="center"/>
          </w:tcPr>
          <w:p w14:paraId="0567CF13">
            <w:pPr>
              <w:adjustRightInd w:val="0"/>
              <w:snapToGrid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cs="Times New Roman"/>
                <w:b w:val="0"/>
                <w:bCs w:val="0"/>
                <w:color w:val="auto"/>
                <w:kern w:val="2"/>
                <w:sz w:val="21"/>
                <w:szCs w:val="21"/>
                <w:vertAlign w:val="baseline"/>
                <w:lang w:val="en-US" w:eastAsia="zh-CN" w:bidi="ar-SA"/>
              </w:rPr>
              <w:t>活性炭吸附</w:t>
            </w:r>
          </w:p>
        </w:tc>
        <w:tc>
          <w:tcPr>
            <w:tcW w:w="1412" w:type="dxa"/>
            <w:noWrap w:val="0"/>
            <w:vAlign w:val="center"/>
          </w:tcPr>
          <w:p w14:paraId="379A212A">
            <w:pPr>
              <w:adjustRightInd w:val="0"/>
              <w:snapToGrid w:val="0"/>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40</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1.8</w:t>
            </w:r>
            <w:r>
              <w:rPr>
                <w:rFonts w:hint="default" w:ascii="Times New Roman" w:hAnsi="Times New Roman" w:cs="Times New Roman"/>
                <w:color w:val="auto"/>
                <w:sz w:val="21"/>
                <w:szCs w:val="21"/>
                <w:lang w:val="en-US" w:eastAsia="zh-CN"/>
              </w:rPr>
              <w:t>k</w:t>
            </w:r>
            <w:r>
              <w:rPr>
                <w:rFonts w:hint="default" w:ascii="Times New Roman" w:hAnsi="Times New Roman" w:cs="Times New Roman"/>
                <w:color w:val="auto"/>
                <w:sz w:val="21"/>
                <w:szCs w:val="21"/>
              </w:rPr>
              <w:t>g/h</w:t>
            </w:r>
          </w:p>
        </w:tc>
        <w:tc>
          <w:tcPr>
            <w:tcW w:w="1812" w:type="dxa"/>
            <w:vMerge w:val="continue"/>
            <w:noWrap w:val="0"/>
            <w:vAlign w:val="center"/>
          </w:tcPr>
          <w:p w14:paraId="236644CF">
            <w:pPr>
              <w:adjustRightInd w:val="0"/>
              <w:snapToGrid w:val="0"/>
              <w:spacing w:line="240" w:lineRule="auto"/>
              <w:jc w:val="center"/>
              <w:rPr>
                <w:rFonts w:hint="default" w:ascii="Times New Roman" w:hAnsi="Times New Roman" w:eastAsia="宋体" w:cs="Times New Roman"/>
                <w:b w:val="0"/>
                <w:bCs w:val="0"/>
                <w:color w:val="auto"/>
                <w:kern w:val="2"/>
                <w:sz w:val="21"/>
                <w:szCs w:val="21"/>
                <w:vertAlign w:val="baseline"/>
                <w:lang w:val="en-US" w:eastAsia="zh-CN" w:bidi="ar-SA"/>
              </w:rPr>
            </w:pPr>
          </w:p>
        </w:tc>
      </w:tr>
      <w:tr w14:paraId="2CFC75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196" w:type="dxa"/>
            <w:vMerge w:val="continue"/>
            <w:noWrap w:val="0"/>
            <w:vAlign w:val="center"/>
          </w:tcPr>
          <w:p w14:paraId="0C251D76">
            <w:pPr>
              <w:adjustRightInd w:val="0"/>
              <w:snapToGrid w:val="0"/>
              <w:jc w:val="center"/>
              <w:rPr>
                <w:rFonts w:hint="default" w:ascii="Times New Roman" w:hAnsi="Times New Roman" w:cs="Times New Roman"/>
                <w:color w:val="auto"/>
                <w:sz w:val="21"/>
                <w:szCs w:val="21"/>
              </w:rPr>
            </w:pPr>
          </w:p>
        </w:tc>
        <w:tc>
          <w:tcPr>
            <w:tcW w:w="1746" w:type="dxa"/>
            <w:vMerge w:val="restart"/>
            <w:noWrap w:val="0"/>
            <w:vAlign w:val="center"/>
          </w:tcPr>
          <w:p w14:paraId="4AEFE5C6">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厂界</w:t>
            </w:r>
          </w:p>
        </w:tc>
        <w:tc>
          <w:tcPr>
            <w:tcW w:w="1329" w:type="dxa"/>
            <w:noWrap w:val="0"/>
            <w:vAlign w:val="center"/>
          </w:tcPr>
          <w:p w14:paraId="7490E3D0">
            <w:pPr>
              <w:snapToGrid w:val="0"/>
              <w:spacing w:line="240" w:lineRule="auto"/>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颗粒物</w:t>
            </w:r>
          </w:p>
        </w:tc>
        <w:tc>
          <w:tcPr>
            <w:tcW w:w="1365" w:type="dxa"/>
            <w:vMerge w:val="restart"/>
            <w:noWrap w:val="0"/>
            <w:vAlign w:val="center"/>
          </w:tcPr>
          <w:p w14:paraId="2F737120">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412" w:type="dxa"/>
            <w:noWrap w:val="0"/>
            <w:vAlign w:val="center"/>
          </w:tcPr>
          <w:p w14:paraId="3ECEDE1D">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0.5</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1812" w:type="dxa"/>
            <w:vMerge w:val="restart"/>
            <w:noWrap w:val="0"/>
            <w:vAlign w:val="center"/>
          </w:tcPr>
          <w:p w14:paraId="30AF9393">
            <w:pPr>
              <w:wordWrap w:val="0"/>
              <w:spacing w:line="240" w:lineRule="exact"/>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olor w:val="auto"/>
                <w:sz w:val="21"/>
                <w:szCs w:val="21"/>
                <w:highlight w:val="none"/>
              </w:rPr>
              <w:t>《大气污染物综合排放标准》（DB32/4041-2021）表3排放限值</w:t>
            </w:r>
          </w:p>
        </w:tc>
      </w:tr>
      <w:tr w14:paraId="569CF5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196" w:type="dxa"/>
            <w:vMerge w:val="continue"/>
            <w:noWrap w:val="0"/>
            <w:vAlign w:val="center"/>
          </w:tcPr>
          <w:p w14:paraId="429ACD75">
            <w:pPr>
              <w:snapToGrid w:val="0"/>
              <w:spacing w:line="240" w:lineRule="auto"/>
              <w:jc w:val="center"/>
              <w:textAlignment w:val="baseline"/>
              <w:rPr>
                <w:rFonts w:hint="default" w:ascii="Times New Roman" w:hAnsi="Times New Roman" w:cs="Times New Roman"/>
                <w:color w:val="auto"/>
                <w:sz w:val="21"/>
                <w:szCs w:val="21"/>
              </w:rPr>
            </w:pPr>
          </w:p>
        </w:tc>
        <w:tc>
          <w:tcPr>
            <w:tcW w:w="1746" w:type="dxa"/>
            <w:vMerge w:val="continue"/>
            <w:noWrap w:val="0"/>
            <w:vAlign w:val="center"/>
          </w:tcPr>
          <w:p w14:paraId="0400C851">
            <w:pPr>
              <w:snapToGrid w:val="0"/>
              <w:spacing w:line="240" w:lineRule="auto"/>
              <w:jc w:val="center"/>
              <w:textAlignment w:val="baseline"/>
              <w:rPr>
                <w:rFonts w:hint="default" w:ascii="Times New Roman" w:hAnsi="Times New Roman" w:cs="Times New Roman"/>
                <w:color w:val="auto"/>
                <w:sz w:val="21"/>
                <w:szCs w:val="21"/>
              </w:rPr>
            </w:pPr>
          </w:p>
        </w:tc>
        <w:tc>
          <w:tcPr>
            <w:tcW w:w="1329" w:type="dxa"/>
            <w:noWrap w:val="0"/>
            <w:vAlign w:val="center"/>
          </w:tcPr>
          <w:p w14:paraId="47EA7367">
            <w:pPr>
              <w:snapToGrid w:val="0"/>
              <w:spacing w:line="240" w:lineRule="auto"/>
              <w:jc w:val="center"/>
              <w:textAlignment w:val="baseline"/>
              <w:rPr>
                <w:rFonts w:hint="default" w:ascii="Times New Roman" w:hAnsi="Times New Roman"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非甲烷总烃</w:t>
            </w:r>
          </w:p>
        </w:tc>
        <w:tc>
          <w:tcPr>
            <w:tcW w:w="1365" w:type="dxa"/>
            <w:vMerge w:val="continue"/>
            <w:noWrap w:val="0"/>
            <w:vAlign w:val="center"/>
          </w:tcPr>
          <w:p w14:paraId="7E563201">
            <w:pPr>
              <w:snapToGrid w:val="0"/>
              <w:spacing w:line="240" w:lineRule="auto"/>
              <w:jc w:val="center"/>
              <w:textAlignment w:val="baseline"/>
              <w:rPr>
                <w:rFonts w:hint="default" w:ascii="Times New Roman" w:hAnsi="Times New Roman" w:cs="Times New Roman"/>
                <w:b w:val="0"/>
                <w:bCs w:val="0"/>
                <w:color w:val="auto"/>
                <w:sz w:val="21"/>
                <w:szCs w:val="21"/>
                <w:vertAlign w:val="baseline"/>
                <w:lang w:val="en-US" w:eastAsia="zh-CN"/>
              </w:rPr>
            </w:pPr>
          </w:p>
        </w:tc>
        <w:tc>
          <w:tcPr>
            <w:tcW w:w="1412" w:type="dxa"/>
            <w:noWrap w:val="0"/>
            <w:vAlign w:val="center"/>
          </w:tcPr>
          <w:p w14:paraId="6DB3E7B4">
            <w:pPr>
              <w:snapToGrid w:val="0"/>
              <w:spacing w:line="240" w:lineRule="auto"/>
              <w:jc w:val="center"/>
              <w:textAlignment w:val="baseline"/>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4</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1812" w:type="dxa"/>
            <w:vMerge w:val="continue"/>
            <w:noWrap w:val="0"/>
            <w:vAlign w:val="center"/>
          </w:tcPr>
          <w:p w14:paraId="4467DB53">
            <w:pPr>
              <w:snapToGrid w:val="0"/>
              <w:spacing w:line="240" w:lineRule="auto"/>
              <w:jc w:val="center"/>
              <w:textAlignment w:val="baseline"/>
              <w:rPr>
                <w:rFonts w:hint="default" w:ascii="Times New Roman" w:hAnsi="Times New Roman" w:cs="Times New Roman"/>
                <w:b w:val="0"/>
                <w:bCs w:val="0"/>
                <w:color w:val="auto"/>
                <w:sz w:val="21"/>
                <w:szCs w:val="21"/>
                <w:vertAlign w:val="baseline"/>
                <w:lang w:val="en-US" w:eastAsia="zh-CN"/>
              </w:rPr>
            </w:pPr>
          </w:p>
        </w:tc>
      </w:tr>
      <w:tr w14:paraId="151CA0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96" w:type="dxa"/>
            <w:vMerge w:val="continue"/>
            <w:noWrap w:val="0"/>
            <w:vAlign w:val="center"/>
          </w:tcPr>
          <w:p w14:paraId="7C1EFE38">
            <w:pPr>
              <w:adjustRightInd w:val="0"/>
              <w:snapToGrid w:val="0"/>
              <w:jc w:val="center"/>
              <w:rPr>
                <w:rFonts w:hint="default" w:ascii="Times New Roman" w:hAnsi="Times New Roman" w:cs="Times New Roman"/>
                <w:color w:val="auto"/>
                <w:sz w:val="21"/>
                <w:szCs w:val="21"/>
              </w:rPr>
            </w:pPr>
          </w:p>
        </w:tc>
        <w:tc>
          <w:tcPr>
            <w:tcW w:w="1746" w:type="dxa"/>
            <w:noWrap w:val="0"/>
            <w:vAlign w:val="center"/>
          </w:tcPr>
          <w:p w14:paraId="5CCEAFAC">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厂区内</w:t>
            </w:r>
          </w:p>
        </w:tc>
        <w:tc>
          <w:tcPr>
            <w:tcW w:w="1329" w:type="dxa"/>
            <w:noWrap w:val="0"/>
            <w:vAlign w:val="center"/>
          </w:tcPr>
          <w:p w14:paraId="59FD9250">
            <w:pPr>
              <w:snapToGrid w:val="0"/>
              <w:spacing w:line="240" w:lineRule="auto"/>
              <w:jc w:val="center"/>
              <w:textAlignment w:val="baseline"/>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 w:val="0"/>
                <w:bCs w:val="0"/>
                <w:color w:val="auto"/>
                <w:sz w:val="21"/>
                <w:szCs w:val="21"/>
                <w:vertAlign w:val="baseline"/>
                <w:lang w:val="en-US" w:eastAsia="zh-CN"/>
              </w:rPr>
              <w:t>NMHC</w:t>
            </w:r>
          </w:p>
        </w:tc>
        <w:tc>
          <w:tcPr>
            <w:tcW w:w="1365" w:type="dxa"/>
            <w:noWrap w:val="0"/>
            <w:vAlign w:val="center"/>
          </w:tcPr>
          <w:p w14:paraId="29FB0B32">
            <w:pPr>
              <w:adjustRightInd w:val="0"/>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加强车间通风</w:t>
            </w:r>
          </w:p>
        </w:tc>
        <w:tc>
          <w:tcPr>
            <w:tcW w:w="1412" w:type="dxa"/>
            <w:noWrap w:val="0"/>
            <w:vAlign w:val="center"/>
          </w:tcPr>
          <w:p w14:paraId="31E3568E">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6mg/m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、20</w:t>
            </w:r>
            <w:r>
              <w:rPr>
                <w:rFonts w:hint="default" w:ascii="Times New Roman" w:hAnsi="Times New Roman" w:cs="Times New Roman"/>
                <w:color w:val="auto"/>
                <w:sz w:val="21"/>
                <w:szCs w:val="21"/>
                <w:lang w:val="en-US" w:eastAsia="zh-CN"/>
              </w:rPr>
              <w:t>mg/m</w:t>
            </w:r>
            <w:r>
              <w:rPr>
                <w:rFonts w:hint="default" w:ascii="Times New Roman" w:hAnsi="Times New Roman" w:cs="Times New Roman"/>
                <w:color w:val="auto"/>
                <w:sz w:val="21"/>
                <w:szCs w:val="21"/>
                <w:vertAlign w:val="superscript"/>
                <w:lang w:val="en-US" w:eastAsia="zh-CN"/>
              </w:rPr>
              <w:t>3</w:t>
            </w:r>
          </w:p>
        </w:tc>
        <w:tc>
          <w:tcPr>
            <w:tcW w:w="1812" w:type="dxa"/>
            <w:noWrap w:val="0"/>
            <w:vAlign w:val="center"/>
          </w:tcPr>
          <w:p w14:paraId="51C5608B">
            <w:pPr>
              <w:wordWrap w:val="0"/>
              <w:spacing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eastAsia="zh-CN"/>
              </w:rPr>
              <w:t>《表面涂装（汽车零部件）大气污染物排放标准》（DB32/3966-2021）表2</w:t>
            </w:r>
            <w:r>
              <w:rPr>
                <w:rFonts w:hint="eastAsia"/>
                <w:color w:val="auto"/>
                <w:sz w:val="21"/>
                <w:szCs w:val="21"/>
                <w:highlight w:val="none"/>
                <w:lang w:val="en-US" w:eastAsia="zh-CN"/>
              </w:rPr>
              <w:t>标准</w:t>
            </w:r>
          </w:p>
        </w:tc>
      </w:tr>
      <w:tr w14:paraId="4CD901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96" w:type="dxa"/>
            <w:noWrap w:val="0"/>
            <w:vAlign w:val="center"/>
          </w:tcPr>
          <w:p w14:paraId="45B1447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1746" w:type="dxa"/>
            <w:noWrap w:val="0"/>
            <w:vAlign w:val="center"/>
          </w:tcPr>
          <w:p w14:paraId="711F385D">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设备运行噪声</w:t>
            </w:r>
          </w:p>
        </w:tc>
        <w:tc>
          <w:tcPr>
            <w:tcW w:w="1329" w:type="dxa"/>
            <w:noWrap w:val="0"/>
            <w:vAlign w:val="center"/>
          </w:tcPr>
          <w:p w14:paraId="3272FDB6">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等效连续A声级</w:t>
            </w:r>
          </w:p>
        </w:tc>
        <w:tc>
          <w:tcPr>
            <w:tcW w:w="2777" w:type="dxa"/>
            <w:gridSpan w:val="2"/>
            <w:noWrap w:val="0"/>
            <w:vAlign w:val="center"/>
          </w:tcPr>
          <w:p w14:paraId="0E0ABD5C">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采用低噪声设备，建筑隔声，基础减振，风机消声。</w:t>
            </w:r>
          </w:p>
        </w:tc>
        <w:tc>
          <w:tcPr>
            <w:tcW w:w="1812" w:type="dxa"/>
            <w:noWrap w:val="0"/>
            <w:vAlign w:val="center"/>
          </w:tcPr>
          <w:p w14:paraId="784DF657">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《工业企业厂界环境噪声排放标准》（GB12348-2008）</w:t>
            </w: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类</w:t>
            </w:r>
            <w:r>
              <w:rPr>
                <w:rFonts w:hint="default" w:ascii="Times New Roman" w:hAnsi="Times New Roman" w:cs="Times New Roman"/>
                <w:color w:val="auto"/>
                <w:sz w:val="21"/>
                <w:szCs w:val="21"/>
                <w:highlight w:val="none"/>
              </w:rPr>
              <w:t>标准</w:t>
            </w:r>
          </w:p>
        </w:tc>
      </w:tr>
      <w:tr w14:paraId="146BE7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196" w:type="dxa"/>
            <w:noWrap w:val="0"/>
            <w:vAlign w:val="center"/>
          </w:tcPr>
          <w:p w14:paraId="2077C079">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电磁辐射</w:t>
            </w:r>
          </w:p>
        </w:tc>
        <w:tc>
          <w:tcPr>
            <w:tcW w:w="7664" w:type="dxa"/>
            <w:gridSpan w:val="5"/>
            <w:noWrap w:val="0"/>
            <w:vAlign w:val="center"/>
          </w:tcPr>
          <w:p w14:paraId="01DBD24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无</w:t>
            </w:r>
          </w:p>
        </w:tc>
      </w:tr>
      <w:tr w14:paraId="45B68A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196" w:type="dxa"/>
            <w:noWrap w:val="0"/>
            <w:vAlign w:val="center"/>
          </w:tcPr>
          <w:p w14:paraId="4856F0B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固体废物</w:t>
            </w:r>
          </w:p>
        </w:tc>
        <w:tc>
          <w:tcPr>
            <w:tcW w:w="7664" w:type="dxa"/>
            <w:gridSpan w:val="5"/>
            <w:noWrap w:val="0"/>
            <w:vAlign w:val="center"/>
          </w:tcPr>
          <w:p w14:paraId="438D78FE">
            <w:pPr>
              <w:numPr>
                <w:ilvl w:val="0"/>
                <w:numId w:val="0"/>
              </w:numPr>
              <w:adjustRightInd w:val="0"/>
              <w:snapToGrid w:val="0"/>
              <w:jc w:val="left"/>
              <w:rPr>
                <w:rFonts w:hint="default" w:ascii="Times New Roman" w:hAnsi="Times New Roman" w:cs="Times New Roman"/>
                <w:color w:val="auto"/>
                <w:sz w:val="21"/>
                <w:szCs w:val="21"/>
                <w:highlight w:val="none"/>
                <w:u w:val="none"/>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u w:val="none"/>
              </w:rPr>
              <w:t>设置一座危废仓库</w:t>
            </w:r>
            <w:r>
              <w:rPr>
                <w:rFonts w:hint="eastAsia" w:cs="Times New Roman"/>
                <w:color w:val="auto"/>
                <w:sz w:val="21"/>
                <w:szCs w:val="21"/>
                <w:highlight w:val="none"/>
                <w:u w:val="none"/>
                <w:lang w:val="en-US" w:eastAsia="zh-CN"/>
              </w:rPr>
              <w:t>10</w:t>
            </w:r>
            <w:r>
              <w:rPr>
                <w:rFonts w:hint="default" w:ascii="Times New Roman" w:hAnsi="Times New Roman" w:cs="Times New Roman"/>
                <w:color w:val="auto"/>
                <w:sz w:val="21"/>
                <w:szCs w:val="21"/>
                <w:highlight w:val="none"/>
                <w:u w:val="none"/>
              </w:rPr>
              <w:t>m</w:t>
            </w:r>
            <w:r>
              <w:rPr>
                <w:rFonts w:hint="default" w:ascii="Times New Roman" w:hAnsi="Times New Roman" w:cs="Times New Roman"/>
                <w:color w:val="auto"/>
                <w:sz w:val="21"/>
                <w:szCs w:val="21"/>
                <w:highlight w:val="none"/>
                <w:u w:val="none"/>
                <w:vertAlign w:val="superscript"/>
              </w:rPr>
              <w:t>2</w:t>
            </w:r>
            <w:r>
              <w:rPr>
                <w:rFonts w:hint="default" w:ascii="Times New Roman" w:hAnsi="Times New Roman" w:cs="Times New Roman"/>
                <w:color w:val="auto"/>
                <w:sz w:val="21"/>
                <w:szCs w:val="21"/>
                <w:highlight w:val="none"/>
                <w:u w:val="none"/>
              </w:rPr>
              <w:t>，危险废物贮存按照《危险废物贮存污染控制标准》（GB18597-</w:t>
            </w:r>
            <w:r>
              <w:rPr>
                <w:rFonts w:hint="default" w:ascii="Times New Roman" w:hAnsi="Times New Roman" w:cs="Times New Roman"/>
                <w:color w:val="auto"/>
                <w:sz w:val="21"/>
                <w:szCs w:val="21"/>
                <w:highlight w:val="none"/>
                <w:u w:val="none"/>
                <w:lang w:val="en-US" w:eastAsia="zh-CN"/>
              </w:rPr>
              <w:t>2023</w:t>
            </w:r>
            <w:r>
              <w:rPr>
                <w:rFonts w:hint="default" w:ascii="Times New Roman" w:hAnsi="Times New Roman" w:cs="Times New Roman"/>
                <w:color w:val="auto"/>
                <w:sz w:val="21"/>
                <w:szCs w:val="21"/>
                <w:highlight w:val="none"/>
                <w:u w:val="none"/>
              </w:rPr>
              <w:t>）、《危险废物收集储存运输技术规范》（HJ2025-2012）相关规定要求进行危险废物的贮存；</w:t>
            </w:r>
          </w:p>
          <w:p w14:paraId="0F6AFBCA">
            <w:pPr>
              <w:numPr>
                <w:ilvl w:val="0"/>
                <w:numId w:val="0"/>
              </w:numPr>
              <w:adjustRightInd w:val="0"/>
              <w:snapToGrid w:val="0"/>
              <w:jc w:val="left"/>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highlight w:val="none"/>
                <w:u w:val="none"/>
                <w:lang w:val="en-US" w:eastAsia="zh-CN"/>
              </w:rPr>
              <w:t>2、</w:t>
            </w:r>
            <w:r>
              <w:rPr>
                <w:rFonts w:hint="default" w:ascii="Times New Roman" w:hAnsi="Times New Roman" w:cs="Times New Roman"/>
                <w:color w:val="auto"/>
                <w:sz w:val="21"/>
                <w:szCs w:val="21"/>
                <w:highlight w:val="none"/>
                <w:u w:val="none"/>
              </w:rPr>
              <w:t>设置一座一般固废仓库</w:t>
            </w:r>
            <w:r>
              <w:rPr>
                <w:rFonts w:hint="eastAsia" w:cs="Times New Roman"/>
                <w:color w:val="auto"/>
                <w:sz w:val="21"/>
                <w:szCs w:val="21"/>
                <w:highlight w:val="none"/>
                <w:u w:val="none"/>
                <w:lang w:val="en-US" w:eastAsia="zh-CN"/>
              </w:rPr>
              <w:t>10</w:t>
            </w:r>
            <w:r>
              <w:rPr>
                <w:rFonts w:hint="default" w:ascii="Times New Roman" w:hAnsi="Times New Roman" w:cs="Times New Roman"/>
                <w:color w:val="auto"/>
                <w:sz w:val="21"/>
                <w:szCs w:val="21"/>
                <w:highlight w:val="none"/>
                <w:u w:val="none"/>
              </w:rPr>
              <w:t>m</w:t>
            </w:r>
            <w:r>
              <w:rPr>
                <w:rFonts w:hint="default" w:ascii="Times New Roman" w:hAnsi="Times New Roman" w:cs="Times New Roman"/>
                <w:color w:val="auto"/>
                <w:sz w:val="21"/>
                <w:szCs w:val="21"/>
                <w:highlight w:val="none"/>
                <w:u w:val="none"/>
                <w:vertAlign w:val="superscript"/>
              </w:rPr>
              <w:t>2</w:t>
            </w:r>
            <w:r>
              <w:rPr>
                <w:rFonts w:hint="default" w:ascii="Times New Roman" w:hAnsi="Times New Roman" w:cs="Times New Roman"/>
                <w:color w:val="auto"/>
                <w:sz w:val="21"/>
                <w:szCs w:val="21"/>
                <w:highlight w:val="none"/>
                <w:u w:val="none"/>
              </w:rPr>
              <w:t>，按照《一般工业固体废物贮存和填埋污染控制标准》（GB18599-2020）贮存。</w:t>
            </w:r>
          </w:p>
          <w:p w14:paraId="40413A81">
            <w:pPr>
              <w:numPr>
                <w:ilvl w:val="0"/>
                <w:numId w:val="0"/>
              </w:numPr>
              <w:adjustRightInd w:val="0"/>
              <w:snapToGrid w:val="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u w:val="none"/>
                <w:lang w:val="en-US" w:eastAsia="zh-CN"/>
              </w:rPr>
              <w:t>3、</w:t>
            </w:r>
            <w:r>
              <w:rPr>
                <w:rFonts w:hint="default" w:ascii="Times New Roman" w:hAnsi="Times New Roman" w:cs="Times New Roman"/>
                <w:color w:val="auto"/>
                <w:sz w:val="21"/>
                <w:szCs w:val="21"/>
                <w:highlight w:val="none"/>
                <w:u w:val="none"/>
              </w:rPr>
              <w:t>建设项目产生的生活垃圾委托环卫部门清运处理；</w:t>
            </w:r>
            <w:r>
              <w:rPr>
                <w:rFonts w:hint="eastAsia" w:cs="Times New Roman"/>
                <w:color w:val="auto"/>
                <w:sz w:val="21"/>
                <w:szCs w:val="21"/>
                <w:u w:val="none"/>
                <w:lang w:val="en-US" w:eastAsia="zh-CN"/>
              </w:rPr>
              <w:t>不合格品</w:t>
            </w:r>
            <w:r>
              <w:rPr>
                <w:rFonts w:hint="default" w:ascii="Times New Roman" w:hAnsi="Times New Roman" w:cs="Times New Roman"/>
                <w:color w:val="auto"/>
                <w:sz w:val="21"/>
                <w:szCs w:val="21"/>
                <w:highlight w:val="none"/>
                <w:u w:val="none"/>
              </w:rPr>
              <w:t>属于一般工业固废，收集后</w:t>
            </w:r>
            <w:r>
              <w:rPr>
                <w:rFonts w:hint="default" w:ascii="Times New Roman" w:hAnsi="Times New Roman" w:cs="Times New Roman"/>
                <w:color w:val="auto"/>
                <w:sz w:val="21"/>
                <w:szCs w:val="21"/>
                <w:highlight w:val="none"/>
                <w:u w:val="none"/>
                <w:lang w:val="en-US" w:eastAsia="zh-CN"/>
              </w:rPr>
              <w:t>外售</w:t>
            </w:r>
            <w:r>
              <w:rPr>
                <w:rFonts w:hint="default" w:ascii="Times New Roman" w:hAnsi="Times New Roman" w:cs="Times New Roman"/>
                <w:color w:val="auto"/>
                <w:sz w:val="21"/>
                <w:szCs w:val="21"/>
                <w:highlight w:val="none"/>
                <w:u w:val="none"/>
              </w:rPr>
              <w:t>；</w:t>
            </w:r>
            <w:r>
              <w:rPr>
                <w:rFonts w:hint="eastAsia"/>
                <w:color w:val="auto"/>
                <w:u w:val="none"/>
                <w:lang w:val="en-US" w:eastAsia="zh-CN"/>
              </w:rPr>
              <w:t>废包装、废活性炭、废清洗剂、漆渣、废过滤棉</w:t>
            </w:r>
            <w:r>
              <w:rPr>
                <w:rFonts w:hint="default" w:ascii="Times New Roman" w:hAnsi="Times New Roman" w:cs="Times New Roman"/>
                <w:color w:val="auto"/>
                <w:sz w:val="21"/>
                <w:szCs w:val="21"/>
                <w:highlight w:val="none"/>
                <w:u w:val="none"/>
              </w:rPr>
              <w:t>属于危险废物，交由有资质单位处理。</w:t>
            </w:r>
          </w:p>
        </w:tc>
      </w:tr>
      <w:tr w14:paraId="0BEA0E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96" w:type="dxa"/>
            <w:noWrap w:val="0"/>
            <w:vAlign w:val="center"/>
          </w:tcPr>
          <w:p w14:paraId="43113CF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土壤及地下水污染防治措施</w:t>
            </w:r>
          </w:p>
        </w:tc>
        <w:tc>
          <w:tcPr>
            <w:tcW w:w="7664" w:type="dxa"/>
            <w:gridSpan w:val="5"/>
            <w:noWrap w:val="0"/>
            <w:vAlign w:val="center"/>
          </w:tcPr>
          <w:p w14:paraId="655DC85B">
            <w:pPr>
              <w:adjustRightInd w:val="0"/>
              <w:snapToGrid w:val="0"/>
              <w:jc w:val="left"/>
              <w:rPr>
                <w:rFonts w:hint="default" w:ascii="Times New Roman" w:hAnsi="Times New Roman" w:cs="Times New Roman"/>
                <w:color w:val="auto"/>
                <w:sz w:val="21"/>
                <w:szCs w:val="21"/>
                <w:highlight w:val="yellow"/>
                <w:lang w:val="en-US" w:eastAsia="zh-CN"/>
              </w:rPr>
            </w:pP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源头控制措施</w:t>
            </w:r>
          </w:p>
          <w:p w14:paraId="05BFEE0E">
            <w:pPr>
              <w:numPr>
                <w:ilvl w:val="0"/>
                <w:numId w:val="0"/>
              </w:numPr>
              <w:adjustRightInd w:val="0"/>
              <w:snapToGrid w:val="0"/>
              <w:jc w:val="left"/>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分区防渗</w:t>
            </w:r>
          </w:p>
        </w:tc>
      </w:tr>
      <w:tr w14:paraId="4CD73B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1196" w:type="dxa"/>
            <w:noWrap w:val="0"/>
            <w:vAlign w:val="center"/>
          </w:tcPr>
          <w:p w14:paraId="2BF74E9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生态保护措施</w:t>
            </w:r>
          </w:p>
        </w:tc>
        <w:tc>
          <w:tcPr>
            <w:tcW w:w="7664" w:type="dxa"/>
            <w:gridSpan w:val="5"/>
            <w:noWrap w:val="0"/>
            <w:vAlign w:val="center"/>
          </w:tcPr>
          <w:p w14:paraId="56BF149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无</w:t>
            </w:r>
          </w:p>
        </w:tc>
      </w:tr>
      <w:tr w14:paraId="433A99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96" w:type="dxa"/>
            <w:noWrap w:val="0"/>
            <w:vAlign w:val="center"/>
          </w:tcPr>
          <w:p w14:paraId="36369FAB">
            <w:pPr>
              <w:adjustRightInd w:val="0"/>
              <w:snapToGrid w:val="0"/>
              <w:jc w:val="center"/>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环境风险</w:t>
            </w:r>
          </w:p>
          <w:p w14:paraId="258ADC94">
            <w:pPr>
              <w:adjustRightInd w:val="0"/>
              <w:snapToGrid w:val="0"/>
              <w:jc w:val="center"/>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防范措施</w:t>
            </w:r>
          </w:p>
        </w:tc>
        <w:tc>
          <w:tcPr>
            <w:tcW w:w="7664" w:type="dxa"/>
            <w:gridSpan w:val="5"/>
            <w:noWrap w:val="0"/>
            <w:vAlign w:val="center"/>
          </w:tcPr>
          <w:p w14:paraId="59532D48">
            <w:pPr>
              <w:adjustRightInd w:val="0"/>
              <w:snapToGrid w:val="0"/>
              <w:jc w:val="left"/>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制定各级安全生产责任制、各项安全管理制度、工艺操作规程、安全技术规程和各种设备维修保养和设备管理制度；厂区配备消防器材；车间地面采取防渗硬化措施；定期对废气处理系统进行检修，减少事故发生的频次。</w:t>
            </w:r>
          </w:p>
        </w:tc>
      </w:tr>
      <w:tr w14:paraId="00D3A3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196" w:type="dxa"/>
            <w:noWrap w:val="0"/>
            <w:vAlign w:val="center"/>
          </w:tcPr>
          <w:p w14:paraId="2A4BBBF5">
            <w:pPr>
              <w:adjustRightInd w:val="0"/>
              <w:snapToGrid w:val="0"/>
              <w:jc w:val="center"/>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其他环境</w:t>
            </w:r>
          </w:p>
          <w:p w14:paraId="75951511">
            <w:pPr>
              <w:adjustRightInd w:val="0"/>
              <w:snapToGrid w:val="0"/>
              <w:jc w:val="center"/>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管理要求</w:t>
            </w:r>
          </w:p>
        </w:tc>
        <w:tc>
          <w:tcPr>
            <w:tcW w:w="7664" w:type="dxa"/>
            <w:gridSpan w:val="5"/>
            <w:noWrap w:val="0"/>
            <w:vAlign w:val="center"/>
          </w:tcPr>
          <w:p w14:paraId="3224AFD1">
            <w:pPr>
              <w:pStyle w:val="25"/>
              <w:spacing w:line="240" w:lineRule="auto"/>
              <w:jc w:val="left"/>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cs="Times New Roman"/>
                <w:b w:val="0"/>
                <w:bCs/>
                <w:color w:val="auto"/>
                <w:sz w:val="21"/>
                <w:szCs w:val="21"/>
                <w:highlight w:val="none"/>
                <w:lang w:val="en-US" w:eastAsia="zh-CN"/>
              </w:rPr>
              <w:t>1、</w:t>
            </w:r>
            <w:r>
              <w:rPr>
                <w:rFonts w:hint="default" w:ascii="Times New Roman" w:hAnsi="Times New Roman" w:cs="Times New Roman"/>
                <w:b w:val="0"/>
                <w:bCs/>
                <w:color w:val="auto"/>
                <w:sz w:val="21"/>
                <w:szCs w:val="21"/>
                <w:highlight w:val="none"/>
              </w:rPr>
              <w:t>认真执行建设项目环境保护管理文件的精神，建立健全各项环保规章制度，严格执行“三同时”制度</w:t>
            </w:r>
            <w:r>
              <w:rPr>
                <w:rFonts w:hint="default" w:ascii="Times New Roman" w:hAnsi="Times New Roman" w:cs="Times New Roman"/>
                <w:b w:val="0"/>
                <w:bCs/>
                <w:color w:val="auto"/>
                <w:sz w:val="21"/>
                <w:szCs w:val="21"/>
                <w:highlight w:val="none"/>
                <w:lang w:eastAsia="zh-CN"/>
              </w:rPr>
              <w:t>。</w:t>
            </w:r>
          </w:p>
          <w:p w14:paraId="35E04D0D">
            <w:pPr>
              <w:adjustRightInd w:val="0"/>
              <w:snapToGrid w:val="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做好与排污许可制度的衔接</w:t>
            </w:r>
            <w:r>
              <w:rPr>
                <w:rFonts w:hint="default" w:ascii="Times New Roman" w:hAnsi="Times New Roman" w:cs="Times New Roman"/>
                <w:color w:val="auto"/>
                <w:sz w:val="21"/>
                <w:szCs w:val="21"/>
                <w:highlight w:val="none"/>
                <w:lang w:eastAsia="zh-CN"/>
              </w:rPr>
              <w:t>。</w:t>
            </w:r>
          </w:p>
          <w:p w14:paraId="066B5AD0">
            <w:pPr>
              <w:adjustRightInd w:val="0"/>
              <w:snapToGrid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加强本项目的环境管理和环境监测。</w:t>
            </w:r>
          </w:p>
        </w:tc>
      </w:tr>
    </w:tbl>
    <w:p w14:paraId="38D64A27">
      <w:pPr>
        <w:pStyle w:val="2"/>
        <w:bidi w:val="0"/>
        <w:rPr>
          <w:rFonts w:ascii="黑体" w:hAnsi="黑体" w:eastAsia="黑体"/>
          <w:snapToGrid w:val="0"/>
          <w:color w:val="auto"/>
          <w:sz w:val="30"/>
          <w:szCs w:val="30"/>
        </w:rPr>
      </w:pPr>
      <w:r>
        <w:rPr>
          <w:snapToGrid w:val="0"/>
          <w:color w:val="auto"/>
        </w:rPr>
        <w:br w:type="page"/>
      </w:r>
      <w:bookmarkStart w:id="23" w:name="_Toc4969"/>
      <w:r>
        <w:rPr>
          <w:rFonts w:hint="eastAsia" w:ascii="黑体" w:hAnsi="黑体" w:eastAsia="黑体"/>
          <w:snapToGrid w:val="0"/>
          <w:color w:val="auto"/>
          <w:sz w:val="30"/>
          <w:szCs w:val="30"/>
        </w:rPr>
        <w:t>六、结论</w:t>
      </w:r>
      <w:bookmarkEnd w:id="23"/>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D633C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6B5A7AB8">
            <w:pPr>
              <w:spacing w:line="360" w:lineRule="auto"/>
              <w:ind w:firstLine="420" w:firstLineChars="200"/>
              <w:rPr>
                <w:rFonts w:ascii="宋体" w:cs="宋体"/>
                <w:color w:val="auto"/>
                <w:sz w:val="24"/>
              </w:rPr>
            </w:pPr>
            <w:r>
              <w:rPr>
                <w:rFonts w:hint="eastAsia"/>
                <w:color w:val="auto"/>
                <w:sz w:val="21"/>
                <w:szCs w:val="21"/>
                <w:lang w:eastAsia="zh-CN"/>
              </w:rPr>
              <w:t>综上所述，从环境环保角度分析，本项目可行。</w:t>
            </w:r>
          </w:p>
        </w:tc>
      </w:tr>
    </w:tbl>
    <w:p w14:paraId="5583AA1B">
      <w:pPr>
        <w:rPr>
          <w:rFonts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9D17F55">
      <w:pPr>
        <w:bidi w:val="0"/>
        <w:rPr>
          <w:b/>
          <w:bCs/>
          <w:color w:val="auto"/>
          <w:sz w:val="32"/>
          <w:szCs w:val="40"/>
        </w:rPr>
      </w:pPr>
      <w:r>
        <w:rPr>
          <w:rFonts w:hint="eastAsia"/>
          <w:b/>
          <w:bCs/>
          <w:color w:val="auto"/>
          <w:sz w:val="32"/>
          <w:szCs w:val="40"/>
        </w:rPr>
        <w:t>附表</w:t>
      </w:r>
    </w:p>
    <w:p w14:paraId="533B2E39">
      <w:pPr>
        <w:pStyle w:val="18"/>
        <w:adjustRightInd w:val="0"/>
        <w:snapToGrid w:val="0"/>
        <w:spacing w:before="0" w:beforeAutospacing="0" w:after="0" w:afterAutospacing="0" w:line="240" w:lineRule="auto"/>
        <w:jc w:val="center"/>
        <w:outlineLvl w:val="0"/>
        <w:rPr>
          <w:rFonts w:hint="eastAsia" w:ascii="方正小标宋_GBK" w:hAnsi="黑体" w:eastAsia="方正小标宋_GBK"/>
          <w:snapToGrid w:val="0"/>
          <w:color w:val="auto"/>
          <w:sz w:val="38"/>
          <w:szCs w:val="38"/>
        </w:rPr>
      </w:pPr>
      <w:bookmarkStart w:id="24" w:name="_Toc16583"/>
      <w:r>
        <w:rPr>
          <w:rFonts w:hint="eastAsia" w:ascii="方正小标宋_GBK" w:hAnsi="黑体" w:eastAsia="方正小标宋_GBK"/>
          <w:snapToGrid w:val="0"/>
          <w:color w:val="auto"/>
          <w:sz w:val="38"/>
          <w:szCs w:val="38"/>
        </w:rPr>
        <w:t>建设项目污染物排放量汇总表</w:t>
      </w:r>
      <w:bookmarkEnd w:id="24"/>
    </w:p>
    <w:tbl>
      <w:tblPr>
        <w:tblStyle w:val="2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59"/>
        <w:gridCol w:w="826"/>
      </w:tblGrid>
      <w:tr w14:paraId="23F425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14:paraId="5665A160">
            <w:pPr>
              <w:pStyle w:val="40"/>
              <w:spacing w:beforeLines="0" w:afterLines="0" w:line="240" w:lineRule="auto"/>
              <w:jc w:val="center"/>
              <w:rPr>
                <w:rFonts w:hint="eastAsia"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lang w:val="en-US" w:eastAsia="zh-CN"/>
              </w:rPr>
              <w:t xml:space="preserve">      </w:t>
            </w:r>
            <w:r>
              <w:rPr>
                <w:rFonts w:hint="eastAsia" w:ascii="黑体" w:hAnsi="黑体" w:eastAsia="黑体" w:cs="宋体"/>
                <w:snapToGrid w:val="0"/>
                <w:color w:val="auto"/>
                <w:spacing w:val="-6"/>
                <w:kern w:val="21"/>
                <w:szCs w:val="21"/>
              </w:rPr>
              <w:t>项目</w:t>
            </w:r>
          </w:p>
          <w:p w14:paraId="5EA9D8E2">
            <w:pPr>
              <w:pStyle w:val="40"/>
              <w:spacing w:beforeLines="0" w:afterLines="0" w:line="240" w:lineRule="auto"/>
              <w:ind w:firstLine="198" w:firstLineChars="100"/>
              <w:jc w:val="left"/>
              <w:rPr>
                <w:rFonts w:hint="eastAsia"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分类</w:t>
            </w:r>
          </w:p>
        </w:tc>
        <w:tc>
          <w:tcPr>
            <w:tcW w:w="1417" w:type="dxa"/>
            <w:noWrap w:val="0"/>
            <w:tcMar>
              <w:left w:w="28" w:type="dxa"/>
              <w:right w:w="28" w:type="dxa"/>
            </w:tcMar>
            <w:vAlign w:val="center"/>
          </w:tcPr>
          <w:p w14:paraId="1DD86AAD">
            <w:pPr>
              <w:pStyle w:val="40"/>
              <w:spacing w:beforeLines="0" w:afterLines="0" w:line="240" w:lineRule="auto"/>
              <w:rPr>
                <w:rFonts w:hint="eastAsia"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污染物名称</w:t>
            </w:r>
          </w:p>
        </w:tc>
        <w:tc>
          <w:tcPr>
            <w:tcW w:w="1701" w:type="dxa"/>
            <w:noWrap w:val="0"/>
            <w:tcMar>
              <w:left w:w="28" w:type="dxa"/>
              <w:right w:w="28" w:type="dxa"/>
            </w:tcMar>
            <w:vAlign w:val="center"/>
          </w:tcPr>
          <w:p w14:paraId="7F9CE209">
            <w:pPr>
              <w:pStyle w:val="40"/>
              <w:spacing w:beforeLines="0" w:afterLines="0" w:line="240" w:lineRule="auto"/>
              <w:rPr>
                <w:rFonts w:hint="eastAsia"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14:paraId="644B99E8">
            <w:pPr>
              <w:pStyle w:val="40"/>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1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①</w:t>
            </w:r>
            <w:r>
              <w:rPr>
                <w:rFonts w:ascii="黑体" w:hAnsi="黑体" w:eastAsia="黑体"/>
                <w:snapToGrid w:val="0"/>
                <w:color w:val="auto"/>
                <w:spacing w:val="-6"/>
                <w:kern w:val="21"/>
                <w:szCs w:val="21"/>
              </w:rPr>
              <w:fldChar w:fldCharType="end"/>
            </w:r>
          </w:p>
        </w:tc>
        <w:tc>
          <w:tcPr>
            <w:tcW w:w="1276" w:type="dxa"/>
            <w:noWrap w:val="0"/>
            <w:tcMar>
              <w:left w:w="28" w:type="dxa"/>
              <w:right w:w="28" w:type="dxa"/>
            </w:tcMar>
            <w:vAlign w:val="center"/>
          </w:tcPr>
          <w:p w14:paraId="545A9061">
            <w:pPr>
              <w:pStyle w:val="40"/>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14:paraId="5FC8BEE2">
            <w:pPr>
              <w:pStyle w:val="40"/>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许可排放量</w:t>
            </w:r>
          </w:p>
          <w:p w14:paraId="33E1354A">
            <w:pPr>
              <w:pStyle w:val="40"/>
              <w:spacing w:beforeLines="0" w:afterLines="0"/>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2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snapToGrid w:val="0"/>
                <w:color w:val="auto"/>
                <w:spacing w:val="-6"/>
                <w:kern w:val="21"/>
                <w:szCs w:val="21"/>
              </w:rPr>
              <w:t>②</w:t>
            </w:r>
            <w:r>
              <w:rPr>
                <w:rFonts w:ascii="黑体" w:hAnsi="黑体" w:eastAsia="黑体"/>
                <w:snapToGrid w:val="0"/>
                <w:color w:val="auto"/>
                <w:spacing w:val="-6"/>
                <w:kern w:val="21"/>
                <w:szCs w:val="21"/>
              </w:rPr>
              <w:fldChar w:fldCharType="end"/>
            </w:r>
          </w:p>
        </w:tc>
        <w:tc>
          <w:tcPr>
            <w:tcW w:w="1701" w:type="dxa"/>
            <w:noWrap w:val="0"/>
            <w:tcMar>
              <w:left w:w="28" w:type="dxa"/>
              <w:right w:w="28" w:type="dxa"/>
            </w:tcMar>
            <w:vAlign w:val="center"/>
          </w:tcPr>
          <w:p w14:paraId="6B9EFEA3">
            <w:pPr>
              <w:pStyle w:val="40"/>
              <w:spacing w:beforeLines="0" w:afterLines="0" w:line="240" w:lineRule="auto"/>
              <w:rPr>
                <w:rFonts w:hint="eastAsia" w:ascii="黑体" w:hAnsi="黑体" w:eastAsia="黑体"/>
                <w:snapToGrid w:val="0"/>
                <w:color w:val="auto"/>
                <w:spacing w:val="-6"/>
                <w:kern w:val="21"/>
                <w:szCs w:val="21"/>
              </w:rPr>
            </w:pPr>
            <w:r>
              <w:rPr>
                <w:rFonts w:ascii="黑体" w:hAnsi="黑体" w:eastAsia="黑体"/>
                <w:snapToGrid w:val="0"/>
                <w:color w:val="auto"/>
                <w:spacing w:val="-6"/>
                <w:kern w:val="21"/>
                <w:szCs w:val="21"/>
              </w:rPr>
              <w:t>在建工程</w:t>
            </w:r>
          </w:p>
          <w:p w14:paraId="7A583568">
            <w:pPr>
              <w:pStyle w:val="40"/>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3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③</w:t>
            </w:r>
            <w:r>
              <w:rPr>
                <w:rFonts w:ascii="黑体" w:hAnsi="黑体" w:eastAsia="黑体"/>
                <w:snapToGrid w:val="0"/>
                <w:color w:val="auto"/>
                <w:spacing w:val="-6"/>
                <w:kern w:val="21"/>
                <w:szCs w:val="21"/>
              </w:rPr>
              <w:fldChar w:fldCharType="end"/>
            </w:r>
          </w:p>
        </w:tc>
        <w:tc>
          <w:tcPr>
            <w:tcW w:w="1559" w:type="dxa"/>
            <w:noWrap w:val="0"/>
            <w:tcMar>
              <w:left w:w="28" w:type="dxa"/>
              <w:right w:w="28" w:type="dxa"/>
            </w:tcMar>
            <w:vAlign w:val="center"/>
          </w:tcPr>
          <w:p w14:paraId="51D2C927">
            <w:pPr>
              <w:pStyle w:val="40"/>
              <w:spacing w:beforeLines="0" w:afterLines="0" w:line="240" w:lineRule="auto"/>
              <w:rPr>
                <w:rFonts w:hint="eastAsia" w:ascii="黑体" w:hAnsi="黑体" w:eastAsia="黑体"/>
                <w:snapToGrid w:val="0"/>
                <w:color w:val="auto"/>
                <w:spacing w:val="-6"/>
                <w:kern w:val="21"/>
                <w:szCs w:val="21"/>
              </w:rPr>
            </w:pPr>
            <w:r>
              <w:rPr>
                <w:rFonts w:ascii="黑体" w:hAnsi="黑体" w:eastAsia="黑体"/>
                <w:snapToGrid w:val="0"/>
                <w:color w:val="auto"/>
                <w:spacing w:val="-6"/>
                <w:kern w:val="21"/>
                <w:szCs w:val="21"/>
              </w:rPr>
              <w:t>本项目</w:t>
            </w:r>
          </w:p>
          <w:p w14:paraId="1EB9951F">
            <w:pPr>
              <w:pStyle w:val="40"/>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4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④</w:t>
            </w:r>
            <w:r>
              <w:rPr>
                <w:rFonts w:ascii="黑体" w:hAnsi="黑体" w:eastAsia="黑体"/>
                <w:snapToGrid w:val="0"/>
                <w:color w:val="auto"/>
                <w:spacing w:val="-6"/>
                <w:kern w:val="21"/>
                <w:szCs w:val="21"/>
              </w:rPr>
              <w:fldChar w:fldCharType="end"/>
            </w:r>
          </w:p>
        </w:tc>
        <w:tc>
          <w:tcPr>
            <w:tcW w:w="1761" w:type="dxa"/>
            <w:noWrap w:val="0"/>
            <w:tcMar>
              <w:left w:w="28" w:type="dxa"/>
              <w:right w:w="28" w:type="dxa"/>
            </w:tcMar>
            <w:vAlign w:val="center"/>
          </w:tcPr>
          <w:p w14:paraId="26BB7923">
            <w:pPr>
              <w:pStyle w:val="40"/>
              <w:spacing w:beforeLines="0" w:afterLines="0" w:line="240" w:lineRule="auto"/>
              <w:rPr>
                <w:rFonts w:hint="eastAsia" w:ascii="黑体" w:hAnsi="黑体" w:eastAsia="黑体"/>
                <w:snapToGrid w:val="0"/>
                <w:color w:val="auto"/>
                <w:spacing w:val="-16"/>
                <w:kern w:val="21"/>
                <w:szCs w:val="21"/>
              </w:rPr>
            </w:pPr>
            <w:r>
              <w:rPr>
                <w:rFonts w:ascii="黑体" w:hAnsi="黑体" w:eastAsia="黑体"/>
                <w:snapToGrid w:val="0"/>
                <w:color w:val="auto"/>
                <w:spacing w:val="-16"/>
                <w:kern w:val="21"/>
                <w:szCs w:val="21"/>
              </w:rPr>
              <w:t>以新带老削减量</w:t>
            </w:r>
          </w:p>
          <w:p w14:paraId="0A02CFEE">
            <w:pPr>
              <w:pStyle w:val="40"/>
              <w:spacing w:beforeLines="0" w:afterLines="0" w:line="240" w:lineRule="auto"/>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（新建项目不填）</w:t>
            </w:r>
            <w:r>
              <w:rPr>
                <w:rFonts w:ascii="黑体" w:hAnsi="黑体" w:eastAsia="黑体"/>
                <w:snapToGrid w:val="0"/>
                <w:color w:val="auto"/>
                <w:spacing w:val="-16"/>
                <w:kern w:val="21"/>
                <w:szCs w:val="21"/>
              </w:rPr>
              <w:fldChar w:fldCharType="begin"/>
            </w:r>
            <w:r>
              <w:rPr>
                <w:rFonts w:ascii="黑体" w:hAnsi="黑体" w:eastAsia="黑体"/>
                <w:snapToGrid w:val="0"/>
                <w:color w:val="auto"/>
                <w:spacing w:val="-16"/>
                <w:kern w:val="21"/>
                <w:szCs w:val="21"/>
              </w:rPr>
              <w:instrText xml:space="preserve"> = 5 \* GB3 \* MERGEFORMAT </w:instrText>
            </w:r>
            <w:r>
              <w:rPr>
                <w:rFonts w:ascii="黑体" w:hAnsi="黑体" w:eastAsia="黑体"/>
                <w:snapToGrid w:val="0"/>
                <w:color w:val="auto"/>
                <w:spacing w:val="-16"/>
                <w:kern w:val="21"/>
                <w:szCs w:val="21"/>
              </w:rPr>
              <w:fldChar w:fldCharType="separate"/>
            </w:r>
            <w:r>
              <w:rPr>
                <w:rFonts w:hint="eastAsia" w:ascii="黑体" w:hAnsi="黑体" w:eastAsia="黑体" w:cs="宋体"/>
                <w:color w:val="auto"/>
                <w:kern w:val="2"/>
                <w:szCs w:val="21"/>
              </w:rPr>
              <w:t>⑤</w:t>
            </w:r>
            <w:r>
              <w:rPr>
                <w:rFonts w:ascii="黑体" w:hAnsi="黑体" w:eastAsia="黑体"/>
                <w:snapToGrid w:val="0"/>
                <w:color w:val="auto"/>
                <w:spacing w:val="-16"/>
                <w:kern w:val="21"/>
                <w:szCs w:val="21"/>
              </w:rPr>
              <w:fldChar w:fldCharType="end"/>
            </w:r>
          </w:p>
        </w:tc>
        <w:tc>
          <w:tcPr>
            <w:tcW w:w="1959" w:type="dxa"/>
            <w:noWrap w:val="0"/>
            <w:tcMar>
              <w:left w:w="28" w:type="dxa"/>
              <w:right w:w="28" w:type="dxa"/>
            </w:tcMar>
            <w:vAlign w:val="center"/>
          </w:tcPr>
          <w:p w14:paraId="49AAFF5E">
            <w:pPr>
              <w:pStyle w:val="40"/>
              <w:spacing w:beforeLines="0" w:afterLines="0" w:line="240" w:lineRule="auto"/>
              <w:rPr>
                <w:rFonts w:hint="eastAsia" w:ascii="黑体" w:hAnsi="黑体" w:eastAsia="黑体"/>
                <w:snapToGrid w:val="0"/>
                <w:color w:val="auto"/>
                <w:spacing w:val="-16"/>
                <w:kern w:val="21"/>
                <w:szCs w:val="21"/>
              </w:rPr>
            </w:pPr>
            <w:r>
              <w:rPr>
                <w:rFonts w:ascii="黑体" w:hAnsi="黑体" w:eastAsia="黑体"/>
                <w:snapToGrid w:val="0"/>
                <w:color w:val="auto"/>
                <w:spacing w:val="-16"/>
                <w:kern w:val="21"/>
                <w:szCs w:val="21"/>
              </w:rPr>
              <w:t>本项目建成后</w:t>
            </w:r>
          </w:p>
          <w:p w14:paraId="0736177D">
            <w:pPr>
              <w:pStyle w:val="40"/>
              <w:spacing w:beforeLines="0" w:afterLines="0" w:line="240" w:lineRule="auto"/>
              <w:rPr>
                <w:rFonts w:ascii="黑体" w:hAnsi="黑体" w:eastAsia="黑体"/>
                <w:snapToGrid w:val="0"/>
                <w:color w:val="auto"/>
                <w:spacing w:val="-16"/>
                <w:kern w:val="21"/>
                <w:szCs w:val="21"/>
              </w:rPr>
            </w:pPr>
            <w:r>
              <w:rPr>
                <w:rFonts w:hint="eastAsia" w:ascii="黑体" w:hAnsi="黑体" w:eastAsia="黑体"/>
                <w:snapToGrid w:val="0"/>
                <w:color w:val="auto"/>
                <w:spacing w:val="-16"/>
                <w:kern w:val="21"/>
                <w:szCs w:val="21"/>
              </w:rPr>
              <w:t>全厂</w:t>
            </w:r>
            <w:r>
              <w:rPr>
                <w:rFonts w:ascii="黑体" w:hAnsi="黑体" w:eastAsia="黑体"/>
                <w:snapToGrid w:val="0"/>
                <w:color w:val="auto"/>
                <w:spacing w:val="-16"/>
                <w:kern w:val="21"/>
                <w:szCs w:val="21"/>
              </w:rPr>
              <w:t>排放量（固</w:t>
            </w:r>
            <w:r>
              <w:rPr>
                <w:rFonts w:hint="eastAsia" w:ascii="黑体" w:hAnsi="黑体" w:eastAsia="黑体"/>
                <w:snapToGrid w:val="0"/>
                <w:color w:val="auto"/>
                <w:spacing w:val="-16"/>
                <w:kern w:val="21"/>
                <w:szCs w:val="21"/>
              </w:rPr>
              <w:t>体</w:t>
            </w:r>
            <w:r>
              <w:rPr>
                <w:rFonts w:ascii="黑体" w:hAnsi="黑体" w:eastAsia="黑体"/>
                <w:snapToGrid w:val="0"/>
                <w:color w:val="auto"/>
                <w:spacing w:val="-16"/>
                <w:kern w:val="21"/>
                <w:szCs w:val="21"/>
              </w:rPr>
              <w:t>废</w:t>
            </w:r>
            <w:r>
              <w:rPr>
                <w:rFonts w:hint="eastAsia" w:ascii="黑体" w:hAnsi="黑体" w:eastAsia="黑体"/>
                <w:snapToGrid w:val="0"/>
                <w:color w:val="auto"/>
                <w:spacing w:val="-16"/>
                <w:kern w:val="21"/>
                <w:szCs w:val="21"/>
              </w:rPr>
              <w:t>物</w:t>
            </w:r>
            <w:r>
              <w:rPr>
                <w:rFonts w:ascii="黑体" w:hAnsi="黑体" w:eastAsia="黑体"/>
                <w:snapToGrid w:val="0"/>
                <w:color w:val="auto"/>
                <w:spacing w:val="-16"/>
                <w:kern w:val="21"/>
                <w:szCs w:val="21"/>
              </w:rPr>
              <w:t>产生量）</w:t>
            </w:r>
            <w:r>
              <w:rPr>
                <w:rFonts w:ascii="黑体" w:hAnsi="黑体" w:eastAsia="黑体"/>
                <w:snapToGrid w:val="0"/>
                <w:color w:val="auto"/>
                <w:spacing w:val="-16"/>
                <w:kern w:val="21"/>
                <w:szCs w:val="21"/>
              </w:rPr>
              <w:fldChar w:fldCharType="begin"/>
            </w:r>
            <w:r>
              <w:rPr>
                <w:rFonts w:ascii="黑体" w:hAnsi="黑体" w:eastAsia="黑体"/>
                <w:snapToGrid w:val="0"/>
                <w:color w:val="auto"/>
                <w:spacing w:val="-16"/>
                <w:kern w:val="21"/>
                <w:szCs w:val="21"/>
              </w:rPr>
              <w:instrText xml:space="preserve"> = 6 \* GB3 \* MERGEFORMAT </w:instrText>
            </w:r>
            <w:r>
              <w:rPr>
                <w:rFonts w:ascii="黑体" w:hAnsi="黑体" w:eastAsia="黑体"/>
                <w:snapToGrid w:val="0"/>
                <w:color w:val="auto"/>
                <w:spacing w:val="-16"/>
                <w:kern w:val="21"/>
                <w:szCs w:val="21"/>
              </w:rPr>
              <w:fldChar w:fldCharType="separate"/>
            </w:r>
            <w:r>
              <w:rPr>
                <w:rFonts w:hint="eastAsia" w:ascii="黑体" w:hAnsi="黑体" w:eastAsia="黑体" w:cs="宋体"/>
                <w:color w:val="auto"/>
                <w:kern w:val="2"/>
                <w:szCs w:val="21"/>
              </w:rPr>
              <w:t>⑥</w:t>
            </w:r>
            <w:r>
              <w:rPr>
                <w:rFonts w:ascii="黑体" w:hAnsi="黑体" w:eastAsia="黑体"/>
                <w:snapToGrid w:val="0"/>
                <w:color w:val="auto"/>
                <w:spacing w:val="-16"/>
                <w:kern w:val="21"/>
                <w:szCs w:val="21"/>
              </w:rPr>
              <w:fldChar w:fldCharType="end"/>
            </w:r>
          </w:p>
        </w:tc>
        <w:tc>
          <w:tcPr>
            <w:tcW w:w="826" w:type="dxa"/>
            <w:noWrap w:val="0"/>
            <w:tcMar>
              <w:left w:w="28" w:type="dxa"/>
              <w:right w:w="28" w:type="dxa"/>
            </w:tcMar>
            <w:vAlign w:val="center"/>
          </w:tcPr>
          <w:p w14:paraId="3BC99CC6">
            <w:pPr>
              <w:pStyle w:val="40"/>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变化量</w:t>
            </w:r>
          </w:p>
          <w:p w14:paraId="0FE0454D">
            <w:pPr>
              <w:pStyle w:val="40"/>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7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⑦</w:t>
            </w:r>
            <w:r>
              <w:rPr>
                <w:rFonts w:ascii="黑体" w:hAnsi="黑体" w:eastAsia="黑体"/>
                <w:snapToGrid w:val="0"/>
                <w:color w:val="auto"/>
                <w:spacing w:val="-6"/>
                <w:kern w:val="21"/>
                <w:szCs w:val="21"/>
              </w:rPr>
              <w:fldChar w:fldCharType="end"/>
            </w:r>
          </w:p>
        </w:tc>
      </w:tr>
      <w:tr w14:paraId="11EC49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447AA093">
            <w:pPr>
              <w:pStyle w:val="40"/>
              <w:spacing w:beforeLines="0" w:afterLines="0" w:line="240" w:lineRule="auto"/>
              <w:rPr>
                <w:rFonts w:hint="eastAsia" w:hAnsi="宋体" w:cs="宋体"/>
                <w:snapToGrid w:val="0"/>
                <w:color w:val="auto"/>
                <w:kern w:val="21"/>
                <w:szCs w:val="21"/>
              </w:rPr>
            </w:pPr>
            <w:r>
              <w:rPr>
                <w:rFonts w:hint="eastAsia" w:hAnsi="宋体" w:cs="宋体"/>
                <w:snapToGrid w:val="0"/>
                <w:color w:val="auto"/>
                <w:kern w:val="21"/>
                <w:szCs w:val="21"/>
              </w:rPr>
              <w:t>废气</w:t>
            </w:r>
            <w:r>
              <w:rPr>
                <w:rFonts w:hint="eastAsia" w:hAnsi="宋体" w:cs="宋体"/>
                <w:snapToGrid w:val="0"/>
                <w:color w:val="auto"/>
                <w:kern w:val="21"/>
                <w:szCs w:val="21"/>
                <w:lang w:val="en-US" w:eastAsia="zh-CN"/>
              </w:rPr>
              <w:t>（有组织）</w:t>
            </w:r>
          </w:p>
        </w:tc>
        <w:tc>
          <w:tcPr>
            <w:tcW w:w="1417" w:type="dxa"/>
            <w:noWrap w:val="0"/>
            <w:vAlign w:val="center"/>
          </w:tcPr>
          <w:p w14:paraId="16ECF1CF">
            <w:pPr>
              <w:keepNext w:val="0"/>
              <w:keepLines w:val="0"/>
              <w:pageBreakBefore w:val="0"/>
              <w:kinsoku/>
              <w:wordWrap/>
              <w:overflowPunct/>
              <w:topLinePunct w:val="0"/>
              <w:bidi w:val="0"/>
              <w:spacing w:line="240" w:lineRule="auto"/>
              <w:jc w:val="center"/>
              <w:textAlignment w:val="auto"/>
              <w:rPr>
                <w:rFonts w:hAnsi="宋体" w:cs="宋体"/>
                <w:snapToGrid w:val="0"/>
                <w:color w:val="auto"/>
                <w:kern w:val="21"/>
                <w:szCs w:val="21"/>
              </w:rPr>
            </w:pPr>
            <w:r>
              <w:rPr>
                <w:rFonts w:hint="eastAsia" w:eastAsia="宋体" w:cs="Times New Roman"/>
                <w:color w:val="auto"/>
                <w:kern w:val="2"/>
                <w:sz w:val="18"/>
                <w:szCs w:val="18"/>
                <w:highlight w:val="none"/>
                <w:lang w:val="en-US" w:eastAsia="zh-CN" w:bidi="ar-SA"/>
              </w:rPr>
              <w:t>颗粒物</w:t>
            </w:r>
          </w:p>
        </w:tc>
        <w:tc>
          <w:tcPr>
            <w:tcW w:w="1701" w:type="dxa"/>
            <w:shd w:val="clear" w:color="auto" w:fill="auto"/>
            <w:noWrap w:val="0"/>
            <w:vAlign w:val="center"/>
          </w:tcPr>
          <w:p w14:paraId="5139DB3B">
            <w:pPr>
              <w:pStyle w:val="10"/>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w:t>
            </w:r>
          </w:p>
        </w:tc>
        <w:tc>
          <w:tcPr>
            <w:tcW w:w="1276" w:type="dxa"/>
            <w:shd w:val="clear" w:color="auto" w:fill="auto"/>
            <w:noWrap w:val="0"/>
            <w:vAlign w:val="center"/>
          </w:tcPr>
          <w:p w14:paraId="2A0AB06E">
            <w:pPr>
              <w:pStyle w:val="10"/>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701" w:type="dxa"/>
            <w:shd w:val="clear" w:color="auto" w:fill="auto"/>
            <w:noWrap w:val="0"/>
            <w:vAlign w:val="center"/>
          </w:tcPr>
          <w:p w14:paraId="34C2BED3">
            <w:pPr>
              <w:keepNext w:val="0"/>
              <w:keepLines w:val="0"/>
              <w:pageBreakBefore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559" w:type="dxa"/>
            <w:shd w:val="clear" w:color="auto" w:fill="auto"/>
            <w:noWrap w:val="0"/>
            <w:vAlign w:val="center"/>
          </w:tcPr>
          <w:p w14:paraId="5D0E74CD">
            <w:pPr>
              <w:pStyle w:val="10"/>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0.0090</w:t>
            </w:r>
          </w:p>
        </w:tc>
        <w:tc>
          <w:tcPr>
            <w:tcW w:w="1761" w:type="dxa"/>
            <w:noWrap w:val="0"/>
            <w:vAlign w:val="center"/>
          </w:tcPr>
          <w:p w14:paraId="3B77EEDF">
            <w:pPr>
              <w:pStyle w:val="40"/>
              <w:spacing w:beforeLines="0" w:afterLines="0" w:line="240" w:lineRule="auto"/>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959" w:type="dxa"/>
            <w:shd w:val="clear" w:color="auto" w:fill="auto"/>
            <w:noWrap w:val="0"/>
            <w:vAlign w:val="center"/>
          </w:tcPr>
          <w:p w14:paraId="0E6A9A5D">
            <w:pPr>
              <w:pStyle w:val="6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0.0090</w:t>
            </w:r>
          </w:p>
        </w:tc>
        <w:tc>
          <w:tcPr>
            <w:tcW w:w="826" w:type="dxa"/>
            <w:shd w:val="clear" w:color="auto" w:fill="auto"/>
            <w:noWrap w:val="0"/>
            <w:vAlign w:val="center"/>
          </w:tcPr>
          <w:p w14:paraId="7030251B">
            <w:pPr>
              <w:pStyle w:val="10"/>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w:t>
            </w:r>
            <w:r>
              <w:rPr>
                <w:rFonts w:hint="eastAsia" w:ascii="Times New Roman" w:hAnsi="Times New Roman" w:cs="Times New Roman"/>
                <w:color w:val="auto"/>
                <w:sz w:val="18"/>
                <w:szCs w:val="18"/>
                <w:lang w:val="en-US" w:eastAsia="zh-CN"/>
              </w:rPr>
              <w:t>0.0090</w:t>
            </w:r>
          </w:p>
        </w:tc>
      </w:tr>
      <w:tr w14:paraId="7544ED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177483FD">
            <w:pPr>
              <w:pStyle w:val="40"/>
              <w:spacing w:beforeLines="0" w:afterLines="0" w:line="240" w:lineRule="auto"/>
              <w:rPr>
                <w:rFonts w:hint="eastAsia" w:hAnsi="宋体" w:cs="宋体"/>
                <w:snapToGrid w:val="0"/>
                <w:color w:val="auto"/>
                <w:kern w:val="21"/>
                <w:szCs w:val="21"/>
              </w:rPr>
            </w:pPr>
          </w:p>
        </w:tc>
        <w:tc>
          <w:tcPr>
            <w:tcW w:w="1417" w:type="dxa"/>
            <w:noWrap w:val="0"/>
            <w:vAlign w:val="center"/>
          </w:tcPr>
          <w:p w14:paraId="50313127">
            <w:pPr>
              <w:keepNext w:val="0"/>
              <w:keepLines w:val="0"/>
              <w:pageBreakBefore w:val="0"/>
              <w:widowControl w:val="0"/>
              <w:kinsoku/>
              <w:wordWrap/>
              <w:overflowPunct/>
              <w:topLinePunct w:val="0"/>
              <w:bidi w:val="0"/>
              <w:ind w:right="0" w:rightChars="0"/>
              <w:jc w:val="center"/>
              <w:textAlignment w:val="auto"/>
              <w:rPr>
                <w:rFonts w:hAnsi="宋体" w:cs="宋体"/>
                <w:snapToGrid w:val="0"/>
                <w:color w:val="auto"/>
                <w:kern w:val="21"/>
                <w:szCs w:val="21"/>
              </w:rPr>
            </w:pPr>
            <w:r>
              <w:rPr>
                <w:rFonts w:hint="eastAsia" w:cs="Times New Roman"/>
                <w:color w:val="auto"/>
                <w:kern w:val="2"/>
                <w:sz w:val="18"/>
                <w:szCs w:val="18"/>
                <w:lang w:val="en-US" w:eastAsia="zh-CN" w:bidi="ar-SA"/>
              </w:rPr>
              <w:t>非甲烷总烃</w:t>
            </w:r>
          </w:p>
        </w:tc>
        <w:tc>
          <w:tcPr>
            <w:tcW w:w="1701" w:type="dxa"/>
            <w:shd w:val="clear" w:color="auto" w:fill="auto"/>
            <w:noWrap w:val="0"/>
            <w:vAlign w:val="center"/>
          </w:tcPr>
          <w:p w14:paraId="2E967181">
            <w:pPr>
              <w:spacing w:beforeLines="0" w:afterLines="0"/>
              <w:jc w:val="center"/>
              <w:rPr>
                <w:rFonts w:hint="default" w:ascii="Times New Roman" w:hAnsi="Times New Roman" w:eastAsia="宋体" w:cs="Times New Roman"/>
                <w:snapToGrid w:val="0"/>
                <w:color w:val="auto"/>
                <w:kern w:val="21"/>
                <w:sz w:val="18"/>
                <w:szCs w:val="18"/>
                <w:lang w:val="en-US" w:eastAsia="zh-CN" w:bidi="ar-SA"/>
              </w:rPr>
            </w:pPr>
            <w:r>
              <w:rPr>
                <w:rFonts w:hint="eastAsia" w:cs="Times New Roman"/>
                <w:snapToGrid w:val="0"/>
                <w:color w:val="auto"/>
                <w:kern w:val="21"/>
                <w:sz w:val="18"/>
                <w:szCs w:val="18"/>
                <w:lang w:val="en-US" w:eastAsia="zh-CN" w:bidi="ar-SA"/>
              </w:rPr>
              <w:t>1.5097</w:t>
            </w:r>
          </w:p>
        </w:tc>
        <w:tc>
          <w:tcPr>
            <w:tcW w:w="1276" w:type="dxa"/>
            <w:shd w:val="clear" w:color="auto" w:fill="auto"/>
            <w:noWrap w:val="0"/>
            <w:vAlign w:val="center"/>
          </w:tcPr>
          <w:p w14:paraId="5AC4C40A">
            <w:pPr>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701" w:type="dxa"/>
            <w:shd w:val="clear" w:color="auto" w:fill="auto"/>
            <w:noWrap w:val="0"/>
            <w:vAlign w:val="center"/>
          </w:tcPr>
          <w:p w14:paraId="64DF75BE">
            <w:pPr>
              <w:keepNext w:val="0"/>
              <w:keepLines w:val="0"/>
              <w:pageBreakBefore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559" w:type="dxa"/>
            <w:shd w:val="clear" w:color="auto" w:fill="auto"/>
            <w:noWrap w:val="0"/>
            <w:vAlign w:val="center"/>
          </w:tcPr>
          <w:p w14:paraId="5FAB1AAB">
            <w:pPr>
              <w:pStyle w:val="10"/>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sz w:val="18"/>
                <w:szCs w:val="18"/>
                <w:lang w:val="en-US" w:eastAsia="zh-CN"/>
              </w:rPr>
              <w:t>0.296</w:t>
            </w:r>
          </w:p>
        </w:tc>
        <w:tc>
          <w:tcPr>
            <w:tcW w:w="1761" w:type="dxa"/>
            <w:noWrap w:val="0"/>
            <w:vAlign w:val="center"/>
          </w:tcPr>
          <w:p w14:paraId="7220A48C">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959" w:type="dxa"/>
            <w:shd w:val="clear" w:color="auto" w:fill="auto"/>
            <w:noWrap w:val="0"/>
            <w:vAlign w:val="center"/>
          </w:tcPr>
          <w:p w14:paraId="286A042F">
            <w:pPr>
              <w:pStyle w:val="6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1.8057</w:t>
            </w:r>
          </w:p>
        </w:tc>
        <w:tc>
          <w:tcPr>
            <w:tcW w:w="826" w:type="dxa"/>
            <w:shd w:val="clear" w:color="auto" w:fill="auto"/>
            <w:noWrap w:val="0"/>
            <w:vAlign w:val="center"/>
          </w:tcPr>
          <w:p w14:paraId="0C5989FF">
            <w:pPr>
              <w:pStyle w:val="10"/>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w:t>
            </w:r>
            <w:r>
              <w:rPr>
                <w:rFonts w:hint="eastAsia" w:ascii="Times New Roman" w:hAnsi="Times New Roman" w:cs="Times New Roman"/>
                <w:color w:val="auto"/>
                <w:sz w:val="18"/>
                <w:szCs w:val="18"/>
                <w:lang w:val="en-US" w:eastAsia="zh-CN"/>
              </w:rPr>
              <w:t>0.296</w:t>
            </w:r>
          </w:p>
        </w:tc>
      </w:tr>
      <w:tr w14:paraId="7CC141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789186CF">
            <w:pPr>
              <w:pStyle w:val="40"/>
              <w:spacing w:beforeLines="0" w:afterLines="0" w:line="240" w:lineRule="auto"/>
              <w:rPr>
                <w:rFonts w:hint="eastAsia" w:hAnsi="宋体" w:cs="宋体"/>
                <w:snapToGrid w:val="0"/>
                <w:color w:val="auto"/>
                <w:kern w:val="21"/>
                <w:szCs w:val="21"/>
              </w:rPr>
            </w:pPr>
          </w:p>
        </w:tc>
        <w:tc>
          <w:tcPr>
            <w:tcW w:w="1417" w:type="dxa"/>
            <w:noWrap w:val="0"/>
            <w:vAlign w:val="center"/>
          </w:tcPr>
          <w:p w14:paraId="611E9008">
            <w:pPr>
              <w:keepNext w:val="0"/>
              <w:keepLines w:val="0"/>
              <w:pageBreakBefore w:val="0"/>
              <w:widowControl w:val="0"/>
              <w:kinsoku/>
              <w:wordWrap/>
              <w:overflowPunct/>
              <w:topLinePunct w:val="0"/>
              <w:bidi w:val="0"/>
              <w:ind w:right="0" w:rightChars="0"/>
              <w:jc w:val="center"/>
              <w:textAlignment w:val="auto"/>
              <w:rPr>
                <w:rFonts w:hAnsi="宋体" w:cs="宋体"/>
                <w:snapToGrid w:val="0"/>
                <w:color w:val="auto"/>
                <w:kern w:val="21"/>
                <w:szCs w:val="21"/>
              </w:rPr>
            </w:pPr>
            <w:r>
              <w:rPr>
                <w:rFonts w:hint="eastAsia" w:cs="Times New Roman"/>
                <w:color w:val="auto"/>
                <w:kern w:val="2"/>
                <w:sz w:val="18"/>
                <w:szCs w:val="18"/>
                <w:lang w:val="en-US" w:eastAsia="zh-CN" w:bidi="ar-SA"/>
              </w:rPr>
              <w:t>食堂油烟</w:t>
            </w:r>
          </w:p>
        </w:tc>
        <w:tc>
          <w:tcPr>
            <w:tcW w:w="1701" w:type="dxa"/>
            <w:shd w:val="clear" w:color="auto" w:fill="auto"/>
            <w:noWrap w:val="0"/>
            <w:vAlign w:val="center"/>
          </w:tcPr>
          <w:p w14:paraId="1C9E3E16">
            <w:pPr>
              <w:spacing w:beforeLines="0" w:afterLines="0"/>
              <w:jc w:val="center"/>
              <w:rPr>
                <w:rFonts w:hint="default" w:ascii="Times New Roman" w:hAnsi="Times New Roman" w:eastAsia="宋体" w:cs="Times New Roman"/>
                <w:snapToGrid w:val="0"/>
                <w:color w:val="auto"/>
                <w:kern w:val="21"/>
                <w:sz w:val="18"/>
                <w:szCs w:val="18"/>
                <w:lang w:val="en-US" w:eastAsia="zh-CN" w:bidi="ar-SA"/>
              </w:rPr>
            </w:pPr>
            <w:r>
              <w:rPr>
                <w:rFonts w:hint="eastAsia" w:cs="Times New Roman"/>
                <w:snapToGrid w:val="0"/>
                <w:color w:val="auto"/>
                <w:kern w:val="21"/>
                <w:sz w:val="18"/>
                <w:szCs w:val="18"/>
                <w:lang w:val="en-US" w:eastAsia="zh-CN" w:bidi="ar-SA"/>
              </w:rPr>
              <w:t>0.01823</w:t>
            </w:r>
          </w:p>
        </w:tc>
        <w:tc>
          <w:tcPr>
            <w:tcW w:w="1276" w:type="dxa"/>
            <w:shd w:val="clear" w:color="auto" w:fill="auto"/>
            <w:noWrap w:val="0"/>
            <w:vAlign w:val="center"/>
          </w:tcPr>
          <w:p w14:paraId="2A1BBD1D">
            <w:pPr>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701" w:type="dxa"/>
            <w:shd w:val="clear" w:color="auto" w:fill="auto"/>
            <w:noWrap w:val="0"/>
            <w:vAlign w:val="center"/>
          </w:tcPr>
          <w:p w14:paraId="1F636464">
            <w:pPr>
              <w:keepNext w:val="0"/>
              <w:keepLines w:val="0"/>
              <w:pageBreakBefore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559" w:type="dxa"/>
            <w:shd w:val="clear" w:color="auto" w:fill="auto"/>
            <w:noWrap w:val="0"/>
            <w:vAlign w:val="center"/>
          </w:tcPr>
          <w:p w14:paraId="6E4DCE0F">
            <w:pPr>
              <w:keepNext w:val="0"/>
              <w:keepLines w:val="0"/>
              <w:pageBreakBefore w:val="0"/>
              <w:kinsoku/>
              <w:wordWrap/>
              <w:overflowPunct/>
              <w:topLinePunct w:val="0"/>
              <w:bidi w:val="0"/>
              <w:spacing w:line="240" w:lineRule="auto"/>
              <w:ind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eastAsia="宋体" w:cs="Times New Roman"/>
                <w:color w:val="auto"/>
                <w:sz w:val="18"/>
                <w:szCs w:val="18"/>
                <w:highlight w:val="none"/>
                <w:lang w:val="en-US" w:eastAsia="zh-CN"/>
              </w:rPr>
              <w:t>0</w:t>
            </w:r>
          </w:p>
        </w:tc>
        <w:tc>
          <w:tcPr>
            <w:tcW w:w="1761" w:type="dxa"/>
            <w:noWrap w:val="0"/>
            <w:vAlign w:val="center"/>
          </w:tcPr>
          <w:p w14:paraId="7F4114E5">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959" w:type="dxa"/>
            <w:shd w:val="clear" w:color="auto" w:fill="auto"/>
            <w:noWrap w:val="0"/>
            <w:vAlign w:val="center"/>
          </w:tcPr>
          <w:p w14:paraId="6143871C">
            <w:pPr>
              <w:pStyle w:val="6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0.01823</w:t>
            </w:r>
          </w:p>
        </w:tc>
        <w:tc>
          <w:tcPr>
            <w:tcW w:w="826" w:type="dxa"/>
            <w:shd w:val="clear" w:color="auto" w:fill="auto"/>
            <w:noWrap w:val="0"/>
            <w:vAlign w:val="center"/>
          </w:tcPr>
          <w:p w14:paraId="6FCDFFC0">
            <w:pPr>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highlight w:val="none"/>
                <w:lang w:val="en-US" w:eastAsia="zh-CN"/>
              </w:rPr>
              <w:t>+</w:t>
            </w:r>
            <w:r>
              <w:rPr>
                <w:rFonts w:hint="default" w:ascii="Times New Roman" w:hAnsi="Times New Roman" w:eastAsia="宋体" w:cs="Times New Roman"/>
                <w:color w:val="auto"/>
                <w:sz w:val="18"/>
                <w:szCs w:val="18"/>
                <w:highlight w:val="none"/>
                <w:lang w:val="en-US" w:eastAsia="zh-CN"/>
              </w:rPr>
              <w:t>0</w:t>
            </w:r>
          </w:p>
        </w:tc>
      </w:tr>
      <w:tr w14:paraId="4B7894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1E4A3C8A">
            <w:pPr>
              <w:pStyle w:val="40"/>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废气（无组织）</w:t>
            </w:r>
          </w:p>
        </w:tc>
        <w:tc>
          <w:tcPr>
            <w:tcW w:w="1417" w:type="dxa"/>
            <w:noWrap w:val="0"/>
            <w:vAlign w:val="center"/>
          </w:tcPr>
          <w:p w14:paraId="7B988B88">
            <w:pPr>
              <w:keepNext w:val="0"/>
              <w:keepLines w:val="0"/>
              <w:pageBreakBefore w:val="0"/>
              <w:kinsoku/>
              <w:wordWrap/>
              <w:overflowPunct/>
              <w:topLinePunct w:val="0"/>
              <w:bidi w:val="0"/>
              <w:spacing w:line="240" w:lineRule="auto"/>
              <w:jc w:val="center"/>
              <w:textAlignment w:val="auto"/>
              <w:rPr>
                <w:rFonts w:hAnsi="宋体" w:cs="宋体"/>
                <w:snapToGrid w:val="0"/>
                <w:color w:val="auto"/>
                <w:kern w:val="21"/>
                <w:szCs w:val="21"/>
              </w:rPr>
            </w:pPr>
            <w:r>
              <w:rPr>
                <w:rFonts w:hint="eastAsia" w:eastAsia="宋体" w:cs="Times New Roman"/>
                <w:color w:val="auto"/>
                <w:kern w:val="2"/>
                <w:sz w:val="18"/>
                <w:szCs w:val="18"/>
                <w:highlight w:val="none"/>
                <w:lang w:val="en-US" w:eastAsia="zh-CN" w:bidi="ar-SA"/>
              </w:rPr>
              <w:t>颗粒物</w:t>
            </w:r>
          </w:p>
        </w:tc>
        <w:tc>
          <w:tcPr>
            <w:tcW w:w="1701" w:type="dxa"/>
            <w:shd w:val="clear" w:color="auto" w:fill="auto"/>
            <w:noWrap w:val="0"/>
            <w:vAlign w:val="center"/>
          </w:tcPr>
          <w:p w14:paraId="358092C6">
            <w:pPr>
              <w:pStyle w:val="63"/>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eastAsia="宋体" w:cs="Times New Roman"/>
                <w:color w:val="auto"/>
                <w:kern w:val="2"/>
                <w:sz w:val="18"/>
                <w:szCs w:val="18"/>
                <w:lang w:val="en-US" w:eastAsia="zh-CN" w:bidi="ar-SA"/>
              </w:rPr>
              <w:t>0</w:t>
            </w:r>
          </w:p>
        </w:tc>
        <w:tc>
          <w:tcPr>
            <w:tcW w:w="1276" w:type="dxa"/>
            <w:shd w:val="clear" w:color="auto" w:fill="auto"/>
            <w:noWrap w:val="0"/>
            <w:vAlign w:val="center"/>
          </w:tcPr>
          <w:p w14:paraId="113BB0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701" w:type="dxa"/>
            <w:shd w:val="clear" w:color="auto" w:fill="auto"/>
            <w:noWrap w:val="0"/>
            <w:vAlign w:val="center"/>
          </w:tcPr>
          <w:p w14:paraId="146B96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559" w:type="dxa"/>
            <w:shd w:val="clear" w:color="auto" w:fill="auto"/>
            <w:noWrap w:val="0"/>
            <w:vAlign w:val="center"/>
          </w:tcPr>
          <w:p w14:paraId="226594F7">
            <w:pPr>
              <w:pStyle w:val="6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0.0970</w:t>
            </w:r>
          </w:p>
        </w:tc>
        <w:tc>
          <w:tcPr>
            <w:tcW w:w="1761" w:type="dxa"/>
            <w:noWrap w:val="0"/>
            <w:vAlign w:val="center"/>
          </w:tcPr>
          <w:p w14:paraId="6FF127D0">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959" w:type="dxa"/>
            <w:shd w:val="clear" w:color="auto" w:fill="auto"/>
            <w:noWrap w:val="0"/>
            <w:vAlign w:val="center"/>
          </w:tcPr>
          <w:p w14:paraId="0029E0D0">
            <w:pPr>
              <w:pStyle w:val="6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0.0970</w:t>
            </w:r>
          </w:p>
        </w:tc>
        <w:tc>
          <w:tcPr>
            <w:tcW w:w="826" w:type="dxa"/>
            <w:shd w:val="clear" w:color="auto" w:fill="auto"/>
            <w:noWrap w:val="0"/>
            <w:vAlign w:val="center"/>
          </w:tcPr>
          <w:p w14:paraId="48E6D83F">
            <w:pPr>
              <w:pStyle w:val="6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+0.0970</w:t>
            </w:r>
          </w:p>
        </w:tc>
      </w:tr>
      <w:tr w14:paraId="2471C9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18560DC4">
            <w:pPr>
              <w:pStyle w:val="40"/>
              <w:spacing w:beforeLines="0" w:afterLines="0" w:line="240" w:lineRule="auto"/>
              <w:rPr>
                <w:rFonts w:hint="eastAsia" w:hAnsi="宋体" w:cs="宋体"/>
                <w:snapToGrid w:val="0"/>
                <w:color w:val="auto"/>
                <w:kern w:val="21"/>
                <w:szCs w:val="21"/>
              </w:rPr>
            </w:pPr>
          </w:p>
        </w:tc>
        <w:tc>
          <w:tcPr>
            <w:tcW w:w="1417" w:type="dxa"/>
            <w:noWrap w:val="0"/>
            <w:vAlign w:val="center"/>
          </w:tcPr>
          <w:p w14:paraId="5EEB16C0">
            <w:pPr>
              <w:keepNext w:val="0"/>
              <w:keepLines w:val="0"/>
              <w:pageBreakBefore w:val="0"/>
              <w:widowControl w:val="0"/>
              <w:kinsoku/>
              <w:wordWrap/>
              <w:overflowPunct/>
              <w:topLinePunct w:val="0"/>
              <w:bidi w:val="0"/>
              <w:ind w:right="0" w:rightChars="0"/>
              <w:jc w:val="center"/>
              <w:textAlignment w:val="auto"/>
              <w:rPr>
                <w:rFonts w:hAnsi="宋体" w:cs="宋体"/>
                <w:snapToGrid w:val="0"/>
                <w:color w:val="auto"/>
                <w:kern w:val="21"/>
                <w:szCs w:val="21"/>
              </w:rPr>
            </w:pPr>
            <w:r>
              <w:rPr>
                <w:rFonts w:hint="eastAsia" w:cs="Times New Roman"/>
                <w:color w:val="auto"/>
                <w:kern w:val="2"/>
                <w:sz w:val="18"/>
                <w:szCs w:val="18"/>
                <w:lang w:val="en-US" w:eastAsia="zh-CN" w:bidi="ar-SA"/>
              </w:rPr>
              <w:t>非甲烷总烃</w:t>
            </w:r>
          </w:p>
        </w:tc>
        <w:tc>
          <w:tcPr>
            <w:tcW w:w="1701" w:type="dxa"/>
            <w:shd w:val="clear" w:color="auto" w:fill="auto"/>
            <w:noWrap w:val="0"/>
            <w:vAlign w:val="center"/>
          </w:tcPr>
          <w:p w14:paraId="40AA5875">
            <w:pPr>
              <w:pStyle w:val="63"/>
              <w:keepNext w:val="0"/>
              <w:keepLines w:val="0"/>
              <w:pageBreakBefore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snapToGrid w:val="0"/>
                <w:color w:val="auto"/>
                <w:kern w:val="21"/>
                <w:sz w:val="18"/>
                <w:szCs w:val="18"/>
                <w:lang w:val="en-US" w:eastAsia="zh-CN" w:bidi="ar-SA"/>
              </w:rPr>
              <w:t>0.3814</w:t>
            </w:r>
          </w:p>
        </w:tc>
        <w:tc>
          <w:tcPr>
            <w:tcW w:w="1276" w:type="dxa"/>
            <w:shd w:val="clear" w:color="auto" w:fill="auto"/>
            <w:noWrap w:val="0"/>
            <w:vAlign w:val="center"/>
          </w:tcPr>
          <w:p w14:paraId="0A74B8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701" w:type="dxa"/>
            <w:shd w:val="clear" w:color="auto" w:fill="auto"/>
            <w:noWrap w:val="0"/>
            <w:vAlign w:val="center"/>
          </w:tcPr>
          <w:p w14:paraId="3BE9E7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559" w:type="dxa"/>
            <w:shd w:val="clear" w:color="auto" w:fill="auto"/>
            <w:noWrap w:val="0"/>
            <w:vAlign w:val="center"/>
          </w:tcPr>
          <w:p w14:paraId="51BA1355">
            <w:pPr>
              <w:pStyle w:val="6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0.3277</w:t>
            </w:r>
          </w:p>
        </w:tc>
        <w:tc>
          <w:tcPr>
            <w:tcW w:w="1761" w:type="dxa"/>
            <w:noWrap w:val="0"/>
            <w:vAlign w:val="center"/>
          </w:tcPr>
          <w:p w14:paraId="6A323A08">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959" w:type="dxa"/>
            <w:shd w:val="clear" w:color="auto" w:fill="auto"/>
            <w:noWrap w:val="0"/>
            <w:vAlign w:val="center"/>
          </w:tcPr>
          <w:p w14:paraId="7B7A842A">
            <w:pPr>
              <w:pStyle w:val="6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0.7091</w:t>
            </w:r>
          </w:p>
        </w:tc>
        <w:tc>
          <w:tcPr>
            <w:tcW w:w="826" w:type="dxa"/>
            <w:shd w:val="clear" w:color="auto" w:fill="auto"/>
            <w:noWrap w:val="0"/>
            <w:vAlign w:val="center"/>
          </w:tcPr>
          <w:p w14:paraId="0DC3AA3E">
            <w:pPr>
              <w:pStyle w:val="6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+0.3277</w:t>
            </w:r>
          </w:p>
        </w:tc>
      </w:tr>
      <w:tr w14:paraId="559B90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28CD1C9A">
            <w:pPr>
              <w:pStyle w:val="40"/>
              <w:spacing w:beforeLines="0" w:afterLines="0" w:line="240" w:lineRule="auto"/>
              <w:rPr>
                <w:rFonts w:hint="eastAsia" w:hAnsi="宋体" w:cs="宋体"/>
                <w:snapToGrid w:val="0"/>
                <w:color w:val="auto"/>
                <w:kern w:val="21"/>
                <w:szCs w:val="21"/>
              </w:rPr>
            </w:pPr>
            <w:r>
              <w:rPr>
                <w:rFonts w:hint="eastAsia" w:hAnsi="宋体" w:cs="宋体"/>
                <w:snapToGrid w:val="0"/>
                <w:color w:val="auto"/>
                <w:kern w:val="21"/>
                <w:szCs w:val="21"/>
              </w:rPr>
              <w:t>废水</w:t>
            </w:r>
          </w:p>
        </w:tc>
        <w:tc>
          <w:tcPr>
            <w:tcW w:w="1417" w:type="dxa"/>
            <w:noWrap w:val="0"/>
            <w:vAlign w:val="center"/>
          </w:tcPr>
          <w:p w14:paraId="5D0E57C2">
            <w:pPr>
              <w:keepNext w:val="0"/>
              <w:keepLines w:val="0"/>
              <w:pageBreakBefore w:val="0"/>
              <w:kinsoku/>
              <w:wordWrap/>
              <w:overflowPunct/>
              <w:topLinePunct w:val="0"/>
              <w:bidi w:val="0"/>
              <w:spacing w:line="240" w:lineRule="auto"/>
              <w:jc w:val="center"/>
              <w:textAlignment w:val="auto"/>
              <w:rPr>
                <w:rFonts w:hAnsi="宋体" w:cs="宋体"/>
                <w:snapToGrid w:val="0"/>
                <w:color w:val="auto"/>
                <w:kern w:val="21"/>
                <w:szCs w:val="21"/>
              </w:rPr>
            </w:pPr>
            <w:r>
              <w:rPr>
                <w:rFonts w:hint="eastAsia" w:cs="Times New Roman"/>
                <w:color w:val="auto"/>
                <w:sz w:val="18"/>
                <w:szCs w:val="18"/>
                <w:highlight w:val="none"/>
                <w:lang w:val="en-US" w:eastAsia="zh-CN"/>
              </w:rPr>
              <w:t>水量</w:t>
            </w:r>
          </w:p>
        </w:tc>
        <w:tc>
          <w:tcPr>
            <w:tcW w:w="1701" w:type="dxa"/>
            <w:noWrap w:val="0"/>
            <w:vAlign w:val="center"/>
          </w:tcPr>
          <w:p w14:paraId="7D287AA4">
            <w:pPr>
              <w:pStyle w:val="40"/>
              <w:keepNext w:val="0"/>
              <w:keepLines w:val="0"/>
              <w:pageBreakBefore w:val="0"/>
              <w:widowControl w:val="0"/>
              <w:kinsoku/>
              <w:wordWrap/>
              <w:overflowPunct/>
              <w:topLinePunct w:val="0"/>
              <w:bidi w:val="0"/>
              <w:spacing w:beforeLines="0" w:afterLines="0" w:line="240" w:lineRule="auto"/>
              <w:ind w:right="0" w:rightChars="0"/>
              <w:jc w:val="center"/>
              <w:textAlignment w:val="auto"/>
              <w:rPr>
                <w:rFonts w:hAnsi="宋体" w:cs="宋体"/>
                <w:snapToGrid w:val="0"/>
                <w:color w:val="auto"/>
                <w:kern w:val="21"/>
                <w:szCs w:val="21"/>
              </w:rPr>
            </w:pPr>
            <w:r>
              <w:rPr>
                <w:rFonts w:hint="eastAsia" w:ascii="Times New Roman" w:cs="Times New Roman"/>
                <w:snapToGrid w:val="0"/>
                <w:color w:val="auto"/>
                <w:kern w:val="21"/>
                <w:sz w:val="18"/>
                <w:szCs w:val="18"/>
                <w:lang w:val="en-US" w:eastAsia="zh-CN" w:bidi="ar-SA"/>
              </w:rPr>
              <w:t>22356</w:t>
            </w:r>
          </w:p>
        </w:tc>
        <w:tc>
          <w:tcPr>
            <w:tcW w:w="1276" w:type="dxa"/>
            <w:noWrap w:val="0"/>
            <w:vAlign w:val="center"/>
          </w:tcPr>
          <w:p w14:paraId="5707CC00">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701" w:type="dxa"/>
            <w:noWrap w:val="0"/>
            <w:vAlign w:val="center"/>
          </w:tcPr>
          <w:p w14:paraId="75A1030E">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559" w:type="dxa"/>
            <w:noWrap w:val="0"/>
            <w:vAlign w:val="center"/>
          </w:tcPr>
          <w:p w14:paraId="66A98514">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761" w:type="dxa"/>
            <w:noWrap w:val="0"/>
            <w:vAlign w:val="center"/>
          </w:tcPr>
          <w:p w14:paraId="3D4D3AB0">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959" w:type="dxa"/>
            <w:shd w:val="clear" w:color="auto" w:fill="auto"/>
            <w:noWrap w:val="0"/>
            <w:vAlign w:val="center"/>
          </w:tcPr>
          <w:p w14:paraId="3ED3413E">
            <w:pPr>
              <w:pStyle w:val="40"/>
              <w:keepNext w:val="0"/>
              <w:keepLines w:val="0"/>
              <w:pageBreakBefore w:val="0"/>
              <w:widowControl w:val="0"/>
              <w:kinsoku/>
              <w:wordWrap/>
              <w:overflowPunct/>
              <w:topLinePunct w:val="0"/>
              <w:bidi w:val="0"/>
              <w:spacing w:beforeLines="0" w:afterLines="0" w:line="240" w:lineRule="auto"/>
              <w:ind w:right="0" w:rightChars="0"/>
              <w:jc w:val="center"/>
              <w:textAlignment w:val="auto"/>
              <w:rPr>
                <w:rFonts w:ascii="宋体" w:hAnsi="宋体" w:eastAsia="宋体" w:cs="宋体"/>
                <w:snapToGrid w:val="0"/>
                <w:color w:val="auto"/>
                <w:kern w:val="21"/>
                <w:sz w:val="21"/>
                <w:szCs w:val="21"/>
                <w:lang w:val="en-US" w:eastAsia="zh-CN" w:bidi="ar-SA"/>
              </w:rPr>
            </w:pPr>
            <w:r>
              <w:rPr>
                <w:rFonts w:hint="eastAsia" w:ascii="Times New Roman" w:cs="Times New Roman"/>
                <w:snapToGrid w:val="0"/>
                <w:color w:val="auto"/>
                <w:kern w:val="21"/>
                <w:sz w:val="18"/>
                <w:szCs w:val="18"/>
                <w:lang w:val="en-US" w:eastAsia="zh-CN" w:bidi="ar-SA"/>
              </w:rPr>
              <w:t>22356</w:t>
            </w:r>
          </w:p>
        </w:tc>
        <w:tc>
          <w:tcPr>
            <w:tcW w:w="826" w:type="dxa"/>
            <w:noWrap w:val="0"/>
            <w:vAlign w:val="center"/>
          </w:tcPr>
          <w:p w14:paraId="44FB13C3">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r>
      <w:tr w14:paraId="1BC537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58D743B9">
            <w:pPr>
              <w:pStyle w:val="40"/>
              <w:spacing w:beforeLines="0" w:afterLines="0" w:line="240" w:lineRule="auto"/>
              <w:rPr>
                <w:rFonts w:hint="eastAsia" w:hAnsi="宋体" w:cs="宋体"/>
                <w:snapToGrid w:val="0"/>
                <w:color w:val="auto"/>
                <w:kern w:val="21"/>
                <w:szCs w:val="21"/>
              </w:rPr>
            </w:pPr>
          </w:p>
        </w:tc>
        <w:tc>
          <w:tcPr>
            <w:tcW w:w="1417" w:type="dxa"/>
            <w:noWrap w:val="0"/>
            <w:vAlign w:val="center"/>
          </w:tcPr>
          <w:p w14:paraId="2C6E15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Ansi="宋体" w:cs="宋体"/>
                <w:snapToGrid w:val="0"/>
                <w:color w:val="auto"/>
                <w:kern w:val="21"/>
                <w:szCs w:val="21"/>
              </w:rPr>
            </w:pPr>
            <w:r>
              <w:rPr>
                <w:rFonts w:hint="default" w:ascii="Times New Roman" w:hAnsi="Times New Roman" w:cs="Times New Roman"/>
                <w:color w:val="auto"/>
                <w:sz w:val="18"/>
                <w:szCs w:val="18"/>
                <w:highlight w:val="none"/>
              </w:rPr>
              <w:t>COD</w:t>
            </w:r>
          </w:p>
        </w:tc>
        <w:tc>
          <w:tcPr>
            <w:tcW w:w="1701" w:type="dxa"/>
            <w:noWrap w:val="0"/>
            <w:vAlign w:val="center"/>
          </w:tcPr>
          <w:p w14:paraId="47286F84">
            <w:pPr>
              <w:pStyle w:val="40"/>
              <w:keepNext w:val="0"/>
              <w:keepLines w:val="0"/>
              <w:pageBreakBefore w:val="0"/>
              <w:widowControl w:val="0"/>
              <w:kinsoku/>
              <w:wordWrap/>
              <w:overflowPunct/>
              <w:topLinePunct w:val="0"/>
              <w:bidi w:val="0"/>
              <w:spacing w:beforeLines="0" w:afterLines="0" w:line="240" w:lineRule="auto"/>
              <w:ind w:right="0" w:rightChars="0"/>
              <w:jc w:val="center"/>
              <w:textAlignment w:val="auto"/>
              <w:rPr>
                <w:rFonts w:hAnsi="宋体" w:cs="宋体"/>
                <w:snapToGrid w:val="0"/>
                <w:color w:val="auto"/>
                <w:kern w:val="21"/>
                <w:szCs w:val="21"/>
              </w:rPr>
            </w:pPr>
            <w:r>
              <w:rPr>
                <w:rFonts w:hint="eastAsia" w:ascii="Times New Roman" w:cs="Times New Roman"/>
                <w:snapToGrid w:val="0"/>
                <w:color w:val="auto"/>
                <w:kern w:val="21"/>
                <w:sz w:val="18"/>
                <w:szCs w:val="18"/>
                <w:lang w:val="en-US" w:eastAsia="zh-CN" w:bidi="ar-SA"/>
              </w:rPr>
              <w:t>5.9195</w:t>
            </w:r>
          </w:p>
        </w:tc>
        <w:tc>
          <w:tcPr>
            <w:tcW w:w="1276" w:type="dxa"/>
            <w:noWrap w:val="0"/>
            <w:vAlign w:val="center"/>
          </w:tcPr>
          <w:p w14:paraId="56C8B7F3">
            <w:pPr>
              <w:spacing w:beforeLines="0" w:afterLines="0" w:line="240" w:lineRule="auto"/>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701" w:type="dxa"/>
            <w:noWrap w:val="0"/>
            <w:vAlign w:val="center"/>
          </w:tcPr>
          <w:p w14:paraId="6C17BD15">
            <w:pPr>
              <w:spacing w:beforeLines="0" w:afterLines="0" w:line="240" w:lineRule="auto"/>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559" w:type="dxa"/>
            <w:noWrap w:val="0"/>
            <w:vAlign w:val="center"/>
          </w:tcPr>
          <w:p w14:paraId="3DBEF593">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761" w:type="dxa"/>
            <w:noWrap w:val="0"/>
            <w:vAlign w:val="center"/>
          </w:tcPr>
          <w:p w14:paraId="7302B532">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959" w:type="dxa"/>
            <w:shd w:val="clear" w:color="auto" w:fill="auto"/>
            <w:noWrap w:val="0"/>
            <w:vAlign w:val="center"/>
          </w:tcPr>
          <w:p w14:paraId="0CC0B299">
            <w:pPr>
              <w:pStyle w:val="40"/>
              <w:keepNext w:val="0"/>
              <w:keepLines w:val="0"/>
              <w:pageBreakBefore w:val="0"/>
              <w:widowControl w:val="0"/>
              <w:kinsoku/>
              <w:wordWrap/>
              <w:overflowPunct/>
              <w:topLinePunct w:val="0"/>
              <w:bidi w:val="0"/>
              <w:spacing w:beforeLines="0" w:afterLines="0" w:line="240" w:lineRule="auto"/>
              <w:ind w:right="0" w:rightChars="0"/>
              <w:jc w:val="center"/>
              <w:textAlignment w:val="auto"/>
              <w:rPr>
                <w:rFonts w:ascii="宋体" w:hAnsi="宋体" w:eastAsia="宋体" w:cs="宋体"/>
                <w:snapToGrid w:val="0"/>
                <w:color w:val="auto"/>
                <w:kern w:val="21"/>
                <w:sz w:val="21"/>
                <w:szCs w:val="21"/>
                <w:lang w:val="en-US" w:eastAsia="zh-CN" w:bidi="ar-SA"/>
              </w:rPr>
            </w:pPr>
            <w:r>
              <w:rPr>
                <w:rFonts w:hint="eastAsia" w:ascii="Times New Roman" w:cs="Times New Roman"/>
                <w:snapToGrid w:val="0"/>
                <w:color w:val="auto"/>
                <w:kern w:val="21"/>
                <w:sz w:val="18"/>
                <w:szCs w:val="18"/>
                <w:lang w:val="en-US" w:eastAsia="zh-CN" w:bidi="ar-SA"/>
              </w:rPr>
              <w:t>5.9195</w:t>
            </w:r>
          </w:p>
        </w:tc>
        <w:tc>
          <w:tcPr>
            <w:tcW w:w="826" w:type="dxa"/>
            <w:noWrap w:val="0"/>
            <w:vAlign w:val="center"/>
          </w:tcPr>
          <w:p w14:paraId="0E8EE14E">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r>
      <w:tr w14:paraId="2457D0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7C09B358">
            <w:pPr>
              <w:pStyle w:val="40"/>
              <w:spacing w:beforeLines="0" w:afterLines="0" w:line="240" w:lineRule="auto"/>
              <w:rPr>
                <w:rFonts w:hint="eastAsia" w:hAnsi="宋体" w:cs="宋体"/>
                <w:snapToGrid w:val="0"/>
                <w:color w:val="auto"/>
                <w:kern w:val="21"/>
                <w:szCs w:val="21"/>
              </w:rPr>
            </w:pPr>
          </w:p>
        </w:tc>
        <w:tc>
          <w:tcPr>
            <w:tcW w:w="1417" w:type="dxa"/>
            <w:noWrap w:val="0"/>
            <w:vAlign w:val="center"/>
          </w:tcPr>
          <w:p w14:paraId="4E5456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Ansi="宋体" w:cs="宋体"/>
                <w:snapToGrid w:val="0"/>
                <w:color w:val="auto"/>
                <w:kern w:val="21"/>
                <w:szCs w:val="21"/>
              </w:rPr>
            </w:pPr>
            <w:r>
              <w:rPr>
                <w:rFonts w:hint="default" w:ascii="Times New Roman" w:hAnsi="Times New Roman" w:cs="Times New Roman"/>
                <w:color w:val="auto"/>
                <w:sz w:val="18"/>
                <w:szCs w:val="18"/>
                <w:highlight w:val="none"/>
              </w:rPr>
              <w:t>SS</w:t>
            </w:r>
          </w:p>
        </w:tc>
        <w:tc>
          <w:tcPr>
            <w:tcW w:w="1701" w:type="dxa"/>
            <w:noWrap w:val="0"/>
            <w:vAlign w:val="center"/>
          </w:tcPr>
          <w:p w14:paraId="2C3611A8">
            <w:pPr>
              <w:keepNext w:val="0"/>
              <w:keepLines w:val="0"/>
              <w:widowControl/>
              <w:suppressLineNumbers w:val="0"/>
              <w:jc w:val="center"/>
              <w:textAlignment w:val="center"/>
              <w:rPr>
                <w:rFonts w:hAnsi="宋体" w:cs="宋体"/>
                <w:snapToGrid w:val="0"/>
                <w:color w:val="auto"/>
                <w:kern w:val="21"/>
                <w:szCs w:val="21"/>
              </w:rPr>
            </w:pPr>
            <w:r>
              <w:rPr>
                <w:rFonts w:hint="eastAsia" w:cs="Times New Roman"/>
                <w:snapToGrid w:val="0"/>
                <w:color w:val="auto"/>
                <w:kern w:val="21"/>
                <w:sz w:val="18"/>
                <w:szCs w:val="18"/>
                <w:lang w:val="en-US" w:eastAsia="zh-CN" w:bidi="ar-SA"/>
              </w:rPr>
              <w:t>4.4712</w:t>
            </w:r>
          </w:p>
        </w:tc>
        <w:tc>
          <w:tcPr>
            <w:tcW w:w="1276" w:type="dxa"/>
            <w:noWrap w:val="0"/>
            <w:vAlign w:val="center"/>
          </w:tcPr>
          <w:p w14:paraId="501A531F">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701" w:type="dxa"/>
            <w:noWrap w:val="0"/>
            <w:vAlign w:val="center"/>
          </w:tcPr>
          <w:p w14:paraId="1BABAE0C">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559" w:type="dxa"/>
            <w:noWrap w:val="0"/>
            <w:vAlign w:val="center"/>
          </w:tcPr>
          <w:p w14:paraId="2EFEB64F">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761" w:type="dxa"/>
            <w:noWrap w:val="0"/>
            <w:vAlign w:val="center"/>
          </w:tcPr>
          <w:p w14:paraId="758E5AA7">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959" w:type="dxa"/>
            <w:shd w:val="clear" w:color="auto" w:fill="auto"/>
            <w:noWrap w:val="0"/>
            <w:vAlign w:val="center"/>
          </w:tcPr>
          <w:p w14:paraId="5E01EA0F">
            <w:pPr>
              <w:keepNext w:val="0"/>
              <w:keepLines w:val="0"/>
              <w:widowControl/>
              <w:suppressLineNumbers w:val="0"/>
              <w:jc w:val="center"/>
              <w:textAlignment w:val="center"/>
              <w:rPr>
                <w:rFonts w:ascii="Times New Roman" w:hAnsi="宋体" w:eastAsia="宋体" w:cs="宋体"/>
                <w:snapToGrid w:val="0"/>
                <w:color w:val="auto"/>
                <w:kern w:val="21"/>
                <w:sz w:val="21"/>
                <w:szCs w:val="21"/>
                <w:lang w:val="en-US" w:eastAsia="zh-CN" w:bidi="ar-SA"/>
              </w:rPr>
            </w:pPr>
            <w:r>
              <w:rPr>
                <w:rFonts w:hint="eastAsia" w:cs="Times New Roman"/>
                <w:snapToGrid w:val="0"/>
                <w:color w:val="auto"/>
                <w:kern w:val="21"/>
                <w:sz w:val="18"/>
                <w:szCs w:val="18"/>
                <w:lang w:val="en-US" w:eastAsia="zh-CN" w:bidi="ar-SA"/>
              </w:rPr>
              <w:t>4.4712</w:t>
            </w:r>
          </w:p>
        </w:tc>
        <w:tc>
          <w:tcPr>
            <w:tcW w:w="826" w:type="dxa"/>
            <w:noWrap w:val="0"/>
            <w:vAlign w:val="center"/>
          </w:tcPr>
          <w:p w14:paraId="4C28E699">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r>
      <w:tr w14:paraId="6E9F88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0647F326">
            <w:pPr>
              <w:pStyle w:val="40"/>
              <w:spacing w:beforeLines="0" w:afterLines="0" w:line="240" w:lineRule="auto"/>
              <w:rPr>
                <w:rFonts w:hint="eastAsia" w:hAnsi="宋体" w:cs="宋体"/>
                <w:snapToGrid w:val="0"/>
                <w:color w:val="auto"/>
                <w:kern w:val="21"/>
                <w:szCs w:val="21"/>
              </w:rPr>
            </w:pPr>
          </w:p>
        </w:tc>
        <w:tc>
          <w:tcPr>
            <w:tcW w:w="1417" w:type="dxa"/>
            <w:noWrap w:val="0"/>
            <w:vAlign w:val="center"/>
          </w:tcPr>
          <w:p w14:paraId="2A965C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Ansi="宋体" w:cs="宋体"/>
                <w:snapToGrid w:val="0"/>
                <w:color w:val="auto"/>
                <w:kern w:val="21"/>
                <w:szCs w:val="21"/>
              </w:rPr>
            </w:pPr>
            <w:r>
              <w:rPr>
                <w:rFonts w:hint="default" w:ascii="Times New Roman" w:hAnsi="Times New Roman" w:cs="Times New Roman"/>
                <w:color w:val="auto"/>
                <w:sz w:val="18"/>
                <w:szCs w:val="18"/>
                <w:highlight w:val="none"/>
              </w:rPr>
              <w:t>氨氮</w:t>
            </w:r>
          </w:p>
        </w:tc>
        <w:tc>
          <w:tcPr>
            <w:tcW w:w="1701" w:type="dxa"/>
            <w:noWrap w:val="0"/>
            <w:vAlign w:val="center"/>
          </w:tcPr>
          <w:p w14:paraId="18A50001">
            <w:pPr>
              <w:pStyle w:val="40"/>
              <w:keepNext w:val="0"/>
              <w:keepLines w:val="0"/>
              <w:pageBreakBefore w:val="0"/>
              <w:widowControl w:val="0"/>
              <w:kinsoku/>
              <w:wordWrap/>
              <w:overflowPunct/>
              <w:topLinePunct w:val="0"/>
              <w:bidi w:val="0"/>
              <w:spacing w:beforeLines="0" w:afterLines="0" w:line="240" w:lineRule="auto"/>
              <w:ind w:right="0" w:rightChars="0"/>
              <w:jc w:val="center"/>
              <w:textAlignment w:val="auto"/>
              <w:rPr>
                <w:rFonts w:hAnsi="宋体" w:cs="宋体"/>
                <w:snapToGrid w:val="0"/>
                <w:color w:val="auto"/>
                <w:kern w:val="21"/>
                <w:szCs w:val="21"/>
              </w:rPr>
            </w:pPr>
            <w:r>
              <w:rPr>
                <w:rFonts w:hint="eastAsia" w:ascii="Times New Roman" w:cs="Times New Roman"/>
                <w:snapToGrid w:val="0"/>
                <w:color w:val="auto"/>
                <w:kern w:val="21"/>
                <w:sz w:val="18"/>
                <w:szCs w:val="18"/>
                <w:lang w:val="en-US" w:eastAsia="zh-CN" w:bidi="ar-SA"/>
              </w:rPr>
              <w:t>0.5589</w:t>
            </w:r>
          </w:p>
        </w:tc>
        <w:tc>
          <w:tcPr>
            <w:tcW w:w="1276" w:type="dxa"/>
            <w:noWrap w:val="0"/>
            <w:vAlign w:val="center"/>
          </w:tcPr>
          <w:p w14:paraId="01C3F4F7">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701" w:type="dxa"/>
            <w:noWrap w:val="0"/>
            <w:vAlign w:val="center"/>
          </w:tcPr>
          <w:p w14:paraId="6A04F465">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559" w:type="dxa"/>
            <w:noWrap w:val="0"/>
            <w:vAlign w:val="center"/>
          </w:tcPr>
          <w:p w14:paraId="1EA602CF">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761" w:type="dxa"/>
            <w:noWrap w:val="0"/>
            <w:vAlign w:val="center"/>
          </w:tcPr>
          <w:p w14:paraId="21267598">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959" w:type="dxa"/>
            <w:shd w:val="clear" w:color="auto" w:fill="auto"/>
            <w:noWrap w:val="0"/>
            <w:vAlign w:val="center"/>
          </w:tcPr>
          <w:p w14:paraId="65D31D6E">
            <w:pPr>
              <w:pStyle w:val="40"/>
              <w:keepNext w:val="0"/>
              <w:keepLines w:val="0"/>
              <w:pageBreakBefore w:val="0"/>
              <w:widowControl w:val="0"/>
              <w:kinsoku/>
              <w:wordWrap/>
              <w:overflowPunct/>
              <w:topLinePunct w:val="0"/>
              <w:bidi w:val="0"/>
              <w:spacing w:beforeLines="0" w:afterLines="0" w:line="240" w:lineRule="auto"/>
              <w:ind w:right="0" w:rightChars="0"/>
              <w:jc w:val="center"/>
              <w:textAlignment w:val="auto"/>
              <w:rPr>
                <w:rFonts w:ascii="宋体" w:hAnsi="宋体" w:eastAsia="宋体" w:cs="宋体"/>
                <w:snapToGrid w:val="0"/>
                <w:color w:val="auto"/>
                <w:kern w:val="21"/>
                <w:sz w:val="21"/>
                <w:szCs w:val="21"/>
                <w:lang w:val="en-US" w:eastAsia="zh-CN" w:bidi="ar-SA"/>
              </w:rPr>
            </w:pPr>
            <w:r>
              <w:rPr>
                <w:rFonts w:hint="eastAsia" w:ascii="Times New Roman" w:cs="Times New Roman"/>
                <w:snapToGrid w:val="0"/>
                <w:color w:val="auto"/>
                <w:kern w:val="21"/>
                <w:sz w:val="18"/>
                <w:szCs w:val="18"/>
                <w:lang w:val="en-US" w:eastAsia="zh-CN" w:bidi="ar-SA"/>
              </w:rPr>
              <w:t>0.5589</w:t>
            </w:r>
          </w:p>
        </w:tc>
        <w:tc>
          <w:tcPr>
            <w:tcW w:w="826" w:type="dxa"/>
            <w:noWrap w:val="0"/>
            <w:vAlign w:val="center"/>
          </w:tcPr>
          <w:p w14:paraId="5C557486">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r>
      <w:tr w14:paraId="3203C2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4147FA19">
            <w:pPr>
              <w:pStyle w:val="40"/>
              <w:spacing w:beforeLines="0" w:afterLines="0" w:line="240" w:lineRule="auto"/>
              <w:rPr>
                <w:rFonts w:hint="eastAsia" w:hAnsi="宋体" w:cs="宋体"/>
                <w:snapToGrid w:val="0"/>
                <w:color w:val="auto"/>
                <w:kern w:val="21"/>
                <w:szCs w:val="21"/>
              </w:rPr>
            </w:pPr>
          </w:p>
        </w:tc>
        <w:tc>
          <w:tcPr>
            <w:tcW w:w="1417" w:type="dxa"/>
            <w:noWrap w:val="0"/>
            <w:vAlign w:val="center"/>
          </w:tcPr>
          <w:p w14:paraId="4D96FB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Ansi="宋体" w:cs="宋体"/>
                <w:snapToGrid w:val="0"/>
                <w:color w:val="auto"/>
                <w:kern w:val="21"/>
                <w:szCs w:val="21"/>
              </w:rPr>
            </w:pPr>
            <w:r>
              <w:rPr>
                <w:rFonts w:hint="default" w:ascii="Times New Roman" w:hAnsi="Times New Roman" w:cs="Times New Roman"/>
                <w:color w:val="auto"/>
                <w:sz w:val="18"/>
                <w:szCs w:val="18"/>
                <w:highlight w:val="none"/>
              </w:rPr>
              <w:t>总氮</w:t>
            </w:r>
          </w:p>
        </w:tc>
        <w:tc>
          <w:tcPr>
            <w:tcW w:w="1701" w:type="dxa"/>
            <w:noWrap w:val="0"/>
            <w:vAlign w:val="center"/>
          </w:tcPr>
          <w:p w14:paraId="09B2E2BD">
            <w:pPr>
              <w:pStyle w:val="40"/>
              <w:keepNext w:val="0"/>
              <w:keepLines w:val="0"/>
              <w:pageBreakBefore w:val="0"/>
              <w:widowControl w:val="0"/>
              <w:kinsoku/>
              <w:wordWrap/>
              <w:overflowPunct/>
              <w:topLinePunct w:val="0"/>
              <w:bidi w:val="0"/>
              <w:spacing w:beforeLines="0" w:afterLines="0" w:line="240" w:lineRule="auto"/>
              <w:ind w:right="0" w:rightChars="0"/>
              <w:jc w:val="center"/>
              <w:textAlignment w:val="auto"/>
              <w:rPr>
                <w:rFonts w:hAnsi="宋体" w:cs="宋体"/>
                <w:snapToGrid w:val="0"/>
                <w:color w:val="auto"/>
                <w:kern w:val="21"/>
                <w:szCs w:val="21"/>
              </w:rPr>
            </w:pPr>
            <w:r>
              <w:rPr>
                <w:rFonts w:hint="eastAsia" w:ascii="Times New Roman" w:eastAsia="宋体" w:cs="Times New Roman"/>
                <w:snapToGrid w:val="0"/>
                <w:color w:val="auto"/>
                <w:kern w:val="21"/>
                <w:sz w:val="18"/>
                <w:szCs w:val="18"/>
                <w:lang w:val="en-US" w:eastAsia="zh-CN" w:bidi="ar-SA"/>
              </w:rPr>
              <w:t>0</w:t>
            </w:r>
          </w:p>
        </w:tc>
        <w:tc>
          <w:tcPr>
            <w:tcW w:w="1276" w:type="dxa"/>
            <w:noWrap w:val="0"/>
            <w:vAlign w:val="center"/>
          </w:tcPr>
          <w:p w14:paraId="2780CA4D">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701" w:type="dxa"/>
            <w:noWrap w:val="0"/>
            <w:vAlign w:val="center"/>
          </w:tcPr>
          <w:p w14:paraId="1E75CC0A">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559" w:type="dxa"/>
            <w:noWrap w:val="0"/>
            <w:vAlign w:val="center"/>
          </w:tcPr>
          <w:p w14:paraId="7AFCB178">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761" w:type="dxa"/>
            <w:noWrap w:val="0"/>
            <w:vAlign w:val="center"/>
          </w:tcPr>
          <w:p w14:paraId="15D02DDA">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959" w:type="dxa"/>
            <w:shd w:val="clear" w:color="auto" w:fill="auto"/>
            <w:noWrap w:val="0"/>
            <w:vAlign w:val="center"/>
          </w:tcPr>
          <w:p w14:paraId="0C859729">
            <w:pPr>
              <w:pStyle w:val="40"/>
              <w:keepNext w:val="0"/>
              <w:keepLines w:val="0"/>
              <w:pageBreakBefore w:val="0"/>
              <w:widowControl w:val="0"/>
              <w:kinsoku/>
              <w:wordWrap/>
              <w:overflowPunct/>
              <w:topLinePunct w:val="0"/>
              <w:bidi w:val="0"/>
              <w:spacing w:beforeLines="0" w:afterLines="0" w:line="240" w:lineRule="auto"/>
              <w:ind w:right="0" w:rightChars="0"/>
              <w:jc w:val="center"/>
              <w:textAlignment w:val="auto"/>
              <w:rPr>
                <w:rFonts w:ascii="宋体" w:hAnsi="宋体" w:eastAsia="宋体" w:cs="宋体"/>
                <w:snapToGrid w:val="0"/>
                <w:color w:val="auto"/>
                <w:kern w:val="21"/>
                <w:sz w:val="21"/>
                <w:szCs w:val="21"/>
                <w:lang w:val="en-US" w:eastAsia="zh-CN" w:bidi="ar-SA"/>
              </w:rPr>
            </w:pPr>
            <w:r>
              <w:rPr>
                <w:rFonts w:hint="eastAsia" w:ascii="Times New Roman" w:eastAsia="宋体" w:cs="Times New Roman"/>
                <w:snapToGrid w:val="0"/>
                <w:color w:val="auto"/>
                <w:kern w:val="21"/>
                <w:sz w:val="18"/>
                <w:szCs w:val="18"/>
                <w:lang w:val="en-US" w:eastAsia="zh-CN" w:bidi="ar-SA"/>
              </w:rPr>
              <w:t>0</w:t>
            </w:r>
          </w:p>
        </w:tc>
        <w:tc>
          <w:tcPr>
            <w:tcW w:w="826" w:type="dxa"/>
            <w:noWrap w:val="0"/>
            <w:vAlign w:val="center"/>
          </w:tcPr>
          <w:p w14:paraId="6F18EB43">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r>
      <w:tr w14:paraId="08BFBB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27F84CBE">
            <w:pPr>
              <w:pStyle w:val="40"/>
              <w:spacing w:beforeLines="0" w:afterLines="0" w:line="240" w:lineRule="auto"/>
              <w:rPr>
                <w:rFonts w:hint="eastAsia" w:hAnsi="宋体" w:cs="宋体"/>
                <w:snapToGrid w:val="0"/>
                <w:color w:val="auto"/>
                <w:kern w:val="21"/>
                <w:szCs w:val="21"/>
              </w:rPr>
            </w:pPr>
          </w:p>
        </w:tc>
        <w:tc>
          <w:tcPr>
            <w:tcW w:w="1417" w:type="dxa"/>
            <w:noWrap w:val="0"/>
            <w:vAlign w:val="center"/>
          </w:tcPr>
          <w:p w14:paraId="67B99E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Ansi="宋体" w:cs="宋体"/>
                <w:snapToGrid w:val="0"/>
                <w:color w:val="auto"/>
                <w:kern w:val="21"/>
                <w:szCs w:val="21"/>
              </w:rPr>
            </w:pPr>
            <w:r>
              <w:rPr>
                <w:rFonts w:hint="default" w:ascii="Times New Roman" w:hAnsi="Times New Roman" w:cs="Times New Roman"/>
                <w:color w:val="auto"/>
                <w:sz w:val="18"/>
                <w:szCs w:val="18"/>
                <w:highlight w:val="none"/>
              </w:rPr>
              <w:t>总磷</w:t>
            </w:r>
          </w:p>
        </w:tc>
        <w:tc>
          <w:tcPr>
            <w:tcW w:w="1701" w:type="dxa"/>
            <w:noWrap w:val="0"/>
            <w:vAlign w:val="center"/>
          </w:tcPr>
          <w:p w14:paraId="29ADDF87">
            <w:pPr>
              <w:pStyle w:val="40"/>
              <w:keepNext w:val="0"/>
              <w:keepLines w:val="0"/>
              <w:pageBreakBefore w:val="0"/>
              <w:widowControl w:val="0"/>
              <w:kinsoku/>
              <w:wordWrap/>
              <w:overflowPunct/>
              <w:topLinePunct w:val="0"/>
              <w:bidi w:val="0"/>
              <w:spacing w:beforeLines="0" w:afterLines="0" w:line="240" w:lineRule="auto"/>
              <w:ind w:right="0" w:rightChars="0"/>
              <w:jc w:val="center"/>
              <w:textAlignment w:val="auto"/>
              <w:rPr>
                <w:rFonts w:hAnsi="宋体" w:cs="宋体"/>
                <w:snapToGrid w:val="0"/>
                <w:color w:val="auto"/>
                <w:kern w:val="21"/>
                <w:szCs w:val="21"/>
              </w:rPr>
            </w:pPr>
            <w:r>
              <w:rPr>
                <w:rFonts w:hint="eastAsia" w:ascii="Times New Roman" w:cs="Times New Roman"/>
                <w:snapToGrid w:val="0"/>
                <w:color w:val="auto"/>
                <w:kern w:val="21"/>
                <w:sz w:val="18"/>
                <w:szCs w:val="18"/>
                <w:lang w:val="en-US" w:eastAsia="zh-CN" w:bidi="ar-SA"/>
              </w:rPr>
              <w:t>0.1118</w:t>
            </w:r>
          </w:p>
        </w:tc>
        <w:tc>
          <w:tcPr>
            <w:tcW w:w="1276" w:type="dxa"/>
            <w:noWrap w:val="0"/>
            <w:vAlign w:val="center"/>
          </w:tcPr>
          <w:p w14:paraId="68BD0888">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701" w:type="dxa"/>
            <w:noWrap w:val="0"/>
            <w:vAlign w:val="center"/>
          </w:tcPr>
          <w:p w14:paraId="3AB8FA85">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559" w:type="dxa"/>
            <w:noWrap w:val="0"/>
            <w:vAlign w:val="center"/>
          </w:tcPr>
          <w:p w14:paraId="37BEF825">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761" w:type="dxa"/>
            <w:noWrap w:val="0"/>
            <w:vAlign w:val="center"/>
          </w:tcPr>
          <w:p w14:paraId="6157906E">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959" w:type="dxa"/>
            <w:shd w:val="clear" w:color="auto" w:fill="auto"/>
            <w:noWrap w:val="0"/>
            <w:vAlign w:val="center"/>
          </w:tcPr>
          <w:p w14:paraId="6FAB9022">
            <w:pPr>
              <w:pStyle w:val="40"/>
              <w:keepNext w:val="0"/>
              <w:keepLines w:val="0"/>
              <w:pageBreakBefore w:val="0"/>
              <w:widowControl w:val="0"/>
              <w:kinsoku/>
              <w:wordWrap/>
              <w:overflowPunct/>
              <w:topLinePunct w:val="0"/>
              <w:bidi w:val="0"/>
              <w:spacing w:beforeLines="0" w:afterLines="0" w:line="240" w:lineRule="auto"/>
              <w:ind w:right="0" w:rightChars="0"/>
              <w:jc w:val="center"/>
              <w:textAlignment w:val="auto"/>
              <w:rPr>
                <w:rFonts w:ascii="宋体" w:hAnsi="宋体" w:eastAsia="宋体" w:cs="宋体"/>
                <w:snapToGrid w:val="0"/>
                <w:color w:val="auto"/>
                <w:kern w:val="21"/>
                <w:sz w:val="21"/>
                <w:szCs w:val="21"/>
                <w:lang w:val="en-US" w:eastAsia="zh-CN" w:bidi="ar-SA"/>
              </w:rPr>
            </w:pPr>
            <w:r>
              <w:rPr>
                <w:rFonts w:hint="eastAsia" w:ascii="Times New Roman" w:cs="Times New Roman"/>
                <w:snapToGrid w:val="0"/>
                <w:color w:val="auto"/>
                <w:kern w:val="21"/>
                <w:sz w:val="18"/>
                <w:szCs w:val="18"/>
                <w:lang w:val="en-US" w:eastAsia="zh-CN" w:bidi="ar-SA"/>
              </w:rPr>
              <w:t>0.1118</w:t>
            </w:r>
          </w:p>
        </w:tc>
        <w:tc>
          <w:tcPr>
            <w:tcW w:w="826" w:type="dxa"/>
            <w:noWrap w:val="0"/>
            <w:vAlign w:val="center"/>
          </w:tcPr>
          <w:p w14:paraId="0E973AC4">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r>
      <w:tr w14:paraId="1D463B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01207FCC">
            <w:pPr>
              <w:pStyle w:val="40"/>
              <w:spacing w:beforeLines="0" w:afterLines="0" w:line="240" w:lineRule="auto"/>
              <w:rPr>
                <w:rFonts w:hint="eastAsia" w:hAnsi="宋体" w:cs="宋体"/>
                <w:snapToGrid w:val="0"/>
                <w:color w:val="auto"/>
                <w:kern w:val="21"/>
                <w:szCs w:val="21"/>
              </w:rPr>
            </w:pPr>
          </w:p>
        </w:tc>
        <w:tc>
          <w:tcPr>
            <w:tcW w:w="1417" w:type="dxa"/>
            <w:noWrap w:val="0"/>
            <w:vAlign w:val="center"/>
          </w:tcPr>
          <w:p w14:paraId="5384D5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hAnsi="宋体" w:cs="宋体"/>
                <w:snapToGrid w:val="0"/>
                <w:color w:val="auto"/>
                <w:kern w:val="21"/>
                <w:szCs w:val="21"/>
              </w:rPr>
            </w:pPr>
            <w:r>
              <w:rPr>
                <w:rFonts w:hint="eastAsia" w:cs="Times New Roman"/>
                <w:color w:val="auto"/>
                <w:sz w:val="18"/>
                <w:szCs w:val="18"/>
                <w:highlight w:val="none"/>
                <w:lang w:val="en-US" w:eastAsia="zh-CN"/>
              </w:rPr>
              <w:t>动植物油</w:t>
            </w:r>
          </w:p>
        </w:tc>
        <w:tc>
          <w:tcPr>
            <w:tcW w:w="1701" w:type="dxa"/>
            <w:noWrap w:val="0"/>
            <w:vAlign w:val="center"/>
          </w:tcPr>
          <w:p w14:paraId="6DF73D3D">
            <w:pPr>
              <w:keepNext w:val="0"/>
              <w:keepLines w:val="0"/>
              <w:widowControl/>
              <w:suppressLineNumbers w:val="0"/>
              <w:jc w:val="center"/>
              <w:textAlignment w:val="center"/>
              <w:rPr>
                <w:rFonts w:hint="default" w:hAnsi="宋体" w:cs="宋体"/>
                <w:snapToGrid w:val="0"/>
                <w:color w:val="auto"/>
                <w:kern w:val="21"/>
                <w:szCs w:val="21"/>
                <w:lang w:val="en-US"/>
              </w:rPr>
            </w:pPr>
            <w:r>
              <w:rPr>
                <w:rFonts w:hint="eastAsia" w:cs="Times New Roman"/>
                <w:snapToGrid w:val="0"/>
                <w:color w:val="auto"/>
                <w:kern w:val="21"/>
                <w:sz w:val="18"/>
                <w:szCs w:val="18"/>
                <w:lang w:val="en-US" w:eastAsia="zh-CN" w:bidi="ar-SA"/>
              </w:rPr>
              <w:t>0.0350</w:t>
            </w:r>
          </w:p>
        </w:tc>
        <w:tc>
          <w:tcPr>
            <w:tcW w:w="1276" w:type="dxa"/>
            <w:noWrap w:val="0"/>
            <w:vAlign w:val="center"/>
          </w:tcPr>
          <w:p w14:paraId="4C22E8FF">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701" w:type="dxa"/>
            <w:noWrap w:val="0"/>
            <w:vAlign w:val="center"/>
          </w:tcPr>
          <w:p w14:paraId="0374733B">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559" w:type="dxa"/>
            <w:noWrap w:val="0"/>
            <w:vAlign w:val="center"/>
          </w:tcPr>
          <w:p w14:paraId="2E7C73EB">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761" w:type="dxa"/>
            <w:noWrap w:val="0"/>
            <w:vAlign w:val="center"/>
          </w:tcPr>
          <w:p w14:paraId="3BBA273D">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959" w:type="dxa"/>
            <w:shd w:val="clear" w:color="auto" w:fill="auto"/>
            <w:noWrap w:val="0"/>
            <w:vAlign w:val="center"/>
          </w:tcPr>
          <w:p w14:paraId="2747BD13">
            <w:pPr>
              <w:keepNext w:val="0"/>
              <w:keepLines w:val="0"/>
              <w:widowControl/>
              <w:suppressLineNumbers w:val="0"/>
              <w:jc w:val="center"/>
              <w:textAlignment w:val="center"/>
              <w:rPr>
                <w:rFonts w:ascii="Times New Roman" w:hAnsi="宋体" w:eastAsia="宋体" w:cs="宋体"/>
                <w:snapToGrid w:val="0"/>
                <w:color w:val="auto"/>
                <w:kern w:val="21"/>
                <w:sz w:val="21"/>
                <w:szCs w:val="21"/>
                <w:lang w:val="en-US" w:eastAsia="zh-CN" w:bidi="ar-SA"/>
              </w:rPr>
            </w:pPr>
            <w:r>
              <w:rPr>
                <w:rFonts w:hint="eastAsia" w:cs="Times New Roman"/>
                <w:snapToGrid w:val="0"/>
                <w:color w:val="auto"/>
                <w:kern w:val="21"/>
                <w:sz w:val="18"/>
                <w:szCs w:val="18"/>
                <w:lang w:val="en-US" w:eastAsia="zh-CN" w:bidi="ar-SA"/>
              </w:rPr>
              <w:t>0.0350</w:t>
            </w:r>
          </w:p>
        </w:tc>
        <w:tc>
          <w:tcPr>
            <w:tcW w:w="826" w:type="dxa"/>
            <w:noWrap w:val="0"/>
            <w:vAlign w:val="center"/>
          </w:tcPr>
          <w:p w14:paraId="5C40249E">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r>
      <w:tr w14:paraId="75409B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0DC7B996">
            <w:pPr>
              <w:pStyle w:val="40"/>
              <w:spacing w:beforeLines="0" w:afterLines="0" w:line="240" w:lineRule="auto"/>
              <w:rPr>
                <w:rFonts w:hAnsi="宋体" w:cs="宋体"/>
                <w:snapToGrid w:val="0"/>
                <w:color w:val="auto"/>
                <w:kern w:val="21"/>
                <w:szCs w:val="21"/>
              </w:rPr>
            </w:pPr>
            <w:r>
              <w:rPr>
                <w:rFonts w:hint="eastAsia" w:hAnsi="宋体" w:cs="宋体"/>
                <w:snapToGrid w:val="0"/>
                <w:color w:val="auto"/>
                <w:kern w:val="21"/>
                <w:szCs w:val="21"/>
              </w:rPr>
              <w:t>一般工业</w:t>
            </w:r>
          </w:p>
          <w:p w14:paraId="006FA1E3">
            <w:pPr>
              <w:pStyle w:val="40"/>
              <w:spacing w:beforeLines="0" w:afterLines="0" w:line="240" w:lineRule="auto"/>
              <w:rPr>
                <w:rFonts w:hint="eastAsia" w:hAnsi="宋体" w:cs="宋体"/>
                <w:snapToGrid w:val="0"/>
                <w:color w:val="auto"/>
                <w:kern w:val="21"/>
                <w:szCs w:val="21"/>
              </w:rPr>
            </w:pPr>
            <w:r>
              <w:rPr>
                <w:rFonts w:hint="eastAsia" w:hAnsi="宋体" w:cs="宋体"/>
                <w:snapToGrid w:val="0"/>
                <w:color w:val="auto"/>
                <w:kern w:val="21"/>
                <w:szCs w:val="21"/>
              </w:rPr>
              <w:t>固体废物</w:t>
            </w:r>
          </w:p>
        </w:tc>
        <w:tc>
          <w:tcPr>
            <w:tcW w:w="1417" w:type="dxa"/>
            <w:noWrap w:val="0"/>
            <w:vAlign w:val="center"/>
          </w:tcPr>
          <w:p w14:paraId="59BDE96D">
            <w:pPr>
              <w:keepNext w:val="0"/>
              <w:keepLines w:val="0"/>
              <w:pageBreakBefore w:val="0"/>
              <w:widowControl w:val="0"/>
              <w:kinsoku/>
              <w:wordWrap/>
              <w:overflowPunct/>
              <w:topLinePunct w:val="0"/>
              <w:bidi w:val="0"/>
              <w:ind w:right="0" w:rightChars="0"/>
              <w:jc w:val="center"/>
              <w:textAlignment w:val="auto"/>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废铝渣</w:t>
            </w:r>
          </w:p>
        </w:tc>
        <w:tc>
          <w:tcPr>
            <w:tcW w:w="1701" w:type="dxa"/>
            <w:noWrap w:val="0"/>
            <w:vAlign w:val="center"/>
          </w:tcPr>
          <w:p w14:paraId="11B82DFB">
            <w:pPr>
              <w:keepNext w:val="0"/>
              <w:keepLines w:val="0"/>
              <w:pageBreakBefore w:val="0"/>
              <w:widowControl w:val="0"/>
              <w:kinsoku/>
              <w:wordWrap/>
              <w:overflowPunct/>
              <w:topLinePunct w:val="0"/>
              <w:bidi w:val="0"/>
              <w:ind w:right="0" w:rightChars="0"/>
              <w:jc w:val="center"/>
              <w:textAlignment w:val="auto"/>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0.9</w:t>
            </w:r>
          </w:p>
        </w:tc>
        <w:tc>
          <w:tcPr>
            <w:tcW w:w="1276" w:type="dxa"/>
            <w:noWrap w:val="0"/>
            <w:vAlign w:val="center"/>
          </w:tcPr>
          <w:p w14:paraId="52D1FBD6">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701" w:type="dxa"/>
            <w:noWrap w:val="0"/>
            <w:vAlign w:val="center"/>
          </w:tcPr>
          <w:p w14:paraId="56B74FDF">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559" w:type="dxa"/>
            <w:shd w:val="clear" w:color="auto" w:fill="auto"/>
            <w:noWrap w:val="0"/>
            <w:vAlign w:val="center"/>
          </w:tcPr>
          <w:p w14:paraId="698436E0">
            <w:pPr>
              <w:spacing w:beforeLines="0" w:afterLines="0" w:line="240" w:lineRule="auto"/>
              <w:jc w:val="center"/>
              <w:rPr>
                <w:rFonts w:ascii="Times New Roman" w:hAnsi="宋体" w:eastAsia="宋体" w:cs="宋体"/>
                <w:snapToGrid w:val="0"/>
                <w:color w:val="auto"/>
                <w:kern w:val="21"/>
                <w:sz w:val="21"/>
                <w:szCs w:val="21"/>
                <w:lang w:val="en-US" w:eastAsia="zh-CN" w:bidi="ar-SA"/>
              </w:rPr>
            </w:pPr>
            <w:r>
              <w:rPr>
                <w:rFonts w:hint="eastAsia" w:ascii="Times New Roman" w:hAnsi="Times New Roman" w:cs="Times New Roman"/>
                <w:color w:val="auto"/>
                <w:kern w:val="2"/>
                <w:sz w:val="18"/>
                <w:szCs w:val="18"/>
                <w:lang w:val="en-US" w:eastAsia="zh-CN" w:bidi="ar-SA"/>
              </w:rPr>
              <w:t>0</w:t>
            </w:r>
          </w:p>
        </w:tc>
        <w:tc>
          <w:tcPr>
            <w:tcW w:w="1761" w:type="dxa"/>
            <w:shd w:val="clear" w:color="auto" w:fill="auto"/>
            <w:noWrap w:val="0"/>
            <w:vAlign w:val="center"/>
          </w:tcPr>
          <w:p w14:paraId="47BBA0D9">
            <w:pPr>
              <w:spacing w:beforeLines="0" w:afterLines="0" w:line="240" w:lineRule="auto"/>
              <w:jc w:val="center"/>
              <w:rPr>
                <w:rFonts w:ascii="Times New Roman" w:hAnsi="宋体" w:eastAsia="宋体" w:cs="宋体"/>
                <w:snapToGrid w:val="0"/>
                <w:color w:val="auto"/>
                <w:kern w:val="21"/>
                <w:sz w:val="21"/>
                <w:szCs w:val="21"/>
                <w:lang w:val="en-US" w:eastAsia="zh-CN" w:bidi="ar-SA"/>
              </w:rPr>
            </w:pPr>
            <w:r>
              <w:rPr>
                <w:rFonts w:hint="eastAsia" w:ascii="Times New Roman" w:hAnsi="Times New Roman" w:cs="Times New Roman"/>
                <w:color w:val="auto"/>
                <w:kern w:val="2"/>
                <w:sz w:val="18"/>
                <w:szCs w:val="18"/>
                <w:lang w:val="en-US" w:eastAsia="zh-CN" w:bidi="ar-SA"/>
              </w:rPr>
              <w:t>0</w:t>
            </w:r>
          </w:p>
        </w:tc>
        <w:tc>
          <w:tcPr>
            <w:tcW w:w="1959" w:type="dxa"/>
            <w:noWrap w:val="0"/>
            <w:vAlign w:val="center"/>
          </w:tcPr>
          <w:p w14:paraId="26A64A4A">
            <w:pPr>
              <w:pStyle w:val="40"/>
              <w:spacing w:beforeLines="0" w:afterLines="0" w:line="240" w:lineRule="auto"/>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0.9</w:t>
            </w:r>
          </w:p>
        </w:tc>
        <w:tc>
          <w:tcPr>
            <w:tcW w:w="826" w:type="dxa"/>
            <w:noWrap w:val="0"/>
            <w:vAlign w:val="center"/>
          </w:tcPr>
          <w:p w14:paraId="2638E2C8">
            <w:pPr>
              <w:pStyle w:val="40"/>
              <w:spacing w:beforeLines="0" w:afterLines="0" w:line="240" w:lineRule="auto"/>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r>
      <w:tr w14:paraId="6585DB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47F7A148">
            <w:pPr>
              <w:pStyle w:val="40"/>
              <w:spacing w:beforeLines="0" w:afterLines="0" w:line="240" w:lineRule="auto"/>
              <w:rPr>
                <w:rFonts w:hint="eastAsia" w:hAnsi="宋体" w:cs="宋体"/>
                <w:snapToGrid w:val="0"/>
                <w:color w:val="auto"/>
                <w:kern w:val="21"/>
                <w:szCs w:val="21"/>
              </w:rPr>
            </w:pPr>
          </w:p>
        </w:tc>
        <w:tc>
          <w:tcPr>
            <w:tcW w:w="1417" w:type="dxa"/>
            <w:noWrap w:val="0"/>
            <w:vAlign w:val="center"/>
          </w:tcPr>
          <w:p w14:paraId="7B37F824">
            <w:pPr>
              <w:keepNext w:val="0"/>
              <w:keepLines w:val="0"/>
              <w:pageBreakBefore w:val="0"/>
              <w:widowControl w:val="0"/>
              <w:kinsoku/>
              <w:wordWrap/>
              <w:overflowPunct/>
              <w:topLinePunct w:val="0"/>
              <w:bidi w:val="0"/>
              <w:ind w:right="0" w:rightChars="0"/>
              <w:jc w:val="center"/>
              <w:textAlignment w:val="auto"/>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次品</w:t>
            </w:r>
          </w:p>
        </w:tc>
        <w:tc>
          <w:tcPr>
            <w:tcW w:w="1701" w:type="dxa"/>
            <w:noWrap w:val="0"/>
            <w:vAlign w:val="center"/>
          </w:tcPr>
          <w:p w14:paraId="159ADFAC">
            <w:pPr>
              <w:keepNext w:val="0"/>
              <w:keepLines w:val="0"/>
              <w:pageBreakBefore w:val="0"/>
              <w:widowControl w:val="0"/>
              <w:kinsoku/>
              <w:wordWrap/>
              <w:overflowPunct/>
              <w:topLinePunct w:val="0"/>
              <w:bidi w:val="0"/>
              <w:ind w:right="0" w:rightChars="0"/>
              <w:jc w:val="center"/>
              <w:textAlignment w:val="auto"/>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50</w:t>
            </w:r>
          </w:p>
        </w:tc>
        <w:tc>
          <w:tcPr>
            <w:tcW w:w="1276" w:type="dxa"/>
            <w:noWrap w:val="0"/>
            <w:vAlign w:val="center"/>
          </w:tcPr>
          <w:p w14:paraId="0AE259D2">
            <w:pPr>
              <w:keepNext w:val="0"/>
              <w:keepLines w:val="0"/>
              <w:pageBreakBefore w:val="0"/>
              <w:widowControl w:val="0"/>
              <w:kinsoku/>
              <w:wordWrap/>
              <w:overflowPunct/>
              <w:topLinePunct w:val="0"/>
              <w:bidi w:val="0"/>
              <w:ind w:right="0" w:rightChars="0"/>
              <w:jc w:val="center"/>
              <w:textAlignment w:val="auto"/>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701" w:type="dxa"/>
            <w:noWrap w:val="0"/>
            <w:vAlign w:val="center"/>
          </w:tcPr>
          <w:p w14:paraId="3DF82487">
            <w:pPr>
              <w:keepNext w:val="0"/>
              <w:keepLines w:val="0"/>
              <w:pageBreakBefore w:val="0"/>
              <w:widowControl w:val="0"/>
              <w:kinsoku/>
              <w:wordWrap/>
              <w:overflowPunct/>
              <w:topLinePunct w:val="0"/>
              <w:bidi w:val="0"/>
              <w:ind w:right="0" w:rightChars="0"/>
              <w:jc w:val="center"/>
              <w:textAlignment w:val="auto"/>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559" w:type="dxa"/>
            <w:noWrap w:val="0"/>
            <w:vAlign w:val="center"/>
          </w:tcPr>
          <w:p w14:paraId="705D4B1B">
            <w:pPr>
              <w:keepNext w:val="0"/>
              <w:keepLines w:val="0"/>
              <w:pageBreakBefore w:val="0"/>
              <w:widowControl w:val="0"/>
              <w:kinsoku/>
              <w:wordWrap/>
              <w:overflowPunct/>
              <w:topLinePunct w:val="0"/>
              <w:bidi w:val="0"/>
              <w:ind w:right="0" w:rightChars="0"/>
              <w:jc w:val="center"/>
              <w:textAlignment w:val="auto"/>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4.7976</w:t>
            </w:r>
          </w:p>
        </w:tc>
        <w:tc>
          <w:tcPr>
            <w:tcW w:w="1761" w:type="dxa"/>
            <w:noWrap w:val="0"/>
            <w:vAlign w:val="center"/>
          </w:tcPr>
          <w:p w14:paraId="619157D9">
            <w:pPr>
              <w:keepNext w:val="0"/>
              <w:keepLines w:val="0"/>
              <w:pageBreakBefore w:val="0"/>
              <w:widowControl w:val="0"/>
              <w:kinsoku/>
              <w:wordWrap/>
              <w:overflowPunct/>
              <w:topLinePunct w:val="0"/>
              <w:bidi w:val="0"/>
              <w:ind w:right="0" w:rightChars="0"/>
              <w:jc w:val="center"/>
              <w:textAlignment w:val="auto"/>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959" w:type="dxa"/>
            <w:noWrap w:val="0"/>
            <w:vAlign w:val="center"/>
          </w:tcPr>
          <w:p w14:paraId="56DC7E4C">
            <w:pPr>
              <w:keepNext w:val="0"/>
              <w:keepLines w:val="0"/>
              <w:pageBreakBefore w:val="0"/>
              <w:widowControl w:val="0"/>
              <w:kinsoku/>
              <w:wordWrap/>
              <w:overflowPunct/>
              <w:topLinePunct w:val="0"/>
              <w:bidi w:val="0"/>
              <w:ind w:right="0" w:rightChars="0"/>
              <w:jc w:val="center"/>
              <w:textAlignment w:val="auto"/>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54.7976</w:t>
            </w:r>
          </w:p>
        </w:tc>
        <w:tc>
          <w:tcPr>
            <w:tcW w:w="826" w:type="dxa"/>
            <w:noWrap w:val="0"/>
            <w:vAlign w:val="center"/>
          </w:tcPr>
          <w:p w14:paraId="340979D9">
            <w:pPr>
              <w:keepNext w:val="0"/>
              <w:keepLines w:val="0"/>
              <w:pageBreakBefore w:val="0"/>
              <w:widowControl w:val="0"/>
              <w:kinsoku/>
              <w:wordWrap/>
              <w:overflowPunct/>
              <w:topLinePunct w:val="0"/>
              <w:bidi w:val="0"/>
              <w:ind w:right="0" w:rightChars="0"/>
              <w:jc w:val="center"/>
              <w:textAlignment w:val="auto"/>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4.7976</w:t>
            </w:r>
          </w:p>
        </w:tc>
      </w:tr>
      <w:tr w14:paraId="63C630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1C4F9F88">
            <w:pPr>
              <w:pStyle w:val="40"/>
              <w:spacing w:beforeLines="0" w:afterLines="0" w:line="240" w:lineRule="auto"/>
              <w:rPr>
                <w:rFonts w:hint="eastAsia" w:hAnsi="宋体" w:cs="宋体"/>
                <w:snapToGrid w:val="0"/>
                <w:color w:val="auto"/>
                <w:kern w:val="21"/>
                <w:szCs w:val="21"/>
              </w:rPr>
            </w:pPr>
          </w:p>
        </w:tc>
        <w:tc>
          <w:tcPr>
            <w:tcW w:w="1417" w:type="dxa"/>
            <w:noWrap w:val="0"/>
            <w:vAlign w:val="center"/>
          </w:tcPr>
          <w:p w14:paraId="1498A353">
            <w:pPr>
              <w:keepNext w:val="0"/>
              <w:keepLines w:val="0"/>
              <w:pageBreakBefore w:val="0"/>
              <w:widowControl w:val="0"/>
              <w:kinsoku/>
              <w:wordWrap/>
              <w:overflowPunct/>
              <w:topLinePunct w:val="0"/>
              <w:bidi w:val="0"/>
              <w:ind w:right="0" w:rightChars="0"/>
              <w:jc w:val="center"/>
              <w:textAlignment w:val="auto"/>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食堂垃圾</w:t>
            </w:r>
          </w:p>
        </w:tc>
        <w:tc>
          <w:tcPr>
            <w:tcW w:w="1701" w:type="dxa"/>
            <w:noWrap w:val="0"/>
            <w:vAlign w:val="center"/>
          </w:tcPr>
          <w:p w14:paraId="769AA9CF">
            <w:pPr>
              <w:keepNext w:val="0"/>
              <w:keepLines w:val="0"/>
              <w:pageBreakBefore w:val="0"/>
              <w:widowControl w:val="0"/>
              <w:kinsoku/>
              <w:wordWrap/>
              <w:overflowPunct/>
              <w:topLinePunct w:val="0"/>
              <w:bidi w:val="0"/>
              <w:ind w:right="0" w:rightChars="0"/>
              <w:jc w:val="center"/>
              <w:textAlignment w:val="auto"/>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121.5</w:t>
            </w:r>
          </w:p>
        </w:tc>
        <w:tc>
          <w:tcPr>
            <w:tcW w:w="1276" w:type="dxa"/>
            <w:shd w:val="clear" w:color="auto" w:fill="auto"/>
            <w:noWrap w:val="0"/>
            <w:vAlign w:val="center"/>
          </w:tcPr>
          <w:p w14:paraId="7FAEA040">
            <w:pPr>
              <w:spacing w:beforeLines="0" w:afterLines="0" w:line="240" w:lineRule="auto"/>
              <w:jc w:val="center"/>
              <w:rPr>
                <w:rFonts w:hint="eastAsia" w:ascii="Times New Roman" w:hAnsi="宋体" w:eastAsia="宋体" w:cs="宋体"/>
                <w:snapToGrid w:val="0"/>
                <w:color w:val="auto"/>
                <w:kern w:val="21"/>
                <w:sz w:val="21"/>
                <w:szCs w:val="21"/>
                <w:lang w:val="en-US" w:eastAsia="zh-CN" w:bidi="ar-SA"/>
              </w:rPr>
            </w:pPr>
            <w:r>
              <w:rPr>
                <w:rFonts w:hint="eastAsia" w:ascii="Times New Roman" w:hAnsi="Times New Roman" w:cs="Times New Roman"/>
                <w:color w:val="auto"/>
                <w:kern w:val="2"/>
                <w:sz w:val="18"/>
                <w:szCs w:val="18"/>
                <w:lang w:val="en-US" w:eastAsia="zh-CN" w:bidi="ar-SA"/>
              </w:rPr>
              <w:t>0</w:t>
            </w:r>
          </w:p>
        </w:tc>
        <w:tc>
          <w:tcPr>
            <w:tcW w:w="1701" w:type="dxa"/>
            <w:shd w:val="clear" w:color="auto" w:fill="auto"/>
            <w:noWrap w:val="0"/>
            <w:vAlign w:val="center"/>
          </w:tcPr>
          <w:p w14:paraId="5C985ADD">
            <w:pPr>
              <w:spacing w:beforeLines="0" w:afterLines="0" w:line="240" w:lineRule="auto"/>
              <w:jc w:val="center"/>
              <w:rPr>
                <w:rFonts w:hint="eastAsia" w:ascii="Times New Roman" w:hAnsi="宋体" w:eastAsia="宋体" w:cs="宋体"/>
                <w:snapToGrid w:val="0"/>
                <w:color w:val="auto"/>
                <w:kern w:val="21"/>
                <w:sz w:val="21"/>
                <w:szCs w:val="21"/>
                <w:lang w:val="en-US" w:eastAsia="zh-CN" w:bidi="ar-SA"/>
              </w:rPr>
            </w:pPr>
            <w:r>
              <w:rPr>
                <w:rFonts w:hint="eastAsia" w:ascii="Times New Roman" w:hAnsi="Times New Roman" w:cs="Times New Roman"/>
                <w:color w:val="auto"/>
                <w:kern w:val="2"/>
                <w:sz w:val="18"/>
                <w:szCs w:val="18"/>
                <w:lang w:val="en-US" w:eastAsia="zh-CN" w:bidi="ar-SA"/>
              </w:rPr>
              <w:t>0</w:t>
            </w:r>
          </w:p>
        </w:tc>
        <w:tc>
          <w:tcPr>
            <w:tcW w:w="1559" w:type="dxa"/>
            <w:noWrap w:val="0"/>
            <w:vAlign w:val="center"/>
          </w:tcPr>
          <w:p w14:paraId="459556E1">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761" w:type="dxa"/>
            <w:noWrap w:val="0"/>
            <w:vAlign w:val="center"/>
          </w:tcPr>
          <w:p w14:paraId="10FF5022">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959" w:type="dxa"/>
            <w:shd w:val="clear" w:color="auto" w:fill="auto"/>
            <w:noWrap w:val="0"/>
            <w:vAlign w:val="center"/>
          </w:tcPr>
          <w:p w14:paraId="0DF5EDD0">
            <w:pPr>
              <w:keepNext w:val="0"/>
              <w:keepLines w:val="0"/>
              <w:pageBreakBefore w:val="0"/>
              <w:widowControl w:val="0"/>
              <w:kinsoku/>
              <w:wordWrap/>
              <w:overflowPunct/>
              <w:topLinePunct w:val="0"/>
              <w:bidi w:val="0"/>
              <w:ind w:right="0" w:rightChars="0"/>
              <w:jc w:val="center"/>
              <w:textAlignment w:val="auto"/>
              <w:rPr>
                <w:rFonts w:ascii="Times New Roman" w:hAnsi="宋体" w:eastAsia="宋体" w:cs="宋体"/>
                <w:snapToGrid w:val="0"/>
                <w:color w:val="auto"/>
                <w:kern w:val="21"/>
                <w:sz w:val="21"/>
                <w:szCs w:val="21"/>
                <w:lang w:val="en-US" w:eastAsia="zh-CN" w:bidi="ar-SA"/>
              </w:rPr>
            </w:pPr>
            <w:r>
              <w:rPr>
                <w:rFonts w:hint="eastAsia" w:ascii="Times New Roman" w:hAnsi="Times New Roman" w:cs="Times New Roman"/>
                <w:color w:val="auto"/>
                <w:kern w:val="2"/>
                <w:sz w:val="18"/>
                <w:szCs w:val="18"/>
                <w:lang w:val="en-US" w:eastAsia="zh-CN" w:bidi="ar-SA"/>
              </w:rPr>
              <w:t>121.5</w:t>
            </w:r>
          </w:p>
        </w:tc>
        <w:tc>
          <w:tcPr>
            <w:tcW w:w="826" w:type="dxa"/>
            <w:noWrap w:val="0"/>
            <w:vAlign w:val="center"/>
          </w:tcPr>
          <w:p w14:paraId="4A644114">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r>
      <w:tr w14:paraId="39EA88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20937DF1">
            <w:pPr>
              <w:pStyle w:val="40"/>
              <w:spacing w:beforeLines="0" w:afterLines="0" w:line="240" w:lineRule="auto"/>
              <w:rPr>
                <w:rFonts w:hint="eastAsia" w:hAnsi="宋体" w:cs="宋体"/>
                <w:snapToGrid w:val="0"/>
                <w:color w:val="auto"/>
                <w:kern w:val="21"/>
                <w:szCs w:val="21"/>
              </w:rPr>
            </w:pPr>
          </w:p>
        </w:tc>
        <w:tc>
          <w:tcPr>
            <w:tcW w:w="1417" w:type="dxa"/>
            <w:noWrap w:val="0"/>
            <w:vAlign w:val="center"/>
          </w:tcPr>
          <w:p w14:paraId="19DA1265">
            <w:pPr>
              <w:keepNext w:val="0"/>
              <w:keepLines w:val="0"/>
              <w:pageBreakBefore w:val="0"/>
              <w:widowControl w:val="0"/>
              <w:kinsoku/>
              <w:wordWrap/>
              <w:overflowPunct/>
              <w:topLinePunct w:val="0"/>
              <w:bidi w:val="0"/>
              <w:ind w:right="0" w:rightChars="0"/>
              <w:jc w:val="center"/>
              <w:textAlignment w:val="auto"/>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废餐厅隔油</w:t>
            </w:r>
          </w:p>
        </w:tc>
        <w:tc>
          <w:tcPr>
            <w:tcW w:w="1701" w:type="dxa"/>
            <w:noWrap w:val="0"/>
            <w:vAlign w:val="center"/>
          </w:tcPr>
          <w:p w14:paraId="4AD95E30">
            <w:pPr>
              <w:keepNext w:val="0"/>
              <w:keepLines w:val="0"/>
              <w:pageBreakBefore w:val="0"/>
              <w:widowControl w:val="0"/>
              <w:kinsoku/>
              <w:wordWrap/>
              <w:overflowPunct/>
              <w:topLinePunct w:val="0"/>
              <w:bidi w:val="0"/>
              <w:ind w:right="0" w:rightChars="0"/>
              <w:jc w:val="center"/>
              <w:textAlignment w:val="auto"/>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0.1021</w:t>
            </w:r>
          </w:p>
        </w:tc>
        <w:tc>
          <w:tcPr>
            <w:tcW w:w="1276" w:type="dxa"/>
            <w:noWrap w:val="0"/>
            <w:vAlign w:val="center"/>
          </w:tcPr>
          <w:p w14:paraId="650C7416">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701" w:type="dxa"/>
            <w:noWrap w:val="0"/>
            <w:vAlign w:val="center"/>
          </w:tcPr>
          <w:p w14:paraId="460AF972">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559" w:type="dxa"/>
            <w:noWrap w:val="0"/>
            <w:vAlign w:val="center"/>
          </w:tcPr>
          <w:p w14:paraId="458D5F88">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761" w:type="dxa"/>
            <w:noWrap w:val="0"/>
            <w:vAlign w:val="center"/>
          </w:tcPr>
          <w:p w14:paraId="44C4899D">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959" w:type="dxa"/>
            <w:shd w:val="clear" w:color="auto" w:fill="auto"/>
            <w:noWrap w:val="0"/>
            <w:vAlign w:val="center"/>
          </w:tcPr>
          <w:p w14:paraId="35376E7A">
            <w:pPr>
              <w:keepNext w:val="0"/>
              <w:keepLines w:val="0"/>
              <w:pageBreakBefore w:val="0"/>
              <w:widowControl w:val="0"/>
              <w:kinsoku/>
              <w:wordWrap/>
              <w:overflowPunct/>
              <w:topLinePunct w:val="0"/>
              <w:bidi w:val="0"/>
              <w:ind w:right="0" w:rightChars="0"/>
              <w:jc w:val="center"/>
              <w:textAlignment w:val="auto"/>
              <w:rPr>
                <w:rFonts w:ascii="Times New Roman" w:hAnsi="宋体" w:eastAsia="宋体" w:cs="宋体"/>
                <w:snapToGrid w:val="0"/>
                <w:color w:val="auto"/>
                <w:kern w:val="21"/>
                <w:sz w:val="21"/>
                <w:szCs w:val="21"/>
                <w:lang w:val="en-US" w:eastAsia="zh-CN" w:bidi="ar-SA"/>
              </w:rPr>
            </w:pPr>
            <w:r>
              <w:rPr>
                <w:rFonts w:hint="eastAsia" w:ascii="Times New Roman" w:hAnsi="Times New Roman" w:cs="Times New Roman"/>
                <w:color w:val="auto"/>
                <w:kern w:val="2"/>
                <w:sz w:val="18"/>
                <w:szCs w:val="18"/>
                <w:lang w:val="en-US" w:eastAsia="zh-CN" w:bidi="ar-SA"/>
              </w:rPr>
              <w:t>0.1021</w:t>
            </w:r>
          </w:p>
        </w:tc>
        <w:tc>
          <w:tcPr>
            <w:tcW w:w="826" w:type="dxa"/>
            <w:noWrap w:val="0"/>
            <w:vAlign w:val="center"/>
          </w:tcPr>
          <w:p w14:paraId="0ECA7D50">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r>
      <w:tr w14:paraId="245AC5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55DFCF11">
            <w:pPr>
              <w:pStyle w:val="40"/>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rPr>
              <w:t>危险废物</w:t>
            </w:r>
          </w:p>
        </w:tc>
        <w:tc>
          <w:tcPr>
            <w:tcW w:w="1417" w:type="dxa"/>
            <w:noWrap w:val="0"/>
            <w:vAlign w:val="center"/>
          </w:tcPr>
          <w:p w14:paraId="03B2C1E9">
            <w:pPr>
              <w:keepNext w:val="0"/>
              <w:keepLines w:val="0"/>
              <w:pageBreakBefore w:val="0"/>
              <w:widowControl w:val="0"/>
              <w:kinsoku/>
              <w:wordWrap/>
              <w:overflowPunct/>
              <w:topLinePunct w:val="0"/>
              <w:bidi w:val="0"/>
              <w:ind w:right="0" w:rightChars="0"/>
              <w:jc w:val="center"/>
              <w:textAlignment w:val="auto"/>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废活性炭</w:t>
            </w:r>
          </w:p>
        </w:tc>
        <w:tc>
          <w:tcPr>
            <w:tcW w:w="1701" w:type="dxa"/>
            <w:noWrap w:val="0"/>
            <w:vAlign w:val="center"/>
          </w:tcPr>
          <w:p w14:paraId="4AC0F4AF">
            <w:pPr>
              <w:keepNext w:val="0"/>
              <w:keepLines w:val="0"/>
              <w:pageBreakBefore w:val="0"/>
              <w:widowControl w:val="0"/>
              <w:kinsoku/>
              <w:wordWrap/>
              <w:overflowPunct/>
              <w:topLinePunct w:val="0"/>
              <w:bidi w:val="0"/>
              <w:ind w:right="0" w:rightChars="0"/>
              <w:jc w:val="center"/>
              <w:textAlignment w:val="auto"/>
              <w:rPr>
                <w:rFonts w:hAnsi="宋体" w:cs="宋体"/>
                <w:snapToGrid w:val="0"/>
                <w:color w:val="auto"/>
                <w:kern w:val="21"/>
                <w:szCs w:val="21"/>
              </w:rPr>
            </w:pPr>
            <w:r>
              <w:rPr>
                <w:rFonts w:hint="eastAsia" w:cs="Times New Roman"/>
                <w:color w:val="auto"/>
                <w:kern w:val="2"/>
                <w:sz w:val="18"/>
                <w:szCs w:val="18"/>
                <w:lang w:val="en-US" w:eastAsia="zh-CN" w:bidi="ar-SA"/>
              </w:rPr>
              <w:t>5</w:t>
            </w:r>
          </w:p>
        </w:tc>
        <w:tc>
          <w:tcPr>
            <w:tcW w:w="1276" w:type="dxa"/>
            <w:noWrap w:val="0"/>
            <w:vAlign w:val="center"/>
          </w:tcPr>
          <w:p w14:paraId="35544607">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701" w:type="dxa"/>
            <w:noWrap w:val="0"/>
            <w:vAlign w:val="center"/>
          </w:tcPr>
          <w:p w14:paraId="38D1B03F">
            <w:pPr>
              <w:spacing w:beforeLines="0" w:afterLines="0" w:line="240" w:lineRule="auto"/>
              <w:jc w:val="center"/>
              <w:rPr>
                <w:rFonts w:hAnsi="宋体" w:cs="宋体"/>
                <w:snapToGrid w:val="0"/>
                <w:color w:val="auto"/>
                <w:kern w:val="21"/>
                <w:szCs w:val="21"/>
              </w:rPr>
            </w:pPr>
            <w:r>
              <w:rPr>
                <w:rFonts w:hint="eastAsia" w:ascii="Times New Roman" w:hAnsi="Times New Roman" w:cs="Times New Roman"/>
                <w:color w:val="auto"/>
                <w:kern w:val="2"/>
                <w:sz w:val="18"/>
                <w:szCs w:val="18"/>
                <w:lang w:val="en-US" w:eastAsia="zh-CN" w:bidi="ar-SA"/>
              </w:rPr>
              <w:t>0</w:t>
            </w:r>
          </w:p>
        </w:tc>
        <w:tc>
          <w:tcPr>
            <w:tcW w:w="1559" w:type="dxa"/>
            <w:shd w:val="clear" w:color="auto" w:fill="auto"/>
            <w:noWrap w:val="0"/>
            <w:vAlign w:val="center"/>
          </w:tcPr>
          <w:p w14:paraId="4A3F377B">
            <w:pPr>
              <w:keepNext w:val="0"/>
              <w:keepLines w:val="0"/>
              <w:pageBreakBefore w:val="0"/>
              <w:widowControl w:val="0"/>
              <w:kinsoku/>
              <w:wordWrap/>
              <w:overflowPunct/>
              <w:topLinePunct w:val="0"/>
              <w:bidi w:val="0"/>
              <w:ind w:right="0" w:rightChars="0"/>
              <w:jc w:val="center"/>
              <w:textAlignment w:val="auto"/>
              <w:rPr>
                <w:rFonts w:hint="eastAsia" w:ascii="Times New Roman" w:hAnsi="Times New Roman" w:cs="Times New Roman"/>
                <w:color w:val="auto"/>
                <w:kern w:val="2"/>
                <w:sz w:val="18"/>
                <w:szCs w:val="18"/>
                <w:lang w:val="en-US" w:eastAsia="zh-CN" w:bidi="ar-SA"/>
              </w:rPr>
            </w:pPr>
            <w:r>
              <w:rPr>
                <w:rFonts w:hint="eastAsia" w:cs="Times New Roman"/>
                <w:color w:val="auto"/>
                <w:kern w:val="2"/>
                <w:sz w:val="18"/>
                <w:szCs w:val="18"/>
                <w:lang w:val="en-US" w:eastAsia="zh-CN" w:bidi="ar-SA"/>
              </w:rPr>
              <w:t>31.9041</w:t>
            </w:r>
          </w:p>
        </w:tc>
        <w:tc>
          <w:tcPr>
            <w:tcW w:w="1761" w:type="dxa"/>
            <w:noWrap w:val="0"/>
            <w:vAlign w:val="center"/>
          </w:tcPr>
          <w:p w14:paraId="7B7B2EE7">
            <w:pPr>
              <w:keepNext w:val="0"/>
              <w:keepLines w:val="0"/>
              <w:pageBreakBefore w:val="0"/>
              <w:widowControl w:val="0"/>
              <w:kinsoku/>
              <w:wordWrap/>
              <w:overflowPunct/>
              <w:topLinePunct w:val="0"/>
              <w:bidi w:val="0"/>
              <w:ind w:right="0" w:rightChars="0"/>
              <w:jc w:val="center"/>
              <w:textAlignment w:val="auto"/>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959" w:type="dxa"/>
            <w:noWrap w:val="0"/>
            <w:vAlign w:val="center"/>
          </w:tcPr>
          <w:p w14:paraId="03B733A8">
            <w:pPr>
              <w:keepNext w:val="0"/>
              <w:keepLines w:val="0"/>
              <w:pageBreakBefore w:val="0"/>
              <w:widowControl w:val="0"/>
              <w:kinsoku/>
              <w:wordWrap/>
              <w:overflowPunct/>
              <w:topLinePunct w:val="0"/>
              <w:bidi w:val="0"/>
              <w:ind w:right="0" w:rightChars="0"/>
              <w:jc w:val="center"/>
              <w:textAlignment w:val="auto"/>
              <w:rPr>
                <w:rFonts w:hint="eastAsia" w:ascii="Times New Roman" w:hAnsi="Times New Roman" w:cs="Times New Roman"/>
                <w:color w:val="auto"/>
                <w:kern w:val="2"/>
                <w:sz w:val="18"/>
                <w:szCs w:val="18"/>
                <w:lang w:val="en-US" w:eastAsia="zh-CN" w:bidi="ar-SA"/>
              </w:rPr>
            </w:pPr>
            <w:r>
              <w:rPr>
                <w:rFonts w:hint="eastAsia" w:cs="Times New Roman"/>
                <w:color w:val="auto"/>
                <w:kern w:val="2"/>
                <w:sz w:val="18"/>
                <w:szCs w:val="18"/>
                <w:lang w:val="en-US" w:eastAsia="zh-CN" w:bidi="ar-SA"/>
              </w:rPr>
              <w:t>36.9041</w:t>
            </w:r>
            <w:r>
              <w:rPr>
                <w:rFonts w:hint="eastAsia" w:ascii="Times New Roman" w:hAnsi="Times New Roman" w:cs="Times New Roman"/>
                <w:color w:val="auto"/>
                <w:kern w:val="2"/>
                <w:sz w:val="18"/>
                <w:szCs w:val="18"/>
                <w:lang w:val="en-US" w:eastAsia="zh-CN" w:bidi="ar-SA"/>
              </w:rPr>
              <w:t>‬‬</w:t>
            </w:r>
          </w:p>
        </w:tc>
        <w:tc>
          <w:tcPr>
            <w:tcW w:w="826" w:type="dxa"/>
            <w:shd w:val="clear" w:color="auto" w:fill="auto"/>
            <w:noWrap w:val="0"/>
            <w:vAlign w:val="center"/>
          </w:tcPr>
          <w:p w14:paraId="744A26E2">
            <w:pPr>
              <w:keepNext w:val="0"/>
              <w:keepLines w:val="0"/>
              <w:pageBreakBefore w:val="0"/>
              <w:widowControl w:val="0"/>
              <w:kinsoku/>
              <w:wordWrap/>
              <w:overflowPunct/>
              <w:topLinePunct w:val="0"/>
              <w:bidi w:val="0"/>
              <w:ind w:right="0" w:rightChars="0"/>
              <w:jc w:val="center"/>
              <w:textAlignment w:val="auto"/>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w:t>
            </w:r>
            <w:r>
              <w:rPr>
                <w:rFonts w:hint="eastAsia" w:cs="Times New Roman"/>
                <w:color w:val="auto"/>
                <w:kern w:val="2"/>
                <w:sz w:val="18"/>
                <w:szCs w:val="18"/>
                <w:lang w:val="en-US" w:eastAsia="zh-CN" w:bidi="ar-SA"/>
              </w:rPr>
              <w:t>31.9041</w:t>
            </w:r>
          </w:p>
        </w:tc>
      </w:tr>
      <w:tr w14:paraId="594D28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7D8D6E1C">
            <w:pPr>
              <w:pStyle w:val="40"/>
              <w:spacing w:beforeLines="0" w:afterLines="0" w:line="240" w:lineRule="auto"/>
              <w:jc w:val="center"/>
              <w:rPr>
                <w:rFonts w:hint="eastAsia" w:hAnsi="宋体" w:cs="宋体"/>
                <w:snapToGrid w:val="0"/>
                <w:color w:val="auto"/>
                <w:kern w:val="21"/>
                <w:szCs w:val="21"/>
              </w:rPr>
            </w:pPr>
          </w:p>
        </w:tc>
        <w:tc>
          <w:tcPr>
            <w:tcW w:w="1417" w:type="dxa"/>
            <w:shd w:val="clear" w:color="auto" w:fill="auto"/>
            <w:noWrap w:val="0"/>
            <w:vAlign w:val="center"/>
          </w:tcPr>
          <w:p w14:paraId="237046E9">
            <w:pPr>
              <w:pStyle w:val="51"/>
              <w:ind w:left="-8" w:leftChars="-4" w:firstLine="27" w:firstLineChars="15"/>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废机油</w:t>
            </w:r>
          </w:p>
        </w:tc>
        <w:tc>
          <w:tcPr>
            <w:tcW w:w="1701" w:type="dxa"/>
            <w:shd w:val="clear" w:color="auto" w:fill="auto"/>
            <w:noWrap w:val="0"/>
            <w:vAlign w:val="center"/>
          </w:tcPr>
          <w:p w14:paraId="60DAF911">
            <w:pPr>
              <w:pStyle w:val="51"/>
              <w:ind w:left="-8" w:leftChars="-4" w:firstLine="27" w:firstLineChars="15"/>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16</w:t>
            </w:r>
          </w:p>
        </w:tc>
        <w:tc>
          <w:tcPr>
            <w:tcW w:w="1276" w:type="dxa"/>
            <w:noWrap w:val="0"/>
            <w:vAlign w:val="center"/>
          </w:tcPr>
          <w:p w14:paraId="2A896B0E">
            <w:pPr>
              <w:spacing w:beforeLines="0" w:afterLines="0" w:line="240" w:lineRule="auto"/>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701" w:type="dxa"/>
            <w:noWrap w:val="0"/>
            <w:vAlign w:val="center"/>
          </w:tcPr>
          <w:p w14:paraId="404D7BF2">
            <w:pPr>
              <w:spacing w:beforeLines="0" w:afterLines="0" w:line="240" w:lineRule="auto"/>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559" w:type="dxa"/>
            <w:shd w:val="clear" w:color="auto" w:fill="auto"/>
            <w:noWrap w:val="0"/>
            <w:vAlign w:val="center"/>
          </w:tcPr>
          <w:p w14:paraId="232AD301">
            <w:pPr>
              <w:spacing w:beforeLines="0" w:afterLines="0" w:line="240" w:lineRule="auto"/>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761" w:type="dxa"/>
            <w:noWrap w:val="0"/>
            <w:vAlign w:val="center"/>
          </w:tcPr>
          <w:p w14:paraId="55BC87A7">
            <w:pPr>
              <w:spacing w:beforeLines="0" w:afterLines="0" w:line="240" w:lineRule="auto"/>
              <w:jc w:val="center"/>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959" w:type="dxa"/>
            <w:shd w:val="clear" w:color="auto" w:fill="auto"/>
            <w:noWrap w:val="0"/>
            <w:vAlign w:val="center"/>
          </w:tcPr>
          <w:p w14:paraId="781B27D6">
            <w:pPr>
              <w:pStyle w:val="51"/>
              <w:ind w:left="-8" w:leftChars="-4" w:firstLine="27" w:firstLineChars="15"/>
              <w:jc w:val="center"/>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16</w:t>
            </w:r>
          </w:p>
        </w:tc>
        <w:tc>
          <w:tcPr>
            <w:tcW w:w="826" w:type="dxa"/>
            <w:shd w:val="clear" w:color="auto" w:fill="auto"/>
            <w:noWrap w:val="0"/>
            <w:vAlign w:val="center"/>
          </w:tcPr>
          <w:p w14:paraId="304FF7F0">
            <w:pPr>
              <w:spacing w:beforeLines="0" w:afterLines="0" w:line="240" w:lineRule="auto"/>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r>
      <w:tr w14:paraId="4F4EED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6FB2C2F9">
            <w:pPr>
              <w:pStyle w:val="40"/>
              <w:spacing w:beforeLines="0" w:afterLines="0" w:line="240" w:lineRule="auto"/>
              <w:jc w:val="center"/>
              <w:rPr>
                <w:rFonts w:hint="eastAsia" w:hAnsi="宋体" w:cs="宋体"/>
                <w:snapToGrid w:val="0"/>
                <w:color w:val="auto"/>
                <w:kern w:val="21"/>
                <w:szCs w:val="21"/>
              </w:rPr>
            </w:pPr>
          </w:p>
        </w:tc>
        <w:tc>
          <w:tcPr>
            <w:tcW w:w="1417" w:type="dxa"/>
            <w:shd w:val="clear" w:color="auto" w:fill="auto"/>
            <w:noWrap w:val="0"/>
            <w:vAlign w:val="center"/>
          </w:tcPr>
          <w:p w14:paraId="4D661B51">
            <w:pPr>
              <w:pStyle w:val="51"/>
              <w:ind w:left="-8" w:leftChars="-4" w:firstLine="27" w:firstLineChars="15"/>
              <w:jc w:val="center"/>
              <w:rPr>
                <w:rFonts w:hint="eastAsia" w:ascii="Times New Roman" w:hAnsi="Times New Roman" w:eastAsia="宋体" w:cs="Times New Roman"/>
                <w:color w:val="auto"/>
                <w:kern w:val="0"/>
                <w:sz w:val="18"/>
                <w:szCs w:val="18"/>
                <w:lang w:val="en-US" w:eastAsia="zh-CN" w:bidi="ar-SA"/>
              </w:rPr>
            </w:pPr>
            <w:r>
              <w:rPr>
                <w:rFonts w:hint="eastAsia"/>
                <w:color w:val="auto"/>
                <w:sz w:val="18"/>
                <w:szCs w:val="18"/>
                <w:lang w:val="en-US" w:eastAsia="zh-CN"/>
              </w:rPr>
              <w:t>废切削液</w:t>
            </w:r>
          </w:p>
        </w:tc>
        <w:tc>
          <w:tcPr>
            <w:tcW w:w="1701" w:type="dxa"/>
            <w:shd w:val="clear" w:color="auto" w:fill="auto"/>
            <w:noWrap w:val="0"/>
            <w:vAlign w:val="center"/>
          </w:tcPr>
          <w:p w14:paraId="4000559F">
            <w:pPr>
              <w:pStyle w:val="51"/>
              <w:ind w:left="-8" w:leftChars="-4" w:firstLine="27" w:firstLineChars="15"/>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8</w:t>
            </w:r>
          </w:p>
        </w:tc>
        <w:tc>
          <w:tcPr>
            <w:tcW w:w="1276" w:type="dxa"/>
            <w:noWrap w:val="0"/>
            <w:vAlign w:val="center"/>
          </w:tcPr>
          <w:p w14:paraId="5EBC0F16">
            <w:pPr>
              <w:spacing w:beforeLines="0" w:afterLines="0" w:line="240" w:lineRule="auto"/>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701" w:type="dxa"/>
            <w:noWrap w:val="0"/>
            <w:vAlign w:val="center"/>
          </w:tcPr>
          <w:p w14:paraId="0A7BE3D7">
            <w:pPr>
              <w:spacing w:beforeLines="0" w:afterLines="0" w:line="240" w:lineRule="auto"/>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559" w:type="dxa"/>
            <w:shd w:val="clear" w:color="auto" w:fill="auto"/>
            <w:noWrap w:val="0"/>
            <w:vAlign w:val="center"/>
          </w:tcPr>
          <w:p w14:paraId="180B9785">
            <w:pPr>
              <w:spacing w:beforeLines="0" w:afterLines="0" w:line="240" w:lineRule="auto"/>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761" w:type="dxa"/>
            <w:noWrap w:val="0"/>
            <w:vAlign w:val="center"/>
          </w:tcPr>
          <w:p w14:paraId="56CAD3E6">
            <w:pPr>
              <w:spacing w:beforeLines="0" w:afterLines="0" w:line="240" w:lineRule="auto"/>
              <w:jc w:val="center"/>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959" w:type="dxa"/>
            <w:shd w:val="clear" w:color="auto" w:fill="auto"/>
            <w:noWrap w:val="0"/>
            <w:vAlign w:val="center"/>
          </w:tcPr>
          <w:p w14:paraId="57062658">
            <w:pPr>
              <w:pStyle w:val="51"/>
              <w:ind w:left="-8" w:leftChars="-4" w:firstLine="27" w:firstLineChars="15"/>
              <w:jc w:val="center"/>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8</w:t>
            </w:r>
          </w:p>
        </w:tc>
        <w:tc>
          <w:tcPr>
            <w:tcW w:w="826" w:type="dxa"/>
            <w:shd w:val="clear" w:color="auto" w:fill="auto"/>
            <w:noWrap w:val="0"/>
            <w:vAlign w:val="center"/>
          </w:tcPr>
          <w:p w14:paraId="6F85A560">
            <w:pPr>
              <w:spacing w:beforeLines="0" w:afterLines="0" w:line="240" w:lineRule="auto"/>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r>
      <w:tr w14:paraId="4D058D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0BF07846">
            <w:pPr>
              <w:pStyle w:val="40"/>
              <w:spacing w:beforeLines="0" w:afterLines="0" w:line="240" w:lineRule="auto"/>
              <w:jc w:val="center"/>
              <w:rPr>
                <w:rFonts w:hint="eastAsia" w:hAnsi="宋体" w:cs="宋体"/>
                <w:snapToGrid w:val="0"/>
                <w:color w:val="auto"/>
                <w:kern w:val="21"/>
                <w:szCs w:val="21"/>
              </w:rPr>
            </w:pPr>
          </w:p>
        </w:tc>
        <w:tc>
          <w:tcPr>
            <w:tcW w:w="1417" w:type="dxa"/>
            <w:shd w:val="clear" w:color="auto" w:fill="auto"/>
            <w:noWrap w:val="0"/>
            <w:vAlign w:val="center"/>
          </w:tcPr>
          <w:p w14:paraId="7A9AEC37">
            <w:pPr>
              <w:pStyle w:val="51"/>
              <w:ind w:left="-8" w:leftChars="-4" w:firstLine="27" w:firstLineChars="15"/>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废胶水和胶水桶</w:t>
            </w:r>
          </w:p>
        </w:tc>
        <w:tc>
          <w:tcPr>
            <w:tcW w:w="1701" w:type="dxa"/>
            <w:shd w:val="clear" w:color="auto" w:fill="auto"/>
            <w:noWrap w:val="0"/>
            <w:vAlign w:val="center"/>
          </w:tcPr>
          <w:p w14:paraId="37B4D8F7">
            <w:pPr>
              <w:pStyle w:val="51"/>
              <w:ind w:left="-8" w:leftChars="-4" w:firstLine="27" w:firstLineChars="15"/>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0.5</w:t>
            </w:r>
          </w:p>
        </w:tc>
        <w:tc>
          <w:tcPr>
            <w:tcW w:w="1276" w:type="dxa"/>
            <w:noWrap w:val="0"/>
            <w:vAlign w:val="center"/>
          </w:tcPr>
          <w:p w14:paraId="6B521A08">
            <w:pPr>
              <w:spacing w:beforeLines="0" w:afterLines="0" w:line="240" w:lineRule="auto"/>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701" w:type="dxa"/>
            <w:noWrap w:val="0"/>
            <w:vAlign w:val="center"/>
          </w:tcPr>
          <w:p w14:paraId="43987495">
            <w:pPr>
              <w:spacing w:beforeLines="0" w:afterLines="0" w:line="240" w:lineRule="auto"/>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559" w:type="dxa"/>
            <w:shd w:val="clear" w:color="auto" w:fill="auto"/>
            <w:noWrap w:val="0"/>
            <w:vAlign w:val="center"/>
          </w:tcPr>
          <w:p w14:paraId="48FF9124">
            <w:pPr>
              <w:spacing w:beforeLines="0" w:afterLines="0" w:line="240" w:lineRule="auto"/>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761" w:type="dxa"/>
            <w:noWrap w:val="0"/>
            <w:vAlign w:val="center"/>
          </w:tcPr>
          <w:p w14:paraId="59F0A216">
            <w:pPr>
              <w:spacing w:beforeLines="0" w:afterLines="0" w:line="240" w:lineRule="auto"/>
              <w:jc w:val="center"/>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959" w:type="dxa"/>
            <w:shd w:val="clear" w:color="auto" w:fill="auto"/>
            <w:noWrap w:val="0"/>
            <w:vAlign w:val="center"/>
          </w:tcPr>
          <w:p w14:paraId="4188A649">
            <w:pPr>
              <w:pStyle w:val="51"/>
              <w:ind w:left="-8" w:leftChars="-4" w:firstLine="27" w:firstLineChars="15"/>
              <w:jc w:val="center"/>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0.5</w:t>
            </w:r>
          </w:p>
        </w:tc>
        <w:tc>
          <w:tcPr>
            <w:tcW w:w="826" w:type="dxa"/>
            <w:shd w:val="clear" w:color="auto" w:fill="auto"/>
            <w:noWrap w:val="0"/>
            <w:vAlign w:val="center"/>
          </w:tcPr>
          <w:p w14:paraId="594D7F22">
            <w:pPr>
              <w:spacing w:beforeLines="0" w:afterLines="0" w:line="240" w:lineRule="auto"/>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r>
      <w:tr w14:paraId="667B61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54DC4FC7">
            <w:pPr>
              <w:pStyle w:val="40"/>
              <w:spacing w:beforeLines="0" w:afterLines="0" w:line="240" w:lineRule="auto"/>
              <w:jc w:val="center"/>
              <w:rPr>
                <w:rFonts w:hint="eastAsia" w:hAnsi="宋体" w:cs="宋体"/>
                <w:snapToGrid w:val="0"/>
                <w:color w:val="auto"/>
                <w:kern w:val="21"/>
                <w:szCs w:val="21"/>
              </w:rPr>
            </w:pPr>
          </w:p>
        </w:tc>
        <w:tc>
          <w:tcPr>
            <w:tcW w:w="1417" w:type="dxa"/>
            <w:shd w:val="clear" w:color="auto" w:fill="auto"/>
            <w:noWrap w:val="0"/>
            <w:vAlign w:val="center"/>
          </w:tcPr>
          <w:p w14:paraId="1914D8F9">
            <w:pPr>
              <w:pStyle w:val="51"/>
              <w:ind w:left="-8" w:leftChars="-4" w:firstLine="27" w:firstLineChars="15"/>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废油墨和油墨桶</w:t>
            </w:r>
          </w:p>
        </w:tc>
        <w:tc>
          <w:tcPr>
            <w:tcW w:w="1701" w:type="dxa"/>
            <w:shd w:val="clear" w:color="auto" w:fill="auto"/>
            <w:noWrap w:val="0"/>
            <w:vAlign w:val="center"/>
          </w:tcPr>
          <w:p w14:paraId="6EC22596">
            <w:pPr>
              <w:pStyle w:val="51"/>
              <w:ind w:left="-8" w:leftChars="-4" w:firstLine="27" w:firstLineChars="15"/>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0.2</w:t>
            </w:r>
          </w:p>
        </w:tc>
        <w:tc>
          <w:tcPr>
            <w:tcW w:w="1276" w:type="dxa"/>
            <w:noWrap w:val="0"/>
            <w:vAlign w:val="center"/>
          </w:tcPr>
          <w:p w14:paraId="132D27E6">
            <w:pPr>
              <w:spacing w:beforeLines="0" w:afterLines="0" w:line="240" w:lineRule="auto"/>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701" w:type="dxa"/>
            <w:noWrap w:val="0"/>
            <w:vAlign w:val="center"/>
          </w:tcPr>
          <w:p w14:paraId="766650C6">
            <w:pPr>
              <w:spacing w:beforeLines="0" w:afterLines="0" w:line="240" w:lineRule="auto"/>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559" w:type="dxa"/>
            <w:shd w:val="clear" w:color="auto" w:fill="auto"/>
            <w:noWrap w:val="0"/>
            <w:vAlign w:val="center"/>
          </w:tcPr>
          <w:p w14:paraId="0E13B729">
            <w:pPr>
              <w:spacing w:beforeLines="0" w:afterLines="0" w:line="240" w:lineRule="auto"/>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761" w:type="dxa"/>
            <w:noWrap w:val="0"/>
            <w:vAlign w:val="center"/>
          </w:tcPr>
          <w:p w14:paraId="6B2F1EB8">
            <w:pPr>
              <w:spacing w:beforeLines="0" w:afterLines="0" w:line="240" w:lineRule="auto"/>
              <w:jc w:val="center"/>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959" w:type="dxa"/>
            <w:shd w:val="clear" w:color="auto" w:fill="auto"/>
            <w:noWrap w:val="0"/>
            <w:vAlign w:val="center"/>
          </w:tcPr>
          <w:p w14:paraId="5C9635C6">
            <w:pPr>
              <w:pStyle w:val="51"/>
              <w:ind w:left="-8" w:leftChars="-4" w:firstLine="27" w:firstLineChars="15"/>
              <w:jc w:val="center"/>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0.2</w:t>
            </w:r>
          </w:p>
        </w:tc>
        <w:tc>
          <w:tcPr>
            <w:tcW w:w="826" w:type="dxa"/>
            <w:shd w:val="clear" w:color="auto" w:fill="auto"/>
            <w:noWrap w:val="0"/>
            <w:vAlign w:val="center"/>
          </w:tcPr>
          <w:p w14:paraId="2A4D932C">
            <w:pPr>
              <w:spacing w:beforeLines="0" w:afterLines="0" w:line="240" w:lineRule="auto"/>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r>
      <w:tr w14:paraId="64D8B4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44BE5271">
            <w:pPr>
              <w:pStyle w:val="40"/>
              <w:spacing w:beforeLines="0" w:afterLines="0" w:line="240" w:lineRule="auto"/>
              <w:jc w:val="center"/>
              <w:rPr>
                <w:rFonts w:hint="eastAsia" w:hAnsi="宋体" w:cs="宋体"/>
                <w:snapToGrid w:val="0"/>
                <w:color w:val="auto"/>
                <w:kern w:val="21"/>
                <w:szCs w:val="21"/>
              </w:rPr>
            </w:pPr>
          </w:p>
        </w:tc>
        <w:tc>
          <w:tcPr>
            <w:tcW w:w="1417" w:type="dxa"/>
            <w:shd w:val="clear" w:color="auto" w:fill="auto"/>
            <w:noWrap w:val="0"/>
            <w:vAlign w:val="center"/>
          </w:tcPr>
          <w:p w14:paraId="1869CEA3">
            <w:pPr>
              <w:pStyle w:val="51"/>
              <w:ind w:left="-8" w:leftChars="-4" w:firstLine="27" w:firstLineChars="15"/>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废机油空桶</w:t>
            </w:r>
          </w:p>
        </w:tc>
        <w:tc>
          <w:tcPr>
            <w:tcW w:w="1701" w:type="dxa"/>
            <w:shd w:val="clear" w:color="auto" w:fill="auto"/>
            <w:noWrap w:val="0"/>
            <w:vAlign w:val="center"/>
          </w:tcPr>
          <w:p w14:paraId="37078277">
            <w:pPr>
              <w:pStyle w:val="51"/>
              <w:ind w:left="-8" w:leftChars="-4" w:firstLine="27" w:firstLineChars="15"/>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1</w:t>
            </w:r>
          </w:p>
        </w:tc>
        <w:tc>
          <w:tcPr>
            <w:tcW w:w="1276" w:type="dxa"/>
            <w:noWrap w:val="0"/>
            <w:vAlign w:val="center"/>
          </w:tcPr>
          <w:p w14:paraId="5EE7ED74">
            <w:pPr>
              <w:spacing w:beforeLines="0" w:afterLines="0" w:line="240" w:lineRule="auto"/>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701" w:type="dxa"/>
            <w:noWrap w:val="0"/>
            <w:vAlign w:val="center"/>
          </w:tcPr>
          <w:p w14:paraId="6F331790">
            <w:pPr>
              <w:spacing w:beforeLines="0" w:afterLines="0" w:line="240" w:lineRule="auto"/>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559" w:type="dxa"/>
            <w:shd w:val="clear" w:color="auto" w:fill="auto"/>
            <w:noWrap w:val="0"/>
            <w:vAlign w:val="center"/>
          </w:tcPr>
          <w:p w14:paraId="3B36D3DD">
            <w:pPr>
              <w:spacing w:beforeLines="0" w:afterLines="0" w:line="240" w:lineRule="auto"/>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761" w:type="dxa"/>
            <w:noWrap w:val="0"/>
            <w:vAlign w:val="center"/>
          </w:tcPr>
          <w:p w14:paraId="36ED9384">
            <w:pPr>
              <w:spacing w:beforeLines="0" w:afterLines="0" w:line="240" w:lineRule="auto"/>
              <w:jc w:val="center"/>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959" w:type="dxa"/>
            <w:shd w:val="clear" w:color="auto" w:fill="auto"/>
            <w:noWrap w:val="0"/>
            <w:vAlign w:val="center"/>
          </w:tcPr>
          <w:p w14:paraId="3D08F4CE">
            <w:pPr>
              <w:pStyle w:val="51"/>
              <w:ind w:left="-8" w:leftChars="-4" w:firstLine="27" w:firstLineChars="15"/>
              <w:jc w:val="center"/>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1</w:t>
            </w:r>
          </w:p>
        </w:tc>
        <w:tc>
          <w:tcPr>
            <w:tcW w:w="826" w:type="dxa"/>
            <w:shd w:val="clear" w:color="auto" w:fill="auto"/>
            <w:noWrap w:val="0"/>
            <w:vAlign w:val="center"/>
          </w:tcPr>
          <w:p w14:paraId="6F0019B7">
            <w:pPr>
              <w:spacing w:beforeLines="0" w:afterLines="0" w:line="240" w:lineRule="auto"/>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r>
      <w:tr w14:paraId="26C81D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240793E0">
            <w:pPr>
              <w:pStyle w:val="40"/>
              <w:spacing w:beforeLines="0" w:afterLines="0" w:line="240" w:lineRule="auto"/>
              <w:jc w:val="center"/>
              <w:rPr>
                <w:rFonts w:hint="eastAsia" w:hAnsi="宋体" w:cs="宋体"/>
                <w:snapToGrid w:val="0"/>
                <w:color w:val="auto"/>
                <w:kern w:val="21"/>
                <w:szCs w:val="21"/>
              </w:rPr>
            </w:pPr>
          </w:p>
        </w:tc>
        <w:tc>
          <w:tcPr>
            <w:tcW w:w="1417" w:type="dxa"/>
            <w:shd w:val="clear" w:color="auto" w:fill="auto"/>
            <w:noWrap w:val="0"/>
            <w:vAlign w:val="center"/>
          </w:tcPr>
          <w:p w14:paraId="6D7AB5EC">
            <w:pPr>
              <w:pStyle w:val="51"/>
              <w:ind w:left="-8" w:leftChars="-4" w:firstLine="27" w:firstLineChars="15"/>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含油滤芯</w:t>
            </w:r>
          </w:p>
        </w:tc>
        <w:tc>
          <w:tcPr>
            <w:tcW w:w="1701" w:type="dxa"/>
            <w:shd w:val="clear" w:color="auto" w:fill="auto"/>
            <w:noWrap w:val="0"/>
            <w:vAlign w:val="center"/>
          </w:tcPr>
          <w:p w14:paraId="5466F467">
            <w:pPr>
              <w:pStyle w:val="51"/>
              <w:ind w:left="-8" w:leftChars="-4" w:firstLine="27" w:firstLineChars="15"/>
              <w:jc w:val="center"/>
              <w:rPr>
                <w:rFonts w:hint="eastAsia"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0.2</w:t>
            </w:r>
          </w:p>
        </w:tc>
        <w:tc>
          <w:tcPr>
            <w:tcW w:w="1276" w:type="dxa"/>
            <w:noWrap w:val="0"/>
            <w:vAlign w:val="center"/>
          </w:tcPr>
          <w:p w14:paraId="548A7434">
            <w:pPr>
              <w:spacing w:beforeLines="0" w:afterLines="0" w:line="240" w:lineRule="auto"/>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701" w:type="dxa"/>
            <w:noWrap w:val="0"/>
            <w:vAlign w:val="center"/>
          </w:tcPr>
          <w:p w14:paraId="3692CF8D">
            <w:pPr>
              <w:spacing w:beforeLines="0" w:afterLines="0" w:line="240" w:lineRule="auto"/>
              <w:jc w:val="center"/>
              <w:rPr>
                <w:rFonts w:hint="eastAsia"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559" w:type="dxa"/>
            <w:shd w:val="clear" w:color="auto" w:fill="auto"/>
            <w:noWrap w:val="0"/>
            <w:vAlign w:val="center"/>
          </w:tcPr>
          <w:p w14:paraId="0F3CBED6">
            <w:pPr>
              <w:spacing w:beforeLines="0" w:afterLines="0" w:line="240" w:lineRule="auto"/>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761" w:type="dxa"/>
            <w:noWrap w:val="0"/>
            <w:vAlign w:val="center"/>
          </w:tcPr>
          <w:p w14:paraId="00FCD4B2">
            <w:pPr>
              <w:spacing w:beforeLines="0" w:afterLines="0" w:line="240" w:lineRule="auto"/>
              <w:jc w:val="center"/>
              <w:rPr>
                <w:rFonts w:hint="default" w:ascii="Times New Roman" w:hAnsi="Times New Roman"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959" w:type="dxa"/>
            <w:shd w:val="clear" w:color="auto" w:fill="auto"/>
            <w:noWrap w:val="0"/>
            <w:vAlign w:val="center"/>
          </w:tcPr>
          <w:p w14:paraId="263F6635">
            <w:pPr>
              <w:pStyle w:val="51"/>
              <w:ind w:left="-8" w:leftChars="-4" w:firstLine="27" w:firstLineChars="15"/>
              <w:jc w:val="center"/>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eastAsia="宋体" w:cs="Times New Roman"/>
                <w:color w:val="auto"/>
                <w:sz w:val="18"/>
                <w:szCs w:val="18"/>
                <w:lang w:val="en-US" w:eastAsia="zh-CN"/>
              </w:rPr>
              <w:t>0.2</w:t>
            </w:r>
          </w:p>
        </w:tc>
        <w:tc>
          <w:tcPr>
            <w:tcW w:w="826" w:type="dxa"/>
            <w:shd w:val="clear" w:color="auto" w:fill="auto"/>
            <w:noWrap w:val="0"/>
            <w:vAlign w:val="center"/>
          </w:tcPr>
          <w:p w14:paraId="3C571A7F">
            <w:pPr>
              <w:spacing w:beforeLines="0" w:afterLines="0" w:line="240" w:lineRule="auto"/>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r>
      <w:tr w14:paraId="6563A6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17B4BF01">
            <w:pPr>
              <w:pStyle w:val="40"/>
              <w:spacing w:beforeLines="0" w:afterLines="0" w:line="240" w:lineRule="auto"/>
              <w:rPr>
                <w:rFonts w:hint="eastAsia" w:hAnsi="宋体" w:cs="宋体"/>
                <w:snapToGrid w:val="0"/>
                <w:color w:val="auto"/>
                <w:kern w:val="21"/>
                <w:szCs w:val="21"/>
              </w:rPr>
            </w:pPr>
          </w:p>
        </w:tc>
        <w:tc>
          <w:tcPr>
            <w:tcW w:w="1417" w:type="dxa"/>
            <w:shd w:val="clear" w:color="auto" w:fill="auto"/>
            <w:noWrap w:val="0"/>
            <w:vAlign w:val="center"/>
          </w:tcPr>
          <w:p w14:paraId="3C00FFC2">
            <w:pPr>
              <w:keepNext w:val="0"/>
              <w:keepLines w:val="0"/>
              <w:pageBreakBefore w:val="0"/>
              <w:widowControl w:val="0"/>
              <w:kinsoku/>
              <w:wordWrap/>
              <w:overflowPunct/>
              <w:topLinePunct w:val="0"/>
              <w:bidi w:val="0"/>
              <w:ind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highlight w:val="none"/>
                <w:lang w:val="en-US" w:eastAsia="zh-CN" w:bidi="ar-SA"/>
              </w:rPr>
              <w:t>废包装</w:t>
            </w:r>
          </w:p>
        </w:tc>
        <w:tc>
          <w:tcPr>
            <w:tcW w:w="1701" w:type="dxa"/>
            <w:shd w:val="clear" w:color="auto" w:fill="auto"/>
            <w:noWrap w:val="0"/>
            <w:vAlign w:val="center"/>
          </w:tcPr>
          <w:p w14:paraId="716D80F2">
            <w:pPr>
              <w:spacing w:beforeLines="0" w:afterLines="0" w:line="240" w:lineRule="auto"/>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276" w:type="dxa"/>
            <w:shd w:val="clear" w:color="auto" w:fill="auto"/>
            <w:noWrap w:val="0"/>
            <w:vAlign w:val="center"/>
          </w:tcPr>
          <w:p w14:paraId="5D884EB6">
            <w:pPr>
              <w:spacing w:beforeLines="0" w:afterLines="0" w:line="240" w:lineRule="auto"/>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701" w:type="dxa"/>
            <w:shd w:val="clear" w:color="auto" w:fill="auto"/>
            <w:noWrap w:val="0"/>
            <w:vAlign w:val="center"/>
          </w:tcPr>
          <w:p w14:paraId="498ADFDA">
            <w:pPr>
              <w:spacing w:beforeLines="0" w:afterLines="0" w:line="240" w:lineRule="auto"/>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559" w:type="dxa"/>
            <w:shd w:val="clear" w:color="auto" w:fill="auto"/>
            <w:noWrap w:val="0"/>
            <w:vAlign w:val="center"/>
          </w:tcPr>
          <w:p w14:paraId="0DF08B67">
            <w:pPr>
              <w:pStyle w:val="40"/>
              <w:spacing w:beforeLines="0" w:afterLines="0" w:line="240" w:lineRule="auto"/>
              <w:rPr>
                <w:rFonts w:hint="eastAsia" w:ascii="Times New Roman" w:hAnsi="Times New Roman" w:eastAsia="宋体" w:cs="Times New Roman"/>
                <w:color w:val="auto"/>
                <w:kern w:val="2"/>
                <w:sz w:val="18"/>
                <w:szCs w:val="18"/>
                <w:lang w:val="en-US" w:eastAsia="zh-CN" w:bidi="ar-SA"/>
              </w:rPr>
            </w:pPr>
            <w:r>
              <w:rPr>
                <w:rFonts w:hint="eastAsia" w:ascii="Times New Roman" w:cs="Times New Roman"/>
                <w:color w:val="auto"/>
                <w:kern w:val="2"/>
                <w:sz w:val="18"/>
                <w:szCs w:val="18"/>
                <w:lang w:val="en-US" w:eastAsia="zh-CN" w:bidi="ar-SA"/>
              </w:rPr>
              <w:t>1</w:t>
            </w:r>
          </w:p>
        </w:tc>
        <w:tc>
          <w:tcPr>
            <w:tcW w:w="1761" w:type="dxa"/>
            <w:shd w:val="clear" w:color="auto" w:fill="auto"/>
            <w:noWrap w:val="0"/>
            <w:vAlign w:val="center"/>
          </w:tcPr>
          <w:p w14:paraId="7AD45656">
            <w:pPr>
              <w:spacing w:beforeLines="0" w:afterLines="0" w:line="240" w:lineRule="auto"/>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959" w:type="dxa"/>
            <w:shd w:val="clear" w:color="auto" w:fill="auto"/>
            <w:noWrap w:val="0"/>
            <w:vAlign w:val="center"/>
          </w:tcPr>
          <w:p w14:paraId="6F22C7E1">
            <w:pPr>
              <w:pStyle w:val="40"/>
              <w:spacing w:beforeLines="0" w:afterLines="0" w:line="240" w:lineRule="auto"/>
              <w:rPr>
                <w:rFonts w:hint="eastAsia" w:ascii="Times New Roman" w:hAnsi="Times New Roman" w:eastAsia="宋体" w:cs="Times New Roman"/>
                <w:color w:val="auto"/>
                <w:kern w:val="2"/>
                <w:sz w:val="18"/>
                <w:szCs w:val="18"/>
                <w:lang w:val="en-US" w:eastAsia="zh-CN" w:bidi="ar-SA"/>
              </w:rPr>
            </w:pPr>
            <w:r>
              <w:rPr>
                <w:rFonts w:hint="eastAsia" w:ascii="Times New Roman" w:cs="Times New Roman"/>
                <w:color w:val="auto"/>
                <w:kern w:val="2"/>
                <w:sz w:val="18"/>
                <w:szCs w:val="18"/>
                <w:lang w:val="en-US" w:eastAsia="zh-CN" w:bidi="ar-SA"/>
              </w:rPr>
              <w:t>1</w:t>
            </w:r>
          </w:p>
        </w:tc>
        <w:tc>
          <w:tcPr>
            <w:tcW w:w="826" w:type="dxa"/>
            <w:shd w:val="clear" w:color="auto" w:fill="auto"/>
            <w:noWrap w:val="0"/>
            <w:vAlign w:val="center"/>
          </w:tcPr>
          <w:p w14:paraId="1C2AD1E4">
            <w:pPr>
              <w:pStyle w:val="40"/>
              <w:spacing w:beforeLines="0" w:afterLines="0" w:line="240" w:lineRule="auto"/>
              <w:rPr>
                <w:rFonts w:hint="eastAsia" w:ascii="Times New Roman" w:hAnsi="Times New Roman" w:eastAsia="宋体" w:cs="Times New Roman"/>
                <w:color w:val="auto"/>
                <w:kern w:val="2"/>
                <w:sz w:val="18"/>
                <w:szCs w:val="18"/>
                <w:lang w:val="en-US" w:eastAsia="zh-CN" w:bidi="ar-SA"/>
              </w:rPr>
            </w:pPr>
            <w:r>
              <w:rPr>
                <w:rFonts w:hint="eastAsia" w:ascii="Times New Roman" w:cs="Times New Roman"/>
                <w:color w:val="auto"/>
                <w:kern w:val="2"/>
                <w:sz w:val="18"/>
                <w:szCs w:val="18"/>
                <w:lang w:val="en-US" w:eastAsia="zh-CN" w:bidi="ar-SA"/>
              </w:rPr>
              <w:t>+1</w:t>
            </w:r>
          </w:p>
        </w:tc>
      </w:tr>
      <w:tr w14:paraId="38F748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0619011C">
            <w:pPr>
              <w:pStyle w:val="40"/>
              <w:spacing w:beforeLines="0" w:afterLines="0" w:line="240" w:lineRule="auto"/>
              <w:rPr>
                <w:rFonts w:hint="eastAsia" w:hAnsi="宋体" w:cs="宋体"/>
                <w:snapToGrid w:val="0"/>
                <w:color w:val="auto"/>
                <w:kern w:val="21"/>
                <w:szCs w:val="21"/>
              </w:rPr>
            </w:pPr>
          </w:p>
        </w:tc>
        <w:tc>
          <w:tcPr>
            <w:tcW w:w="1417" w:type="dxa"/>
            <w:shd w:val="clear" w:color="auto" w:fill="auto"/>
            <w:noWrap w:val="0"/>
            <w:vAlign w:val="center"/>
          </w:tcPr>
          <w:p w14:paraId="3B739303">
            <w:pPr>
              <w:pStyle w:val="57"/>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废清洗剂</w:t>
            </w:r>
          </w:p>
        </w:tc>
        <w:tc>
          <w:tcPr>
            <w:tcW w:w="1701" w:type="dxa"/>
            <w:shd w:val="clear" w:color="auto" w:fill="auto"/>
            <w:noWrap w:val="0"/>
            <w:vAlign w:val="center"/>
          </w:tcPr>
          <w:p w14:paraId="5E8D348B">
            <w:pPr>
              <w:spacing w:beforeLines="0" w:afterLines="0" w:line="240" w:lineRule="auto"/>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276" w:type="dxa"/>
            <w:shd w:val="clear" w:color="auto" w:fill="auto"/>
            <w:noWrap w:val="0"/>
            <w:vAlign w:val="center"/>
          </w:tcPr>
          <w:p w14:paraId="5EDEC8D0">
            <w:pPr>
              <w:spacing w:beforeLines="0" w:afterLines="0" w:line="240" w:lineRule="auto"/>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701" w:type="dxa"/>
            <w:shd w:val="clear" w:color="auto" w:fill="auto"/>
            <w:noWrap w:val="0"/>
            <w:vAlign w:val="center"/>
          </w:tcPr>
          <w:p w14:paraId="3209648A">
            <w:pPr>
              <w:spacing w:beforeLines="0" w:afterLines="0" w:line="240" w:lineRule="auto"/>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559" w:type="dxa"/>
            <w:shd w:val="clear" w:color="auto" w:fill="auto"/>
            <w:noWrap w:val="0"/>
            <w:vAlign w:val="center"/>
          </w:tcPr>
          <w:p w14:paraId="221E42A5">
            <w:pPr>
              <w:pStyle w:val="52"/>
              <w:spacing w:line="240" w:lineRule="auto"/>
              <w:rPr>
                <w:rFonts w:hint="default"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0.2006</w:t>
            </w:r>
          </w:p>
        </w:tc>
        <w:tc>
          <w:tcPr>
            <w:tcW w:w="1761" w:type="dxa"/>
            <w:shd w:val="clear" w:color="auto" w:fill="auto"/>
            <w:noWrap w:val="0"/>
            <w:vAlign w:val="center"/>
          </w:tcPr>
          <w:p w14:paraId="7FE92A70">
            <w:pPr>
              <w:spacing w:line="240" w:lineRule="auto"/>
              <w:jc w:val="center"/>
              <w:rPr>
                <w:rFonts w:hint="eastAsia" w:ascii="Times New Roman" w:hAnsi="Times New Roman" w:eastAsia="宋体" w:cs="Times New Roman"/>
                <w:color w:val="auto"/>
                <w:kern w:val="18"/>
                <w:sz w:val="18"/>
                <w:szCs w:val="18"/>
                <w:highlight w:val="none"/>
                <w:lang w:val="en-US" w:eastAsia="zh-CN" w:bidi="ar-SA"/>
              </w:rPr>
            </w:pPr>
            <w:r>
              <w:rPr>
                <w:rFonts w:hint="eastAsia" w:ascii="Times New Roman" w:hAnsi="Times New Roman" w:cs="Times New Roman"/>
                <w:color w:val="auto"/>
                <w:kern w:val="2"/>
                <w:sz w:val="18"/>
                <w:szCs w:val="18"/>
                <w:lang w:val="en-US" w:eastAsia="zh-CN" w:bidi="ar-SA"/>
              </w:rPr>
              <w:t>0</w:t>
            </w:r>
          </w:p>
        </w:tc>
        <w:tc>
          <w:tcPr>
            <w:tcW w:w="1959" w:type="dxa"/>
            <w:shd w:val="clear" w:color="auto" w:fill="auto"/>
            <w:noWrap w:val="0"/>
            <w:vAlign w:val="center"/>
          </w:tcPr>
          <w:p w14:paraId="7AFAADF4">
            <w:pPr>
              <w:pStyle w:val="52"/>
              <w:spacing w:line="240" w:lineRule="auto"/>
              <w:rPr>
                <w:rFonts w:hint="eastAsia"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0.2006</w:t>
            </w:r>
          </w:p>
        </w:tc>
        <w:tc>
          <w:tcPr>
            <w:tcW w:w="826" w:type="dxa"/>
            <w:shd w:val="clear" w:color="auto" w:fill="auto"/>
            <w:noWrap w:val="0"/>
            <w:vAlign w:val="center"/>
          </w:tcPr>
          <w:p w14:paraId="4668A083">
            <w:pPr>
              <w:pStyle w:val="52"/>
              <w:spacing w:line="240" w:lineRule="auto"/>
              <w:rPr>
                <w:rFonts w:hint="eastAsia"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+0.2006</w:t>
            </w:r>
          </w:p>
        </w:tc>
      </w:tr>
      <w:tr w14:paraId="78BAA0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05E29BEA">
            <w:pPr>
              <w:pStyle w:val="40"/>
              <w:spacing w:beforeLines="0" w:afterLines="0" w:line="240" w:lineRule="auto"/>
              <w:rPr>
                <w:rFonts w:hint="eastAsia" w:hAnsi="宋体" w:cs="宋体"/>
                <w:snapToGrid w:val="0"/>
                <w:color w:val="auto"/>
                <w:kern w:val="21"/>
                <w:szCs w:val="21"/>
              </w:rPr>
            </w:pPr>
          </w:p>
        </w:tc>
        <w:tc>
          <w:tcPr>
            <w:tcW w:w="1417" w:type="dxa"/>
            <w:shd w:val="clear" w:color="auto" w:fill="auto"/>
            <w:noWrap w:val="0"/>
            <w:vAlign w:val="center"/>
          </w:tcPr>
          <w:p w14:paraId="59F31253">
            <w:pPr>
              <w:pStyle w:val="57"/>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漆渣</w:t>
            </w:r>
          </w:p>
        </w:tc>
        <w:tc>
          <w:tcPr>
            <w:tcW w:w="1701" w:type="dxa"/>
            <w:shd w:val="clear" w:color="auto" w:fill="auto"/>
            <w:noWrap w:val="0"/>
            <w:vAlign w:val="center"/>
          </w:tcPr>
          <w:p w14:paraId="71741FB5">
            <w:pPr>
              <w:spacing w:beforeLines="0" w:afterLines="0" w:line="240" w:lineRule="auto"/>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276" w:type="dxa"/>
            <w:shd w:val="clear" w:color="auto" w:fill="auto"/>
            <w:noWrap w:val="0"/>
            <w:vAlign w:val="center"/>
          </w:tcPr>
          <w:p w14:paraId="43148896">
            <w:pPr>
              <w:spacing w:beforeLines="0" w:afterLines="0" w:line="240" w:lineRule="auto"/>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701" w:type="dxa"/>
            <w:shd w:val="clear" w:color="auto" w:fill="auto"/>
            <w:noWrap w:val="0"/>
            <w:vAlign w:val="center"/>
          </w:tcPr>
          <w:p w14:paraId="749FF3F3">
            <w:pPr>
              <w:spacing w:beforeLines="0" w:afterLines="0" w:line="240" w:lineRule="auto"/>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0</w:t>
            </w:r>
          </w:p>
        </w:tc>
        <w:tc>
          <w:tcPr>
            <w:tcW w:w="1559" w:type="dxa"/>
            <w:shd w:val="clear" w:color="auto" w:fill="auto"/>
            <w:noWrap w:val="0"/>
            <w:vAlign w:val="center"/>
          </w:tcPr>
          <w:p w14:paraId="2F5157C1">
            <w:pPr>
              <w:pStyle w:val="52"/>
              <w:spacing w:line="240" w:lineRule="auto"/>
              <w:rPr>
                <w:rFonts w:hint="eastAsia"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0.9997‬</w:t>
            </w:r>
          </w:p>
        </w:tc>
        <w:tc>
          <w:tcPr>
            <w:tcW w:w="1761" w:type="dxa"/>
            <w:shd w:val="clear" w:color="auto" w:fill="auto"/>
            <w:noWrap w:val="0"/>
            <w:vAlign w:val="center"/>
          </w:tcPr>
          <w:p w14:paraId="6640784C">
            <w:pPr>
              <w:spacing w:line="240" w:lineRule="auto"/>
              <w:jc w:val="center"/>
              <w:rPr>
                <w:rFonts w:hint="eastAsia" w:ascii="Times New Roman" w:hAnsi="Times New Roman" w:eastAsia="宋体" w:cs="Times New Roman"/>
                <w:color w:val="auto"/>
                <w:kern w:val="18"/>
                <w:sz w:val="18"/>
                <w:szCs w:val="18"/>
                <w:highlight w:val="none"/>
                <w:lang w:val="en-US" w:eastAsia="zh-CN" w:bidi="ar-SA"/>
              </w:rPr>
            </w:pPr>
            <w:r>
              <w:rPr>
                <w:rFonts w:hint="eastAsia" w:ascii="Times New Roman" w:hAnsi="Times New Roman" w:cs="Times New Roman"/>
                <w:color w:val="auto"/>
                <w:kern w:val="2"/>
                <w:sz w:val="18"/>
                <w:szCs w:val="18"/>
                <w:lang w:val="en-US" w:eastAsia="zh-CN" w:bidi="ar-SA"/>
              </w:rPr>
              <w:t>0</w:t>
            </w:r>
          </w:p>
        </w:tc>
        <w:tc>
          <w:tcPr>
            <w:tcW w:w="1959" w:type="dxa"/>
            <w:shd w:val="clear" w:color="auto" w:fill="auto"/>
            <w:noWrap w:val="0"/>
            <w:vAlign w:val="center"/>
          </w:tcPr>
          <w:p w14:paraId="450D705B">
            <w:pPr>
              <w:pStyle w:val="52"/>
              <w:spacing w:line="240" w:lineRule="auto"/>
              <w:rPr>
                <w:rFonts w:hint="eastAsia"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0.9997‬</w:t>
            </w:r>
          </w:p>
        </w:tc>
        <w:tc>
          <w:tcPr>
            <w:tcW w:w="826" w:type="dxa"/>
            <w:shd w:val="clear" w:color="auto" w:fill="auto"/>
            <w:noWrap w:val="0"/>
            <w:vAlign w:val="center"/>
          </w:tcPr>
          <w:p w14:paraId="6DAAC1C5">
            <w:pPr>
              <w:pStyle w:val="52"/>
              <w:spacing w:line="240" w:lineRule="auto"/>
              <w:rPr>
                <w:rFonts w:hint="eastAsia"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+0.9997‬</w:t>
            </w:r>
          </w:p>
        </w:tc>
      </w:tr>
      <w:tr w14:paraId="3FE606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11FDDFAD">
            <w:pPr>
              <w:pStyle w:val="40"/>
              <w:spacing w:beforeLines="0" w:afterLines="0" w:line="240" w:lineRule="auto"/>
              <w:rPr>
                <w:rFonts w:hint="eastAsia" w:hAnsi="宋体" w:cs="宋体"/>
                <w:snapToGrid w:val="0"/>
                <w:color w:val="auto"/>
                <w:kern w:val="21"/>
                <w:szCs w:val="21"/>
              </w:rPr>
            </w:pPr>
          </w:p>
        </w:tc>
        <w:tc>
          <w:tcPr>
            <w:tcW w:w="1417" w:type="dxa"/>
            <w:noWrap w:val="0"/>
            <w:vAlign w:val="center"/>
          </w:tcPr>
          <w:p w14:paraId="415829A5">
            <w:pPr>
              <w:keepNext w:val="0"/>
              <w:keepLines w:val="0"/>
              <w:pageBreakBefore w:val="0"/>
              <w:widowControl w:val="0"/>
              <w:kinsoku/>
              <w:wordWrap/>
              <w:overflowPunct/>
              <w:topLinePunct w:val="0"/>
              <w:bidi w:val="0"/>
              <w:ind w:right="0" w:rightChars="0"/>
              <w:jc w:val="center"/>
              <w:textAlignment w:val="auto"/>
              <w:rPr>
                <w:rFonts w:hint="default" w:ascii="Times New Roman" w:hAnsi="Times New Roman" w:cs="Times New Roman"/>
                <w:color w:val="auto"/>
                <w:kern w:val="2"/>
                <w:sz w:val="18"/>
                <w:szCs w:val="18"/>
                <w:lang w:val="en-US" w:eastAsia="zh-CN" w:bidi="ar-SA"/>
              </w:rPr>
            </w:pPr>
            <w:r>
              <w:rPr>
                <w:rFonts w:hint="eastAsia" w:cs="Times New Roman"/>
                <w:color w:val="auto"/>
                <w:kern w:val="2"/>
                <w:sz w:val="18"/>
                <w:szCs w:val="18"/>
                <w:lang w:val="en-US" w:eastAsia="zh-CN" w:bidi="ar-SA"/>
              </w:rPr>
              <w:t>废过滤棉</w:t>
            </w:r>
          </w:p>
        </w:tc>
        <w:tc>
          <w:tcPr>
            <w:tcW w:w="1701" w:type="dxa"/>
            <w:shd w:val="clear" w:color="auto" w:fill="auto"/>
            <w:noWrap w:val="0"/>
            <w:vAlign w:val="center"/>
          </w:tcPr>
          <w:p w14:paraId="2FBF912A">
            <w:pPr>
              <w:keepNext w:val="0"/>
              <w:keepLines w:val="0"/>
              <w:pageBreakBefore w:val="0"/>
              <w:widowControl w:val="0"/>
              <w:kinsoku/>
              <w:wordWrap/>
              <w:overflowPunct/>
              <w:topLinePunct w:val="0"/>
              <w:bidi w:val="0"/>
              <w:ind w:right="0" w:rightChars="0"/>
              <w:jc w:val="center"/>
              <w:textAlignment w:val="auto"/>
              <w:rPr>
                <w:rFonts w:hint="eastAsia" w:ascii="Times New Roman" w:hAnsi="宋体" w:eastAsia="宋体" w:cs="宋体"/>
                <w:snapToGrid w:val="0"/>
                <w:color w:val="auto"/>
                <w:kern w:val="21"/>
                <w:sz w:val="21"/>
                <w:szCs w:val="21"/>
                <w:lang w:val="en-US" w:eastAsia="zh-CN" w:bidi="ar-SA"/>
              </w:rPr>
            </w:pPr>
            <w:r>
              <w:rPr>
                <w:rFonts w:hint="eastAsia" w:cs="Times New Roman"/>
                <w:color w:val="auto"/>
                <w:kern w:val="2"/>
                <w:sz w:val="18"/>
                <w:szCs w:val="18"/>
                <w:lang w:val="en-US" w:eastAsia="zh-CN" w:bidi="ar-SA"/>
              </w:rPr>
              <w:t>0</w:t>
            </w:r>
          </w:p>
        </w:tc>
        <w:tc>
          <w:tcPr>
            <w:tcW w:w="1276" w:type="dxa"/>
            <w:shd w:val="clear" w:color="auto" w:fill="auto"/>
            <w:noWrap w:val="0"/>
            <w:vAlign w:val="center"/>
          </w:tcPr>
          <w:p w14:paraId="2F563245">
            <w:pPr>
              <w:spacing w:beforeLines="0" w:afterLines="0" w:line="240" w:lineRule="auto"/>
              <w:jc w:val="center"/>
              <w:rPr>
                <w:rFonts w:hint="eastAsia" w:ascii="Times New Roman" w:hAnsi="宋体" w:eastAsia="宋体" w:cs="宋体"/>
                <w:snapToGrid w:val="0"/>
                <w:color w:val="auto"/>
                <w:kern w:val="21"/>
                <w:sz w:val="21"/>
                <w:szCs w:val="21"/>
                <w:lang w:val="en-US" w:eastAsia="zh-CN" w:bidi="ar-SA"/>
              </w:rPr>
            </w:pPr>
            <w:r>
              <w:rPr>
                <w:rFonts w:hint="eastAsia" w:ascii="Times New Roman" w:hAnsi="Times New Roman" w:cs="Times New Roman"/>
                <w:color w:val="auto"/>
                <w:kern w:val="2"/>
                <w:sz w:val="18"/>
                <w:szCs w:val="18"/>
                <w:lang w:val="en-US" w:eastAsia="zh-CN" w:bidi="ar-SA"/>
              </w:rPr>
              <w:t>0</w:t>
            </w:r>
          </w:p>
        </w:tc>
        <w:tc>
          <w:tcPr>
            <w:tcW w:w="1701" w:type="dxa"/>
            <w:shd w:val="clear" w:color="auto" w:fill="auto"/>
            <w:noWrap w:val="0"/>
            <w:vAlign w:val="center"/>
          </w:tcPr>
          <w:p w14:paraId="1DB2C7A9">
            <w:pPr>
              <w:spacing w:beforeLines="0" w:afterLines="0" w:line="240" w:lineRule="auto"/>
              <w:jc w:val="center"/>
              <w:rPr>
                <w:rFonts w:hint="eastAsia" w:ascii="Times New Roman" w:hAnsi="宋体" w:eastAsia="宋体" w:cs="宋体"/>
                <w:snapToGrid w:val="0"/>
                <w:color w:val="auto"/>
                <w:kern w:val="21"/>
                <w:sz w:val="21"/>
                <w:szCs w:val="21"/>
                <w:lang w:val="en-US" w:eastAsia="zh-CN" w:bidi="ar-SA"/>
              </w:rPr>
            </w:pPr>
            <w:r>
              <w:rPr>
                <w:rFonts w:hint="eastAsia" w:ascii="Times New Roman" w:hAnsi="Times New Roman" w:cs="Times New Roman"/>
                <w:color w:val="auto"/>
                <w:kern w:val="2"/>
                <w:sz w:val="18"/>
                <w:szCs w:val="18"/>
                <w:lang w:val="en-US" w:eastAsia="zh-CN" w:bidi="ar-SA"/>
              </w:rPr>
              <w:t>0</w:t>
            </w:r>
          </w:p>
        </w:tc>
        <w:tc>
          <w:tcPr>
            <w:tcW w:w="1559" w:type="dxa"/>
            <w:shd w:val="clear" w:color="auto" w:fill="auto"/>
            <w:noWrap w:val="0"/>
            <w:vAlign w:val="center"/>
          </w:tcPr>
          <w:p w14:paraId="39A95F4B">
            <w:pPr>
              <w:spacing w:beforeLines="0" w:afterLines="0" w:line="240" w:lineRule="auto"/>
              <w:jc w:val="center"/>
              <w:rPr>
                <w:rFonts w:hint="eastAsia" w:ascii="Times New Roman" w:hAnsi="宋体" w:eastAsia="宋体" w:cs="宋体"/>
                <w:snapToGrid w:val="0"/>
                <w:color w:val="auto"/>
                <w:kern w:val="21"/>
                <w:sz w:val="21"/>
                <w:szCs w:val="21"/>
                <w:lang w:val="en-US" w:eastAsia="zh-CN" w:bidi="ar-SA"/>
              </w:rPr>
            </w:pPr>
            <w:r>
              <w:rPr>
                <w:rFonts w:hint="eastAsia" w:ascii="Times New Roman" w:hAnsi="Times New Roman" w:cs="Times New Roman"/>
                <w:color w:val="auto"/>
                <w:kern w:val="2"/>
                <w:sz w:val="18"/>
                <w:szCs w:val="18"/>
                <w:lang w:val="en-US" w:eastAsia="zh-CN" w:bidi="ar-SA"/>
              </w:rPr>
              <w:t>0</w:t>
            </w:r>
          </w:p>
        </w:tc>
        <w:tc>
          <w:tcPr>
            <w:tcW w:w="1761" w:type="dxa"/>
            <w:shd w:val="clear" w:color="auto" w:fill="auto"/>
            <w:noWrap w:val="0"/>
            <w:vAlign w:val="center"/>
          </w:tcPr>
          <w:p w14:paraId="111364B1">
            <w:pPr>
              <w:spacing w:beforeLines="0" w:afterLines="0" w:line="240" w:lineRule="auto"/>
              <w:jc w:val="center"/>
              <w:rPr>
                <w:rFonts w:hint="eastAsia" w:ascii="Times New Roman" w:hAnsi="宋体" w:eastAsia="宋体" w:cs="宋体"/>
                <w:snapToGrid w:val="0"/>
                <w:color w:val="auto"/>
                <w:kern w:val="21"/>
                <w:sz w:val="21"/>
                <w:szCs w:val="21"/>
                <w:lang w:val="en-US" w:eastAsia="zh-CN" w:bidi="ar-SA"/>
              </w:rPr>
            </w:pPr>
            <w:r>
              <w:rPr>
                <w:rFonts w:hint="eastAsia" w:ascii="Times New Roman" w:hAnsi="Times New Roman" w:cs="Times New Roman"/>
                <w:color w:val="auto"/>
                <w:kern w:val="2"/>
                <w:sz w:val="18"/>
                <w:szCs w:val="18"/>
                <w:lang w:val="en-US" w:eastAsia="zh-CN" w:bidi="ar-SA"/>
              </w:rPr>
              <w:t>0</w:t>
            </w:r>
          </w:p>
        </w:tc>
        <w:tc>
          <w:tcPr>
            <w:tcW w:w="1959" w:type="dxa"/>
            <w:shd w:val="clear" w:color="auto" w:fill="auto"/>
            <w:noWrap w:val="0"/>
            <w:vAlign w:val="center"/>
          </w:tcPr>
          <w:p w14:paraId="53A2763A">
            <w:pPr>
              <w:keepNext w:val="0"/>
              <w:keepLines w:val="0"/>
              <w:pageBreakBefore w:val="0"/>
              <w:widowControl w:val="0"/>
              <w:kinsoku/>
              <w:wordWrap/>
              <w:overflowPunct/>
              <w:topLinePunct w:val="0"/>
              <w:bidi w:val="0"/>
              <w:ind w:right="0" w:rightChars="0"/>
              <w:jc w:val="center"/>
              <w:textAlignment w:val="auto"/>
              <w:rPr>
                <w:rFonts w:hint="default" w:ascii="Times New Roman" w:hAnsi="宋体" w:eastAsia="宋体" w:cs="宋体"/>
                <w:snapToGrid w:val="0"/>
                <w:color w:val="auto"/>
                <w:kern w:val="21"/>
                <w:sz w:val="21"/>
                <w:szCs w:val="21"/>
                <w:lang w:val="en-US" w:eastAsia="zh-CN" w:bidi="ar-SA"/>
              </w:rPr>
            </w:pPr>
            <w:r>
              <w:rPr>
                <w:rFonts w:hint="eastAsia" w:cs="Times New Roman"/>
                <w:color w:val="auto"/>
                <w:kern w:val="2"/>
                <w:sz w:val="18"/>
                <w:szCs w:val="18"/>
                <w:lang w:val="en-US" w:eastAsia="zh-CN" w:bidi="ar-SA"/>
              </w:rPr>
              <w:t>1.3908‬‬</w:t>
            </w:r>
          </w:p>
        </w:tc>
        <w:tc>
          <w:tcPr>
            <w:tcW w:w="826" w:type="dxa"/>
            <w:shd w:val="clear" w:color="auto" w:fill="auto"/>
            <w:noWrap w:val="0"/>
            <w:vAlign w:val="center"/>
          </w:tcPr>
          <w:p w14:paraId="17CA1CC1">
            <w:pPr>
              <w:spacing w:beforeLines="0" w:afterLines="0" w:line="240" w:lineRule="auto"/>
              <w:jc w:val="center"/>
              <w:rPr>
                <w:rFonts w:hint="default" w:ascii="Times New Roman" w:hAnsi="宋体" w:eastAsia="宋体" w:cs="宋体"/>
                <w:snapToGrid w:val="0"/>
                <w:color w:val="auto"/>
                <w:kern w:val="21"/>
                <w:sz w:val="21"/>
                <w:szCs w:val="21"/>
                <w:lang w:val="en-US" w:eastAsia="zh-CN" w:bidi="ar-SA"/>
              </w:rPr>
            </w:pPr>
            <w:r>
              <w:rPr>
                <w:rFonts w:hint="eastAsia" w:cs="Times New Roman"/>
                <w:color w:val="auto"/>
                <w:kern w:val="2"/>
                <w:sz w:val="18"/>
                <w:szCs w:val="18"/>
                <w:lang w:val="en-US" w:eastAsia="zh-CN" w:bidi="ar-SA"/>
              </w:rPr>
              <w:t>+1.3908‬‬</w:t>
            </w:r>
          </w:p>
        </w:tc>
      </w:tr>
      <w:tr w14:paraId="35A8C9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78FB91B2">
            <w:pPr>
              <w:pStyle w:val="40"/>
              <w:spacing w:beforeLines="0" w:afterLines="0" w:line="240" w:lineRule="auto"/>
              <w:rPr>
                <w:rFonts w:hint="eastAsia" w:hAnsi="宋体" w:cs="宋体"/>
                <w:snapToGrid w:val="0"/>
                <w:color w:val="auto"/>
                <w:kern w:val="21"/>
                <w:szCs w:val="21"/>
              </w:rPr>
            </w:pPr>
          </w:p>
        </w:tc>
        <w:tc>
          <w:tcPr>
            <w:tcW w:w="1417" w:type="dxa"/>
            <w:shd w:val="clear" w:color="auto" w:fill="auto"/>
            <w:noWrap w:val="0"/>
            <w:vAlign w:val="center"/>
          </w:tcPr>
          <w:p w14:paraId="66DD955B">
            <w:pPr>
              <w:pStyle w:val="57"/>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废润滑油</w:t>
            </w:r>
          </w:p>
        </w:tc>
        <w:tc>
          <w:tcPr>
            <w:tcW w:w="1701" w:type="dxa"/>
            <w:shd w:val="clear" w:color="auto" w:fill="auto"/>
            <w:noWrap w:val="0"/>
            <w:vAlign w:val="center"/>
          </w:tcPr>
          <w:p w14:paraId="3C698B42">
            <w:pPr>
              <w:keepNext w:val="0"/>
              <w:keepLines w:val="0"/>
              <w:pageBreakBefore w:val="0"/>
              <w:widowControl w:val="0"/>
              <w:kinsoku/>
              <w:wordWrap/>
              <w:overflowPunct/>
              <w:topLinePunct w:val="0"/>
              <w:bidi w:val="0"/>
              <w:ind w:right="0" w:rightChars="0"/>
              <w:jc w:val="center"/>
              <w:textAlignment w:val="auto"/>
              <w:rPr>
                <w:rFonts w:hint="default"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1276" w:type="dxa"/>
            <w:shd w:val="clear" w:color="auto" w:fill="auto"/>
            <w:noWrap w:val="0"/>
            <w:vAlign w:val="center"/>
          </w:tcPr>
          <w:p w14:paraId="20C7FF45">
            <w:pPr>
              <w:spacing w:beforeLines="0" w:afterLines="0" w:line="240" w:lineRule="auto"/>
              <w:jc w:val="center"/>
              <w:rPr>
                <w:rFonts w:hint="eastAsia" w:ascii="Times New Roman" w:hAnsi="Times New Roman"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1701" w:type="dxa"/>
            <w:shd w:val="clear" w:color="auto" w:fill="auto"/>
            <w:noWrap w:val="0"/>
            <w:vAlign w:val="center"/>
          </w:tcPr>
          <w:p w14:paraId="086CB480">
            <w:pPr>
              <w:spacing w:beforeLines="0" w:afterLines="0" w:line="240" w:lineRule="auto"/>
              <w:jc w:val="center"/>
              <w:rPr>
                <w:rFonts w:hint="eastAsia" w:ascii="Times New Roman" w:hAnsi="Times New Roman"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1559" w:type="dxa"/>
            <w:shd w:val="clear" w:color="auto" w:fill="auto"/>
            <w:noWrap w:val="0"/>
            <w:vAlign w:val="center"/>
          </w:tcPr>
          <w:p w14:paraId="3B063CD1">
            <w:pPr>
              <w:pStyle w:val="52"/>
              <w:spacing w:line="240" w:lineRule="auto"/>
              <w:rPr>
                <w:rFonts w:hint="eastAsia"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0.048</w:t>
            </w:r>
          </w:p>
        </w:tc>
        <w:tc>
          <w:tcPr>
            <w:tcW w:w="1761" w:type="dxa"/>
            <w:shd w:val="clear" w:color="auto" w:fill="auto"/>
            <w:noWrap w:val="0"/>
            <w:vAlign w:val="center"/>
          </w:tcPr>
          <w:p w14:paraId="59B393CC">
            <w:pPr>
              <w:spacing w:beforeLines="0" w:afterLines="0" w:line="240" w:lineRule="auto"/>
              <w:jc w:val="center"/>
              <w:rPr>
                <w:rFonts w:hint="eastAsia" w:ascii="Times New Roman" w:hAnsi="Times New Roman"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1959" w:type="dxa"/>
            <w:shd w:val="clear" w:color="auto" w:fill="auto"/>
            <w:noWrap w:val="0"/>
            <w:vAlign w:val="center"/>
          </w:tcPr>
          <w:p w14:paraId="6C0A485B">
            <w:pPr>
              <w:pStyle w:val="52"/>
              <w:spacing w:line="240" w:lineRule="auto"/>
              <w:rPr>
                <w:rFonts w:hint="eastAsia"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0.048</w:t>
            </w:r>
          </w:p>
        </w:tc>
        <w:tc>
          <w:tcPr>
            <w:tcW w:w="826" w:type="dxa"/>
            <w:shd w:val="clear" w:color="auto" w:fill="auto"/>
            <w:noWrap w:val="0"/>
            <w:vAlign w:val="center"/>
          </w:tcPr>
          <w:p w14:paraId="486E14FE">
            <w:pPr>
              <w:pStyle w:val="52"/>
              <w:spacing w:line="240" w:lineRule="auto"/>
              <w:rPr>
                <w:rFonts w:hint="eastAsia"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+0.048</w:t>
            </w:r>
          </w:p>
        </w:tc>
      </w:tr>
      <w:tr w14:paraId="055E5F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3755EA2E">
            <w:pPr>
              <w:pStyle w:val="40"/>
              <w:spacing w:beforeLines="0" w:afterLines="0" w:line="240" w:lineRule="auto"/>
              <w:rPr>
                <w:rFonts w:hint="eastAsia" w:hAnsi="宋体" w:cs="宋体"/>
                <w:snapToGrid w:val="0"/>
                <w:color w:val="auto"/>
                <w:kern w:val="21"/>
                <w:szCs w:val="21"/>
              </w:rPr>
            </w:pPr>
          </w:p>
        </w:tc>
        <w:tc>
          <w:tcPr>
            <w:tcW w:w="1417" w:type="dxa"/>
            <w:shd w:val="clear" w:color="auto" w:fill="auto"/>
            <w:noWrap w:val="0"/>
            <w:vAlign w:val="center"/>
          </w:tcPr>
          <w:p w14:paraId="0EDC96B6">
            <w:pPr>
              <w:pStyle w:val="57"/>
              <w:ind w:firstLine="0" w:firstLineChars="0"/>
              <w:rPr>
                <w:rFonts w:hint="eastAsia"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废紫外灯管</w:t>
            </w:r>
          </w:p>
        </w:tc>
        <w:tc>
          <w:tcPr>
            <w:tcW w:w="1701" w:type="dxa"/>
            <w:shd w:val="clear" w:color="auto" w:fill="auto"/>
            <w:noWrap w:val="0"/>
            <w:vAlign w:val="center"/>
          </w:tcPr>
          <w:p w14:paraId="618E06B8">
            <w:pPr>
              <w:keepNext w:val="0"/>
              <w:keepLines w:val="0"/>
              <w:pageBreakBefore w:val="0"/>
              <w:widowControl w:val="0"/>
              <w:kinsoku/>
              <w:wordWrap/>
              <w:overflowPunct/>
              <w:topLinePunct w:val="0"/>
              <w:bidi w:val="0"/>
              <w:ind w:right="0" w:rightChars="0"/>
              <w:jc w:val="center"/>
              <w:textAlignment w:val="auto"/>
              <w:rPr>
                <w:rFonts w:hint="eastAsia"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1276" w:type="dxa"/>
            <w:shd w:val="clear" w:color="auto" w:fill="auto"/>
            <w:noWrap w:val="0"/>
            <w:vAlign w:val="center"/>
          </w:tcPr>
          <w:p w14:paraId="44F4E4C4">
            <w:pPr>
              <w:spacing w:beforeLines="0" w:afterLines="0" w:line="240" w:lineRule="auto"/>
              <w:jc w:val="center"/>
              <w:rPr>
                <w:rFonts w:hint="eastAsia" w:ascii="Times New Roman" w:hAnsi="Times New Roman"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1701" w:type="dxa"/>
            <w:shd w:val="clear" w:color="auto" w:fill="auto"/>
            <w:noWrap w:val="0"/>
            <w:vAlign w:val="center"/>
          </w:tcPr>
          <w:p w14:paraId="376476B2">
            <w:pPr>
              <w:spacing w:beforeLines="0" w:afterLines="0" w:line="240" w:lineRule="auto"/>
              <w:jc w:val="center"/>
              <w:rPr>
                <w:rFonts w:hint="eastAsia" w:ascii="Times New Roman" w:hAnsi="Times New Roman"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1559" w:type="dxa"/>
            <w:shd w:val="clear" w:color="auto" w:fill="auto"/>
            <w:noWrap w:val="0"/>
            <w:vAlign w:val="center"/>
          </w:tcPr>
          <w:p w14:paraId="3C49781E">
            <w:pPr>
              <w:pStyle w:val="52"/>
              <w:spacing w:line="240" w:lineRule="auto"/>
              <w:rPr>
                <w:rFonts w:hint="eastAsia"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0.06</w:t>
            </w:r>
          </w:p>
        </w:tc>
        <w:tc>
          <w:tcPr>
            <w:tcW w:w="1761" w:type="dxa"/>
            <w:shd w:val="clear" w:color="auto" w:fill="auto"/>
            <w:noWrap w:val="0"/>
            <w:vAlign w:val="center"/>
          </w:tcPr>
          <w:p w14:paraId="48D2156A">
            <w:pPr>
              <w:spacing w:beforeLines="0" w:afterLines="0" w:line="240" w:lineRule="auto"/>
              <w:jc w:val="center"/>
              <w:rPr>
                <w:rFonts w:hint="eastAsia" w:ascii="Times New Roman" w:hAnsi="Times New Roman" w:cs="Times New Roman"/>
                <w:color w:val="auto"/>
                <w:kern w:val="2"/>
                <w:sz w:val="18"/>
                <w:szCs w:val="18"/>
                <w:lang w:val="en-US" w:eastAsia="zh-CN" w:bidi="ar-SA"/>
              </w:rPr>
            </w:pPr>
            <w:r>
              <w:rPr>
                <w:rFonts w:hint="eastAsia" w:cs="Times New Roman"/>
                <w:color w:val="auto"/>
                <w:kern w:val="2"/>
                <w:sz w:val="18"/>
                <w:szCs w:val="18"/>
                <w:lang w:val="en-US" w:eastAsia="zh-CN" w:bidi="ar-SA"/>
              </w:rPr>
              <w:t>0</w:t>
            </w:r>
          </w:p>
        </w:tc>
        <w:tc>
          <w:tcPr>
            <w:tcW w:w="1959" w:type="dxa"/>
            <w:shd w:val="clear" w:color="auto" w:fill="auto"/>
            <w:noWrap w:val="0"/>
            <w:vAlign w:val="center"/>
          </w:tcPr>
          <w:p w14:paraId="7B11F03D">
            <w:pPr>
              <w:pStyle w:val="52"/>
              <w:spacing w:line="240" w:lineRule="auto"/>
              <w:rPr>
                <w:rFonts w:hint="eastAsia"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0.06</w:t>
            </w:r>
          </w:p>
        </w:tc>
        <w:tc>
          <w:tcPr>
            <w:tcW w:w="826" w:type="dxa"/>
            <w:shd w:val="clear" w:color="auto" w:fill="auto"/>
            <w:noWrap w:val="0"/>
            <w:vAlign w:val="center"/>
          </w:tcPr>
          <w:p w14:paraId="707853F8">
            <w:pPr>
              <w:pStyle w:val="52"/>
              <w:spacing w:line="240" w:lineRule="auto"/>
              <w:rPr>
                <w:rFonts w:hint="eastAsia" w:ascii="Times New Roman" w:hAnsi="Times New Roman" w:eastAsia="宋体" w:cs="Times New Roman"/>
                <w:color w:val="auto"/>
                <w:kern w:val="18"/>
                <w:sz w:val="18"/>
                <w:szCs w:val="18"/>
                <w:highlight w:val="none"/>
                <w:lang w:val="en-US" w:eastAsia="zh-CN" w:bidi="ar-SA"/>
              </w:rPr>
            </w:pPr>
            <w:r>
              <w:rPr>
                <w:rFonts w:hint="eastAsia" w:cs="Times New Roman"/>
                <w:color w:val="auto"/>
                <w:sz w:val="18"/>
                <w:szCs w:val="18"/>
                <w:highlight w:val="none"/>
                <w:lang w:val="en-US" w:eastAsia="zh-CN"/>
              </w:rPr>
              <w:t>+0.06</w:t>
            </w:r>
          </w:p>
        </w:tc>
      </w:tr>
      <w:tr w14:paraId="3930FD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noWrap w:val="0"/>
            <w:vAlign w:val="center"/>
          </w:tcPr>
          <w:p w14:paraId="0DE90962">
            <w:pPr>
              <w:pStyle w:val="40"/>
              <w:spacing w:beforeLines="0" w:afterLines="0" w:line="240" w:lineRule="auto"/>
              <w:rPr>
                <w:rFonts w:hint="default"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生活垃圾</w:t>
            </w:r>
          </w:p>
        </w:tc>
        <w:tc>
          <w:tcPr>
            <w:tcW w:w="1417" w:type="dxa"/>
            <w:noWrap w:val="0"/>
            <w:vAlign w:val="center"/>
          </w:tcPr>
          <w:p w14:paraId="22569DBD">
            <w:pPr>
              <w:keepNext w:val="0"/>
              <w:keepLines w:val="0"/>
              <w:pageBreakBefore w:val="0"/>
              <w:widowControl w:val="0"/>
              <w:kinsoku/>
              <w:wordWrap/>
              <w:overflowPunct/>
              <w:topLinePunct w:val="0"/>
              <w:bidi w:val="0"/>
              <w:ind w:right="0" w:rightChars="0"/>
              <w:jc w:val="center"/>
              <w:textAlignment w:val="auto"/>
              <w:rPr>
                <w:rFonts w:hint="eastAsia" w:hAnsi="宋体" w:eastAsia="宋体" w:cs="宋体"/>
                <w:snapToGrid w:val="0"/>
                <w:color w:val="auto"/>
                <w:kern w:val="21"/>
                <w:szCs w:val="21"/>
                <w:lang w:val="en-US" w:eastAsia="zh-CN"/>
              </w:rPr>
            </w:pPr>
            <w:r>
              <w:rPr>
                <w:rFonts w:hint="eastAsia" w:ascii="Times New Roman" w:hAnsi="Times New Roman" w:eastAsia="宋体" w:cs="Times New Roman"/>
                <w:color w:val="auto"/>
                <w:kern w:val="2"/>
                <w:sz w:val="18"/>
                <w:szCs w:val="18"/>
                <w:lang w:val="en-US" w:eastAsia="zh-CN" w:bidi="ar-SA"/>
              </w:rPr>
              <w:t>生活垃圾</w:t>
            </w:r>
          </w:p>
        </w:tc>
        <w:tc>
          <w:tcPr>
            <w:tcW w:w="1701" w:type="dxa"/>
            <w:noWrap w:val="0"/>
            <w:vAlign w:val="center"/>
          </w:tcPr>
          <w:p w14:paraId="618F7180">
            <w:pPr>
              <w:keepNext w:val="0"/>
              <w:keepLines w:val="0"/>
              <w:pageBreakBefore w:val="0"/>
              <w:widowControl w:val="0"/>
              <w:kinsoku/>
              <w:wordWrap/>
              <w:overflowPunct/>
              <w:topLinePunct w:val="0"/>
              <w:bidi w:val="0"/>
              <w:ind w:right="0" w:rightChars="0"/>
              <w:jc w:val="center"/>
              <w:textAlignment w:val="auto"/>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121.5</w:t>
            </w:r>
          </w:p>
        </w:tc>
        <w:tc>
          <w:tcPr>
            <w:tcW w:w="1276" w:type="dxa"/>
            <w:noWrap w:val="0"/>
            <w:vAlign w:val="center"/>
          </w:tcPr>
          <w:p w14:paraId="53E025D0">
            <w:pPr>
              <w:keepNext w:val="0"/>
              <w:keepLines w:val="0"/>
              <w:pageBreakBefore w:val="0"/>
              <w:widowControl w:val="0"/>
              <w:kinsoku/>
              <w:wordWrap/>
              <w:overflowPunct/>
              <w:topLinePunct w:val="0"/>
              <w:bidi w:val="0"/>
              <w:ind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w:t>
            </w:r>
          </w:p>
        </w:tc>
        <w:tc>
          <w:tcPr>
            <w:tcW w:w="1701" w:type="dxa"/>
            <w:noWrap w:val="0"/>
            <w:vAlign w:val="center"/>
          </w:tcPr>
          <w:p w14:paraId="4C21ECEF">
            <w:pPr>
              <w:keepNext w:val="0"/>
              <w:keepLines w:val="0"/>
              <w:pageBreakBefore w:val="0"/>
              <w:widowControl w:val="0"/>
              <w:kinsoku/>
              <w:wordWrap/>
              <w:overflowPunct/>
              <w:topLinePunct w:val="0"/>
              <w:bidi w:val="0"/>
              <w:ind w:right="0" w:rightChars="0"/>
              <w:jc w:val="center"/>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w:t>
            </w:r>
          </w:p>
        </w:tc>
        <w:tc>
          <w:tcPr>
            <w:tcW w:w="1559" w:type="dxa"/>
            <w:noWrap w:val="0"/>
            <w:vAlign w:val="center"/>
          </w:tcPr>
          <w:p w14:paraId="201B0206">
            <w:pPr>
              <w:spacing w:line="240" w:lineRule="auto"/>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w:t>
            </w:r>
          </w:p>
        </w:tc>
        <w:tc>
          <w:tcPr>
            <w:tcW w:w="1761" w:type="dxa"/>
            <w:noWrap w:val="0"/>
            <w:vAlign w:val="center"/>
          </w:tcPr>
          <w:p w14:paraId="6B7AC61B">
            <w:pPr>
              <w:spacing w:line="240" w:lineRule="auto"/>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w:t>
            </w:r>
          </w:p>
        </w:tc>
        <w:tc>
          <w:tcPr>
            <w:tcW w:w="1959" w:type="dxa"/>
            <w:noWrap w:val="0"/>
            <w:vAlign w:val="center"/>
          </w:tcPr>
          <w:p w14:paraId="39EFA68F">
            <w:pPr>
              <w:spacing w:line="240" w:lineRule="auto"/>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121.5</w:t>
            </w:r>
          </w:p>
        </w:tc>
        <w:tc>
          <w:tcPr>
            <w:tcW w:w="826" w:type="dxa"/>
            <w:noWrap w:val="0"/>
            <w:vAlign w:val="center"/>
          </w:tcPr>
          <w:p w14:paraId="1F638A45">
            <w:pPr>
              <w:spacing w:line="240" w:lineRule="auto"/>
              <w:jc w:val="center"/>
              <w:rPr>
                <w:rFonts w:hint="eastAsia" w:hAnsi="宋体" w:eastAsia="宋体" w:cs="宋体"/>
                <w:snapToGrid w:val="0"/>
                <w:color w:val="auto"/>
                <w:kern w:val="21"/>
                <w:szCs w:val="21"/>
                <w:lang w:val="en-US" w:eastAsia="zh-CN"/>
              </w:rPr>
            </w:pPr>
            <w:r>
              <w:rPr>
                <w:rFonts w:hint="eastAsia" w:ascii="Times New Roman" w:hAnsi="Times New Roman" w:eastAsia="宋体" w:cs="Times New Roman"/>
                <w:color w:val="auto"/>
                <w:kern w:val="2"/>
                <w:sz w:val="18"/>
                <w:szCs w:val="18"/>
                <w:lang w:val="en-US" w:eastAsia="zh-CN" w:bidi="ar-SA"/>
              </w:rPr>
              <w:t>0</w:t>
            </w:r>
          </w:p>
        </w:tc>
      </w:tr>
    </w:tbl>
    <w:p w14:paraId="2ABB89EA">
      <w:pPr>
        <w:pStyle w:val="40"/>
        <w:spacing w:before="192" w:beforeLines="80" w:after="24"/>
        <w:jc w:val="left"/>
        <w:rPr>
          <w:rFonts w:hint="eastAsia" w:hAnsi="宋体"/>
          <w:snapToGrid w:val="0"/>
          <w:color w:val="auto"/>
          <w:spacing w:val="-6"/>
          <w:kern w:val="21"/>
          <w:szCs w:val="21"/>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p w14:paraId="76673BC4">
      <w:pPr>
        <w:rPr>
          <w:rFonts w:hint="eastAsia"/>
          <w:color w:val="auto"/>
        </w:rPr>
        <w:sectPr>
          <w:footerReference r:id="rId7"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E962CD6">
      <w:pPr>
        <w:rPr>
          <w:rFonts w:ascii="宋体" w:hAnsi="宋体" w:eastAsia="黑体"/>
          <w:color w:val="auto"/>
        </w:rPr>
      </w:pPr>
    </w:p>
    <w:sectPr>
      <w:footerReference r:id="rId8"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F1F93D2-0653-4E90-846A-905155EAE09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D417D104-8B46-49C6-A410-552190D1EBF8}"/>
  </w:font>
  <w:font w:name="仿宋_GB2312">
    <w:panose1 w:val="02010609030101010101"/>
    <w:charset w:val="86"/>
    <w:family w:val="modern"/>
    <w:pitch w:val="default"/>
    <w:sig w:usb0="00000001" w:usb1="080E0000" w:usb2="00000000" w:usb3="00000000" w:csb0="00040000" w:csb1="00000000"/>
    <w:embedRegular r:id="rId3" w:fontKey="{C7BCD444-8677-459A-BDA0-7147247E633F}"/>
  </w:font>
  <w:font w:name="仿宋体">
    <w:altName w:val="宋体"/>
    <w:panose1 w:val="00000000000000000000"/>
    <w:charset w:val="86"/>
    <w:family w:val="roman"/>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MingLiU">
    <w:panose1 w:val="02020509000000000000"/>
    <w:charset w:val="88"/>
    <w:family w:val="modern"/>
    <w:pitch w:val="default"/>
    <w:sig w:usb0="A00002FF" w:usb1="28CFFCFA" w:usb2="00000016" w:usb3="00000000" w:csb0="00100001" w:csb1="00000000"/>
  </w:font>
  <w:font w:name="方正小标宋_GBK">
    <w:panose1 w:val="02000000000000000000"/>
    <w:charset w:val="86"/>
    <w:family w:val="script"/>
    <w:pitch w:val="default"/>
    <w:sig w:usb0="A00002BF" w:usb1="38CF7CFA" w:usb2="00082016" w:usb3="00000000" w:csb0="00040001" w:csb1="00000000"/>
    <w:embedRegular r:id="rId4" w:fontKey="{26439CD3-420D-4BE1-9B56-54295015EC3A}"/>
  </w:font>
  <w:font w:name="楷体_GB2312">
    <w:panose1 w:val="02010609030101010101"/>
    <w:charset w:val="86"/>
    <w:family w:val="modern"/>
    <w:pitch w:val="default"/>
    <w:sig w:usb0="00000001" w:usb1="080E0000" w:usb2="00000000" w:usb3="00000000" w:csb0="00040000" w:csb1="00000000"/>
    <w:embedRegular r:id="rId5" w:fontKey="{58807D7A-C713-45BF-8EF8-A7D535ABCA93}"/>
  </w:font>
  <w:font w:name="仿宋">
    <w:panose1 w:val="02010609060101010101"/>
    <w:charset w:val="86"/>
    <w:family w:val="auto"/>
    <w:pitch w:val="default"/>
    <w:sig w:usb0="800002BF" w:usb1="38CF7CFA" w:usb2="00000016" w:usb3="00000000" w:csb0="00040001" w:csb1="00000000"/>
    <w:embedRegular r:id="rId6" w:fontKey="{269AB1B0-0DBA-4581-9077-D71FE93BE68E}"/>
  </w:font>
  <w:font w:name="新宋体">
    <w:panose1 w:val="02010609030101010101"/>
    <w:charset w:val="86"/>
    <w:family w:val="auto"/>
    <w:pitch w:val="default"/>
    <w:sig w:usb0="00000003" w:usb1="288F0000" w:usb2="00000006" w:usb3="00000000" w:csb0="00040001" w:csb1="00000000"/>
    <w:embedRegular r:id="rId7" w:fontKey="{03B2CD4A-9845-43DE-B595-98AC37D0D112}"/>
  </w:font>
  <w:font w:name="微软雅黑">
    <w:panose1 w:val="020B0503020204020204"/>
    <w:charset w:val="86"/>
    <w:family w:val="auto"/>
    <w:pitch w:val="default"/>
    <w:sig w:usb0="80000287" w:usb1="280F3C52" w:usb2="00000016" w:usb3="00000000" w:csb0="0004001F" w:csb1="00000000"/>
    <w:embedRegular r:id="rId8" w:fontKey="{8E2227E0-ACD4-42A3-8036-ADCFA0B2C1C1}"/>
  </w:font>
  <w:font w:name="Times New Roman Regular">
    <w:altName w:val="Times New Roman"/>
    <w:panose1 w:val="02020603050405020304"/>
    <w:charset w:val="00"/>
    <w:family w:val="auto"/>
    <w:pitch w:val="default"/>
    <w:sig w:usb0="00000000" w:usb1="00000000" w:usb2="00000009" w:usb3="00000000" w:csb0="400001FF" w:csb1="FFFF0000"/>
    <w:embedRegular r:id="rId9" w:fontKey="{649B77A5-CCD6-4EA5-AF75-AA51898B5A42}"/>
  </w:font>
  <w:font w:name="TimesNewRomanPSMT">
    <w:altName w:val="Times New Roman"/>
    <w:panose1 w:val="00000000000000000000"/>
    <w:charset w:val="00"/>
    <w:family w:val="roman"/>
    <w:pitch w:val="default"/>
    <w:sig w:usb0="00000000" w:usb1="00000000" w:usb2="00000010" w:usb3="00000000" w:csb0="00040001" w:csb1="00000000"/>
    <w:embedRegular r:id="rId10" w:fontKey="{B3ACD918-AAF7-4BE8-8207-E2B635451921}"/>
  </w:font>
  <w:font w:name="Yu Gothic">
    <w:panose1 w:val="020B0400000000000000"/>
    <w:charset w:val="80"/>
    <w:family w:val="auto"/>
    <w:pitch w:val="default"/>
    <w:sig w:usb0="E00002FF" w:usb1="2AC7FDFF" w:usb2="00000016" w:usb3="00000000" w:csb0="2002009F" w:csb1="00000000"/>
    <w:embedRegular r:id="rId11" w:fontKey="{AE1D3DD0-5237-4C2B-A7A8-92A017AD08EF}"/>
  </w:font>
  <w:font w:name="WPSEMBED1">
    <w:panose1 w:val="02010609030101010101"/>
    <w:charset w:val="86"/>
    <w:family w:val="auto"/>
    <w:pitch w:val="default"/>
    <w:sig w:usb0="00000001" w:usb1="080E0000" w:usb2="00000000" w:usb3="00000000" w:csb0="00040000" w:csb1="00000000"/>
  </w:font>
  <w:font w:name="WPSEMBED2">
    <w:panose1 w:val="02000000000000000000"/>
    <w:charset w:val="86"/>
    <w:family w:val="auto"/>
    <w:pitch w:val="default"/>
    <w:sig w:usb0="A00002BF" w:usb1="38CF7CFA" w:usb2="00082016" w:usb3="00000000" w:csb0="00040001" w:csb1="00000000"/>
  </w:font>
  <w:font w:name="WPSEMBED3">
    <w:panose1 w:val="02010609030101010101"/>
    <w:charset w:val="86"/>
    <w:family w:val="auto"/>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 w:name="Gulim">
    <w:panose1 w:val="020B0600000101010101"/>
    <w:charset w:val="81"/>
    <w:family w:val="auto"/>
    <w:pitch w:val="default"/>
    <w:sig w:usb0="B00002AF" w:usb1="69D77CFB" w:usb2="00000030" w:usb3="00000000" w:csb0="4008009F" w:csb1="DFD70000"/>
  </w:font>
  <w:font w:name="PMingLiU">
    <w:panose1 w:val="02020500000000000000"/>
    <w:charset w:val="88"/>
    <w:family w:val="auto"/>
    <w:pitch w:val="default"/>
    <w:sig w:usb0="A00002FF" w:usb1="28CFFCFA" w:usb2="00000016" w:usb3="00000000" w:csb0="00100001" w:csb1="00000000"/>
  </w:font>
  <w:font w:name="WPSEMBED4">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7CA38">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8E4AAD">
    <w:pPr>
      <w:pStyle w:val="15"/>
      <w:framePr w:wrap="around" w:vAnchor="text" w:hAnchor="margin" w:xAlign="center" w:y="1"/>
      <w:rPr>
        <w:rStyle w:val="23"/>
      </w:rPr>
    </w:pPr>
    <w:r>
      <w:fldChar w:fldCharType="begin"/>
    </w:r>
    <w:r>
      <w:rPr>
        <w:rStyle w:val="23"/>
      </w:rPr>
      <w:instrText xml:space="preserve">PAGE  </w:instrText>
    </w:r>
    <w:r>
      <w:fldChar w:fldCharType="end"/>
    </w:r>
  </w:p>
  <w:p w14:paraId="6B1C7663">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3622A">
    <w:pPr>
      <w:pStyle w:val="15"/>
      <w:ind w:right="360" w:firstLine="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7347E1">
                          <w:pPr>
                            <w:pStyle w:val="15"/>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Dz3WBPgAQAAwgMAAA4AAAAA&#10;AAAAAQAgAAAAHgEAAGRycy9lMm9Eb2MueG1sUEsFBgAAAAAGAAYAWQEAAHAFAAAAAA==&#10;">
              <v:fill on="f" focussize="0,0"/>
              <v:stroke on="f"/>
              <v:imagedata o:title=""/>
              <o:lock v:ext="edit" aspectratio="f"/>
              <v:textbox inset="0mm,0mm,0mm,0mm" style="mso-fit-shape-to-text:t;">
                <w:txbxContent>
                  <w:p w14:paraId="627347E1">
                    <w:pPr>
                      <w:pStyle w:val="1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FBDF1">
    <w:pPr>
      <w:pStyle w:val="15"/>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34AD33">
                          <w:pPr>
                            <w:pStyle w:val="15"/>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hkBfe4QEAAMEDAAAOAAAA&#10;AAAAAAEAIAAAAB4BAABkcnMvZTJvRG9jLnhtbFBLBQYAAAAABgAGAFkBAABxBQAAAAA=&#10;">
              <v:fill on="f" focussize="0,0"/>
              <v:stroke on="f"/>
              <v:imagedata o:title=""/>
              <o:lock v:ext="edit" aspectratio="f"/>
              <v:textbox inset="0mm,0mm,0mm,0mm" style="mso-fit-shape-to-text:t;">
                <w:txbxContent>
                  <w:p w14:paraId="1934AD33">
                    <w:pPr>
                      <w:pStyle w:val="1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A3FC9">
    <w:pPr>
      <w:pStyle w:val="15"/>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4262BD">
                          <w:pPr>
                            <w:pStyle w:val="15"/>
                          </w:pPr>
                          <w:r>
                            <w:fldChar w:fldCharType="begin"/>
                          </w:r>
                          <w:r>
                            <w:instrText xml:space="preserve"> PAGE  \* MERGEFORMAT </w:instrText>
                          </w:r>
                          <w:r>
                            <w:fldChar w:fldCharType="separate"/>
                          </w:r>
                          <w:r>
                            <w:t>12</w:t>
                          </w:r>
                          <w:r>
                            <w:fldChar w:fldCharType="end"/>
                          </w:r>
                        </w:p>
                      </w:txbxContent>
                    </wps:txbx>
                    <wps:bodyPr vert="horz" wrap="none" lIns="0" tIns="0" rIns="0" bIns="0" anchor="t" anchorCtr="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ArI2YbgAQAAwQMAAA4AAAAA&#10;AAAAAQAgAAAAHgEAAGRycy9lMm9Eb2MueG1sUEsFBgAAAAAGAAYAWQEAAHAFAAAAAA==&#10;">
              <v:fill on="f" focussize="0,0"/>
              <v:stroke on="f"/>
              <v:imagedata o:title=""/>
              <o:lock v:ext="edit" aspectratio="f"/>
              <v:textbox inset="0mm,0mm,0mm,0mm" style="mso-fit-shape-to-text:t;">
                <w:txbxContent>
                  <w:p w14:paraId="684262BD">
                    <w:pPr>
                      <w:pStyle w:val="15"/>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56EDC">
    <w:pPr>
      <w:pStyle w:val="15"/>
      <w:ind w:right="360"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1BC53C">
                          <w:pPr>
                            <w:pStyle w:val="15"/>
                          </w:pPr>
                          <w:r>
                            <w:fldChar w:fldCharType="begin"/>
                          </w:r>
                          <w:r>
                            <w:instrText xml:space="preserve"> PAGE  \* MERGEFORMAT </w:instrText>
                          </w:r>
                          <w:r>
                            <w:fldChar w:fldCharType="separate"/>
                          </w:r>
                          <w:r>
                            <w:t>14</w:t>
                          </w:r>
                          <w:r>
                            <w:fldChar w:fldCharType="end"/>
                          </w:r>
                        </w:p>
                      </w:txbxContent>
                    </wps:txbx>
                    <wps:bodyPr vert="horz" wrap="none" lIns="0" tIns="0" rIns="0" bIns="0" anchor="t" anchorCtr="0" upright="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KMBH4d8BAADBAwAADgAAAAAA&#10;AAABACAAAAAeAQAAZHJzL2Uyb0RvYy54bWxQSwUGAAAAAAYABgBZAQAAbwUAAAAA&#10;">
              <v:fill on="f" focussize="0,0"/>
              <v:stroke on="f"/>
              <v:imagedata o:title=""/>
              <o:lock v:ext="edit" aspectratio="f"/>
              <v:textbox inset="0mm,0mm,0mm,0mm" style="mso-fit-shape-to-text:t;">
                <w:txbxContent>
                  <w:p w14:paraId="051BC53C">
                    <w:pPr>
                      <w:pStyle w:val="15"/>
                    </w:pPr>
                    <w:r>
                      <w:fldChar w:fldCharType="begin"/>
                    </w:r>
                    <w:r>
                      <w:instrText xml:space="preserve"> PAGE  \* MERGEFORMAT </w:instrText>
                    </w:r>
                    <w:r>
                      <w:fldChar w:fldCharType="separate"/>
                    </w:r>
                    <w:r>
                      <w:t>14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6B819C"/>
    <w:multiLevelType w:val="singleLevel"/>
    <w:tmpl w:val="EE6B819C"/>
    <w:lvl w:ilvl="0" w:tentative="0">
      <w:start w:val="1"/>
      <w:numFmt w:val="decimal"/>
      <w:suff w:val="nothing"/>
      <w:lvlText w:val="（%1）"/>
      <w:lvlJc w:val="left"/>
    </w:lvl>
  </w:abstractNum>
  <w:abstractNum w:abstractNumId="1">
    <w:nsid w:val="FAECD3DD"/>
    <w:multiLevelType w:val="singleLevel"/>
    <w:tmpl w:val="FAECD3DD"/>
    <w:lvl w:ilvl="0" w:tentative="0">
      <w:start w:val="2"/>
      <w:numFmt w:val="chineseCounting"/>
      <w:suff w:val="nothing"/>
      <w:lvlText w:val="（%1）"/>
      <w:lvlJc w:val="left"/>
      <w:rPr>
        <w:rFonts w:hint="eastAsia"/>
      </w:rPr>
    </w:lvl>
  </w:abstractNum>
  <w:abstractNum w:abstractNumId="2">
    <w:nsid w:val="04988BA4"/>
    <w:multiLevelType w:val="singleLevel"/>
    <w:tmpl w:val="04988BA4"/>
    <w:lvl w:ilvl="0" w:tentative="0">
      <w:start w:val="1"/>
      <w:numFmt w:val="decimal"/>
      <w:suff w:val="nothing"/>
      <w:lvlText w:val="（%1）"/>
      <w:lvlJc w:val="left"/>
    </w:lvl>
  </w:abstractNum>
  <w:abstractNum w:abstractNumId="3">
    <w:nsid w:val="05E3A5F9"/>
    <w:multiLevelType w:val="singleLevel"/>
    <w:tmpl w:val="05E3A5F9"/>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4">
    <w:nsid w:val="7AD2D2B6"/>
    <w:multiLevelType w:val="singleLevel"/>
    <w:tmpl w:val="7AD2D2B6"/>
    <w:lvl w:ilvl="0" w:tentative="0">
      <w:start w:val="1"/>
      <w:numFmt w:val="decimal"/>
      <w:suff w:val="nothing"/>
      <w:lvlText w:val="（%1）"/>
      <w:lvlJc w:val="left"/>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NjN2Q1YmNiYTc2ZDQyZmJmNTI2N2UwZjIxZDc1YjcifQ=="/>
  </w:docVars>
  <w:rsids>
    <w:rsidRoot w:val="00A14947"/>
    <w:rsid w:val="000060B3"/>
    <w:rsid w:val="0004364B"/>
    <w:rsid w:val="00061B1F"/>
    <w:rsid w:val="000733C4"/>
    <w:rsid w:val="00074783"/>
    <w:rsid w:val="0008070B"/>
    <w:rsid w:val="000810AC"/>
    <w:rsid w:val="00081A02"/>
    <w:rsid w:val="00082231"/>
    <w:rsid w:val="00086A83"/>
    <w:rsid w:val="00086AE4"/>
    <w:rsid w:val="00092D38"/>
    <w:rsid w:val="0009377B"/>
    <w:rsid w:val="000A20C9"/>
    <w:rsid w:val="000A767C"/>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1FAA"/>
    <w:rsid w:val="00264557"/>
    <w:rsid w:val="00265CBD"/>
    <w:rsid w:val="002805AB"/>
    <w:rsid w:val="00284204"/>
    <w:rsid w:val="00291773"/>
    <w:rsid w:val="002A168C"/>
    <w:rsid w:val="002A3DC7"/>
    <w:rsid w:val="002B49E2"/>
    <w:rsid w:val="002B7B00"/>
    <w:rsid w:val="002B7C44"/>
    <w:rsid w:val="002C2B17"/>
    <w:rsid w:val="002D3DD0"/>
    <w:rsid w:val="002E1F3A"/>
    <w:rsid w:val="002E298A"/>
    <w:rsid w:val="002F7E0E"/>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0653"/>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402CA"/>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059FB"/>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138C"/>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77095"/>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24C"/>
    <w:rsid w:val="00CC489B"/>
    <w:rsid w:val="00CD2BCD"/>
    <w:rsid w:val="00CD3A4C"/>
    <w:rsid w:val="00CE10E9"/>
    <w:rsid w:val="00CE2910"/>
    <w:rsid w:val="00CE5393"/>
    <w:rsid w:val="00CF36BE"/>
    <w:rsid w:val="00CF6000"/>
    <w:rsid w:val="00D003F3"/>
    <w:rsid w:val="00D01C9D"/>
    <w:rsid w:val="00D0364F"/>
    <w:rsid w:val="00D06834"/>
    <w:rsid w:val="00D23242"/>
    <w:rsid w:val="00D308ED"/>
    <w:rsid w:val="00D36D86"/>
    <w:rsid w:val="00D428AA"/>
    <w:rsid w:val="00D50A34"/>
    <w:rsid w:val="00D53EFA"/>
    <w:rsid w:val="00D6087D"/>
    <w:rsid w:val="00D734F3"/>
    <w:rsid w:val="00D94A7C"/>
    <w:rsid w:val="00D95896"/>
    <w:rsid w:val="00DB2983"/>
    <w:rsid w:val="00DB5D86"/>
    <w:rsid w:val="00DC1257"/>
    <w:rsid w:val="00DC3DC0"/>
    <w:rsid w:val="00DC5B2B"/>
    <w:rsid w:val="00DD318D"/>
    <w:rsid w:val="00DE4BC3"/>
    <w:rsid w:val="00DF2E12"/>
    <w:rsid w:val="00DF514A"/>
    <w:rsid w:val="00DF6690"/>
    <w:rsid w:val="00DF6804"/>
    <w:rsid w:val="00E0358D"/>
    <w:rsid w:val="00E04323"/>
    <w:rsid w:val="00E070A2"/>
    <w:rsid w:val="00E2656A"/>
    <w:rsid w:val="00E26D3D"/>
    <w:rsid w:val="00E412D0"/>
    <w:rsid w:val="00E56322"/>
    <w:rsid w:val="00E60982"/>
    <w:rsid w:val="00E62C62"/>
    <w:rsid w:val="00E654C1"/>
    <w:rsid w:val="00E65D97"/>
    <w:rsid w:val="00E72A5A"/>
    <w:rsid w:val="00E73354"/>
    <w:rsid w:val="00E84938"/>
    <w:rsid w:val="00E9242D"/>
    <w:rsid w:val="00EB5255"/>
    <w:rsid w:val="00EB5C47"/>
    <w:rsid w:val="00EC220E"/>
    <w:rsid w:val="00ED0639"/>
    <w:rsid w:val="00ED6AA2"/>
    <w:rsid w:val="00EF4755"/>
    <w:rsid w:val="00EF7135"/>
    <w:rsid w:val="00EF7C7F"/>
    <w:rsid w:val="00F027DB"/>
    <w:rsid w:val="00F14A7A"/>
    <w:rsid w:val="00F22985"/>
    <w:rsid w:val="00F3383E"/>
    <w:rsid w:val="00F465A7"/>
    <w:rsid w:val="00F50B7C"/>
    <w:rsid w:val="00F50CDF"/>
    <w:rsid w:val="00F550E6"/>
    <w:rsid w:val="00F74345"/>
    <w:rsid w:val="00F80A0A"/>
    <w:rsid w:val="00F82B19"/>
    <w:rsid w:val="00F9212D"/>
    <w:rsid w:val="00F965DA"/>
    <w:rsid w:val="00FA406A"/>
    <w:rsid w:val="00FB503A"/>
    <w:rsid w:val="00FB516C"/>
    <w:rsid w:val="00FD0236"/>
    <w:rsid w:val="00FD18F4"/>
    <w:rsid w:val="00FD54DB"/>
    <w:rsid w:val="00FD619F"/>
    <w:rsid w:val="00FE4037"/>
    <w:rsid w:val="01183D62"/>
    <w:rsid w:val="01252F71"/>
    <w:rsid w:val="01290F7E"/>
    <w:rsid w:val="01311D17"/>
    <w:rsid w:val="015D1E09"/>
    <w:rsid w:val="01695955"/>
    <w:rsid w:val="016A1490"/>
    <w:rsid w:val="017E38FB"/>
    <w:rsid w:val="01891B53"/>
    <w:rsid w:val="01AA1AC9"/>
    <w:rsid w:val="01B82438"/>
    <w:rsid w:val="01CF5587"/>
    <w:rsid w:val="01D84888"/>
    <w:rsid w:val="01F36555"/>
    <w:rsid w:val="01FB0577"/>
    <w:rsid w:val="02007AE3"/>
    <w:rsid w:val="020F7B7E"/>
    <w:rsid w:val="02184DF5"/>
    <w:rsid w:val="0224592E"/>
    <w:rsid w:val="02293438"/>
    <w:rsid w:val="023D0B8F"/>
    <w:rsid w:val="025D389B"/>
    <w:rsid w:val="025F28B4"/>
    <w:rsid w:val="02680CD6"/>
    <w:rsid w:val="02697903"/>
    <w:rsid w:val="027654C7"/>
    <w:rsid w:val="02765572"/>
    <w:rsid w:val="028E13EB"/>
    <w:rsid w:val="029978D0"/>
    <w:rsid w:val="029C724C"/>
    <w:rsid w:val="02B17ABA"/>
    <w:rsid w:val="02D00D8E"/>
    <w:rsid w:val="02D03184"/>
    <w:rsid w:val="02DC2156"/>
    <w:rsid w:val="02E7016D"/>
    <w:rsid w:val="02EE108D"/>
    <w:rsid w:val="02F96569"/>
    <w:rsid w:val="02FB4E5E"/>
    <w:rsid w:val="03016CBE"/>
    <w:rsid w:val="03425A95"/>
    <w:rsid w:val="03644CC2"/>
    <w:rsid w:val="0370381D"/>
    <w:rsid w:val="0381685A"/>
    <w:rsid w:val="03887BE8"/>
    <w:rsid w:val="038C4DC5"/>
    <w:rsid w:val="03902EB8"/>
    <w:rsid w:val="03AD0041"/>
    <w:rsid w:val="03B46C37"/>
    <w:rsid w:val="03C3343A"/>
    <w:rsid w:val="03D169D4"/>
    <w:rsid w:val="03D62C35"/>
    <w:rsid w:val="03EA7B21"/>
    <w:rsid w:val="03EB2AEE"/>
    <w:rsid w:val="03F267B7"/>
    <w:rsid w:val="04194CE4"/>
    <w:rsid w:val="041D5D39"/>
    <w:rsid w:val="042B4DE9"/>
    <w:rsid w:val="042E0DB9"/>
    <w:rsid w:val="04314C28"/>
    <w:rsid w:val="044228C6"/>
    <w:rsid w:val="0462668B"/>
    <w:rsid w:val="046C3066"/>
    <w:rsid w:val="046E6DDE"/>
    <w:rsid w:val="04891E6A"/>
    <w:rsid w:val="04AB197F"/>
    <w:rsid w:val="04AD536A"/>
    <w:rsid w:val="04B36EE7"/>
    <w:rsid w:val="04E92229"/>
    <w:rsid w:val="04EC2F68"/>
    <w:rsid w:val="051931EE"/>
    <w:rsid w:val="052606E4"/>
    <w:rsid w:val="05453FE3"/>
    <w:rsid w:val="05497666"/>
    <w:rsid w:val="055E32F7"/>
    <w:rsid w:val="05616943"/>
    <w:rsid w:val="05755BC8"/>
    <w:rsid w:val="057A0FE8"/>
    <w:rsid w:val="05922E49"/>
    <w:rsid w:val="059F00D7"/>
    <w:rsid w:val="05B226DF"/>
    <w:rsid w:val="05B549EF"/>
    <w:rsid w:val="05B72A07"/>
    <w:rsid w:val="05CC4910"/>
    <w:rsid w:val="05E337FC"/>
    <w:rsid w:val="05E51C8A"/>
    <w:rsid w:val="05EC445F"/>
    <w:rsid w:val="05F4106C"/>
    <w:rsid w:val="05F83EAE"/>
    <w:rsid w:val="05FF6D42"/>
    <w:rsid w:val="060161B3"/>
    <w:rsid w:val="060406CC"/>
    <w:rsid w:val="060A2B37"/>
    <w:rsid w:val="061C30CE"/>
    <w:rsid w:val="062E2CC9"/>
    <w:rsid w:val="063E0A32"/>
    <w:rsid w:val="063E7D85"/>
    <w:rsid w:val="06443095"/>
    <w:rsid w:val="065C5FAD"/>
    <w:rsid w:val="066D2ECD"/>
    <w:rsid w:val="067B3A34"/>
    <w:rsid w:val="06B541E8"/>
    <w:rsid w:val="06B92E9E"/>
    <w:rsid w:val="06C4362D"/>
    <w:rsid w:val="06C52A66"/>
    <w:rsid w:val="06C62F02"/>
    <w:rsid w:val="06CA0563"/>
    <w:rsid w:val="06D87B8C"/>
    <w:rsid w:val="06E65352"/>
    <w:rsid w:val="070F21DB"/>
    <w:rsid w:val="07293586"/>
    <w:rsid w:val="07295285"/>
    <w:rsid w:val="072D11D3"/>
    <w:rsid w:val="073267E9"/>
    <w:rsid w:val="073360BD"/>
    <w:rsid w:val="073C5C50"/>
    <w:rsid w:val="073E046F"/>
    <w:rsid w:val="074D53D1"/>
    <w:rsid w:val="07585B24"/>
    <w:rsid w:val="07632E46"/>
    <w:rsid w:val="07636392"/>
    <w:rsid w:val="07770C56"/>
    <w:rsid w:val="07837045"/>
    <w:rsid w:val="07A005F4"/>
    <w:rsid w:val="07B21340"/>
    <w:rsid w:val="07B23486"/>
    <w:rsid w:val="07B54D24"/>
    <w:rsid w:val="07DC285E"/>
    <w:rsid w:val="07E73A3E"/>
    <w:rsid w:val="07F87024"/>
    <w:rsid w:val="07FB420C"/>
    <w:rsid w:val="085052C8"/>
    <w:rsid w:val="08554448"/>
    <w:rsid w:val="085B6333"/>
    <w:rsid w:val="08825C25"/>
    <w:rsid w:val="088B5201"/>
    <w:rsid w:val="089A497C"/>
    <w:rsid w:val="08A34E29"/>
    <w:rsid w:val="08A52A8E"/>
    <w:rsid w:val="08B66FA6"/>
    <w:rsid w:val="08BB45BC"/>
    <w:rsid w:val="08C81EB3"/>
    <w:rsid w:val="08CC4A1B"/>
    <w:rsid w:val="09004E27"/>
    <w:rsid w:val="09073E84"/>
    <w:rsid w:val="092217DD"/>
    <w:rsid w:val="09231EAD"/>
    <w:rsid w:val="092E203A"/>
    <w:rsid w:val="093A7294"/>
    <w:rsid w:val="097C65D5"/>
    <w:rsid w:val="097D38CA"/>
    <w:rsid w:val="098C7ABA"/>
    <w:rsid w:val="09B41737"/>
    <w:rsid w:val="09B47BC8"/>
    <w:rsid w:val="09CB187F"/>
    <w:rsid w:val="09F47C27"/>
    <w:rsid w:val="09FB52F4"/>
    <w:rsid w:val="0A0967DF"/>
    <w:rsid w:val="0A0E41EE"/>
    <w:rsid w:val="0A0F5AF0"/>
    <w:rsid w:val="0A114D00"/>
    <w:rsid w:val="0A196057"/>
    <w:rsid w:val="0A1E26C7"/>
    <w:rsid w:val="0A217D5E"/>
    <w:rsid w:val="0A263993"/>
    <w:rsid w:val="0A2D3AC2"/>
    <w:rsid w:val="0A3847AF"/>
    <w:rsid w:val="0A492F46"/>
    <w:rsid w:val="0A5125FC"/>
    <w:rsid w:val="0A745B4A"/>
    <w:rsid w:val="0A787FD7"/>
    <w:rsid w:val="0A7A7199"/>
    <w:rsid w:val="0A874DD1"/>
    <w:rsid w:val="0A9B514A"/>
    <w:rsid w:val="0A9E51EF"/>
    <w:rsid w:val="0AA755DF"/>
    <w:rsid w:val="0AA93300"/>
    <w:rsid w:val="0AAB118D"/>
    <w:rsid w:val="0AC16E65"/>
    <w:rsid w:val="0AD4747F"/>
    <w:rsid w:val="0ADB7197"/>
    <w:rsid w:val="0AEB3327"/>
    <w:rsid w:val="0B041A4B"/>
    <w:rsid w:val="0B120D44"/>
    <w:rsid w:val="0B2706BF"/>
    <w:rsid w:val="0B293A5F"/>
    <w:rsid w:val="0B34529C"/>
    <w:rsid w:val="0B3D09D2"/>
    <w:rsid w:val="0B560833"/>
    <w:rsid w:val="0B656427"/>
    <w:rsid w:val="0B750216"/>
    <w:rsid w:val="0B7D6256"/>
    <w:rsid w:val="0B7D7DB6"/>
    <w:rsid w:val="0B871211"/>
    <w:rsid w:val="0B8E420A"/>
    <w:rsid w:val="0B960D9F"/>
    <w:rsid w:val="0B971483"/>
    <w:rsid w:val="0B9B12E6"/>
    <w:rsid w:val="0BA9248D"/>
    <w:rsid w:val="0BB0469B"/>
    <w:rsid w:val="0BBC2B25"/>
    <w:rsid w:val="0BBE1D2C"/>
    <w:rsid w:val="0BC814CA"/>
    <w:rsid w:val="0BD27BF6"/>
    <w:rsid w:val="0BE72B8D"/>
    <w:rsid w:val="0BEB3C00"/>
    <w:rsid w:val="0BF40511"/>
    <w:rsid w:val="0C10060B"/>
    <w:rsid w:val="0C11188E"/>
    <w:rsid w:val="0C1E0427"/>
    <w:rsid w:val="0C2C666D"/>
    <w:rsid w:val="0C3A4399"/>
    <w:rsid w:val="0C3B3C7D"/>
    <w:rsid w:val="0C3E46FA"/>
    <w:rsid w:val="0C4828A8"/>
    <w:rsid w:val="0C4F6930"/>
    <w:rsid w:val="0C507F8B"/>
    <w:rsid w:val="0C5755B7"/>
    <w:rsid w:val="0C61113C"/>
    <w:rsid w:val="0C670CE3"/>
    <w:rsid w:val="0C7804B1"/>
    <w:rsid w:val="0C79071B"/>
    <w:rsid w:val="0C8C24F7"/>
    <w:rsid w:val="0C8F3E8A"/>
    <w:rsid w:val="0C913FB2"/>
    <w:rsid w:val="0C961512"/>
    <w:rsid w:val="0C985340"/>
    <w:rsid w:val="0CA06781"/>
    <w:rsid w:val="0CA75972"/>
    <w:rsid w:val="0CAB2EAE"/>
    <w:rsid w:val="0CB16402"/>
    <w:rsid w:val="0CBF1484"/>
    <w:rsid w:val="0CC2416B"/>
    <w:rsid w:val="0CD827F5"/>
    <w:rsid w:val="0CE02843"/>
    <w:rsid w:val="0CE21C84"/>
    <w:rsid w:val="0CF40D47"/>
    <w:rsid w:val="0CF626F0"/>
    <w:rsid w:val="0CFB1044"/>
    <w:rsid w:val="0CFC5F67"/>
    <w:rsid w:val="0D091D9A"/>
    <w:rsid w:val="0D1B38E5"/>
    <w:rsid w:val="0D212E4C"/>
    <w:rsid w:val="0D2658F1"/>
    <w:rsid w:val="0D2E5C80"/>
    <w:rsid w:val="0D32097D"/>
    <w:rsid w:val="0D3B05F0"/>
    <w:rsid w:val="0D3B4C80"/>
    <w:rsid w:val="0D564607"/>
    <w:rsid w:val="0D5C50D1"/>
    <w:rsid w:val="0D613984"/>
    <w:rsid w:val="0D621C7D"/>
    <w:rsid w:val="0D637222"/>
    <w:rsid w:val="0D6C6250"/>
    <w:rsid w:val="0D855641"/>
    <w:rsid w:val="0D8E12DB"/>
    <w:rsid w:val="0DAA1F02"/>
    <w:rsid w:val="0DB1023D"/>
    <w:rsid w:val="0DEB5944"/>
    <w:rsid w:val="0DF202FF"/>
    <w:rsid w:val="0DFC545B"/>
    <w:rsid w:val="0E0E29C4"/>
    <w:rsid w:val="0E123ECA"/>
    <w:rsid w:val="0E1A3B33"/>
    <w:rsid w:val="0E211365"/>
    <w:rsid w:val="0E2520B0"/>
    <w:rsid w:val="0E2826F4"/>
    <w:rsid w:val="0E2A646C"/>
    <w:rsid w:val="0E2B3F92"/>
    <w:rsid w:val="0E552CDA"/>
    <w:rsid w:val="0E73034D"/>
    <w:rsid w:val="0E7476E7"/>
    <w:rsid w:val="0E756714"/>
    <w:rsid w:val="0E790802"/>
    <w:rsid w:val="0E7E050C"/>
    <w:rsid w:val="0EA33313"/>
    <w:rsid w:val="0EAE3FB8"/>
    <w:rsid w:val="0EC046DA"/>
    <w:rsid w:val="0ECB58D0"/>
    <w:rsid w:val="0ED62150"/>
    <w:rsid w:val="0EE26D46"/>
    <w:rsid w:val="0EF901EC"/>
    <w:rsid w:val="0F13775A"/>
    <w:rsid w:val="0F1827F7"/>
    <w:rsid w:val="0F257543"/>
    <w:rsid w:val="0F4610DB"/>
    <w:rsid w:val="0F5372FC"/>
    <w:rsid w:val="0F5F45FE"/>
    <w:rsid w:val="0F783DAB"/>
    <w:rsid w:val="0F832B3B"/>
    <w:rsid w:val="0F9A112B"/>
    <w:rsid w:val="0F9B4710"/>
    <w:rsid w:val="0FB07CA8"/>
    <w:rsid w:val="0FB24C62"/>
    <w:rsid w:val="0FBC4A55"/>
    <w:rsid w:val="0FBD1AD0"/>
    <w:rsid w:val="0FC4644C"/>
    <w:rsid w:val="0FD1554F"/>
    <w:rsid w:val="0FDD2D93"/>
    <w:rsid w:val="0FDD306A"/>
    <w:rsid w:val="0FF7237E"/>
    <w:rsid w:val="0FFB6AD0"/>
    <w:rsid w:val="0FFD54BA"/>
    <w:rsid w:val="100D66DC"/>
    <w:rsid w:val="101051ED"/>
    <w:rsid w:val="101630E5"/>
    <w:rsid w:val="10194F56"/>
    <w:rsid w:val="102724FB"/>
    <w:rsid w:val="10426FF1"/>
    <w:rsid w:val="10456C39"/>
    <w:rsid w:val="106D2F64"/>
    <w:rsid w:val="108B477D"/>
    <w:rsid w:val="109C4CD3"/>
    <w:rsid w:val="109F4086"/>
    <w:rsid w:val="10AC285E"/>
    <w:rsid w:val="10B30875"/>
    <w:rsid w:val="10B63710"/>
    <w:rsid w:val="10BC5BFC"/>
    <w:rsid w:val="10D01884"/>
    <w:rsid w:val="10DE5858"/>
    <w:rsid w:val="10DF290D"/>
    <w:rsid w:val="10F016E9"/>
    <w:rsid w:val="10F10820"/>
    <w:rsid w:val="10F5335D"/>
    <w:rsid w:val="11017FF3"/>
    <w:rsid w:val="111964C5"/>
    <w:rsid w:val="111C2F7A"/>
    <w:rsid w:val="111C4A6A"/>
    <w:rsid w:val="112A22DF"/>
    <w:rsid w:val="114E372E"/>
    <w:rsid w:val="1160668B"/>
    <w:rsid w:val="11665CA1"/>
    <w:rsid w:val="11744B51"/>
    <w:rsid w:val="1183790A"/>
    <w:rsid w:val="118B5473"/>
    <w:rsid w:val="11920918"/>
    <w:rsid w:val="119D51A7"/>
    <w:rsid w:val="11A958FA"/>
    <w:rsid w:val="11BC15BA"/>
    <w:rsid w:val="11C256CC"/>
    <w:rsid w:val="11D702B5"/>
    <w:rsid w:val="11D706B9"/>
    <w:rsid w:val="120E7E53"/>
    <w:rsid w:val="12163B1E"/>
    <w:rsid w:val="12333FF3"/>
    <w:rsid w:val="123F1DBA"/>
    <w:rsid w:val="124F46F3"/>
    <w:rsid w:val="1269498E"/>
    <w:rsid w:val="128B4FFF"/>
    <w:rsid w:val="12970BD5"/>
    <w:rsid w:val="129F0AAB"/>
    <w:rsid w:val="12C50511"/>
    <w:rsid w:val="12C533C1"/>
    <w:rsid w:val="12CE3537"/>
    <w:rsid w:val="12DF7C17"/>
    <w:rsid w:val="12E56593"/>
    <w:rsid w:val="12FB3F33"/>
    <w:rsid w:val="13006510"/>
    <w:rsid w:val="13062202"/>
    <w:rsid w:val="13152A09"/>
    <w:rsid w:val="131764CB"/>
    <w:rsid w:val="13232B89"/>
    <w:rsid w:val="13256C59"/>
    <w:rsid w:val="132978C5"/>
    <w:rsid w:val="133F6234"/>
    <w:rsid w:val="13422A6E"/>
    <w:rsid w:val="134E2988"/>
    <w:rsid w:val="135A12EA"/>
    <w:rsid w:val="13622D22"/>
    <w:rsid w:val="13655850"/>
    <w:rsid w:val="13702041"/>
    <w:rsid w:val="13844F48"/>
    <w:rsid w:val="138F33EA"/>
    <w:rsid w:val="13951726"/>
    <w:rsid w:val="139C1329"/>
    <w:rsid w:val="139C2FCC"/>
    <w:rsid w:val="13AC6743"/>
    <w:rsid w:val="13B570F5"/>
    <w:rsid w:val="13C6062B"/>
    <w:rsid w:val="13CD3142"/>
    <w:rsid w:val="13D5058C"/>
    <w:rsid w:val="13DA4490"/>
    <w:rsid w:val="13ED7734"/>
    <w:rsid w:val="140263D0"/>
    <w:rsid w:val="141C0B09"/>
    <w:rsid w:val="141E1EB6"/>
    <w:rsid w:val="1424570B"/>
    <w:rsid w:val="14273489"/>
    <w:rsid w:val="14372F51"/>
    <w:rsid w:val="1439465A"/>
    <w:rsid w:val="14396509"/>
    <w:rsid w:val="144B713C"/>
    <w:rsid w:val="14516A55"/>
    <w:rsid w:val="148443FC"/>
    <w:rsid w:val="14900FF3"/>
    <w:rsid w:val="14902DA1"/>
    <w:rsid w:val="14A625C4"/>
    <w:rsid w:val="14AA6509"/>
    <w:rsid w:val="14B00C14"/>
    <w:rsid w:val="14B4083D"/>
    <w:rsid w:val="14B46D23"/>
    <w:rsid w:val="14BE5383"/>
    <w:rsid w:val="14C1152C"/>
    <w:rsid w:val="14CC3786"/>
    <w:rsid w:val="14D01082"/>
    <w:rsid w:val="14DD2C3C"/>
    <w:rsid w:val="14DF29A2"/>
    <w:rsid w:val="15063063"/>
    <w:rsid w:val="150E712C"/>
    <w:rsid w:val="151412DC"/>
    <w:rsid w:val="151918D6"/>
    <w:rsid w:val="151D62F1"/>
    <w:rsid w:val="151F18F2"/>
    <w:rsid w:val="152534C4"/>
    <w:rsid w:val="152F4368"/>
    <w:rsid w:val="153237EB"/>
    <w:rsid w:val="153656F6"/>
    <w:rsid w:val="15456FA5"/>
    <w:rsid w:val="154C0E60"/>
    <w:rsid w:val="15603D6E"/>
    <w:rsid w:val="156A1844"/>
    <w:rsid w:val="157A7D17"/>
    <w:rsid w:val="15942EB4"/>
    <w:rsid w:val="15995A08"/>
    <w:rsid w:val="15AD6FF7"/>
    <w:rsid w:val="15C05166"/>
    <w:rsid w:val="15C15CE9"/>
    <w:rsid w:val="16087E1D"/>
    <w:rsid w:val="160E6D61"/>
    <w:rsid w:val="16157A01"/>
    <w:rsid w:val="16192A9B"/>
    <w:rsid w:val="161D2412"/>
    <w:rsid w:val="163634D4"/>
    <w:rsid w:val="163836F0"/>
    <w:rsid w:val="163E235D"/>
    <w:rsid w:val="16445F34"/>
    <w:rsid w:val="164E15A7"/>
    <w:rsid w:val="165C73DE"/>
    <w:rsid w:val="1662715D"/>
    <w:rsid w:val="16662DCE"/>
    <w:rsid w:val="1666350D"/>
    <w:rsid w:val="16685D83"/>
    <w:rsid w:val="16704C38"/>
    <w:rsid w:val="168B13F0"/>
    <w:rsid w:val="168D7D37"/>
    <w:rsid w:val="169147AE"/>
    <w:rsid w:val="169B0125"/>
    <w:rsid w:val="169F7B22"/>
    <w:rsid w:val="16AA2A1F"/>
    <w:rsid w:val="16AA6D28"/>
    <w:rsid w:val="16AB5C35"/>
    <w:rsid w:val="16AC0613"/>
    <w:rsid w:val="16AF75E4"/>
    <w:rsid w:val="16CA2277"/>
    <w:rsid w:val="16D8458B"/>
    <w:rsid w:val="16EE2E54"/>
    <w:rsid w:val="16F13FCB"/>
    <w:rsid w:val="16FD0BA9"/>
    <w:rsid w:val="17023F14"/>
    <w:rsid w:val="170A1531"/>
    <w:rsid w:val="17101F77"/>
    <w:rsid w:val="171B2DF6"/>
    <w:rsid w:val="17214B3C"/>
    <w:rsid w:val="172834D0"/>
    <w:rsid w:val="172872C1"/>
    <w:rsid w:val="17482525"/>
    <w:rsid w:val="17484A5C"/>
    <w:rsid w:val="174C0E3B"/>
    <w:rsid w:val="175C51BC"/>
    <w:rsid w:val="17603632"/>
    <w:rsid w:val="17604CAC"/>
    <w:rsid w:val="17693BFD"/>
    <w:rsid w:val="17701D14"/>
    <w:rsid w:val="17735226"/>
    <w:rsid w:val="177F5EE8"/>
    <w:rsid w:val="17800EAB"/>
    <w:rsid w:val="17813702"/>
    <w:rsid w:val="178321B2"/>
    <w:rsid w:val="178A1C4D"/>
    <w:rsid w:val="17B41002"/>
    <w:rsid w:val="17C27715"/>
    <w:rsid w:val="17C60804"/>
    <w:rsid w:val="17CF1E32"/>
    <w:rsid w:val="17E73651"/>
    <w:rsid w:val="17EE22B8"/>
    <w:rsid w:val="17F84E5A"/>
    <w:rsid w:val="180C0990"/>
    <w:rsid w:val="180D7ADF"/>
    <w:rsid w:val="18273A1C"/>
    <w:rsid w:val="18585750"/>
    <w:rsid w:val="185D44C4"/>
    <w:rsid w:val="185F6D12"/>
    <w:rsid w:val="18673E19"/>
    <w:rsid w:val="186D60BD"/>
    <w:rsid w:val="188B6E9F"/>
    <w:rsid w:val="189504CD"/>
    <w:rsid w:val="189F624C"/>
    <w:rsid w:val="18BB722F"/>
    <w:rsid w:val="18BB7CE6"/>
    <w:rsid w:val="18D314AE"/>
    <w:rsid w:val="18DA0E14"/>
    <w:rsid w:val="18E67433"/>
    <w:rsid w:val="19026323"/>
    <w:rsid w:val="19091AF2"/>
    <w:rsid w:val="190F698A"/>
    <w:rsid w:val="19117A80"/>
    <w:rsid w:val="19201005"/>
    <w:rsid w:val="192D0BBE"/>
    <w:rsid w:val="193803E2"/>
    <w:rsid w:val="19481E9C"/>
    <w:rsid w:val="194B3D3A"/>
    <w:rsid w:val="194E0F99"/>
    <w:rsid w:val="1954439D"/>
    <w:rsid w:val="195B785A"/>
    <w:rsid w:val="195F5DAE"/>
    <w:rsid w:val="196C0194"/>
    <w:rsid w:val="1977452F"/>
    <w:rsid w:val="198033E4"/>
    <w:rsid w:val="19843728"/>
    <w:rsid w:val="198D6D48"/>
    <w:rsid w:val="19A07745"/>
    <w:rsid w:val="19A6537D"/>
    <w:rsid w:val="19AC5470"/>
    <w:rsid w:val="19CC2AA0"/>
    <w:rsid w:val="19CF1C75"/>
    <w:rsid w:val="19E6237A"/>
    <w:rsid w:val="19E84EAC"/>
    <w:rsid w:val="19FB6D77"/>
    <w:rsid w:val="1A0B4CA4"/>
    <w:rsid w:val="1A1C66C0"/>
    <w:rsid w:val="1A3E4D29"/>
    <w:rsid w:val="1A3F7754"/>
    <w:rsid w:val="1A404921"/>
    <w:rsid w:val="1A42393B"/>
    <w:rsid w:val="1A5126C2"/>
    <w:rsid w:val="1A846F04"/>
    <w:rsid w:val="1A99216A"/>
    <w:rsid w:val="1AA44EB0"/>
    <w:rsid w:val="1AAD45DE"/>
    <w:rsid w:val="1AB604F5"/>
    <w:rsid w:val="1AC01D51"/>
    <w:rsid w:val="1ACF3678"/>
    <w:rsid w:val="1AE300CE"/>
    <w:rsid w:val="1AE72772"/>
    <w:rsid w:val="1AEF6A73"/>
    <w:rsid w:val="1B04095D"/>
    <w:rsid w:val="1B046F80"/>
    <w:rsid w:val="1B1464DA"/>
    <w:rsid w:val="1B1D5E2D"/>
    <w:rsid w:val="1B2F7A97"/>
    <w:rsid w:val="1B3267B5"/>
    <w:rsid w:val="1B365A71"/>
    <w:rsid w:val="1B40161D"/>
    <w:rsid w:val="1B441859"/>
    <w:rsid w:val="1B516CBE"/>
    <w:rsid w:val="1B525776"/>
    <w:rsid w:val="1B563864"/>
    <w:rsid w:val="1B6606B1"/>
    <w:rsid w:val="1B684130"/>
    <w:rsid w:val="1B774E0F"/>
    <w:rsid w:val="1B7E7267"/>
    <w:rsid w:val="1B965141"/>
    <w:rsid w:val="1B994805"/>
    <w:rsid w:val="1BBB620B"/>
    <w:rsid w:val="1BBE0DAA"/>
    <w:rsid w:val="1BC238A5"/>
    <w:rsid w:val="1BC6239B"/>
    <w:rsid w:val="1BCA303C"/>
    <w:rsid w:val="1BD77BAE"/>
    <w:rsid w:val="1BDB6FF7"/>
    <w:rsid w:val="1BE03235"/>
    <w:rsid w:val="1BEB6903"/>
    <w:rsid w:val="1BED0AD9"/>
    <w:rsid w:val="1BF722E9"/>
    <w:rsid w:val="1BFC1BD9"/>
    <w:rsid w:val="1C083F24"/>
    <w:rsid w:val="1C1442B7"/>
    <w:rsid w:val="1C1A33FC"/>
    <w:rsid w:val="1C201389"/>
    <w:rsid w:val="1C387FA6"/>
    <w:rsid w:val="1C39030E"/>
    <w:rsid w:val="1C48686C"/>
    <w:rsid w:val="1C5446B4"/>
    <w:rsid w:val="1C556DAA"/>
    <w:rsid w:val="1C5E7925"/>
    <w:rsid w:val="1C80567C"/>
    <w:rsid w:val="1C837E6F"/>
    <w:rsid w:val="1C8E5B8A"/>
    <w:rsid w:val="1C8E5EAC"/>
    <w:rsid w:val="1C907DE2"/>
    <w:rsid w:val="1C9F09DF"/>
    <w:rsid w:val="1CA473E9"/>
    <w:rsid w:val="1CAF1BD2"/>
    <w:rsid w:val="1CB078CC"/>
    <w:rsid w:val="1CC01D49"/>
    <w:rsid w:val="1CD53A47"/>
    <w:rsid w:val="1CD64AE7"/>
    <w:rsid w:val="1CED06F3"/>
    <w:rsid w:val="1CED6FE2"/>
    <w:rsid w:val="1CEE2D5A"/>
    <w:rsid w:val="1CF57C45"/>
    <w:rsid w:val="1CF716BE"/>
    <w:rsid w:val="1CFD070F"/>
    <w:rsid w:val="1D0B66CE"/>
    <w:rsid w:val="1D0C5F8F"/>
    <w:rsid w:val="1D3164F1"/>
    <w:rsid w:val="1D4541F9"/>
    <w:rsid w:val="1D4D5CD3"/>
    <w:rsid w:val="1D4E74B5"/>
    <w:rsid w:val="1D5B6B97"/>
    <w:rsid w:val="1D5F6196"/>
    <w:rsid w:val="1D6132A5"/>
    <w:rsid w:val="1D6466CB"/>
    <w:rsid w:val="1D6E56A2"/>
    <w:rsid w:val="1D7977B3"/>
    <w:rsid w:val="1D8524D4"/>
    <w:rsid w:val="1D87623D"/>
    <w:rsid w:val="1D8E56D5"/>
    <w:rsid w:val="1D951428"/>
    <w:rsid w:val="1D9633E2"/>
    <w:rsid w:val="1DAA4ED3"/>
    <w:rsid w:val="1DB55227"/>
    <w:rsid w:val="1DB809AE"/>
    <w:rsid w:val="1DE21B41"/>
    <w:rsid w:val="1DE521DE"/>
    <w:rsid w:val="1DE54C15"/>
    <w:rsid w:val="1DF63C75"/>
    <w:rsid w:val="1E083E13"/>
    <w:rsid w:val="1E2618EA"/>
    <w:rsid w:val="1E282AE9"/>
    <w:rsid w:val="1E2838CC"/>
    <w:rsid w:val="1E46680E"/>
    <w:rsid w:val="1E6643C1"/>
    <w:rsid w:val="1E6F3617"/>
    <w:rsid w:val="1E761259"/>
    <w:rsid w:val="1E7A43DA"/>
    <w:rsid w:val="1E7E7492"/>
    <w:rsid w:val="1E874537"/>
    <w:rsid w:val="1EAD0861"/>
    <w:rsid w:val="1EC91389"/>
    <w:rsid w:val="1EF86D89"/>
    <w:rsid w:val="1EFD1033"/>
    <w:rsid w:val="1F0111DD"/>
    <w:rsid w:val="1F095962"/>
    <w:rsid w:val="1F1F067A"/>
    <w:rsid w:val="1F2E056D"/>
    <w:rsid w:val="1F2E5690"/>
    <w:rsid w:val="1F334A54"/>
    <w:rsid w:val="1F472B20"/>
    <w:rsid w:val="1F6F3A53"/>
    <w:rsid w:val="1F721277"/>
    <w:rsid w:val="1F8637D0"/>
    <w:rsid w:val="1F86727A"/>
    <w:rsid w:val="1F8A4FBC"/>
    <w:rsid w:val="1F991871"/>
    <w:rsid w:val="1F992D38"/>
    <w:rsid w:val="1F996FAD"/>
    <w:rsid w:val="1F9E2264"/>
    <w:rsid w:val="1F9E2ADC"/>
    <w:rsid w:val="1FA0411A"/>
    <w:rsid w:val="1FA06536"/>
    <w:rsid w:val="1FAB4F33"/>
    <w:rsid w:val="1FB0008D"/>
    <w:rsid w:val="1FB904DF"/>
    <w:rsid w:val="1FBC29E8"/>
    <w:rsid w:val="1FC64F77"/>
    <w:rsid w:val="1FC87893"/>
    <w:rsid w:val="1FE346CD"/>
    <w:rsid w:val="1FE7539E"/>
    <w:rsid w:val="1FF65581"/>
    <w:rsid w:val="201820AF"/>
    <w:rsid w:val="203211B0"/>
    <w:rsid w:val="203572AD"/>
    <w:rsid w:val="20374996"/>
    <w:rsid w:val="203A7EED"/>
    <w:rsid w:val="203D5EB3"/>
    <w:rsid w:val="204217FB"/>
    <w:rsid w:val="20426F3F"/>
    <w:rsid w:val="206051B5"/>
    <w:rsid w:val="206107E5"/>
    <w:rsid w:val="20671BE0"/>
    <w:rsid w:val="207B66B3"/>
    <w:rsid w:val="207F6857"/>
    <w:rsid w:val="20963CB8"/>
    <w:rsid w:val="20963CCE"/>
    <w:rsid w:val="209E0D00"/>
    <w:rsid w:val="20A81A1B"/>
    <w:rsid w:val="20AC37BC"/>
    <w:rsid w:val="20B07FB6"/>
    <w:rsid w:val="20B56069"/>
    <w:rsid w:val="20B646FB"/>
    <w:rsid w:val="20BB0498"/>
    <w:rsid w:val="20BB2F53"/>
    <w:rsid w:val="20BB7250"/>
    <w:rsid w:val="20C51CD3"/>
    <w:rsid w:val="20CC1F39"/>
    <w:rsid w:val="20D46D3E"/>
    <w:rsid w:val="20F31BD2"/>
    <w:rsid w:val="20F856F9"/>
    <w:rsid w:val="2100239E"/>
    <w:rsid w:val="2110093B"/>
    <w:rsid w:val="21105259"/>
    <w:rsid w:val="21117017"/>
    <w:rsid w:val="213569C0"/>
    <w:rsid w:val="21372E98"/>
    <w:rsid w:val="213B74B1"/>
    <w:rsid w:val="21464F13"/>
    <w:rsid w:val="21470225"/>
    <w:rsid w:val="21501F34"/>
    <w:rsid w:val="215A2310"/>
    <w:rsid w:val="216C51F8"/>
    <w:rsid w:val="21757BC9"/>
    <w:rsid w:val="21860050"/>
    <w:rsid w:val="218604B0"/>
    <w:rsid w:val="21863561"/>
    <w:rsid w:val="218737E4"/>
    <w:rsid w:val="21893052"/>
    <w:rsid w:val="218C7F8D"/>
    <w:rsid w:val="218E6104"/>
    <w:rsid w:val="21902632"/>
    <w:rsid w:val="219979C0"/>
    <w:rsid w:val="21BE0BA6"/>
    <w:rsid w:val="21BE4828"/>
    <w:rsid w:val="21C916A0"/>
    <w:rsid w:val="21D7200F"/>
    <w:rsid w:val="21D86621"/>
    <w:rsid w:val="21DE318A"/>
    <w:rsid w:val="21E07116"/>
    <w:rsid w:val="21EA204B"/>
    <w:rsid w:val="21EA7245"/>
    <w:rsid w:val="21EF5B80"/>
    <w:rsid w:val="21F30AB1"/>
    <w:rsid w:val="22025D3C"/>
    <w:rsid w:val="220B1CB9"/>
    <w:rsid w:val="220D77DF"/>
    <w:rsid w:val="22274D44"/>
    <w:rsid w:val="22561186"/>
    <w:rsid w:val="22563AC9"/>
    <w:rsid w:val="22576990"/>
    <w:rsid w:val="2259256E"/>
    <w:rsid w:val="226118D9"/>
    <w:rsid w:val="22644F30"/>
    <w:rsid w:val="22794E74"/>
    <w:rsid w:val="227A4B97"/>
    <w:rsid w:val="228F28EA"/>
    <w:rsid w:val="22A419E0"/>
    <w:rsid w:val="22AD4A3E"/>
    <w:rsid w:val="22B41E38"/>
    <w:rsid w:val="22B73F2E"/>
    <w:rsid w:val="22B7475A"/>
    <w:rsid w:val="22BA29D8"/>
    <w:rsid w:val="22D97D97"/>
    <w:rsid w:val="22E276EA"/>
    <w:rsid w:val="22E471B1"/>
    <w:rsid w:val="22F47480"/>
    <w:rsid w:val="22FA4207"/>
    <w:rsid w:val="22FA5008"/>
    <w:rsid w:val="230C5CE8"/>
    <w:rsid w:val="231221A9"/>
    <w:rsid w:val="2322375E"/>
    <w:rsid w:val="23307CDA"/>
    <w:rsid w:val="23485BB0"/>
    <w:rsid w:val="234A4A71"/>
    <w:rsid w:val="234D5586"/>
    <w:rsid w:val="23683866"/>
    <w:rsid w:val="237A0970"/>
    <w:rsid w:val="23933E2B"/>
    <w:rsid w:val="23951CF6"/>
    <w:rsid w:val="239C7197"/>
    <w:rsid w:val="23A55102"/>
    <w:rsid w:val="23BF3DD4"/>
    <w:rsid w:val="23C90607"/>
    <w:rsid w:val="23CF5A54"/>
    <w:rsid w:val="23DB4360"/>
    <w:rsid w:val="23DE1C48"/>
    <w:rsid w:val="23E82DA8"/>
    <w:rsid w:val="23EA25D3"/>
    <w:rsid w:val="23FF4CA7"/>
    <w:rsid w:val="240210CD"/>
    <w:rsid w:val="241F2363"/>
    <w:rsid w:val="2423778D"/>
    <w:rsid w:val="2426102C"/>
    <w:rsid w:val="242D2309"/>
    <w:rsid w:val="24311EAA"/>
    <w:rsid w:val="24354B4D"/>
    <w:rsid w:val="243F2EBB"/>
    <w:rsid w:val="249403FD"/>
    <w:rsid w:val="24B041E3"/>
    <w:rsid w:val="24BF09F7"/>
    <w:rsid w:val="24C517AE"/>
    <w:rsid w:val="24C62127"/>
    <w:rsid w:val="24D74D54"/>
    <w:rsid w:val="24E0567E"/>
    <w:rsid w:val="24F353B2"/>
    <w:rsid w:val="24F93812"/>
    <w:rsid w:val="24FD1D8D"/>
    <w:rsid w:val="250776C9"/>
    <w:rsid w:val="2518102E"/>
    <w:rsid w:val="252D53FE"/>
    <w:rsid w:val="25311E9A"/>
    <w:rsid w:val="25401FA2"/>
    <w:rsid w:val="25485633"/>
    <w:rsid w:val="254B5768"/>
    <w:rsid w:val="254D6E5D"/>
    <w:rsid w:val="25651BF0"/>
    <w:rsid w:val="257007B0"/>
    <w:rsid w:val="25726FA3"/>
    <w:rsid w:val="257C46B6"/>
    <w:rsid w:val="258106F3"/>
    <w:rsid w:val="258B55EA"/>
    <w:rsid w:val="25984CDC"/>
    <w:rsid w:val="259951EC"/>
    <w:rsid w:val="25A95A70"/>
    <w:rsid w:val="25B058B1"/>
    <w:rsid w:val="25B12B77"/>
    <w:rsid w:val="25BA7C7E"/>
    <w:rsid w:val="25C47892"/>
    <w:rsid w:val="25C504EB"/>
    <w:rsid w:val="25D55EC9"/>
    <w:rsid w:val="25DD7F37"/>
    <w:rsid w:val="25DE4339"/>
    <w:rsid w:val="25EC2D81"/>
    <w:rsid w:val="25F018F1"/>
    <w:rsid w:val="25FA62CC"/>
    <w:rsid w:val="26103D41"/>
    <w:rsid w:val="26185310"/>
    <w:rsid w:val="26316B66"/>
    <w:rsid w:val="26326892"/>
    <w:rsid w:val="263B7010"/>
    <w:rsid w:val="264B4D7A"/>
    <w:rsid w:val="26547A4F"/>
    <w:rsid w:val="266B3C94"/>
    <w:rsid w:val="26893CCE"/>
    <w:rsid w:val="26933EB9"/>
    <w:rsid w:val="26A34BB6"/>
    <w:rsid w:val="26B75BF2"/>
    <w:rsid w:val="26C22739"/>
    <w:rsid w:val="26E73DCE"/>
    <w:rsid w:val="27085738"/>
    <w:rsid w:val="270F26A5"/>
    <w:rsid w:val="27280811"/>
    <w:rsid w:val="27533EE6"/>
    <w:rsid w:val="277057A2"/>
    <w:rsid w:val="277D0F63"/>
    <w:rsid w:val="278C619A"/>
    <w:rsid w:val="279A7D67"/>
    <w:rsid w:val="27A961FC"/>
    <w:rsid w:val="27B42146"/>
    <w:rsid w:val="27BD091D"/>
    <w:rsid w:val="27D042B1"/>
    <w:rsid w:val="27DD5EA5"/>
    <w:rsid w:val="27E2526A"/>
    <w:rsid w:val="27F00CAE"/>
    <w:rsid w:val="28070CE4"/>
    <w:rsid w:val="280852D9"/>
    <w:rsid w:val="280E79A2"/>
    <w:rsid w:val="28132754"/>
    <w:rsid w:val="28341F69"/>
    <w:rsid w:val="284D66AC"/>
    <w:rsid w:val="284F578B"/>
    <w:rsid w:val="284F6DA3"/>
    <w:rsid w:val="286A598B"/>
    <w:rsid w:val="28773C04"/>
    <w:rsid w:val="28786C91"/>
    <w:rsid w:val="28793E20"/>
    <w:rsid w:val="287E2658"/>
    <w:rsid w:val="28810FF3"/>
    <w:rsid w:val="28836A4D"/>
    <w:rsid w:val="28951D06"/>
    <w:rsid w:val="28953046"/>
    <w:rsid w:val="28A67820"/>
    <w:rsid w:val="28AB2D13"/>
    <w:rsid w:val="28AB3E49"/>
    <w:rsid w:val="28BB6D6A"/>
    <w:rsid w:val="28C2077E"/>
    <w:rsid w:val="28C3509B"/>
    <w:rsid w:val="28CF1C92"/>
    <w:rsid w:val="28D53673"/>
    <w:rsid w:val="28D6413B"/>
    <w:rsid w:val="28DF3F43"/>
    <w:rsid w:val="28FF3BB4"/>
    <w:rsid w:val="29206EB8"/>
    <w:rsid w:val="29257B04"/>
    <w:rsid w:val="293B4B71"/>
    <w:rsid w:val="294D5F0A"/>
    <w:rsid w:val="29595666"/>
    <w:rsid w:val="2976613C"/>
    <w:rsid w:val="297B4554"/>
    <w:rsid w:val="297C074E"/>
    <w:rsid w:val="298345D8"/>
    <w:rsid w:val="29874881"/>
    <w:rsid w:val="2992505B"/>
    <w:rsid w:val="299A592B"/>
    <w:rsid w:val="299F1664"/>
    <w:rsid w:val="29C67B95"/>
    <w:rsid w:val="29E2496D"/>
    <w:rsid w:val="29E325E0"/>
    <w:rsid w:val="29E54F00"/>
    <w:rsid w:val="29F02114"/>
    <w:rsid w:val="29F22E61"/>
    <w:rsid w:val="29F26B2A"/>
    <w:rsid w:val="29F83212"/>
    <w:rsid w:val="2A047719"/>
    <w:rsid w:val="2A0A1A45"/>
    <w:rsid w:val="2A0B1AED"/>
    <w:rsid w:val="2A17578E"/>
    <w:rsid w:val="2A452503"/>
    <w:rsid w:val="2A4915D0"/>
    <w:rsid w:val="2A55176E"/>
    <w:rsid w:val="2A612D75"/>
    <w:rsid w:val="2A622692"/>
    <w:rsid w:val="2A6B5E21"/>
    <w:rsid w:val="2A723C2A"/>
    <w:rsid w:val="2A8020CA"/>
    <w:rsid w:val="2A8517E0"/>
    <w:rsid w:val="2A8820F8"/>
    <w:rsid w:val="2A8D770F"/>
    <w:rsid w:val="2A9410A3"/>
    <w:rsid w:val="2A9D01F9"/>
    <w:rsid w:val="2AB4209B"/>
    <w:rsid w:val="2AB47391"/>
    <w:rsid w:val="2AC31382"/>
    <w:rsid w:val="2ADE440E"/>
    <w:rsid w:val="2AEC2D35"/>
    <w:rsid w:val="2AF556D7"/>
    <w:rsid w:val="2B00471F"/>
    <w:rsid w:val="2B006133"/>
    <w:rsid w:val="2B041D04"/>
    <w:rsid w:val="2B0551C9"/>
    <w:rsid w:val="2B125C54"/>
    <w:rsid w:val="2B2A7653"/>
    <w:rsid w:val="2B2F3843"/>
    <w:rsid w:val="2B514314"/>
    <w:rsid w:val="2B5B1240"/>
    <w:rsid w:val="2B6708FF"/>
    <w:rsid w:val="2B69017C"/>
    <w:rsid w:val="2B6A5CA2"/>
    <w:rsid w:val="2B7D7783"/>
    <w:rsid w:val="2B803F13"/>
    <w:rsid w:val="2B8A1D23"/>
    <w:rsid w:val="2BA54F2C"/>
    <w:rsid w:val="2BA622DC"/>
    <w:rsid w:val="2BA70CA4"/>
    <w:rsid w:val="2BA74F1E"/>
    <w:rsid w:val="2BA936A8"/>
    <w:rsid w:val="2BAA0794"/>
    <w:rsid w:val="2BAB4CB4"/>
    <w:rsid w:val="2BB313F7"/>
    <w:rsid w:val="2BB6350B"/>
    <w:rsid w:val="2BD1187D"/>
    <w:rsid w:val="2BF6510B"/>
    <w:rsid w:val="2C273B93"/>
    <w:rsid w:val="2C315A5A"/>
    <w:rsid w:val="2C32224A"/>
    <w:rsid w:val="2C4B1C25"/>
    <w:rsid w:val="2C531738"/>
    <w:rsid w:val="2C641CA9"/>
    <w:rsid w:val="2C642A8E"/>
    <w:rsid w:val="2C654880"/>
    <w:rsid w:val="2C9B6EFC"/>
    <w:rsid w:val="2CA92F69"/>
    <w:rsid w:val="2CAD22EA"/>
    <w:rsid w:val="2CCC5F5C"/>
    <w:rsid w:val="2CCF6CC1"/>
    <w:rsid w:val="2CFB5783"/>
    <w:rsid w:val="2D0664FC"/>
    <w:rsid w:val="2D0A7F39"/>
    <w:rsid w:val="2D130649"/>
    <w:rsid w:val="2D2105E2"/>
    <w:rsid w:val="2D42346D"/>
    <w:rsid w:val="2D441EE1"/>
    <w:rsid w:val="2D4F5CCD"/>
    <w:rsid w:val="2D531028"/>
    <w:rsid w:val="2D54762D"/>
    <w:rsid w:val="2D552912"/>
    <w:rsid w:val="2D6615FD"/>
    <w:rsid w:val="2D675E34"/>
    <w:rsid w:val="2D7A583E"/>
    <w:rsid w:val="2D804B4A"/>
    <w:rsid w:val="2D9E56F5"/>
    <w:rsid w:val="2DAB4938"/>
    <w:rsid w:val="2DD94405"/>
    <w:rsid w:val="2DE95F76"/>
    <w:rsid w:val="2DE97352"/>
    <w:rsid w:val="2E1A575D"/>
    <w:rsid w:val="2E2C16B4"/>
    <w:rsid w:val="2E360905"/>
    <w:rsid w:val="2E5073D1"/>
    <w:rsid w:val="2E667F96"/>
    <w:rsid w:val="2E755A44"/>
    <w:rsid w:val="2E7B3D22"/>
    <w:rsid w:val="2E8226AB"/>
    <w:rsid w:val="2EA66FF1"/>
    <w:rsid w:val="2EB77450"/>
    <w:rsid w:val="2ED022C0"/>
    <w:rsid w:val="2ED518D6"/>
    <w:rsid w:val="2ED867BE"/>
    <w:rsid w:val="2EDF7533"/>
    <w:rsid w:val="2EFF6701"/>
    <w:rsid w:val="2F041F69"/>
    <w:rsid w:val="2F077175"/>
    <w:rsid w:val="2F0B3751"/>
    <w:rsid w:val="2F11378C"/>
    <w:rsid w:val="2F1D745A"/>
    <w:rsid w:val="2F223DCD"/>
    <w:rsid w:val="2F2443BA"/>
    <w:rsid w:val="2F3C7955"/>
    <w:rsid w:val="2F3D1D3C"/>
    <w:rsid w:val="2F3E1B69"/>
    <w:rsid w:val="2F42258B"/>
    <w:rsid w:val="2F6B1DF8"/>
    <w:rsid w:val="2F791966"/>
    <w:rsid w:val="2F8D59DA"/>
    <w:rsid w:val="2F911A4F"/>
    <w:rsid w:val="2F92534C"/>
    <w:rsid w:val="2F93224F"/>
    <w:rsid w:val="2F963509"/>
    <w:rsid w:val="2FAD380B"/>
    <w:rsid w:val="2FBE7CB1"/>
    <w:rsid w:val="2FC964D8"/>
    <w:rsid w:val="2FD065E6"/>
    <w:rsid w:val="2FD23E16"/>
    <w:rsid w:val="2FD96870"/>
    <w:rsid w:val="2FE35939"/>
    <w:rsid w:val="2FE84B7F"/>
    <w:rsid w:val="2FFB63E5"/>
    <w:rsid w:val="30262E17"/>
    <w:rsid w:val="303E2F8F"/>
    <w:rsid w:val="30434506"/>
    <w:rsid w:val="304573EF"/>
    <w:rsid w:val="3054231B"/>
    <w:rsid w:val="30580BC9"/>
    <w:rsid w:val="30874267"/>
    <w:rsid w:val="308A496F"/>
    <w:rsid w:val="309531D7"/>
    <w:rsid w:val="30B05F05"/>
    <w:rsid w:val="30B31E99"/>
    <w:rsid w:val="30BF6A09"/>
    <w:rsid w:val="30C505ED"/>
    <w:rsid w:val="30D140CD"/>
    <w:rsid w:val="30D37E45"/>
    <w:rsid w:val="30D4016F"/>
    <w:rsid w:val="30E20834"/>
    <w:rsid w:val="30E6628B"/>
    <w:rsid w:val="30E67291"/>
    <w:rsid w:val="30F03503"/>
    <w:rsid w:val="311C17EC"/>
    <w:rsid w:val="311E2ED7"/>
    <w:rsid w:val="31305499"/>
    <w:rsid w:val="31342FDA"/>
    <w:rsid w:val="313E5C07"/>
    <w:rsid w:val="315619EE"/>
    <w:rsid w:val="315C449C"/>
    <w:rsid w:val="31713C52"/>
    <w:rsid w:val="31737CF4"/>
    <w:rsid w:val="317572D1"/>
    <w:rsid w:val="31807FCD"/>
    <w:rsid w:val="31A16195"/>
    <w:rsid w:val="31B36F6B"/>
    <w:rsid w:val="31B82709"/>
    <w:rsid w:val="31B94070"/>
    <w:rsid w:val="31BE3A6A"/>
    <w:rsid w:val="31C45C9B"/>
    <w:rsid w:val="31CF3507"/>
    <w:rsid w:val="31D05482"/>
    <w:rsid w:val="31DF17DC"/>
    <w:rsid w:val="31E22A36"/>
    <w:rsid w:val="31E857EB"/>
    <w:rsid w:val="320504D2"/>
    <w:rsid w:val="320E382B"/>
    <w:rsid w:val="32136174"/>
    <w:rsid w:val="32160058"/>
    <w:rsid w:val="32215AF3"/>
    <w:rsid w:val="32340DB8"/>
    <w:rsid w:val="323E5183"/>
    <w:rsid w:val="323F1C36"/>
    <w:rsid w:val="32400B34"/>
    <w:rsid w:val="325B6034"/>
    <w:rsid w:val="325F55B9"/>
    <w:rsid w:val="32623007"/>
    <w:rsid w:val="326B02C6"/>
    <w:rsid w:val="326E7F95"/>
    <w:rsid w:val="326F6CC3"/>
    <w:rsid w:val="32715B68"/>
    <w:rsid w:val="329E6876"/>
    <w:rsid w:val="32AA7CC6"/>
    <w:rsid w:val="32B617CD"/>
    <w:rsid w:val="32B72220"/>
    <w:rsid w:val="32BF41F5"/>
    <w:rsid w:val="32C14B39"/>
    <w:rsid w:val="32C870ED"/>
    <w:rsid w:val="32E97DF4"/>
    <w:rsid w:val="32F248BD"/>
    <w:rsid w:val="33131D20"/>
    <w:rsid w:val="331B4EBE"/>
    <w:rsid w:val="333015F2"/>
    <w:rsid w:val="333224EE"/>
    <w:rsid w:val="33323549"/>
    <w:rsid w:val="334B6320"/>
    <w:rsid w:val="33593D56"/>
    <w:rsid w:val="33704071"/>
    <w:rsid w:val="33792C6B"/>
    <w:rsid w:val="3383043F"/>
    <w:rsid w:val="33890C8F"/>
    <w:rsid w:val="339935C8"/>
    <w:rsid w:val="339D5F9D"/>
    <w:rsid w:val="33A84B8F"/>
    <w:rsid w:val="33B1362A"/>
    <w:rsid w:val="33B3264C"/>
    <w:rsid w:val="33B655BA"/>
    <w:rsid w:val="33C30645"/>
    <w:rsid w:val="33D20888"/>
    <w:rsid w:val="33D86B3B"/>
    <w:rsid w:val="33D934D4"/>
    <w:rsid w:val="33FC76B3"/>
    <w:rsid w:val="33FE2F6A"/>
    <w:rsid w:val="340955BD"/>
    <w:rsid w:val="340E07E5"/>
    <w:rsid w:val="34140EA1"/>
    <w:rsid w:val="34235BF7"/>
    <w:rsid w:val="3425678C"/>
    <w:rsid w:val="342A2472"/>
    <w:rsid w:val="344219DC"/>
    <w:rsid w:val="34491A66"/>
    <w:rsid w:val="345614B9"/>
    <w:rsid w:val="345B262C"/>
    <w:rsid w:val="346F3E3C"/>
    <w:rsid w:val="34911580"/>
    <w:rsid w:val="34AB7F54"/>
    <w:rsid w:val="34BB730F"/>
    <w:rsid w:val="34BC4A49"/>
    <w:rsid w:val="34BD5279"/>
    <w:rsid w:val="34CA642B"/>
    <w:rsid w:val="34CC3529"/>
    <w:rsid w:val="34E52F9A"/>
    <w:rsid w:val="35026DBE"/>
    <w:rsid w:val="350A1334"/>
    <w:rsid w:val="351479CC"/>
    <w:rsid w:val="351E366D"/>
    <w:rsid w:val="35392487"/>
    <w:rsid w:val="353F250F"/>
    <w:rsid w:val="3547178A"/>
    <w:rsid w:val="355F4B48"/>
    <w:rsid w:val="355F777E"/>
    <w:rsid w:val="356B08F4"/>
    <w:rsid w:val="356F535D"/>
    <w:rsid w:val="358C5FA8"/>
    <w:rsid w:val="358E5D84"/>
    <w:rsid w:val="35BB73FD"/>
    <w:rsid w:val="35C15DF1"/>
    <w:rsid w:val="35D12985"/>
    <w:rsid w:val="35DB22D2"/>
    <w:rsid w:val="35F70C2C"/>
    <w:rsid w:val="35FB77A0"/>
    <w:rsid w:val="36006A0C"/>
    <w:rsid w:val="36074A7F"/>
    <w:rsid w:val="360C2140"/>
    <w:rsid w:val="361138EA"/>
    <w:rsid w:val="361725B5"/>
    <w:rsid w:val="36177B99"/>
    <w:rsid w:val="361B02C4"/>
    <w:rsid w:val="363A1770"/>
    <w:rsid w:val="363C5E88"/>
    <w:rsid w:val="3642513F"/>
    <w:rsid w:val="364A2958"/>
    <w:rsid w:val="364D67A9"/>
    <w:rsid w:val="36571E29"/>
    <w:rsid w:val="365E4655"/>
    <w:rsid w:val="36624145"/>
    <w:rsid w:val="366854D4"/>
    <w:rsid w:val="36883480"/>
    <w:rsid w:val="36923549"/>
    <w:rsid w:val="36963DEF"/>
    <w:rsid w:val="36A302BA"/>
    <w:rsid w:val="36AF2723"/>
    <w:rsid w:val="36B63B72"/>
    <w:rsid w:val="36B75FBF"/>
    <w:rsid w:val="36BA5970"/>
    <w:rsid w:val="36BD0C45"/>
    <w:rsid w:val="36C94B0F"/>
    <w:rsid w:val="36CC0595"/>
    <w:rsid w:val="36CC115F"/>
    <w:rsid w:val="36E008F5"/>
    <w:rsid w:val="36E723E5"/>
    <w:rsid w:val="36FB780D"/>
    <w:rsid w:val="36FE41D9"/>
    <w:rsid w:val="37015756"/>
    <w:rsid w:val="37104345"/>
    <w:rsid w:val="371F5B4E"/>
    <w:rsid w:val="3725158B"/>
    <w:rsid w:val="373D2C45"/>
    <w:rsid w:val="374162A1"/>
    <w:rsid w:val="37533A8E"/>
    <w:rsid w:val="37615A77"/>
    <w:rsid w:val="37636E25"/>
    <w:rsid w:val="3771646B"/>
    <w:rsid w:val="378818B3"/>
    <w:rsid w:val="37950382"/>
    <w:rsid w:val="37984168"/>
    <w:rsid w:val="379A2288"/>
    <w:rsid w:val="37A10814"/>
    <w:rsid w:val="37AC319E"/>
    <w:rsid w:val="37AF6638"/>
    <w:rsid w:val="37B47576"/>
    <w:rsid w:val="37BA21B8"/>
    <w:rsid w:val="37BB6884"/>
    <w:rsid w:val="37E00298"/>
    <w:rsid w:val="37E02AB9"/>
    <w:rsid w:val="37E65AFD"/>
    <w:rsid w:val="37FB73F0"/>
    <w:rsid w:val="380A315B"/>
    <w:rsid w:val="38164F02"/>
    <w:rsid w:val="382A1856"/>
    <w:rsid w:val="38366CD7"/>
    <w:rsid w:val="38367638"/>
    <w:rsid w:val="384001AE"/>
    <w:rsid w:val="384B0C09"/>
    <w:rsid w:val="385F497D"/>
    <w:rsid w:val="386046B4"/>
    <w:rsid w:val="386677F1"/>
    <w:rsid w:val="387929C4"/>
    <w:rsid w:val="389D7EF0"/>
    <w:rsid w:val="38A13FF1"/>
    <w:rsid w:val="38B302F9"/>
    <w:rsid w:val="38C4411E"/>
    <w:rsid w:val="38E658DA"/>
    <w:rsid w:val="38F12CD3"/>
    <w:rsid w:val="38F47961"/>
    <w:rsid w:val="38F94775"/>
    <w:rsid w:val="39006985"/>
    <w:rsid w:val="3908046E"/>
    <w:rsid w:val="392971ED"/>
    <w:rsid w:val="39325651"/>
    <w:rsid w:val="393865D6"/>
    <w:rsid w:val="394F430B"/>
    <w:rsid w:val="39534219"/>
    <w:rsid w:val="397F6DBC"/>
    <w:rsid w:val="398616E4"/>
    <w:rsid w:val="39882115"/>
    <w:rsid w:val="39CA0912"/>
    <w:rsid w:val="39DC420F"/>
    <w:rsid w:val="39E66EEB"/>
    <w:rsid w:val="39E76710"/>
    <w:rsid w:val="39F4567F"/>
    <w:rsid w:val="39FB0B75"/>
    <w:rsid w:val="3A0854A2"/>
    <w:rsid w:val="3A0A2E65"/>
    <w:rsid w:val="3A0C2048"/>
    <w:rsid w:val="3A1056FE"/>
    <w:rsid w:val="3A105C66"/>
    <w:rsid w:val="3A231E3E"/>
    <w:rsid w:val="3A23599A"/>
    <w:rsid w:val="3A370748"/>
    <w:rsid w:val="3A3A2D4C"/>
    <w:rsid w:val="3A615953"/>
    <w:rsid w:val="3A6F0BDF"/>
    <w:rsid w:val="3A872856"/>
    <w:rsid w:val="3A8C3DDC"/>
    <w:rsid w:val="3A8F12D0"/>
    <w:rsid w:val="3A98216D"/>
    <w:rsid w:val="3AB40CE8"/>
    <w:rsid w:val="3AC214F7"/>
    <w:rsid w:val="3AD049EB"/>
    <w:rsid w:val="3AF31810"/>
    <w:rsid w:val="3AFE7DFC"/>
    <w:rsid w:val="3B074AD8"/>
    <w:rsid w:val="3B3616FD"/>
    <w:rsid w:val="3B3763D1"/>
    <w:rsid w:val="3B3B4A42"/>
    <w:rsid w:val="3B4024DD"/>
    <w:rsid w:val="3B44422B"/>
    <w:rsid w:val="3B485AB9"/>
    <w:rsid w:val="3B545FB6"/>
    <w:rsid w:val="3B564A74"/>
    <w:rsid w:val="3B5B2706"/>
    <w:rsid w:val="3B6801A5"/>
    <w:rsid w:val="3B7F6BCD"/>
    <w:rsid w:val="3B89694A"/>
    <w:rsid w:val="3B9D2526"/>
    <w:rsid w:val="3B9F72A2"/>
    <w:rsid w:val="3BA16D78"/>
    <w:rsid w:val="3BA65346"/>
    <w:rsid w:val="3C0726C5"/>
    <w:rsid w:val="3C131EB9"/>
    <w:rsid w:val="3C1A7270"/>
    <w:rsid w:val="3C2F6E1E"/>
    <w:rsid w:val="3C3D206D"/>
    <w:rsid w:val="3C4D3DC6"/>
    <w:rsid w:val="3C4F64BA"/>
    <w:rsid w:val="3C54656F"/>
    <w:rsid w:val="3C662FA4"/>
    <w:rsid w:val="3C74623B"/>
    <w:rsid w:val="3C7C5835"/>
    <w:rsid w:val="3C8F2B60"/>
    <w:rsid w:val="3C914A84"/>
    <w:rsid w:val="3C951737"/>
    <w:rsid w:val="3C963D3E"/>
    <w:rsid w:val="3CA07775"/>
    <w:rsid w:val="3CA628B2"/>
    <w:rsid w:val="3CBE2FAA"/>
    <w:rsid w:val="3CC80A7A"/>
    <w:rsid w:val="3CDA245A"/>
    <w:rsid w:val="3CE229E1"/>
    <w:rsid w:val="3CFB49AC"/>
    <w:rsid w:val="3D0013C3"/>
    <w:rsid w:val="3D1E06B7"/>
    <w:rsid w:val="3D29776B"/>
    <w:rsid w:val="3D4A76E1"/>
    <w:rsid w:val="3D513E08"/>
    <w:rsid w:val="3D583BAC"/>
    <w:rsid w:val="3D5C427D"/>
    <w:rsid w:val="3D6407A3"/>
    <w:rsid w:val="3D6837B2"/>
    <w:rsid w:val="3D6F0EF6"/>
    <w:rsid w:val="3D8424B0"/>
    <w:rsid w:val="3D842BF3"/>
    <w:rsid w:val="3DA70690"/>
    <w:rsid w:val="3DA908AC"/>
    <w:rsid w:val="3DA93DDC"/>
    <w:rsid w:val="3DAB4624"/>
    <w:rsid w:val="3DB26BD5"/>
    <w:rsid w:val="3DB37034"/>
    <w:rsid w:val="3DBD7EB3"/>
    <w:rsid w:val="3DC2196D"/>
    <w:rsid w:val="3DC8228D"/>
    <w:rsid w:val="3DE23C97"/>
    <w:rsid w:val="3DE75B93"/>
    <w:rsid w:val="3DF13354"/>
    <w:rsid w:val="3DFE0A9C"/>
    <w:rsid w:val="3E010250"/>
    <w:rsid w:val="3E0F1CE1"/>
    <w:rsid w:val="3E0F771B"/>
    <w:rsid w:val="3E10092B"/>
    <w:rsid w:val="3E175815"/>
    <w:rsid w:val="3E275960"/>
    <w:rsid w:val="3E3A3A41"/>
    <w:rsid w:val="3E42660A"/>
    <w:rsid w:val="3E686071"/>
    <w:rsid w:val="3E80785E"/>
    <w:rsid w:val="3E885C5C"/>
    <w:rsid w:val="3E941E33"/>
    <w:rsid w:val="3E9E6FD8"/>
    <w:rsid w:val="3EA370A9"/>
    <w:rsid w:val="3EAB0B94"/>
    <w:rsid w:val="3EAF27F0"/>
    <w:rsid w:val="3EBF7C5B"/>
    <w:rsid w:val="3EC86B10"/>
    <w:rsid w:val="3ED51302"/>
    <w:rsid w:val="3ED7438D"/>
    <w:rsid w:val="3ED82DBD"/>
    <w:rsid w:val="3EDA0523"/>
    <w:rsid w:val="3EE576C2"/>
    <w:rsid w:val="3EFD115E"/>
    <w:rsid w:val="3F000D42"/>
    <w:rsid w:val="3F0343E0"/>
    <w:rsid w:val="3F042A00"/>
    <w:rsid w:val="3F0F5D39"/>
    <w:rsid w:val="3F147AA8"/>
    <w:rsid w:val="3F1B30E3"/>
    <w:rsid w:val="3F2226C4"/>
    <w:rsid w:val="3F3E5024"/>
    <w:rsid w:val="3F402B4A"/>
    <w:rsid w:val="3F4412AE"/>
    <w:rsid w:val="3F470339"/>
    <w:rsid w:val="3F512FA9"/>
    <w:rsid w:val="3F5B7984"/>
    <w:rsid w:val="3F5F6352"/>
    <w:rsid w:val="3F60143E"/>
    <w:rsid w:val="3F757913"/>
    <w:rsid w:val="3F780588"/>
    <w:rsid w:val="3F854D4B"/>
    <w:rsid w:val="3F956AE4"/>
    <w:rsid w:val="3F9B5FD2"/>
    <w:rsid w:val="3FA555DE"/>
    <w:rsid w:val="3FA82EB3"/>
    <w:rsid w:val="3FA851D5"/>
    <w:rsid w:val="3FB73DE2"/>
    <w:rsid w:val="3FBC702C"/>
    <w:rsid w:val="3FDA59CB"/>
    <w:rsid w:val="3FE33DE2"/>
    <w:rsid w:val="3FE56873"/>
    <w:rsid w:val="3FF03004"/>
    <w:rsid w:val="3FFA0F4B"/>
    <w:rsid w:val="40127524"/>
    <w:rsid w:val="4013242D"/>
    <w:rsid w:val="402A1A23"/>
    <w:rsid w:val="402E695E"/>
    <w:rsid w:val="404520AE"/>
    <w:rsid w:val="404E755E"/>
    <w:rsid w:val="405A0B47"/>
    <w:rsid w:val="406D3E12"/>
    <w:rsid w:val="40721429"/>
    <w:rsid w:val="407840B6"/>
    <w:rsid w:val="407A6407"/>
    <w:rsid w:val="40836909"/>
    <w:rsid w:val="408E3D89"/>
    <w:rsid w:val="408E5B37"/>
    <w:rsid w:val="40994546"/>
    <w:rsid w:val="40A949B5"/>
    <w:rsid w:val="40B0072A"/>
    <w:rsid w:val="40B713BD"/>
    <w:rsid w:val="40BA4B7E"/>
    <w:rsid w:val="40D0151A"/>
    <w:rsid w:val="40E225AC"/>
    <w:rsid w:val="40F31238"/>
    <w:rsid w:val="40F97206"/>
    <w:rsid w:val="4100183B"/>
    <w:rsid w:val="410E6F78"/>
    <w:rsid w:val="411C3B2E"/>
    <w:rsid w:val="41313092"/>
    <w:rsid w:val="4141495B"/>
    <w:rsid w:val="414F2E44"/>
    <w:rsid w:val="415F6D98"/>
    <w:rsid w:val="41724FC6"/>
    <w:rsid w:val="41841BB5"/>
    <w:rsid w:val="41A81DE8"/>
    <w:rsid w:val="41A836B9"/>
    <w:rsid w:val="41A90E7A"/>
    <w:rsid w:val="41CB48C6"/>
    <w:rsid w:val="41D97E6B"/>
    <w:rsid w:val="41DB0B65"/>
    <w:rsid w:val="41DF7C34"/>
    <w:rsid w:val="41E225DE"/>
    <w:rsid w:val="4200449D"/>
    <w:rsid w:val="420B0DBB"/>
    <w:rsid w:val="420C1409"/>
    <w:rsid w:val="421A6A9E"/>
    <w:rsid w:val="423A0A88"/>
    <w:rsid w:val="423A3BCC"/>
    <w:rsid w:val="423F038C"/>
    <w:rsid w:val="424E57D2"/>
    <w:rsid w:val="425C413F"/>
    <w:rsid w:val="425E62C1"/>
    <w:rsid w:val="425F0D52"/>
    <w:rsid w:val="42727A62"/>
    <w:rsid w:val="427D498F"/>
    <w:rsid w:val="42885446"/>
    <w:rsid w:val="428E5F2A"/>
    <w:rsid w:val="42933DB2"/>
    <w:rsid w:val="42A653BA"/>
    <w:rsid w:val="42B26C49"/>
    <w:rsid w:val="42C94BC4"/>
    <w:rsid w:val="42D177DE"/>
    <w:rsid w:val="42D24401"/>
    <w:rsid w:val="42D57E87"/>
    <w:rsid w:val="42DD23F4"/>
    <w:rsid w:val="42EA799C"/>
    <w:rsid w:val="42EB31AA"/>
    <w:rsid w:val="42FE51F6"/>
    <w:rsid w:val="43085C34"/>
    <w:rsid w:val="430B346F"/>
    <w:rsid w:val="43222ED4"/>
    <w:rsid w:val="43261D16"/>
    <w:rsid w:val="43295E38"/>
    <w:rsid w:val="43335AA8"/>
    <w:rsid w:val="433A6FB8"/>
    <w:rsid w:val="433A6FE6"/>
    <w:rsid w:val="43423544"/>
    <w:rsid w:val="43480868"/>
    <w:rsid w:val="434A043B"/>
    <w:rsid w:val="4350713C"/>
    <w:rsid w:val="436653E0"/>
    <w:rsid w:val="43747266"/>
    <w:rsid w:val="43892C10"/>
    <w:rsid w:val="438E359F"/>
    <w:rsid w:val="4391606A"/>
    <w:rsid w:val="439B2E0A"/>
    <w:rsid w:val="43A13A90"/>
    <w:rsid w:val="43AE5E5A"/>
    <w:rsid w:val="43B576B7"/>
    <w:rsid w:val="43C4431A"/>
    <w:rsid w:val="43D04FC1"/>
    <w:rsid w:val="43D12488"/>
    <w:rsid w:val="43E91A02"/>
    <w:rsid w:val="43F263DD"/>
    <w:rsid w:val="440426ED"/>
    <w:rsid w:val="44105B32"/>
    <w:rsid w:val="44217EC0"/>
    <w:rsid w:val="442318CF"/>
    <w:rsid w:val="44241459"/>
    <w:rsid w:val="44263503"/>
    <w:rsid w:val="44362698"/>
    <w:rsid w:val="44383A53"/>
    <w:rsid w:val="446307CD"/>
    <w:rsid w:val="446407DB"/>
    <w:rsid w:val="44644121"/>
    <w:rsid w:val="44645063"/>
    <w:rsid w:val="446D6522"/>
    <w:rsid w:val="4481734B"/>
    <w:rsid w:val="44872FC9"/>
    <w:rsid w:val="448D631A"/>
    <w:rsid w:val="44965B36"/>
    <w:rsid w:val="449974D6"/>
    <w:rsid w:val="44A10DB8"/>
    <w:rsid w:val="44B02520"/>
    <w:rsid w:val="44B35030"/>
    <w:rsid w:val="44B951CC"/>
    <w:rsid w:val="44BA6EFA"/>
    <w:rsid w:val="44BB570B"/>
    <w:rsid w:val="44C83C11"/>
    <w:rsid w:val="44CD14E0"/>
    <w:rsid w:val="44D41286"/>
    <w:rsid w:val="44DE708D"/>
    <w:rsid w:val="44E42348"/>
    <w:rsid w:val="44EF03F9"/>
    <w:rsid w:val="44F20B0B"/>
    <w:rsid w:val="450E1DE3"/>
    <w:rsid w:val="452D1DC2"/>
    <w:rsid w:val="452E5F4C"/>
    <w:rsid w:val="453122BC"/>
    <w:rsid w:val="453C0257"/>
    <w:rsid w:val="45505AB1"/>
    <w:rsid w:val="45612018"/>
    <w:rsid w:val="456146B9"/>
    <w:rsid w:val="4568104C"/>
    <w:rsid w:val="457056E6"/>
    <w:rsid w:val="4573647C"/>
    <w:rsid w:val="457E5AE1"/>
    <w:rsid w:val="458946E9"/>
    <w:rsid w:val="459C16E9"/>
    <w:rsid w:val="45A47C0E"/>
    <w:rsid w:val="45AE6AE3"/>
    <w:rsid w:val="45B147D2"/>
    <w:rsid w:val="45C4571F"/>
    <w:rsid w:val="45CA5863"/>
    <w:rsid w:val="45CC5137"/>
    <w:rsid w:val="45D72D17"/>
    <w:rsid w:val="45EE696D"/>
    <w:rsid w:val="45FB2391"/>
    <w:rsid w:val="460A5E25"/>
    <w:rsid w:val="46120851"/>
    <w:rsid w:val="4617507B"/>
    <w:rsid w:val="461B158F"/>
    <w:rsid w:val="463B1C84"/>
    <w:rsid w:val="463F727A"/>
    <w:rsid w:val="46437A72"/>
    <w:rsid w:val="464944CB"/>
    <w:rsid w:val="46521CDE"/>
    <w:rsid w:val="46577FD6"/>
    <w:rsid w:val="46765C0C"/>
    <w:rsid w:val="46871509"/>
    <w:rsid w:val="468A57AE"/>
    <w:rsid w:val="46904DEC"/>
    <w:rsid w:val="46957C1F"/>
    <w:rsid w:val="46A165C4"/>
    <w:rsid w:val="46AB11F1"/>
    <w:rsid w:val="46B1257F"/>
    <w:rsid w:val="46B215BE"/>
    <w:rsid w:val="46B22148"/>
    <w:rsid w:val="46C2478C"/>
    <w:rsid w:val="46CB1893"/>
    <w:rsid w:val="46D955A7"/>
    <w:rsid w:val="46DD4613"/>
    <w:rsid w:val="46E6743A"/>
    <w:rsid w:val="46EB783F"/>
    <w:rsid w:val="470623B4"/>
    <w:rsid w:val="470C7AB6"/>
    <w:rsid w:val="470D2F96"/>
    <w:rsid w:val="470E352E"/>
    <w:rsid w:val="47133957"/>
    <w:rsid w:val="47386249"/>
    <w:rsid w:val="47480E67"/>
    <w:rsid w:val="474B3009"/>
    <w:rsid w:val="47596E9F"/>
    <w:rsid w:val="475B6DE6"/>
    <w:rsid w:val="477B19D0"/>
    <w:rsid w:val="477B235C"/>
    <w:rsid w:val="47835CCA"/>
    <w:rsid w:val="47845C43"/>
    <w:rsid w:val="47893AB1"/>
    <w:rsid w:val="479B5D08"/>
    <w:rsid w:val="47A07E0C"/>
    <w:rsid w:val="47D77DC3"/>
    <w:rsid w:val="47E91F25"/>
    <w:rsid w:val="47FE35A2"/>
    <w:rsid w:val="48181835"/>
    <w:rsid w:val="481D3484"/>
    <w:rsid w:val="48210AED"/>
    <w:rsid w:val="48216D5D"/>
    <w:rsid w:val="48254FD3"/>
    <w:rsid w:val="48365C43"/>
    <w:rsid w:val="484010AC"/>
    <w:rsid w:val="484418FD"/>
    <w:rsid w:val="484863C2"/>
    <w:rsid w:val="48496525"/>
    <w:rsid w:val="485E04E5"/>
    <w:rsid w:val="4870272E"/>
    <w:rsid w:val="487A29A7"/>
    <w:rsid w:val="48880C64"/>
    <w:rsid w:val="48C26160"/>
    <w:rsid w:val="48CA2E45"/>
    <w:rsid w:val="48F03833"/>
    <w:rsid w:val="48F77A6B"/>
    <w:rsid w:val="491B3A7F"/>
    <w:rsid w:val="492E7458"/>
    <w:rsid w:val="49382FBA"/>
    <w:rsid w:val="49406C34"/>
    <w:rsid w:val="494616A5"/>
    <w:rsid w:val="49477DC6"/>
    <w:rsid w:val="495E24D9"/>
    <w:rsid w:val="495F3631"/>
    <w:rsid w:val="496F2F35"/>
    <w:rsid w:val="497847C6"/>
    <w:rsid w:val="49787384"/>
    <w:rsid w:val="497A4942"/>
    <w:rsid w:val="49827F96"/>
    <w:rsid w:val="499441BE"/>
    <w:rsid w:val="499524F4"/>
    <w:rsid w:val="499637FE"/>
    <w:rsid w:val="49A578DC"/>
    <w:rsid w:val="49B775B3"/>
    <w:rsid w:val="49B82553"/>
    <w:rsid w:val="49BF6D61"/>
    <w:rsid w:val="49D442C8"/>
    <w:rsid w:val="49DC7715"/>
    <w:rsid w:val="49EF4693"/>
    <w:rsid w:val="49F541DD"/>
    <w:rsid w:val="49F70276"/>
    <w:rsid w:val="4A023139"/>
    <w:rsid w:val="4A080708"/>
    <w:rsid w:val="4A144AFE"/>
    <w:rsid w:val="4A17744A"/>
    <w:rsid w:val="4A2F37DA"/>
    <w:rsid w:val="4A467946"/>
    <w:rsid w:val="4A4756D4"/>
    <w:rsid w:val="4A522C8B"/>
    <w:rsid w:val="4A670836"/>
    <w:rsid w:val="4A7B576F"/>
    <w:rsid w:val="4A8362B5"/>
    <w:rsid w:val="4A893DB6"/>
    <w:rsid w:val="4A9D460A"/>
    <w:rsid w:val="4AA90FA2"/>
    <w:rsid w:val="4ABE52CB"/>
    <w:rsid w:val="4AD8632C"/>
    <w:rsid w:val="4AF561A9"/>
    <w:rsid w:val="4AF76666"/>
    <w:rsid w:val="4B0B04B0"/>
    <w:rsid w:val="4B115C9C"/>
    <w:rsid w:val="4B1B2864"/>
    <w:rsid w:val="4B321EE0"/>
    <w:rsid w:val="4B35186C"/>
    <w:rsid w:val="4B3F6480"/>
    <w:rsid w:val="4B524331"/>
    <w:rsid w:val="4B552D01"/>
    <w:rsid w:val="4B721DBE"/>
    <w:rsid w:val="4B886FC2"/>
    <w:rsid w:val="4B896963"/>
    <w:rsid w:val="4B8E4F17"/>
    <w:rsid w:val="4B9714CF"/>
    <w:rsid w:val="4BAA4C79"/>
    <w:rsid w:val="4BAF49E0"/>
    <w:rsid w:val="4BBD0937"/>
    <w:rsid w:val="4BCF4E49"/>
    <w:rsid w:val="4BDA4326"/>
    <w:rsid w:val="4BDC009E"/>
    <w:rsid w:val="4BE718A8"/>
    <w:rsid w:val="4BF05C70"/>
    <w:rsid w:val="4C06511B"/>
    <w:rsid w:val="4C286E40"/>
    <w:rsid w:val="4C2A6E6D"/>
    <w:rsid w:val="4C327CBE"/>
    <w:rsid w:val="4C345D7F"/>
    <w:rsid w:val="4C4A0649"/>
    <w:rsid w:val="4C562874"/>
    <w:rsid w:val="4C59524B"/>
    <w:rsid w:val="4C684F22"/>
    <w:rsid w:val="4C786689"/>
    <w:rsid w:val="4C7E5ECA"/>
    <w:rsid w:val="4C8000ED"/>
    <w:rsid w:val="4C800A2A"/>
    <w:rsid w:val="4C821249"/>
    <w:rsid w:val="4C876AA5"/>
    <w:rsid w:val="4C9B3A49"/>
    <w:rsid w:val="4CAE1A3B"/>
    <w:rsid w:val="4CBB4158"/>
    <w:rsid w:val="4CC17863"/>
    <w:rsid w:val="4CCE1771"/>
    <w:rsid w:val="4CD072D5"/>
    <w:rsid w:val="4CDD40CE"/>
    <w:rsid w:val="4D0E00FB"/>
    <w:rsid w:val="4D0F5726"/>
    <w:rsid w:val="4D176606"/>
    <w:rsid w:val="4D180B9A"/>
    <w:rsid w:val="4D225F85"/>
    <w:rsid w:val="4D227D33"/>
    <w:rsid w:val="4D275349"/>
    <w:rsid w:val="4D2E3572"/>
    <w:rsid w:val="4D355CB8"/>
    <w:rsid w:val="4D365A25"/>
    <w:rsid w:val="4D376ADA"/>
    <w:rsid w:val="4D386F8E"/>
    <w:rsid w:val="4D3F4085"/>
    <w:rsid w:val="4D471250"/>
    <w:rsid w:val="4D6E34CC"/>
    <w:rsid w:val="4D704AAA"/>
    <w:rsid w:val="4D747C04"/>
    <w:rsid w:val="4D7A36CB"/>
    <w:rsid w:val="4D830708"/>
    <w:rsid w:val="4D88228C"/>
    <w:rsid w:val="4DA122B1"/>
    <w:rsid w:val="4DA93C09"/>
    <w:rsid w:val="4DAF4A8F"/>
    <w:rsid w:val="4DBB3B00"/>
    <w:rsid w:val="4DCF1D43"/>
    <w:rsid w:val="4DE4323A"/>
    <w:rsid w:val="4DE54051"/>
    <w:rsid w:val="4DE60488"/>
    <w:rsid w:val="4DEC4FB0"/>
    <w:rsid w:val="4DFB170D"/>
    <w:rsid w:val="4DFC4A28"/>
    <w:rsid w:val="4E02188A"/>
    <w:rsid w:val="4E075D8A"/>
    <w:rsid w:val="4E0E68A2"/>
    <w:rsid w:val="4E113900"/>
    <w:rsid w:val="4E160CCB"/>
    <w:rsid w:val="4E165AE9"/>
    <w:rsid w:val="4E1B7248"/>
    <w:rsid w:val="4E730FEA"/>
    <w:rsid w:val="4E782796"/>
    <w:rsid w:val="4E830CA5"/>
    <w:rsid w:val="4EA551DB"/>
    <w:rsid w:val="4EA604F0"/>
    <w:rsid w:val="4EB726FD"/>
    <w:rsid w:val="4EC00FAD"/>
    <w:rsid w:val="4EDA6183"/>
    <w:rsid w:val="4EE72FE2"/>
    <w:rsid w:val="4EEF00E8"/>
    <w:rsid w:val="4F12061C"/>
    <w:rsid w:val="4F133DD7"/>
    <w:rsid w:val="4F225537"/>
    <w:rsid w:val="4F2E4382"/>
    <w:rsid w:val="4F2E7067"/>
    <w:rsid w:val="4F2F6737"/>
    <w:rsid w:val="4F673183"/>
    <w:rsid w:val="4F6E54B1"/>
    <w:rsid w:val="4F903ADD"/>
    <w:rsid w:val="4F9843DC"/>
    <w:rsid w:val="4F987C70"/>
    <w:rsid w:val="4FA5701A"/>
    <w:rsid w:val="4FB21842"/>
    <w:rsid w:val="4FB46E26"/>
    <w:rsid w:val="4FC13833"/>
    <w:rsid w:val="4FC62A8C"/>
    <w:rsid w:val="4FCB6D72"/>
    <w:rsid w:val="4FD03F64"/>
    <w:rsid w:val="4FD524D5"/>
    <w:rsid w:val="4FDD382E"/>
    <w:rsid w:val="4FE20F0D"/>
    <w:rsid w:val="4FE51552"/>
    <w:rsid w:val="4FF220A8"/>
    <w:rsid w:val="4FFB7322"/>
    <w:rsid w:val="4FFF25AD"/>
    <w:rsid w:val="4FFF6735"/>
    <w:rsid w:val="500058BA"/>
    <w:rsid w:val="50083210"/>
    <w:rsid w:val="50171A92"/>
    <w:rsid w:val="501925EA"/>
    <w:rsid w:val="502E69EF"/>
    <w:rsid w:val="50324731"/>
    <w:rsid w:val="504306EC"/>
    <w:rsid w:val="504B0F94"/>
    <w:rsid w:val="50504C4B"/>
    <w:rsid w:val="506B7C43"/>
    <w:rsid w:val="5073127E"/>
    <w:rsid w:val="50834F8C"/>
    <w:rsid w:val="509A2B29"/>
    <w:rsid w:val="509C6E7C"/>
    <w:rsid w:val="509F5B37"/>
    <w:rsid w:val="50A11FAC"/>
    <w:rsid w:val="50B577B6"/>
    <w:rsid w:val="50C64E79"/>
    <w:rsid w:val="50E2454A"/>
    <w:rsid w:val="50E82BC5"/>
    <w:rsid w:val="50F26571"/>
    <w:rsid w:val="50F93D74"/>
    <w:rsid w:val="50FC34F8"/>
    <w:rsid w:val="5116410C"/>
    <w:rsid w:val="511D718F"/>
    <w:rsid w:val="511E0468"/>
    <w:rsid w:val="51273ADE"/>
    <w:rsid w:val="51281690"/>
    <w:rsid w:val="512A0417"/>
    <w:rsid w:val="512B26F4"/>
    <w:rsid w:val="513E0EB3"/>
    <w:rsid w:val="514364CA"/>
    <w:rsid w:val="514710DA"/>
    <w:rsid w:val="5162104E"/>
    <w:rsid w:val="516812CA"/>
    <w:rsid w:val="51701360"/>
    <w:rsid w:val="518836F5"/>
    <w:rsid w:val="519941E6"/>
    <w:rsid w:val="51A2131C"/>
    <w:rsid w:val="51AA7576"/>
    <w:rsid w:val="51CF320B"/>
    <w:rsid w:val="51D41A78"/>
    <w:rsid w:val="51E47F07"/>
    <w:rsid w:val="51EE7F7C"/>
    <w:rsid w:val="52264842"/>
    <w:rsid w:val="523072B3"/>
    <w:rsid w:val="523E5A00"/>
    <w:rsid w:val="524A3E33"/>
    <w:rsid w:val="52720E14"/>
    <w:rsid w:val="528648C0"/>
    <w:rsid w:val="529114A2"/>
    <w:rsid w:val="5294746B"/>
    <w:rsid w:val="529E1E09"/>
    <w:rsid w:val="529F1132"/>
    <w:rsid w:val="52A54FA4"/>
    <w:rsid w:val="52A829E9"/>
    <w:rsid w:val="52B753C1"/>
    <w:rsid w:val="52BA2094"/>
    <w:rsid w:val="52BE04FE"/>
    <w:rsid w:val="52C6550E"/>
    <w:rsid w:val="52D10231"/>
    <w:rsid w:val="52EB39B3"/>
    <w:rsid w:val="52F52966"/>
    <w:rsid w:val="52F53C87"/>
    <w:rsid w:val="52F67C97"/>
    <w:rsid w:val="5314438A"/>
    <w:rsid w:val="53193986"/>
    <w:rsid w:val="531973AA"/>
    <w:rsid w:val="53200E2F"/>
    <w:rsid w:val="53251DD8"/>
    <w:rsid w:val="53397B84"/>
    <w:rsid w:val="533C2C43"/>
    <w:rsid w:val="53404314"/>
    <w:rsid w:val="5343618F"/>
    <w:rsid w:val="536F163D"/>
    <w:rsid w:val="537E1A3B"/>
    <w:rsid w:val="53870B97"/>
    <w:rsid w:val="53887DEA"/>
    <w:rsid w:val="53894668"/>
    <w:rsid w:val="539D0113"/>
    <w:rsid w:val="53A039CC"/>
    <w:rsid w:val="53A1505A"/>
    <w:rsid w:val="53A96AB8"/>
    <w:rsid w:val="53B35B89"/>
    <w:rsid w:val="53B67427"/>
    <w:rsid w:val="53C51035"/>
    <w:rsid w:val="53DD49B3"/>
    <w:rsid w:val="53E704F9"/>
    <w:rsid w:val="54063E08"/>
    <w:rsid w:val="54226F60"/>
    <w:rsid w:val="54254801"/>
    <w:rsid w:val="5428214D"/>
    <w:rsid w:val="542E1BC1"/>
    <w:rsid w:val="543437E8"/>
    <w:rsid w:val="543E768E"/>
    <w:rsid w:val="54442556"/>
    <w:rsid w:val="545A7C18"/>
    <w:rsid w:val="545B4774"/>
    <w:rsid w:val="545F0285"/>
    <w:rsid w:val="546A24E1"/>
    <w:rsid w:val="54700791"/>
    <w:rsid w:val="54A467D9"/>
    <w:rsid w:val="54D07A5A"/>
    <w:rsid w:val="54F73313"/>
    <w:rsid w:val="54F80955"/>
    <w:rsid w:val="55004D48"/>
    <w:rsid w:val="55067F3A"/>
    <w:rsid w:val="55236D3E"/>
    <w:rsid w:val="552B1F03"/>
    <w:rsid w:val="553B075F"/>
    <w:rsid w:val="5543533B"/>
    <w:rsid w:val="55443445"/>
    <w:rsid w:val="55504C96"/>
    <w:rsid w:val="555170A7"/>
    <w:rsid w:val="556709D9"/>
    <w:rsid w:val="556B2FDA"/>
    <w:rsid w:val="55825DE9"/>
    <w:rsid w:val="5587536D"/>
    <w:rsid w:val="559A7000"/>
    <w:rsid w:val="559B174B"/>
    <w:rsid w:val="55BA7FB0"/>
    <w:rsid w:val="55C34853"/>
    <w:rsid w:val="55C436FC"/>
    <w:rsid w:val="55CE0CF4"/>
    <w:rsid w:val="55CF47D0"/>
    <w:rsid w:val="55D82A75"/>
    <w:rsid w:val="55FC1626"/>
    <w:rsid w:val="561B54FD"/>
    <w:rsid w:val="561B7A15"/>
    <w:rsid w:val="5627460C"/>
    <w:rsid w:val="56293EE0"/>
    <w:rsid w:val="563F24CF"/>
    <w:rsid w:val="56460DE7"/>
    <w:rsid w:val="56496A4F"/>
    <w:rsid w:val="565A22EB"/>
    <w:rsid w:val="56602454"/>
    <w:rsid w:val="56694C24"/>
    <w:rsid w:val="56701B0F"/>
    <w:rsid w:val="56985F83"/>
    <w:rsid w:val="569D0EE9"/>
    <w:rsid w:val="56A22E70"/>
    <w:rsid w:val="56A816B3"/>
    <w:rsid w:val="56A8690E"/>
    <w:rsid w:val="56B22A9C"/>
    <w:rsid w:val="56BC2FA6"/>
    <w:rsid w:val="56BC6B02"/>
    <w:rsid w:val="56C13162"/>
    <w:rsid w:val="56C47577"/>
    <w:rsid w:val="56DF0A43"/>
    <w:rsid w:val="56E35EF2"/>
    <w:rsid w:val="56E7079F"/>
    <w:rsid w:val="56FB6C53"/>
    <w:rsid w:val="57040EA4"/>
    <w:rsid w:val="571476AD"/>
    <w:rsid w:val="57242B96"/>
    <w:rsid w:val="572A5554"/>
    <w:rsid w:val="573267E0"/>
    <w:rsid w:val="573E39BB"/>
    <w:rsid w:val="574301E1"/>
    <w:rsid w:val="57521214"/>
    <w:rsid w:val="575E405D"/>
    <w:rsid w:val="57706690"/>
    <w:rsid w:val="5798756F"/>
    <w:rsid w:val="57B72A76"/>
    <w:rsid w:val="57BB34E2"/>
    <w:rsid w:val="57BD0D84"/>
    <w:rsid w:val="57C029C8"/>
    <w:rsid w:val="57C3426C"/>
    <w:rsid w:val="57C81ABA"/>
    <w:rsid w:val="57CE1F93"/>
    <w:rsid w:val="57D36BC1"/>
    <w:rsid w:val="57D54F6A"/>
    <w:rsid w:val="57D6629F"/>
    <w:rsid w:val="57EC2E73"/>
    <w:rsid w:val="57F34CBE"/>
    <w:rsid w:val="57F66A66"/>
    <w:rsid w:val="58096AA8"/>
    <w:rsid w:val="580B5F93"/>
    <w:rsid w:val="580C4FAE"/>
    <w:rsid w:val="5813522A"/>
    <w:rsid w:val="58246FCF"/>
    <w:rsid w:val="583D0117"/>
    <w:rsid w:val="583F2ED1"/>
    <w:rsid w:val="584705FF"/>
    <w:rsid w:val="584E40D2"/>
    <w:rsid w:val="58564D34"/>
    <w:rsid w:val="58585716"/>
    <w:rsid w:val="586D0C54"/>
    <w:rsid w:val="58747376"/>
    <w:rsid w:val="587578B0"/>
    <w:rsid w:val="58843659"/>
    <w:rsid w:val="588743D1"/>
    <w:rsid w:val="5887701A"/>
    <w:rsid w:val="58922210"/>
    <w:rsid w:val="589578A5"/>
    <w:rsid w:val="58AA6D4E"/>
    <w:rsid w:val="58BB1D11"/>
    <w:rsid w:val="58C914D3"/>
    <w:rsid w:val="58E14F46"/>
    <w:rsid w:val="58E850B3"/>
    <w:rsid w:val="58E90585"/>
    <w:rsid w:val="58ED7447"/>
    <w:rsid w:val="58EE4FB5"/>
    <w:rsid w:val="58F44D42"/>
    <w:rsid w:val="590A3CEE"/>
    <w:rsid w:val="591C7D2C"/>
    <w:rsid w:val="59202736"/>
    <w:rsid w:val="59236118"/>
    <w:rsid w:val="592E0FDE"/>
    <w:rsid w:val="592F1704"/>
    <w:rsid w:val="59363F52"/>
    <w:rsid w:val="5943241C"/>
    <w:rsid w:val="594E1447"/>
    <w:rsid w:val="59577AC7"/>
    <w:rsid w:val="59723DF0"/>
    <w:rsid w:val="59744013"/>
    <w:rsid w:val="599B6EA3"/>
    <w:rsid w:val="59B36259"/>
    <w:rsid w:val="59BB12F3"/>
    <w:rsid w:val="59C0439F"/>
    <w:rsid w:val="59DD205E"/>
    <w:rsid w:val="5A04279B"/>
    <w:rsid w:val="5A0D09CF"/>
    <w:rsid w:val="5A1D3D5C"/>
    <w:rsid w:val="5A4470B4"/>
    <w:rsid w:val="5A67782E"/>
    <w:rsid w:val="5A826802"/>
    <w:rsid w:val="5A9658BC"/>
    <w:rsid w:val="5A9B6BFF"/>
    <w:rsid w:val="5AAF235F"/>
    <w:rsid w:val="5ABE2233"/>
    <w:rsid w:val="5ABE77E8"/>
    <w:rsid w:val="5AC029A8"/>
    <w:rsid w:val="5ACC5F23"/>
    <w:rsid w:val="5AD563E4"/>
    <w:rsid w:val="5ADF3707"/>
    <w:rsid w:val="5AF81198"/>
    <w:rsid w:val="5B040C05"/>
    <w:rsid w:val="5B1A64ED"/>
    <w:rsid w:val="5B1E4EC6"/>
    <w:rsid w:val="5B200126"/>
    <w:rsid w:val="5B240428"/>
    <w:rsid w:val="5B284A27"/>
    <w:rsid w:val="5B3A26EB"/>
    <w:rsid w:val="5B545144"/>
    <w:rsid w:val="5B6B44AB"/>
    <w:rsid w:val="5B706D49"/>
    <w:rsid w:val="5B7F17F2"/>
    <w:rsid w:val="5B8C0D9E"/>
    <w:rsid w:val="5B8D5650"/>
    <w:rsid w:val="5BBA79E8"/>
    <w:rsid w:val="5BBE331C"/>
    <w:rsid w:val="5BBF550A"/>
    <w:rsid w:val="5BC30933"/>
    <w:rsid w:val="5BC8419B"/>
    <w:rsid w:val="5BD82630"/>
    <w:rsid w:val="5BDF5D95"/>
    <w:rsid w:val="5BF029F3"/>
    <w:rsid w:val="5BF849F0"/>
    <w:rsid w:val="5BFE049B"/>
    <w:rsid w:val="5BFE7528"/>
    <w:rsid w:val="5C1F025F"/>
    <w:rsid w:val="5C254AB3"/>
    <w:rsid w:val="5C6E4D42"/>
    <w:rsid w:val="5C6E5A30"/>
    <w:rsid w:val="5C71058D"/>
    <w:rsid w:val="5C891BF4"/>
    <w:rsid w:val="5C9B540C"/>
    <w:rsid w:val="5CAB4145"/>
    <w:rsid w:val="5CC30ECF"/>
    <w:rsid w:val="5CC93D27"/>
    <w:rsid w:val="5CCB08A0"/>
    <w:rsid w:val="5CD252D1"/>
    <w:rsid w:val="5CDA4186"/>
    <w:rsid w:val="5CE86C24"/>
    <w:rsid w:val="5CEF0B87"/>
    <w:rsid w:val="5CF644C9"/>
    <w:rsid w:val="5D064538"/>
    <w:rsid w:val="5D121B72"/>
    <w:rsid w:val="5D1E0517"/>
    <w:rsid w:val="5D2923FB"/>
    <w:rsid w:val="5D350048"/>
    <w:rsid w:val="5D350852"/>
    <w:rsid w:val="5D467E0D"/>
    <w:rsid w:val="5D4B5084"/>
    <w:rsid w:val="5D526412"/>
    <w:rsid w:val="5D656496"/>
    <w:rsid w:val="5D7243BE"/>
    <w:rsid w:val="5D977F76"/>
    <w:rsid w:val="5DA327CA"/>
    <w:rsid w:val="5DCB3EED"/>
    <w:rsid w:val="5DD45C6C"/>
    <w:rsid w:val="5DD46D36"/>
    <w:rsid w:val="5DDA62A3"/>
    <w:rsid w:val="5DDB7157"/>
    <w:rsid w:val="5DDE0441"/>
    <w:rsid w:val="5DDE7679"/>
    <w:rsid w:val="5DE0273B"/>
    <w:rsid w:val="5DE132F2"/>
    <w:rsid w:val="5DEC1CA0"/>
    <w:rsid w:val="5DFB2606"/>
    <w:rsid w:val="5E004A8A"/>
    <w:rsid w:val="5E2356B9"/>
    <w:rsid w:val="5E2467F1"/>
    <w:rsid w:val="5E443FAD"/>
    <w:rsid w:val="5E5E4BB3"/>
    <w:rsid w:val="5E745606"/>
    <w:rsid w:val="5E8321B1"/>
    <w:rsid w:val="5E873E9A"/>
    <w:rsid w:val="5EA06D09"/>
    <w:rsid w:val="5EA80789"/>
    <w:rsid w:val="5EAA6700"/>
    <w:rsid w:val="5EB90E7C"/>
    <w:rsid w:val="5EB9176F"/>
    <w:rsid w:val="5EC40C4A"/>
    <w:rsid w:val="5ED115B9"/>
    <w:rsid w:val="5EE74C7C"/>
    <w:rsid w:val="5EEC01A1"/>
    <w:rsid w:val="5F011E9E"/>
    <w:rsid w:val="5F1A2B43"/>
    <w:rsid w:val="5F215AB2"/>
    <w:rsid w:val="5F2964D4"/>
    <w:rsid w:val="5F2D46F6"/>
    <w:rsid w:val="5F337B7D"/>
    <w:rsid w:val="5F433B4E"/>
    <w:rsid w:val="5F4731AC"/>
    <w:rsid w:val="5F707E1B"/>
    <w:rsid w:val="5F8D0666"/>
    <w:rsid w:val="5FA8056B"/>
    <w:rsid w:val="5FB837BB"/>
    <w:rsid w:val="5FB94527"/>
    <w:rsid w:val="5FC30F01"/>
    <w:rsid w:val="5FC559BE"/>
    <w:rsid w:val="5FCA6883"/>
    <w:rsid w:val="5FE2255F"/>
    <w:rsid w:val="5FF217E7"/>
    <w:rsid w:val="5FFC4413"/>
    <w:rsid w:val="5FFF1849"/>
    <w:rsid w:val="600339F4"/>
    <w:rsid w:val="601C6864"/>
    <w:rsid w:val="6025525E"/>
    <w:rsid w:val="60275934"/>
    <w:rsid w:val="604162CA"/>
    <w:rsid w:val="6042180B"/>
    <w:rsid w:val="6046301B"/>
    <w:rsid w:val="6058186C"/>
    <w:rsid w:val="60686E0D"/>
    <w:rsid w:val="60795565"/>
    <w:rsid w:val="608F1B19"/>
    <w:rsid w:val="60917582"/>
    <w:rsid w:val="60AA6949"/>
    <w:rsid w:val="60B46A9D"/>
    <w:rsid w:val="60B84779"/>
    <w:rsid w:val="60BF1A4F"/>
    <w:rsid w:val="60C10805"/>
    <w:rsid w:val="60C6250D"/>
    <w:rsid w:val="60C676E5"/>
    <w:rsid w:val="60CA600A"/>
    <w:rsid w:val="60CC405A"/>
    <w:rsid w:val="60DA0BF8"/>
    <w:rsid w:val="60E750C3"/>
    <w:rsid w:val="60E93370"/>
    <w:rsid w:val="60F06F3E"/>
    <w:rsid w:val="61001A11"/>
    <w:rsid w:val="61113EEE"/>
    <w:rsid w:val="61122B5C"/>
    <w:rsid w:val="611D3B1B"/>
    <w:rsid w:val="611D780C"/>
    <w:rsid w:val="61217132"/>
    <w:rsid w:val="613C71BD"/>
    <w:rsid w:val="613E3693"/>
    <w:rsid w:val="613E40D1"/>
    <w:rsid w:val="61421A70"/>
    <w:rsid w:val="61573FF7"/>
    <w:rsid w:val="61660D9B"/>
    <w:rsid w:val="61686204"/>
    <w:rsid w:val="617249A6"/>
    <w:rsid w:val="61826B9A"/>
    <w:rsid w:val="619816E5"/>
    <w:rsid w:val="619F0C60"/>
    <w:rsid w:val="619F774C"/>
    <w:rsid w:val="61B646BC"/>
    <w:rsid w:val="61B73C23"/>
    <w:rsid w:val="61D407DF"/>
    <w:rsid w:val="61D76EE6"/>
    <w:rsid w:val="61E215D8"/>
    <w:rsid w:val="61F3296E"/>
    <w:rsid w:val="61FB0E26"/>
    <w:rsid w:val="61FF0CA7"/>
    <w:rsid w:val="6200643D"/>
    <w:rsid w:val="6202428E"/>
    <w:rsid w:val="62035AB5"/>
    <w:rsid w:val="6211431D"/>
    <w:rsid w:val="62143C96"/>
    <w:rsid w:val="62176CE8"/>
    <w:rsid w:val="621B3775"/>
    <w:rsid w:val="62283236"/>
    <w:rsid w:val="622A5268"/>
    <w:rsid w:val="62364782"/>
    <w:rsid w:val="62475A4D"/>
    <w:rsid w:val="62610F56"/>
    <w:rsid w:val="62612C54"/>
    <w:rsid w:val="6271733B"/>
    <w:rsid w:val="62884A44"/>
    <w:rsid w:val="628D16DF"/>
    <w:rsid w:val="62970C2B"/>
    <w:rsid w:val="62975B24"/>
    <w:rsid w:val="62982D41"/>
    <w:rsid w:val="62A56FE4"/>
    <w:rsid w:val="62AD1E3C"/>
    <w:rsid w:val="62B426CA"/>
    <w:rsid w:val="62B57BED"/>
    <w:rsid w:val="62D27B3D"/>
    <w:rsid w:val="62E65233"/>
    <w:rsid w:val="62E80C7F"/>
    <w:rsid w:val="62EB2E5D"/>
    <w:rsid w:val="62FC4413"/>
    <w:rsid w:val="63041F5D"/>
    <w:rsid w:val="632443AD"/>
    <w:rsid w:val="63274843"/>
    <w:rsid w:val="63276A8B"/>
    <w:rsid w:val="633D4A46"/>
    <w:rsid w:val="63425C9A"/>
    <w:rsid w:val="63430E0F"/>
    <w:rsid w:val="6355038C"/>
    <w:rsid w:val="63646E4F"/>
    <w:rsid w:val="636F372A"/>
    <w:rsid w:val="637D586B"/>
    <w:rsid w:val="63863927"/>
    <w:rsid w:val="6394356A"/>
    <w:rsid w:val="63AB4186"/>
    <w:rsid w:val="63BD66A9"/>
    <w:rsid w:val="63BE76F0"/>
    <w:rsid w:val="63C61B2C"/>
    <w:rsid w:val="63CE4319"/>
    <w:rsid w:val="63D40BE9"/>
    <w:rsid w:val="63D5361B"/>
    <w:rsid w:val="63DA0F0F"/>
    <w:rsid w:val="63DF2082"/>
    <w:rsid w:val="63F13B6A"/>
    <w:rsid w:val="63FE7ECC"/>
    <w:rsid w:val="64102431"/>
    <w:rsid w:val="64144421"/>
    <w:rsid w:val="64151178"/>
    <w:rsid w:val="641753CF"/>
    <w:rsid w:val="641E7C33"/>
    <w:rsid w:val="644864CC"/>
    <w:rsid w:val="645164C0"/>
    <w:rsid w:val="645962D8"/>
    <w:rsid w:val="645D7F05"/>
    <w:rsid w:val="646E264C"/>
    <w:rsid w:val="64822E29"/>
    <w:rsid w:val="649015CE"/>
    <w:rsid w:val="64990483"/>
    <w:rsid w:val="64A5243A"/>
    <w:rsid w:val="64BB0186"/>
    <w:rsid w:val="64BB041F"/>
    <w:rsid w:val="64CC2758"/>
    <w:rsid w:val="64DB4F3F"/>
    <w:rsid w:val="64DC3BDB"/>
    <w:rsid w:val="64EA33D4"/>
    <w:rsid w:val="64EF1FE6"/>
    <w:rsid w:val="64F531DE"/>
    <w:rsid w:val="65172464"/>
    <w:rsid w:val="65366D92"/>
    <w:rsid w:val="65372C0E"/>
    <w:rsid w:val="65373578"/>
    <w:rsid w:val="653F54CE"/>
    <w:rsid w:val="65420B1A"/>
    <w:rsid w:val="6558033E"/>
    <w:rsid w:val="655F347A"/>
    <w:rsid w:val="656C64A8"/>
    <w:rsid w:val="65751831"/>
    <w:rsid w:val="6589499B"/>
    <w:rsid w:val="65901C8D"/>
    <w:rsid w:val="65977FAA"/>
    <w:rsid w:val="65A356F9"/>
    <w:rsid w:val="65A94671"/>
    <w:rsid w:val="65AD68DC"/>
    <w:rsid w:val="65B049DF"/>
    <w:rsid w:val="65BD6FC2"/>
    <w:rsid w:val="65CB0ACC"/>
    <w:rsid w:val="65CE6852"/>
    <w:rsid w:val="65DC35BA"/>
    <w:rsid w:val="65DD0803"/>
    <w:rsid w:val="65E505B2"/>
    <w:rsid w:val="65E51210"/>
    <w:rsid w:val="65EA574D"/>
    <w:rsid w:val="65F04A1A"/>
    <w:rsid w:val="65F233B9"/>
    <w:rsid w:val="65F8742B"/>
    <w:rsid w:val="660C09F3"/>
    <w:rsid w:val="660E228B"/>
    <w:rsid w:val="661029C7"/>
    <w:rsid w:val="6612794C"/>
    <w:rsid w:val="6623692F"/>
    <w:rsid w:val="662F662C"/>
    <w:rsid w:val="66566839"/>
    <w:rsid w:val="667967BE"/>
    <w:rsid w:val="6696673B"/>
    <w:rsid w:val="66A5036A"/>
    <w:rsid w:val="66AC4A7C"/>
    <w:rsid w:val="66CA5936"/>
    <w:rsid w:val="66D24120"/>
    <w:rsid w:val="66D954AE"/>
    <w:rsid w:val="66DB1226"/>
    <w:rsid w:val="66E300DB"/>
    <w:rsid w:val="66EC77AB"/>
    <w:rsid w:val="66F45E44"/>
    <w:rsid w:val="671F124A"/>
    <w:rsid w:val="67211A19"/>
    <w:rsid w:val="67254250"/>
    <w:rsid w:val="672C5ED6"/>
    <w:rsid w:val="6734124A"/>
    <w:rsid w:val="673734E1"/>
    <w:rsid w:val="673B2717"/>
    <w:rsid w:val="67400228"/>
    <w:rsid w:val="674811B7"/>
    <w:rsid w:val="674C0AD9"/>
    <w:rsid w:val="674F0CBC"/>
    <w:rsid w:val="676D42C5"/>
    <w:rsid w:val="676F645B"/>
    <w:rsid w:val="67762CFD"/>
    <w:rsid w:val="677A33C6"/>
    <w:rsid w:val="677B79E9"/>
    <w:rsid w:val="678536E1"/>
    <w:rsid w:val="678B6CBB"/>
    <w:rsid w:val="67905424"/>
    <w:rsid w:val="67AF1793"/>
    <w:rsid w:val="67C03A60"/>
    <w:rsid w:val="67D019D1"/>
    <w:rsid w:val="67D80CA3"/>
    <w:rsid w:val="67E95C9E"/>
    <w:rsid w:val="680E39BE"/>
    <w:rsid w:val="68164A44"/>
    <w:rsid w:val="681C712A"/>
    <w:rsid w:val="681F6961"/>
    <w:rsid w:val="68214387"/>
    <w:rsid w:val="683B1B5D"/>
    <w:rsid w:val="684E0F79"/>
    <w:rsid w:val="68555008"/>
    <w:rsid w:val="685E5C37"/>
    <w:rsid w:val="685E5C6B"/>
    <w:rsid w:val="68610A2F"/>
    <w:rsid w:val="6864524C"/>
    <w:rsid w:val="686A72C8"/>
    <w:rsid w:val="68805514"/>
    <w:rsid w:val="68863414"/>
    <w:rsid w:val="68904EF3"/>
    <w:rsid w:val="689F58D1"/>
    <w:rsid w:val="68AF4719"/>
    <w:rsid w:val="68B51895"/>
    <w:rsid w:val="68C47C0A"/>
    <w:rsid w:val="68DC7207"/>
    <w:rsid w:val="68E34A57"/>
    <w:rsid w:val="68ED5241"/>
    <w:rsid w:val="68ED6A8A"/>
    <w:rsid w:val="68F14966"/>
    <w:rsid w:val="68F216FE"/>
    <w:rsid w:val="68FB170C"/>
    <w:rsid w:val="691E2760"/>
    <w:rsid w:val="69316E2F"/>
    <w:rsid w:val="693D7F76"/>
    <w:rsid w:val="69470A41"/>
    <w:rsid w:val="694E2071"/>
    <w:rsid w:val="697274F4"/>
    <w:rsid w:val="69740FD5"/>
    <w:rsid w:val="69766163"/>
    <w:rsid w:val="697A3B33"/>
    <w:rsid w:val="697D04E0"/>
    <w:rsid w:val="698A6F34"/>
    <w:rsid w:val="699D3F67"/>
    <w:rsid w:val="69A43B52"/>
    <w:rsid w:val="69C117D2"/>
    <w:rsid w:val="69C40A40"/>
    <w:rsid w:val="69C5116D"/>
    <w:rsid w:val="69D44760"/>
    <w:rsid w:val="69DD222D"/>
    <w:rsid w:val="6A022F6E"/>
    <w:rsid w:val="6A0942FC"/>
    <w:rsid w:val="6A183A5C"/>
    <w:rsid w:val="6A232809"/>
    <w:rsid w:val="6A2627B9"/>
    <w:rsid w:val="6A3456EC"/>
    <w:rsid w:val="6A4470E3"/>
    <w:rsid w:val="6A520EC7"/>
    <w:rsid w:val="6A6C1D1C"/>
    <w:rsid w:val="6A6E6993"/>
    <w:rsid w:val="6A7B1518"/>
    <w:rsid w:val="6A8310C3"/>
    <w:rsid w:val="6A86594D"/>
    <w:rsid w:val="6A8659AB"/>
    <w:rsid w:val="6A8D6CDC"/>
    <w:rsid w:val="6A987919"/>
    <w:rsid w:val="6AAB7162"/>
    <w:rsid w:val="6AAC18AC"/>
    <w:rsid w:val="6AB25283"/>
    <w:rsid w:val="6AB27AB2"/>
    <w:rsid w:val="6AB4219F"/>
    <w:rsid w:val="6AB46CB0"/>
    <w:rsid w:val="6AB75B07"/>
    <w:rsid w:val="6ABB3252"/>
    <w:rsid w:val="6AC57FE9"/>
    <w:rsid w:val="6AE037DE"/>
    <w:rsid w:val="6AEC7FD9"/>
    <w:rsid w:val="6AF87E20"/>
    <w:rsid w:val="6B0D1BCA"/>
    <w:rsid w:val="6B0D2FB9"/>
    <w:rsid w:val="6B103F87"/>
    <w:rsid w:val="6B106FC5"/>
    <w:rsid w:val="6B263531"/>
    <w:rsid w:val="6B291B5F"/>
    <w:rsid w:val="6B322639"/>
    <w:rsid w:val="6B4A271D"/>
    <w:rsid w:val="6B53216A"/>
    <w:rsid w:val="6B57626C"/>
    <w:rsid w:val="6B5A2FD8"/>
    <w:rsid w:val="6B746C7C"/>
    <w:rsid w:val="6B8031C7"/>
    <w:rsid w:val="6B9B026F"/>
    <w:rsid w:val="6B9B0439"/>
    <w:rsid w:val="6BA710C5"/>
    <w:rsid w:val="6BB709B2"/>
    <w:rsid w:val="6BD44496"/>
    <w:rsid w:val="6BD47B9D"/>
    <w:rsid w:val="6BE866DE"/>
    <w:rsid w:val="6BEE00E1"/>
    <w:rsid w:val="6C057D56"/>
    <w:rsid w:val="6C092392"/>
    <w:rsid w:val="6C11570D"/>
    <w:rsid w:val="6C17422B"/>
    <w:rsid w:val="6C180BF4"/>
    <w:rsid w:val="6C21592D"/>
    <w:rsid w:val="6C287FF6"/>
    <w:rsid w:val="6C30791F"/>
    <w:rsid w:val="6C376D4D"/>
    <w:rsid w:val="6C507FC1"/>
    <w:rsid w:val="6C607F8D"/>
    <w:rsid w:val="6C636C38"/>
    <w:rsid w:val="6C6E6699"/>
    <w:rsid w:val="6C726189"/>
    <w:rsid w:val="6C7672FB"/>
    <w:rsid w:val="6C8506D4"/>
    <w:rsid w:val="6C8B0FF9"/>
    <w:rsid w:val="6CA420BB"/>
    <w:rsid w:val="6CBC5656"/>
    <w:rsid w:val="6CC12C6C"/>
    <w:rsid w:val="6CD3031E"/>
    <w:rsid w:val="6CE47EA3"/>
    <w:rsid w:val="6CEC4A5C"/>
    <w:rsid w:val="6CFE54C6"/>
    <w:rsid w:val="6D170ADE"/>
    <w:rsid w:val="6D334B70"/>
    <w:rsid w:val="6D3A43C4"/>
    <w:rsid w:val="6D3E58AE"/>
    <w:rsid w:val="6D427BFE"/>
    <w:rsid w:val="6D43744A"/>
    <w:rsid w:val="6D4B007E"/>
    <w:rsid w:val="6D521B17"/>
    <w:rsid w:val="6D587318"/>
    <w:rsid w:val="6D5D7218"/>
    <w:rsid w:val="6D5E0A9C"/>
    <w:rsid w:val="6D6C7217"/>
    <w:rsid w:val="6D8A5754"/>
    <w:rsid w:val="6D8B6DD7"/>
    <w:rsid w:val="6DB039D2"/>
    <w:rsid w:val="6DB34098"/>
    <w:rsid w:val="6DB545B6"/>
    <w:rsid w:val="6DB72929"/>
    <w:rsid w:val="6DBD57AA"/>
    <w:rsid w:val="6DC70102"/>
    <w:rsid w:val="6DE02FB4"/>
    <w:rsid w:val="6DEA1D4F"/>
    <w:rsid w:val="6DFD5F26"/>
    <w:rsid w:val="6E0628E0"/>
    <w:rsid w:val="6E0870E2"/>
    <w:rsid w:val="6E44186D"/>
    <w:rsid w:val="6E4771A1"/>
    <w:rsid w:val="6E492F1A"/>
    <w:rsid w:val="6E4B2E0A"/>
    <w:rsid w:val="6E514CED"/>
    <w:rsid w:val="6E5518BE"/>
    <w:rsid w:val="6E5E333B"/>
    <w:rsid w:val="6E764C7B"/>
    <w:rsid w:val="6E767FC0"/>
    <w:rsid w:val="6E773A27"/>
    <w:rsid w:val="6E7A1325"/>
    <w:rsid w:val="6E8B52E0"/>
    <w:rsid w:val="6E9C6925"/>
    <w:rsid w:val="6EA17455"/>
    <w:rsid w:val="6EA44F40"/>
    <w:rsid w:val="6EB5235D"/>
    <w:rsid w:val="6EB563D5"/>
    <w:rsid w:val="6EC04BA0"/>
    <w:rsid w:val="6ED92677"/>
    <w:rsid w:val="6EE61554"/>
    <w:rsid w:val="6EF70BC7"/>
    <w:rsid w:val="6F01725B"/>
    <w:rsid w:val="6F020BE7"/>
    <w:rsid w:val="6F060494"/>
    <w:rsid w:val="6F225983"/>
    <w:rsid w:val="6F363918"/>
    <w:rsid w:val="6F394BFF"/>
    <w:rsid w:val="6F39716C"/>
    <w:rsid w:val="6F4B746B"/>
    <w:rsid w:val="6F5B1696"/>
    <w:rsid w:val="6F70709D"/>
    <w:rsid w:val="6F836B0B"/>
    <w:rsid w:val="6F854425"/>
    <w:rsid w:val="6FA37627"/>
    <w:rsid w:val="6FBE79F9"/>
    <w:rsid w:val="6FBF67B1"/>
    <w:rsid w:val="6FC54822"/>
    <w:rsid w:val="6FC94D6E"/>
    <w:rsid w:val="6FD221F0"/>
    <w:rsid w:val="6FD72C44"/>
    <w:rsid w:val="6FDC09EE"/>
    <w:rsid w:val="6FE27CD2"/>
    <w:rsid w:val="6FEE177A"/>
    <w:rsid w:val="6FF23898"/>
    <w:rsid w:val="6FFC3D0A"/>
    <w:rsid w:val="6FFC5590"/>
    <w:rsid w:val="701254E1"/>
    <w:rsid w:val="701742D5"/>
    <w:rsid w:val="703979F0"/>
    <w:rsid w:val="70420095"/>
    <w:rsid w:val="7064228D"/>
    <w:rsid w:val="706D1DD0"/>
    <w:rsid w:val="707103BD"/>
    <w:rsid w:val="707C0C41"/>
    <w:rsid w:val="70856B87"/>
    <w:rsid w:val="70862203"/>
    <w:rsid w:val="709661BE"/>
    <w:rsid w:val="709A41BE"/>
    <w:rsid w:val="70A42689"/>
    <w:rsid w:val="70BC3E77"/>
    <w:rsid w:val="70C30F7A"/>
    <w:rsid w:val="70C80B8C"/>
    <w:rsid w:val="70D527EE"/>
    <w:rsid w:val="70D94169"/>
    <w:rsid w:val="70E707C8"/>
    <w:rsid w:val="70FD479F"/>
    <w:rsid w:val="710870BC"/>
    <w:rsid w:val="71097952"/>
    <w:rsid w:val="712146EF"/>
    <w:rsid w:val="712D1D57"/>
    <w:rsid w:val="712D7FF1"/>
    <w:rsid w:val="712F1D80"/>
    <w:rsid w:val="714678F4"/>
    <w:rsid w:val="714B51FB"/>
    <w:rsid w:val="7151191E"/>
    <w:rsid w:val="71533B99"/>
    <w:rsid w:val="715B5300"/>
    <w:rsid w:val="717402AD"/>
    <w:rsid w:val="7192287D"/>
    <w:rsid w:val="719B7F30"/>
    <w:rsid w:val="719C0E26"/>
    <w:rsid w:val="71B30ACA"/>
    <w:rsid w:val="71BE70AC"/>
    <w:rsid w:val="71D27F8A"/>
    <w:rsid w:val="71D47469"/>
    <w:rsid w:val="71D62D16"/>
    <w:rsid w:val="71DC40A5"/>
    <w:rsid w:val="71DC7C05"/>
    <w:rsid w:val="71F30DBA"/>
    <w:rsid w:val="72001B41"/>
    <w:rsid w:val="723B701D"/>
    <w:rsid w:val="72553024"/>
    <w:rsid w:val="72565C05"/>
    <w:rsid w:val="725F716D"/>
    <w:rsid w:val="726A345E"/>
    <w:rsid w:val="72750781"/>
    <w:rsid w:val="729E477D"/>
    <w:rsid w:val="72AB75C7"/>
    <w:rsid w:val="72B572A2"/>
    <w:rsid w:val="72B648F6"/>
    <w:rsid w:val="72B837DC"/>
    <w:rsid w:val="72BA2E2D"/>
    <w:rsid w:val="72EE7BCF"/>
    <w:rsid w:val="7303239C"/>
    <w:rsid w:val="730B2E93"/>
    <w:rsid w:val="7310023A"/>
    <w:rsid w:val="73122968"/>
    <w:rsid w:val="73137F85"/>
    <w:rsid w:val="7314235E"/>
    <w:rsid w:val="73181D83"/>
    <w:rsid w:val="731F5D5E"/>
    <w:rsid w:val="73353A6C"/>
    <w:rsid w:val="734511D5"/>
    <w:rsid w:val="734C08F7"/>
    <w:rsid w:val="73773F76"/>
    <w:rsid w:val="738B7B30"/>
    <w:rsid w:val="739605CF"/>
    <w:rsid w:val="73A11102"/>
    <w:rsid w:val="73A70CE5"/>
    <w:rsid w:val="73B16E2C"/>
    <w:rsid w:val="73B21561"/>
    <w:rsid w:val="73BD542F"/>
    <w:rsid w:val="73C51AD5"/>
    <w:rsid w:val="73D9368F"/>
    <w:rsid w:val="73DC015F"/>
    <w:rsid w:val="73DD22C5"/>
    <w:rsid w:val="73E40281"/>
    <w:rsid w:val="73EF4563"/>
    <w:rsid w:val="73F03DC7"/>
    <w:rsid w:val="73F65E39"/>
    <w:rsid w:val="74011E8E"/>
    <w:rsid w:val="740262FD"/>
    <w:rsid w:val="74095F52"/>
    <w:rsid w:val="740B3D8A"/>
    <w:rsid w:val="740F5229"/>
    <w:rsid w:val="7413693E"/>
    <w:rsid w:val="741E793C"/>
    <w:rsid w:val="74416441"/>
    <w:rsid w:val="744C5512"/>
    <w:rsid w:val="745E3944"/>
    <w:rsid w:val="745F543C"/>
    <w:rsid w:val="746E36DA"/>
    <w:rsid w:val="747D05AE"/>
    <w:rsid w:val="74802956"/>
    <w:rsid w:val="7483427C"/>
    <w:rsid w:val="748F0351"/>
    <w:rsid w:val="7494275B"/>
    <w:rsid w:val="749D5D6D"/>
    <w:rsid w:val="74C27582"/>
    <w:rsid w:val="74C8164B"/>
    <w:rsid w:val="74CF5B98"/>
    <w:rsid w:val="75022074"/>
    <w:rsid w:val="751608F6"/>
    <w:rsid w:val="751C12C5"/>
    <w:rsid w:val="751E66E2"/>
    <w:rsid w:val="75460702"/>
    <w:rsid w:val="75666425"/>
    <w:rsid w:val="756C279A"/>
    <w:rsid w:val="75733B5B"/>
    <w:rsid w:val="757A3428"/>
    <w:rsid w:val="758556AE"/>
    <w:rsid w:val="75887114"/>
    <w:rsid w:val="759A1C72"/>
    <w:rsid w:val="75CF7010"/>
    <w:rsid w:val="75E30BA4"/>
    <w:rsid w:val="75EB02EF"/>
    <w:rsid w:val="75ED5C64"/>
    <w:rsid w:val="75F23E97"/>
    <w:rsid w:val="75F25C45"/>
    <w:rsid w:val="76046799"/>
    <w:rsid w:val="7605120A"/>
    <w:rsid w:val="760616F0"/>
    <w:rsid w:val="76171B4F"/>
    <w:rsid w:val="76174677"/>
    <w:rsid w:val="76296E9B"/>
    <w:rsid w:val="762F0C47"/>
    <w:rsid w:val="7635099D"/>
    <w:rsid w:val="766F54E7"/>
    <w:rsid w:val="76735B9E"/>
    <w:rsid w:val="7682521B"/>
    <w:rsid w:val="769212D2"/>
    <w:rsid w:val="76950B6D"/>
    <w:rsid w:val="769A6E3D"/>
    <w:rsid w:val="76A224FF"/>
    <w:rsid w:val="76AC500B"/>
    <w:rsid w:val="76B6147C"/>
    <w:rsid w:val="76B84BF0"/>
    <w:rsid w:val="76BD75AB"/>
    <w:rsid w:val="76BE1FCB"/>
    <w:rsid w:val="76CA7BF0"/>
    <w:rsid w:val="76DD4B47"/>
    <w:rsid w:val="76E57311"/>
    <w:rsid w:val="76F37EC6"/>
    <w:rsid w:val="76F756BB"/>
    <w:rsid w:val="77073972"/>
    <w:rsid w:val="774220BA"/>
    <w:rsid w:val="774A0912"/>
    <w:rsid w:val="7750224E"/>
    <w:rsid w:val="775546DD"/>
    <w:rsid w:val="77681072"/>
    <w:rsid w:val="77697F82"/>
    <w:rsid w:val="77762421"/>
    <w:rsid w:val="777F4137"/>
    <w:rsid w:val="77876861"/>
    <w:rsid w:val="778A2125"/>
    <w:rsid w:val="778E677C"/>
    <w:rsid w:val="77A92C7B"/>
    <w:rsid w:val="77A967D7"/>
    <w:rsid w:val="77B448CD"/>
    <w:rsid w:val="77B56B1F"/>
    <w:rsid w:val="77E43F27"/>
    <w:rsid w:val="77E617D9"/>
    <w:rsid w:val="77EF30DB"/>
    <w:rsid w:val="78014865"/>
    <w:rsid w:val="780305E7"/>
    <w:rsid w:val="780C61E1"/>
    <w:rsid w:val="780F09F4"/>
    <w:rsid w:val="781833E4"/>
    <w:rsid w:val="78186E5E"/>
    <w:rsid w:val="78236589"/>
    <w:rsid w:val="7856695F"/>
    <w:rsid w:val="785F7A5B"/>
    <w:rsid w:val="786E7FEE"/>
    <w:rsid w:val="78746DE5"/>
    <w:rsid w:val="78A23952"/>
    <w:rsid w:val="78A90480"/>
    <w:rsid w:val="78AE0D8F"/>
    <w:rsid w:val="78B90C9C"/>
    <w:rsid w:val="78BA2015"/>
    <w:rsid w:val="78C8304F"/>
    <w:rsid w:val="78CF226D"/>
    <w:rsid w:val="78DB3308"/>
    <w:rsid w:val="78EA70A7"/>
    <w:rsid w:val="7904152F"/>
    <w:rsid w:val="790747D9"/>
    <w:rsid w:val="790B6F02"/>
    <w:rsid w:val="790E51FA"/>
    <w:rsid w:val="792521C6"/>
    <w:rsid w:val="79366790"/>
    <w:rsid w:val="794C3E7A"/>
    <w:rsid w:val="794E2036"/>
    <w:rsid w:val="79591C5B"/>
    <w:rsid w:val="795F4FDA"/>
    <w:rsid w:val="7965335C"/>
    <w:rsid w:val="79757401"/>
    <w:rsid w:val="79760F3A"/>
    <w:rsid w:val="7993773F"/>
    <w:rsid w:val="79AE36EE"/>
    <w:rsid w:val="79B853F7"/>
    <w:rsid w:val="79C2422B"/>
    <w:rsid w:val="79D173CF"/>
    <w:rsid w:val="79D53D8B"/>
    <w:rsid w:val="79D93E97"/>
    <w:rsid w:val="79DA711C"/>
    <w:rsid w:val="7A2C23C3"/>
    <w:rsid w:val="7A340F22"/>
    <w:rsid w:val="7A3549A0"/>
    <w:rsid w:val="7A364017"/>
    <w:rsid w:val="7A3727C0"/>
    <w:rsid w:val="7A391DCD"/>
    <w:rsid w:val="7A392094"/>
    <w:rsid w:val="7A484035"/>
    <w:rsid w:val="7A596109"/>
    <w:rsid w:val="7A5D64CF"/>
    <w:rsid w:val="7A810C91"/>
    <w:rsid w:val="7A8265E1"/>
    <w:rsid w:val="7AC407BA"/>
    <w:rsid w:val="7B221290"/>
    <w:rsid w:val="7B226B4A"/>
    <w:rsid w:val="7B29035B"/>
    <w:rsid w:val="7B597EE2"/>
    <w:rsid w:val="7B5B428C"/>
    <w:rsid w:val="7B5F1FCE"/>
    <w:rsid w:val="7B686D42"/>
    <w:rsid w:val="7B711273"/>
    <w:rsid w:val="7B782F8A"/>
    <w:rsid w:val="7B7F7F7B"/>
    <w:rsid w:val="7B816F6F"/>
    <w:rsid w:val="7B841746"/>
    <w:rsid w:val="7B8545C4"/>
    <w:rsid w:val="7B880EA1"/>
    <w:rsid w:val="7B931C78"/>
    <w:rsid w:val="7B9F686F"/>
    <w:rsid w:val="7BA107B5"/>
    <w:rsid w:val="7BA13617"/>
    <w:rsid w:val="7BA34105"/>
    <w:rsid w:val="7BA6768B"/>
    <w:rsid w:val="7BAA4E4E"/>
    <w:rsid w:val="7BC07E91"/>
    <w:rsid w:val="7BC50721"/>
    <w:rsid w:val="7BD90000"/>
    <w:rsid w:val="7BDA502D"/>
    <w:rsid w:val="7BDF73D3"/>
    <w:rsid w:val="7BE91898"/>
    <w:rsid w:val="7BE92D17"/>
    <w:rsid w:val="7BF059E6"/>
    <w:rsid w:val="7BF10231"/>
    <w:rsid w:val="7BF32533"/>
    <w:rsid w:val="7C00400E"/>
    <w:rsid w:val="7C036DFE"/>
    <w:rsid w:val="7C2451D7"/>
    <w:rsid w:val="7C2473D5"/>
    <w:rsid w:val="7C267368"/>
    <w:rsid w:val="7C305719"/>
    <w:rsid w:val="7C4474D3"/>
    <w:rsid w:val="7C655F22"/>
    <w:rsid w:val="7C6C5AC7"/>
    <w:rsid w:val="7C8C11DE"/>
    <w:rsid w:val="7C9A6101"/>
    <w:rsid w:val="7CAB2FF1"/>
    <w:rsid w:val="7CAB749E"/>
    <w:rsid w:val="7CB0746E"/>
    <w:rsid w:val="7CB13E28"/>
    <w:rsid w:val="7CB26D42"/>
    <w:rsid w:val="7CB63E70"/>
    <w:rsid w:val="7CC336B4"/>
    <w:rsid w:val="7CC6544B"/>
    <w:rsid w:val="7CC92C2A"/>
    <w:rsid w:val="7CD63431"/>
    <w:rsid w:val="7CED4D85"/>
    <w:rsid w:val="7CFA1031"/>
    <w:rsid w:val="7D001581"/>
    <w:rsid w:val="7D0239FF"/>
    <w:rsid w:val="7D1A06EB"/>
    <w:rsid w:val="7D204A2B"/>
    <w:rsid w:val="7D233BBC"/>
    <w:rsid w:val="7D2708CA"/>
    <w:rsid w:val="7D2E72F8"/>
    <w:rsid w:val="7D384885"/>
    <w:rsid w:val="7D3A0D4D"/>
    <w:rsid w:val="7D3E79C1"/>
    <w:rsid w:val="7D40198C"/>
    <w:rsid w:val="7D416627"/>
    <w:rsid w:val="7D42796B"/>
    <w:rsid w:val="7D43515D"/>
    <w:rsid w:val="7D592A4D"/>
    <w:rsid w:val="7D5E1E12"/>
    <w:rsid w:val="7D5E40CD"/>
    <w:rsid w:val="7D60202E"/>
    <w:rsid w:val="7D6A7ABD"/>
    <w:rsid w:val="7D7D04EA"/>
    <w:rsid w:val="7D7E4262"/>
    <w:rsid w:val="7D9F27F0"/>
    <w:rsid w:val="7DA0342A"/>
    <w:rsid w:val="7DA37A79"/>
    <w:rsid w:val="7DBA7990"/>
    <w:rsid w:val="7DC054AF"/>
    <w:rsid w:val="7DC425BD"/>
    <w:rsid w:val="7DC6186B"/>
    <w:rsid w:val="7DCD4ABA"/>
    <w:rsid w:val="7DCD56F2"/>
    <w:rsid w:val="7DD56720"/>
    <w:rsid w:val="7DD70101"/>
    <w:rsid w:val="7DE949B9"/>
    <w:rsid w:val="7DEB18F7"/>
    <w:rsid w:val="7DEC09AB"/>
    <w:rsid w:val="7E0B01EB"/>
    <w:rsid w:val="7E105802"/>
    <w:rsid w:val="7E385C9F"/>
    <w:rsid w:val="7E394620"/>
    <w:rsid w:val="7E450CC8"/>
    <w:rsid w:val="7E462228"/>
    <w:rsid w:val="7E4A55DE"/>
    <w:rsid w:val="7E5D1111"/>
    <w:rsid w:val="7E617E0B"/>
    <w:rsid w:val="7E6226F1"/>
    <w:rsid w:val="7E631DD5"/>
    <w:rsid w:val="7E786B3E"/>
    <w:rsid w:val="7E7933A7"/>
    <w:rsid w:val="7E833A3E"/>
    <w:rsid w:val="7E9E4BBC"/>
    <w:rsid w:val="7EA75857"/>
    <w:rsid w:val="7EB96F29"/>
    <w:rsid w:val="7EC131C3"/>
    <w:rsid w:val="7EE36CE1"/>
    <w:rsid w:val="7EEA3A51"/>
    <w:rsid w:val="7EEA6053"/>
    <w:rsid w:val="7EF405EF"/>
    <w:rsid w:val="7EF70770"/>
    <w:rsid w:val="7EF97D31"/>
    <w:rsid w:val="7F001CE7"/>
    <w:rsid w:val="7F0A318D"/>
    <w:rsid w:val="7F1909AD"/>
    <w:rsid w:val="7F1D250B"/>
    <w:rsid w:val="7F22423E"/>
    <w:rsid w:val="7F2326CD"/>
    <w:rsid w:val="7F400082"/>
    <w:rsid w:val="7F682284"/>
    <w:rsid w:val="7F696FCA"/>
    <w:rsid w:val="7F6C028B"/>
    <w:rsid w:val="7F831C10"/>
    <w:rsid w:val="7F8813C8"/>
    <w:rsid w:val="7F893396"/>
    <w:rsid w:val="7F954211"/>
    <w:rsid w:val="7FA07460"/>
    <w:rsid w:val="7FAF1AFA"/>
    <w:rsid w:val="7FCA19E0"/>
    <w:rsid w:val="7FD15643"/>
    <w:rsid w:val="7FE47E50"/>
    <w:rsid w:val="7FE77C31"/>
    <w:rsid w:val="7FFC557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1" w:semiHidden="0" w:name="heading 2" w:locked="1"/>
    <w:lsdException w:qFormat="1"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nhideWhenUsed="0" w:uiPriority="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locked/>
    <w:uiPriority w:val="99"/>
    <w:pPr>
      <w:keepNext/>
      <w:overflowPunct w:val="0"/>
      <w:snapToGrid w:val="0"/>
      <w:spacing w:before="120" w:after="160" w:line="259" w:lineRule="auto"/>
      <w:ind w:left="432" w:hanging="432"/>
      <w:jc w:val="center"/>
      <w:outlineLvl w:val="0"/>
    </w:pPr>
    <w:rPr>
      <w:rFonts w:ascii="Times New Roman" w:hAnsi="Times New Roman" w:eastAsia="黑体"/>
      <w:bCs/>
      <w:color w:val="000000"/>
      <w:kern w:val="44"/>
      <w:sz w:val="30"/>
      <w:szCs w:val="30"/>
    </w:rPr>
  </w:style>
  <w:style w:type="paragraph" w:styleId="3">
    <w:name w:val="heading 2"/>
    <w:basedOn w:val="1"/>
    <w:next w:val="1"/>
    <w:link w:val="48"/>
    <w:autoRedefine/>
    <w:qFormat/>
    <w:locked/>
    <w:uiPriority w:val="1"/>
    <w:pPr>
      <w:spacing w:before="120" w:after="120"/>
      <w:ind w:left="0" w:leftChars="200"/>
      <w:outlineLvl w:val="1"/>
    </w:pPr>
    <w:rPr>
      <w:rFonts w:ascii="宋体" w:hAnsi="宋体" w:eastAsia="宋体"/>
      <w:b/>
      <w:bCs/>
      <w:sz w:val="21"/>
      <w:szCs w:val="21"/>
    </w:rPr>
  </w:style>
  <w:style w:type="paragraph" w:styleId="4">
    <w:name w:val="heading 3"/>
    <w:basedOn w:val="1"/>
    <w:next w:val="1"/>
    <w:link w:val="74"/>
    <w:autoRedefine/>
    <w:unhideWhenUsed/>
    <w:qFormat/>
    <w:locked/>
    <w:uiPriority w:val="0"/>
    <w:pPr>
      <w:keepNext/>
      <w:keepLines/>
      <w:spacing w:before="20" w:beforeLines="0" w:beforeAutospacing="0" w:after="20" w:afterLines="0" w:afterAutospacing="0" w:line="413" w:lineRule="auto"/>
      <w:outlineLvl w:val="2"/>
    </w:pPr>
    <w:rPr>
      <w:rFonts w:ascii="Times New Roman" w:hAnsi="Times New Roman" w:eastAsia="宋体"/>
      <w:b/>
    </w:rPr>
  </w:style>
  <w:style w:type="paragraph" w:styleId="5">
    <w:name w:val="heading 4"/>
    <w:basedOn w:val="1"/>
    <w:next w:val="1"/>
    <w:link w:val="27"/>
    <w:autoRedefine/>
    <w:unhideWhenUsed/>
    <w:qFormat/>
    <w:locked/>
    <w:uiPriority w:val="0"/>
    <w:pPr>
      <w:keepNext/>
      <w:keepLines/>
      <w:spacing w:before="120" w:beforeLines="0" w:beforeAutospacing="0" w:after="120" w:afterLines="0" w:afterAutospacing="0" w:line="372" w:lineRule="auto"/>
      <w:ind w:leftChars="200"/>
      <w:jc w:val="left"/>
      <w:outlineLvl w:val="3"/>
    </w:pPr>
    <w:rPr>
      <w:rFonts w:ascii="Times New Roman" w:hAnsi="Times New Roman" w:eastAsia="宋体"/>
    </w:rPr>
  </w:style>
  <w:style w:type="character" w:default="1" w:styleId="22">
    <w:name w:val="Default Paragraph Font"/>
    <w:autoRedefine/>
    <w:semiHidden/>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6">
    <w:name w:val="Normal Indent"/>
    <w:basedOn w:val="1"/>
    <w:autoRedefine/>
    <w:qFormat/>
    <w:locked/>
    <w:uiPriority w:val="0"/>
    <w:pPr>
      <w:ind w:firstLine="420" w:firstLineChars="200"/>
    </w:pPr>
  </w:style>
  <w:style w:type="paragraph" w:styleId="7">
    <w:name w:val="annotation text"/>
    <w:basedOn w:val="1"/>
    <w:link w:val="28"/>
    <w:autoRedefine/>
    <w:semiHidden/>
    <w:qFormat/>
    <w:uiPriority w:val="0"/>
    <w:pPr>
      <w:jc w:val="left"/>
    </w:pPr>
    <w:rPr>
      <w:kern w:val="0"/>
      <w:sz w:val="24"/>
      <w:szCs w:val="20"/>
    </w:rPr>
  </w:style>
  <w:style w:type="paragraph" w:styleId="8">
    <w:name w:val="Body Text"/>
    <w:basedOn w:val="1"/>
    <w:link w:val="29"/>
    <w:autoRedefine/>
    <w:qFormat/>
    <w:uiPriority w:val="0"/>
    <w:pPr>
      <w:widowControl/>
      <w:snapToGrid w:val="0"/>
      <w:spacing w:before="60" w:after="160" w:line="259" w:lineRule="auto"/>
      <w:ind w:right="113"/>
    </w:pPr>
    <w:rPr>
      <w:kern w:val="0"/>
      <w:sz w:val="18"/>
      <w:szCs w:val="20"/>
    </w:rPr>
  </w:style>
  <w:style w:type="paragraph" w:styleId="9">
    <w:name w:val="Body Text Indent"/>
    <w:basedOn w:val="1"/>
    <w:link w:val="30"/>
    <w:autoRedefine/>
    <w:qFormat/>
    <w:uiPriority w:val="0"/>
    <w:pPr>
      <w:spacing w:after="120"/>
      <w:ind w:left="420" w:leftChars="200"/>
    </w:pPr>
    <w:rPr>
      <w:kern w:val="0"/>
      <w:sz w:val="24"/>
      <w:szCs w:val="20"/>
    </w:rPr>
  </w:style>
  <w:style w:type="paragraph" w:styleId="10">
    <w:name w:val="Plain Text"/>
    <w:basedOn w:val="1"/>
    <w:next w:val="11"/>
    <w:autoRedefine/>
    <w:qFormat/>
    <w:locked/>
    <w:uiPriority w:val="0"/>
    <w:rPr>
      <w:rFonts w:ascii="宋体" w:hAnsi="Courier New"/>
      <w:kern w:val="2"/>
      <w:sz w:val="21"/>
    </w:rPr>
  </w:style>
  <w:style w:type="paragraph" w:styleId="11">
    <w:name w:val="toc 1"/>
    <w:basedOn w:val="1"/>
    <w:next w:val="1"/>
    <w:autoRedefine/>
    <w:qFormat/>
    <w:locked/>
    <w:uiPriority w:val="0"/>
  </w:style>
  <w:style w:type="paragraph" w:styleId="12">
    <w:name w:val="List Bullet 5"/>
    <w:basedOn w:val="1"/>
    <w:autoRedefine/>
    <w:qFormat/>
    <w:locked/>
    <w:uiPriority w:val="0"/>
    <w:pPr>
      <w:numPr>
        <w:ilvl w:val="0"/>
        <w:numId w:val="1"/>
      </w:numPr>
    </w:pPr>
  </w:style>
  <w:style w:type="paragraph" w:styleId="13">
    <w:name w:val="Date"/>
    <w:basedOn w:val="1"/>
    <w:next w:val="1"/>
    <w:link w:val="31"/>
    <w:autoRedefine/>
    <w:qFormat/>
    <w:uiPriority w:val="0"/>
    <w:pPr>
      <w:ind w:left="100" w:leftChars="2500"/>
    </w:pPr>
    <w:rPr>
      <w:kern w:val="0"/>
      <w:sz w:val="24"/>
      <w:szCs w:val="20"/>
    </w:rPr>
  </w:style>
  <w:style w:type="paragraph" w:styleId="14">
    <w:name w:val="Balloon Text"/>
    <w:basedOn w:val="1"/>
    <w:link w:val="32"/>
    <w:autoRedefine/>
    <w:semiHidden/>
    <w:qFormat/>
    <w:uiPriority w:val="0"/>
    <w:rPr>
      <w:kern w:val="0"/>
      <w:sz w:val="18"/>
      <w:szCs w:val="20"/>
    </w:rPr>
  </w:style>
  <w:style w:type="paragraph" w:styleId="15">
    <w:name w:val="footer"/>
    <w:basedOn w:val="1"/>
    <w:link w:val="33"/>
    <w:autoRedefine/>
    <w:qFormat/>
    <w:uiPriority w:val="99"/>
    <w:pPr>
      <w:tabs>
        <w:tab w:val="center" w:pos="4153"/>
        <w:tab w:val="right" w:pos="8306"/>
      </w:tabs>
      <w:snapToGrid w:val="0"/>
      <w:jc w:val="left"/>
    </w:pPr>
    <w:rPr>
      <w:kern w:val="0"/>
      <w:sz w:val="18"/>
      <w:szCs w:val="20"/>
    </w:rPr>
  </w:style>
  <w:style w:type="paragraph" w:styleId="16">
    <w:name w:val="header"/>
    <w:basedOn w:val="1"/>
    <w:link w:val="34"/>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7">
    <w:name w:val="table of figures"/>
    <w:basedOn w:val="1"/>
    <w:next w:val="1"/>
    <w:autoRedefine/>
    <w:semiHidden/>
    <w:qFormat/>
    <w:locked/>
    <w:uiPriority w:val="0"/>
    <w:pPr>
      <w:ind w:left="840" w:leftChars="200" w:hanging="420" w:hangingChars="200"/>
    </w:pPr>
    <w:rPr>
      <w:szCs w:val="32"/>
    </w:rPr>
  </w:style>
  <w:style w:type="paragraph" w:styleId="18">
    <w:name w:val="Normal (Web)"/>
    <w:basedOn w:val="1"/>
    <w:link w:val="35"/>
    <w:autoRedefine/>
    <w:qFormat/>
    <w:uiPriority w:val="0"/>
    <w:pPr>
      <w:widowControl/>
      <w:spacing w:before="100" w:beforeAutospacing="1" w:after="100" w:afterAutospacing="1"/>
      <w:jc w:val="left"/>
    </w:pPr>
    <w:rPr>
      <w:rFonts w:ascii="宋体" w:hAnsi="宋体"/>
      <w:kern w:val="0"/>
      <w:sz w:val="24"/>
      <w:szCs w:val="20"/>
    </w:rPr>
  </w:style>
  <w:style w:type="paragraph" w:styleId="19">
    <w:name w:val="annotation subject"/>
    <w:basedOn w:val="7"/>
    <w:next w:val="7"/>
    <w:link w:val="36"/>
    <w:autoRedefine/>
    <w:semiHidden/>
    <w:qFormat/>
    <w:uiPriority w:val="0"/>
    <w:rPr>
      <w:b/>
      <w:sz w:val="24"/>
      <w:szCs w:val="20"/>
    </w:rPr>
  </w:style>
  <w:style w:type="table" w:styleId="21">
    <w:name w:val="Table Grid"/>
    <w:basedOn w:val="20"/>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autoRedefine/>
    <w:qFormat/>
    <w:locked/>
    <w:uiPriority w:val="0"/>
  </w:style>
  <w:style w:type="character" w:styleId="24">
    <w:name w:val="annotation reference"/>
    <w:autoRedefine/>
    <w:semiHidden/>
    <w:qFormat/>
    <w:uiPriority w:val="0"/>
    <w:rPr>
      <w:sz w:val="21"/>
    </w:rPr>
  </w:style>
  <w:style w:type="paragraph" w:customStyle="1" w:styleId="25">
    <w:name w:val="Default"/>
    <w:basedOn w:val="26"/>
    <w:next w:val="1"/>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26">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character" w:customStyle="1" w:styleId="27">
    <w:name w:val="标题 4 Char"/>
    <w:link w:val="5"/>
    <w:autoRedefine/>
    <w:qFormat/>
    <w:uiPriority w:val="0"/>
    <w:rPr>
      <w:rFonts w:ascii="Times New Roman" w:hAnsi="Times New Roman" w:eastAsia="宋体"/>
    </w:rPr>
  </w:style>
  <w:style w:type="character" w:customStyle="1" w:styleId="28">
    <w:name w:val="批注文字 Char"/>
    <w:link w:val="7"/>
    <w:autoRedefine/>
    <w:qFormat/>
    <w:locked/>
    <w:uiPriority w:val="0"/>
    <w:rPr>
      <w:rFonts w:ascii="Times New Roman" w:hAnsi="Times New Roman" w:eastAsia="宋体"/>
      <w:sz w:val="24"/>
    </w:rPr>
  </w:style>
  <w:style w:type="character" w:customStyle="1" w:styleId="29">
    <w:name w:val="正文文本 Char"/>
    <w:link w:val="8"/>
    <w:autoRedefine/>
    <w:qFormat/>
    <w:locked/>
    <w:uiPriority w:val="0"/>
    <w:rPr>
      <w:sz w:val="18"/>
    </w:rPr>
  </w:style>
  <w:style w:type="character" w:customStyle="1" w:styleId="30">
    <w:name w:val="正文文本缩进 Char"/>
    <w:link w:val="9"/>
    <w:autoRedefine/>
    <w:semiHidden/>
    <w:qFormat/>
    <w:locked/>
    <w:uiPriority w:val="0"/>
    <w:rPr>
      <w:rFonts w:ascii="Times New Roman" w:hAnsi="Times New Roman" w:eastAsia="宋体"/>
      <w:sz w:val="24"/>
    </w:rPr>
  </w:style>
  <w:style w:type="character" w:customStyle="1" w:styleId="31">
    <w:name w:val="日期 Char"/>
    <w:link w:val="13"/>
    <w:autoRedefine/>
    <w:qFormat/>
    <w:locked/>
    <w:uiPriority w:val="0"/>
    <w:rPr>
      <w:rFonts w:ascii="Times New Roman" w:hAnsi="Times New Roman" w:eastAsia="宋体"/>
      <w:sz w:val="24"/>
    </w:rPr>
  </w:style>
  <w:style w:type="character" w:customStyle="1" w:styleId="32">
    <w:name w:val="批注框文本 Char"/>
    <w:link w:val="14"/>
    <w:autoRedefine/>
    <w:semiHidden/>
    <w:qFormat/>
    <w:locked/>
    <w:uiPriority w:val="0"/>
    <w:rPr>
      <w:rFonts w:ascii="Times New Roman" w:hAnsi="Times New Roman" w:eastAsia="宋体"/>
      <w:sz w:val="18"/>
    </w:rPr>
  </w:style>
  <w:style w:type="character" w:customStyle="1" w:styleId="33">
    <w:name w:val="页脚 Char"/>
    <w:link w:val="15"/>
    <w:autoRedefine/>
    <w:qFormat/>
    <w:locked/>
    <w:uiPriority w:val="99"/>
    <w:rPr>
      <w:sz w:val="18"/>
    </w:rPr>
  </w:style>
  <w:style w:type="character" w:customStyle="1" w:styleId="34">
    <w:name w:val="页眉 Char"/>
    <w:link w:val="16"/>
    <w:autoRedefine/>
    <w:qFormat/>
    <w:locked/>
    <w:uiPriority w:val="0"/>
    <w:rPr>
      <w:sz w:val="18"/>
    </w:rPr>
  </w:style>
  <w:style w:type="character" w:customStyle="1" w:styleId="35">
    <w:name w:val="普通(网站) Char"/>
    <w:link w:val="18"/>
    <w:autoRedefine/>
    <w:qFormat/>
    <w:locked/>
    <w:uiPriority w:val="0"/>
    <w:rPr>
      <w:rFonts w:ascii="宋体" w:hAnsi="宋体" w:eastAsia="宋体"/>
      <w:sz w:val="24"/>
    </w:rPr>
  </w:style>
  <w:style w:type="character" w:customStyle="1" w:styleId="36">
    <w:name w:val="批注主题 Char"/>
    <w:link w:val="19"/>
    <w:autoRedefine/>
    <w:semiHidden/>
    <w:qFormat/>
    <w:locked/>
    <w:uiPriority w:val="0"/>
    <w:rPr>
      <w:rFonts w:ascii="Times New Roman" w:hAnsi="Times New Roman" w:eastAsia="宋体"/>
      <w:b/>
      <w:kern w:val="2"/>
      <w:sz w:val="24"/>
    </w:rPr>
  </w:style>
  <w:style w:type="character" w:customStyle="1" w:styleId="37">
    <w:name w:val="页脚 字符"/>
    <w:basedOn w:val="22"/>
    <w:autoRedefine/>
    <w:qFormat/>
    <w:uiPriority w:val="99"/>
  </w:style>
  <w:style w:type="character" w:customStyle="1" w:styleId="38">
    <w:name w:val="正文文本 字符1"/>
    <w:autoRedefine/>
    <w:semiHidden/>
    <w:qFormat/>
    <w:uiPriority w:val="0"/>
    <w:rPr>
      <w:rFonts w:ascii="Times New Roman" w:hAnsi="Times New Roman" w:eastAsia="宋体"/>
      <w:sz w:val="24"/>
    </w:rPr>
  </w:style>
  <w:style w:type="character" w:customStyle="1" w:styleId="39">
    <w:name w:val="表格 Char"/>
    <w:link w:val="40"/>
    <w:autoRedefine/>
    <w:qFormat/>
    <w:locked/>
    <w:uiPriority w:val="0"/>
    <w:rPr>
      <w:rFonts w:ascii="宋体"/>
      <w:sz w:val="21"/>
    </w:rPr>
  </w:style>
  <w:style w:type="paragraph" w:customStyle="1" w:styleId="40">
    <w:name w:val="表格"/>
    <w:basedOn w:val="1"/>
    <w:link w:val="39"/>
    <w:autoRedefine/>
    <w:qFormat/>
    <w:uiPriority w:val="0"/>
    <w:pPr>
      <w:adjustRightInd w:val="0"/>
      <w:snapToGrid w:val="0"/>
      <w:spacing w:beforeLines="10" w:afterLines="10" w:line="259" w:lineRule="auto"/>
      <w:jc w:val="center"/>
    </w:pPr>
    <w:rPr>
      <w:rFonts w:ascii="宋体"/>
      <w:kern w:val="0"/>
      <w:szCs w:val="20"/>
    </w:rPr>
  </w:style>
  <w:style w:type="character" w:customStyle="1" w:styleId="41">
    <w:name w:val="日期 字符"/>
    <w:autoRedefine/>
    <w:semiHidden/>
    <w:qFormat/>
    <w:uiPriority w:val="0"/>
    <w:rPr>
      <w:rFonts w:ascii="Times New Roman" w:hAnsi="Times New Roman" w:eastAsia="宋体"/>
      <w:sz w:val="24"/>
    </w:rPr>
  </w:style>
  <w:style w:type="character" w:customStyle="1" w:styleId="42">
    <w:name w:val="批注文字 字符1"/>
    <w:autoRedefine/>
    <w:semiHidden/>
    <w:qFormat/>
    <w:uiPriority w:val="0"/>
    <w:rPr>
      <w:rFonts w:ascii="Times New Roman" w:hAnsi="Times New Roman" w:eastAsia="宋体"/>
      <w:sz w:val="24"/>
    </w:rPr>
  </w:style>
  <w:style w:type="paragraph" w:customStyle="1" w:styleId="43">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4">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45">
    <w:name w:val="纯文本1"/>
    <w:basedOn w:val="1"/>
    <w:autoRedefine/>
    <w:qFormat/>
    <w:uiPriority w:val="0"/>
    <w:pPr>
      <w:jc w:val="center"/>
    </w:pPr>
    <w:rPr>
      <w:rFonts w:ascii="宋体" w:hAnsi="Courier New"/>
    </w:rPr>
  </w:style>
  <w:style w:type="paragraph" w:customStyle="1" w:styleId="46">
    <w:name w:val="Table Paragraph"/>
    <w:basedOn w:val="1"/>
    <w:autoRedefine/>
    <w:qFormat/>
    <w:uiPriority w:val="1"/>
    <w:rPr>
      <w:rFonts w:ascii="宋体" w:hAnsi="宋体" w:eastAsia="宋体" w:cs="宋体"/>
      <w:lang w:val="zh-CN" w:eastAsia="zh-CN" w:bidi="zh-CN"/>
    </w:rPr>
  </w:style>
  <w:style w:type="paragraph" w:customStyle="1" w:styleId="47">
    <w:name w:val="Body Text 21"/>
    <w:basedOn w:val="1"/>
    <w:autoRedefine/>
    <w:qFormat/>
    <w:uiPriority w:val="0"/>
    <w:pPr>
      <w:adjustRightInd w:val="0"/>
      <w:textAlignment w:val="baseline"/>
    </w:pPr>
    <w:rPr>
      <w:rFonts w:ascii="仿宋_GB2312" w:hAnsi="仿宋_GB2312" w:eastAsia="仿宋体"/>
      <w:sz w:val="24"/>
      <w:szCs w:val="20"/>
    </w:rPr>
  </w:style>
  <w:style w:type="character" w:customStyle="1" w:styleId="48">
    <w:name w:val="标题 2 Char"/>
    <w:link w:val="3"/>
    <w:autoRedefine/>
    <w:qFormat/>
    <w:uiPriority w:val="1"/>
    <w:rPr>
      <w:rFonts w:ascii="宋体" w:hAnsi="宋体" w:eastAsia="宋体"/>
      <w:b/>
      <w:bCs/>
      <w:sz w:val="21"/>
      <w:szCs w:val="21"/>
    </w:rPr>
  </w:style>
  <w:style w:type="paragraph" w:customStyle="1" w:styleId="49">
    <w:name w:val="表中字体"/>
    <w:autoRedefine/>
    <w:qFormat/>
    <w:uiPriority w:val="0"/>
    <w:pPr>
      <w:spacing w:line="360" w:lineRule="exact"/>
      <w:jc w:val="center"/>
    </w:pPr>
    <w:rPr>
      <w:rFonts w:ascii="Times New Roman" w:hAnsi="Times New Roman" w:eastAsia="宋体" w:cs="Times New Roman"/>
      <w:sz w:val="18"/>
      <w:szCs w:val="21"/>
      <w:lang w:val="en-US" w:eastAsia="zh-CN" w:bidi="ar-SA"/>
    </w:rPr>
  </w:style>
  <w:style w:type="paragraph" w:customStyle="1" w:styleId="50">
    <w:name w:val="首行缩进"/>
    <w:basedOn w:val="1"/>
    <w:autoRedefine/>
    <w:qFormat/>
    <w:uiPriority w:val="0"/>
    <w:pPr>
      <w:adjustRightInd w:val="0"/>
      <w:snapToGrid w:val="0"/>
      <w:ind w:firstLine="480"/>
    </w:pPr>
    <w:rPr>
      <w:szCs w:val="24"/>
    </w:rPr>
  </w:style>
  <w:style w:type="paragraph" w:customStyle="1" w:styleId="51">
    <w:name w:val="表格文字2"/>
    <w:basedOn w:val="1"/>
    <w:autoRedefine/>
    <w:qFormat/>
    <w:uiPriority w:val="0"/>
    <w:pPr>
      <w:tabs>
        <w:tab w:val="left" w:pos="277"/>
        <w:tab w:val="left" w:pos="600"/>
        <w:tab w:val="left" w:pos="780"/>
        <w:tab w:val="left" w:pos="2517"/>
      </w:tabs>
      <w:adjustRightInd w:val="0"/>
      <w:snapToGrid w:val="0"/>
      <w:spacing w:line="240" w:lineRule="auto"/>
      <w:ind w:firstLine="0" w:firstLineChars="0"/>
      <w:jc w:val="center"/>
      <w:textAlignment w:val="baseline"/>
    </w:pPr>
    <w:rPr>
      <w:kern w:val="0"/>
      <w:sz w:val="21"/>
      <w:szCs w:val="21"/>
    </w:rPr>
  </w:style>
  <w:style w:type="paragraph" w:customStyle="1" w:styleId="52">
    <w:name w:val="表格中文字"/>
    <w:basedOn w:val="1"/>
    <w:autoRedefine/>
    <w:qFormat/>
    <w:uiPriority w:val="0"/>
    <w:pPr>
      <w:adjustRightInd w:val="0"/>
      <w:snapToGrid w:val="0"/>
      <w:jc w:val="center"/>
    </w:pPr>
    <w:rPr>
      <w:kern w:val="18"/>
      <w:szCs w:val="21"/>
    </w:rPr>
  </w:style>
  <w:style w:type="paragraph" w:customStyle="1" w:styleId="53">
    <w:name w:val="表格内容"/>
    <w:basedOn w:val="1"/>
    <w:next w:val="10"/>
    <w:autoRedefine/>
    <w:qFormat/>
    <w:uiPriority w:val="0"/>
    <w:pPr>
      <w:jc w:val="center"/>
    </w:pPr>
    <w:rPr>
      <w:rFonts w:ascii="Arial" w:hAnsi="Arial"/>
      <w:szCs w:val="22"/>
    </w:rPr>
  </w:style>
  <w:style w:type="paragraph" w:customStyle="1" w:styleId="54">
    <w:name w:val="表格文字"/>
    <w:basedOn w:val="1"/>
    <w:next w:val="8"/>
    <w:autoRedefine/>
    <w:qFormat/>
    <w:uiPriority w:val="0"/>
    <w:pPr>
      <w:jc w:val="center"/>
    </w:pPr>
    <w:rPr>
      <w:rFonts w:ascii="仿宋_GB2312" w:hAnsi="Arial Black" w:eastAsia="仿宋_GB2312"/>
      <w:kern w:val="44"/>
      <w:sz w:val="24"/>
      <w:szCs w:val="20"/>
    </w:rPr>
  </w:style>
  <w:style w:type="paragraph" w:styleId="55">
    <w:name w:val="List Paragraph"/>
    <w:basedOn w:val="1"/>
    <w:autoRedefine/>
    <w:qFormat/>
    <w:uiPriority w:val="34"/>
    <w:pPr>
      <w:ind w:firstLine="420"/>
    </w:pPr>
    <w:rPr>
      <w:szCs w:val="24"/>
    </w:rPr>
  </w:style>
  <w:style w:type="paragraph" w:customStyle="1" w:styleId="56">
    <w:name w:val="样式 表格 + 加粗"/>
    <w:basedOn w:val="40"/>
    <w:autoRedefine/>
    <w:qFormat/>
    <w:uiPriority w:val="0"/>
    <w:pPr>
      <w:widowControl/>
      <w:spacing w:beforeLines="0" w:afterLines="0" w:line="240" w:lineRule="auto"/>
    </w:pPr>
    <w:rPr>
      <w:rFonts w:ascii="Times New Roman"/>
      <w:bCs/>
      <w:snapToGrid w:val="0"/>
      <w:color w:val="000000"/>
      <w:spacing w:val="-4"/>
      <w:sz w:val="24"/>
      <w:szCs w:val="24"/>
      <w:lang w:bidi="en-US"/>
    </w:rPr>
  </w:style>
  <w:style w:type="paragraph" w:customStyle="1" w:styleId="57">
    <w:name w:val="表格1"/>
    <w:basedOn w:val="1"/>
    <w:autoRedefine/>
    <w:qFormat/>
    <w:uiPriority w:val="0"/>
    <w:pPr>
      <w:adjustRightInd w:val="0"/>
      <w:snapToGrid w:val="0"/>
      <w:spacing w:line="240" w:lineRule="auto"/>
      <w:ind w:firstLine="0" w:firstLineChars="0"/>
      <w:jc w:val="center"/>
    </w:pPr>
    <w:rPr>
      <w:sz w:val="21"/>
      <w:szCs w:val="21"/>
    </w:rPr>
  </w:style>
  <w:style w:type="paragraph" w:customStyle="1" w:styleId="58">
    <w:name w:val="表格内文字"/>
    <w:basedOn w:val="1"/>
    <w:autoRedefine/>
    <w:qFormat/>
    <w:uiPriority w:val="0"/>
    <w:pPr>
      <w:tabs>
        <w:tab w:val="left" w:pos="0"/>
      </w:tabs>
      <w:adjustRightInd w:val="0"/>
      <w:snapToGrid w:val="0"/>
      <w:jc w:val="center"/>
    </w:pPr>
    <w:rPr>
      <w:spacing w:val="4"/>
      <w:kern w:val="18"/>
    </w:rPr>
  </w:style>
  <w:style w:type="paragraph" w:customStyle="1" w:styleId="59">
    <w:name w:val="报告正文"/>
    <w:basedOn w:val="1"/>
    <w:autoRedefine/>
    <w:qFormat/>
    <w:uiPriority w:val="0"/>
    <w:pPr>
      <w:adjustRightInd w:val="0"/>
      <w:snapToGrid w:val="0"/>
      <w:spacing w:line="360" w:lineRule="auto"/>
      <w:ind w:firstLine="200" w:firstLineChars="200"/>
    </w:pPr>
    <w:rPr>
      <w:sz w:val="24"/>
      <w:szCs w:val="20"/>
    </w:rPr>
  </w:style>
  <w:style w:type="paragraph" w:customStyle="1" w:styleId="60">
    <w:name w:val="Huo 正文 小四缩进2"/>
    <w:basedOn w:val="1"/>
    <w:autoRedefine/>
    <w:qFormat/>
    <w:uiPriority w:val="0"/>
    <w:pPr>
      <w:spacing w:line="360" w:lineRule="auto"/>
      <w:ind w:firstLine="200" w:firstLineChars="200"/>
    </w:pPr>
    <w:rPr>
      <w:sz w:val="24"/>
    </w:rPr>
  </w:style>
  <w:style w:type="paragraph" w:customStyle="1" w:styleId="61">
    <w:name w:val="0正文"/>
    <w:basedOn w:val="18"/>
    <w:autoRedefine/>
    <w:qFormat/>
    <w:uiPriority w:val="0"/>
    <w:pPr>
      <w:widowControl/>
      <w:spacing w:line="360" w:lineRule="auto"/>
      <w:ind w:firstLine="482"/>
    </w:pPr>
  </w:style>
  <w:style w:type="paragraph" w:customStyle="1" w:styleId="62">
    <w:name w:val="表中"/>
    <w:autoRedefine/>
    <w:qFormat/>
    <w:uiPriority w:val="0"/>
    <w:pPr>
      <w:adjustRightInd w:val="0"/>
      <w:snapToGrid w:val="0"/>
      <w:jc w:val="center"/>
    </w:pPr>
    <w:rPr>
      <w:rFonts w:ascii="Times New Roman" w:hAnsi="Times New Roman" w:eastAsia="宋体" w:cs="Times New Roman"/>
      <w:kern w:val="44"/>
      <w:sz w:val="18"/>
      <w:lang w:val="en-US" w:eastAsia="zh-CN" w:bidi="ar-SA"/>
    </w:rPr>
  </w:style>
  <w:style w:type="paragraph" w:customStyle="1" w:styleId="63">
    <w:name w:val="表格正文"/>
    <w:basedOn w:val="1"/>
    <w:autoRedefine/>
    <w:qFormat/>
    <w:uiPriority w:val="0"/>
    <w:pPr>
      <w:widowControl/>
      <w:spacing w:line="360" w:lineRule="exact"/>
      <w:ind w:firstLine="0" w:firstLineChars="0"/>
      <w:jc w:val="center"/>
    </w:pPr>
    <w:rPr>
      <w:sz w:val="21"/>
    </w:rPr>
  </w:style>
  <w:style w:type="paragraph" w:customStyle="1" w:styleId="64">
    <w:name w:val="表文字"/>
    <w:basedOn w:val="1"/>
    <w:autoRedefine/>
    <w:qFormat/>
    <w:uiPriority w:val="99"/>
    <w:pPr>
      <w:widowControl/>
      <w:jc w:val="center"/>
    </w:pPr>
    <w:rPr>
      <w:kern w:val="0"/>
      <w:szCs w:val="21"/>
    </w:rPr>
  </w:style>
  <w:style w:type="character" w:customStyle="1" w:styleId="65">
    <w:name w:val="font31"/>
    <w:basedOn w:val="22"/>
    <w:autoRedefine/>
    <w:qFormat/>
    <w:uiPriority w:val="0"/>
    <w:rPr>
      <w:rFonts w:ascii="宋体" w:hAnsi="宋体" w:eastAsia="宋体" w:cs="宋体"/>
      <w:color w:val="000000"/>
      <w:sz w:val="24"/>
      <w:szCs w:val="24"/>
      <w:u w:val="none"/>
    </w:rPr>
  </w:style>
  <w:style w:type="character" w:customStyle="1" w:styleId="66">
    <w:name w:val="font41"/>
    <w:basedOn w:val="22"/>
    <w:autoRedefine/>
    <w:qFormat/>
    <w:uiPriority w:val="0"/>
    <w:rPr>
      <w:rFonts w:ascii="宋体" w:hAnsi="宋体" w:eastAsia="宋体" w:cs="宋体"/>
      <w:color w:val="000000"/>
      <w:sz w:val="22"/>
      <w:szCs w:val="22"/>
      <w:u w:val="none"/>
    </w:rPr>
  </w:style>
  <w:style w:type="paragraph" w:customStyle="1" w:styleId="67">
    <w:name w:val="Table Text"/>
    <w:basedOn w:val="1"/>
    <w:autoRedefine/>
    <w:semiHidden/>
    <w:qFormat/>
    <w:uiPriority w:val="0"/>
    <w:rPr>
      <w:rFonts w:ascii="宋体" w:hAnsi="宋体" w:eastAsia="宋体" w:cs="宋体"/>
      <w:sz w:val="24"/>
      <w:szCs w:val="24"/>
      <w:lang w:val="en-US" w:eastAsia="en-US" w:bidi="ar-SA"/>
    </w:rPr>
  </w:style>
  <w:style w:type="paragraph" w:customStyle="1" w:styleId="68">
    <w:name w:val="自建表格"/>
    <w:basedOn w:val="1"/>
    <w:autoRedefine/>
    <w:unhideWhenUsed/>
    <w:qFormat/>
    <w:uiPriority w:val="0"/>
    <w:pPr>
      <w:jc w:val="center"/>
    </w:pPr>
    <w:rPr>
      <w:rFonts w:hint="eastAsia"/>
      <w:sz w:val="18"/>
      <w:szCs w:val="24"/>
    </w:rPr>
  </w:style>
  <w:style w:type="table" w:customStyle="1" w:styleId="69">
    <w:name w:val="Table Normal"/>
    <w:autoRedefine/>
    <w:semiHidden/>
    <w:unhideWhenUsed/>
    <w:qFormat/>
    <w:uiPriority w:val="0"/>
    <w:tblPr>
      <w:tblCellMar>
        <w:top w:w="0" w:type="dxa"/>
        <w:left w:w="0" w:type="dxa"/>
        <w:bottom w:w="0" w:type="dxa"/>
        <w:right w:w="0" w:type="dxa"/>
      </w:tblCellMar>
    </w:tblPr>
  </w:style>
  <w:style w:type="character" w:customStyle="1" w:styleId="70">
    <w:name w:val="font11"/>
    <w:basedOn w:val="22"/>
    <w:autoRedefine/>
    <w:qFormat/>
    <w:uiPriority w:val="0"/>
    <w:rPr>
      <w:rFonts w:hint="eastAsia" w:ascii="宋体" w:hAnsi="宋体" w:eastAsia="宋体" w:cs="宋体"/>
      <w:color w:val="000000"/>
      <w:sz w:val="18"/>
      <w:szCs w:val="18"/>
      <w:u w:val="none"/>
    </w:rPr>
  </w:style>
  <w:style w:type="character" w:customStyle="1" w:styleId="71">
    <w:name w:val="font21"/>
    <w:basedOn w:val="22"/>
    <w:autoRedefine/>
    <w:qFormat/>
    <w:uiPriority w:val="0"/>
    <w:rPr>
      <w:rFonts w:hint="eastAsia" w:ascii="宋体" w:hAnsi="宋体" w:eastAsia="宋体" w:cs="宋体"/>
      <w:color w:val="000000"/>
      <w:sz w:val="18"/>
      <w:szCs w:val="18"/>
      <w:u w:val="none"/>
    </w:rPr>
  </w:style>
  <w:style w:type="paragraph" w:customStyle="1" w:styleId="72">
    <w:name w:val="图表标题"/>
    <w:basedOn w:val="1"/>
    <w:autoRedefine/>
    <w:qFormat/>
    <w:uiPriority w:val="0"/>
    <w:pPr>
      <w:widowControl w:val="0"/>
      <w:jc w:val="center"/>
      <w:outlineLvl w:val="1"/>
    </w:pPr>
    <w:rPr>
      <w:rFonts w:ascii="Times New Roman" w:hAnsi="Times New Roman" w:eastAsia="仿宋_GB2312" w:cs="Times New Roman"/>
      <w:b/>
      <w:color w:val="000000" w:themeColor="text1"/>
      <w:sz w:val="21"/>
      <w:szCs w:val="21"/>
      <w14:textFill>
        <w14:solidFill>
          <w14:schemeClr w14:val="tx1"/>
        </w14:solidFill>
      </w14:textFill>
    </w:rPr>
  </w:style>
  <w:style w:type="paragraph" w:customStyle="1" w:styleId="73">
    <w:name w:val="Other|1"/>
    <w:basedOn w:val="1"/>
    <w:qFormat/>
    <w:uiPriority w:val="99"/>
    <w:pPr>
      <w:jc w:val="center"/>
    </w:pPr>
    <w:rPr>
      <w:rFonts w:ascii="MingLiU" w:hAnsi="MingLiU" w:eastAsia="MingLiU" w:cs="MingLiU"/>
      <w:sz w:val="19"/>
      <w:szCs w:val="19"/>
      <w:lang w:val="zh-TW" w:eastAsia="zh-TW" w:bidi="zh-TW"/>
    </w:rPr>
  </w:style>
  <w:style w:type="character" w:customStyle="1" w:styleId="74">
    <w:name w:val="标题 3 Char"/>
    <w:link w:val="4"/>
    <w:qFormat/>
    <w:uiPriority w:val="0"/>
    <w:rPr>
      <w:rFonts w:ascii="Times New Roman" w:hAnsi="Times New Roman" w:eastAsia="宋体"/>
      <w:b/>
    </w:rPr>
  </w:style>
  <w:style w:type="paragraph" w:customStyle="1" w:styleId="75">
    <w:name w:val="拓邦正文"/>
    <w:basedOn w:val="1"/>
    <w:qFormat/>
    <w:uiPriority w:val="0"/>
    <w:pPr>
      <w:adjustRightInd w:val="0"/>
      <w:snapToGrid w:val="0"/>
      <w:spacing w:line="360" w:lineRule="auto"/>
      <w:ind w:firstLine="200" w:firstLineChars="200"/>
    </w:pPr>
    <w:rPr>
      <w:rFonts w:ascii="Times New Roman" w:hAnsi="Times New Roman"/>
      <w:bC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106</Pages>
  <Words>1296</Words>
  <Characters>1420</Characters>
  <Lines>13</Lines>
  <Paragraphs>3</Paragraphs>
  <TotalTime>12</TotalTime>
  <ScaleCrop>false</ScaleCrop>
  <LinksUpToDate>false</LinksUpToDate>
  <CharactersWithSpaces>1499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BlockheadF</cp:lastModifiedBy>
  <cp:lastPrinted>2023-03-21T06:44:00Z</cp:lastPrinted>
  <dcterms:modified xsi:type="dcterms:W3CDTF">2026-03-04T08:22:50Z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E292C2FD3DD2423EA5F0AFBFB2A10598_13</vt:lpwstr>
  </property>
  <property fmtid="{D5CDD505-2E9C-101B-9397-08002B2CF9AE}" pid="4" name="KSOTemplateDocerSaveRecord">
    <vt:lpwstr>eyJoZGlkIjoiODM3ZWViYTVlODc4ZGU1YmQ4YjE0YzI5Y2EyZmM1NmYiLCJ1c2VySWQiOiIyNDQ4NDI3NDUifQ==</vt:lpwstr>
  </property>
</Properties>
</file>