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258C">
      <w:pPr>
        <w:rPr>
          <w:rFonts w:hint="default" w:ascii="Times New Roman" w:hAnsi="Times New Roman" w:eastAsia="仿宋_GB2312" w:cs="Times New Roman"/>
          <w:color w:val="auto"/>
          <w:sz w:val="36"/>
          <w:szCs w:val="36"/>
        </w:rPr>
      </w:pPr>
    </w:p>
    <w:p w14:paraId="2214F9FB">
      <w:pPr>
        <w:rPr>
          <w:rFonts w:hint="default" w:ascii="Times New Roman" w:hAnsi="Times New Roman" w:eastAsia="仿宋_GB2312" w:cs="Times New Roman"/>
          <w:color w:val="auto"/>
          <w:sz w:val="36"/>
          <w:szCs w:val="36"/>
        </w:rPr>
      </w:pPr>
    </w:p>
    <w:p w14:paraId="49698067">
      <w:pPr>
        <w:rPr>
          <w:rFonts w:hint="default" w:ascii="Times New Roman" w:hAnsi="Times New Roman" w:eastAsia="仿宋_GB2312" w:cs="Times New Roman"/>
          <w:color w:val="auto"/>
          <w:sz w:val="36"/>
          <w:szCs w:val="36"/>
        </w:rPr>
      </w:pPr>
    </w:p>
    <w:p w14:paraId="2BAB4C5D">
      <w:pPr>
        <w:rPr>
          <w:rFonts w:hint="default" w:ascii="Times New Roman" w:hAnsi="Times New Roman" w:eastAsia="仿宋_GB2312" w:cs="Times New Roman"/>
          <w:color w:val="auto"/>
          <w:sz w:val="36"/>
          <w:szCs w:val="36"/>
        </w:rPr>
      </w:pPr>
    </w:p>
    <w:p w14:paraId="76B30C54">
      <w:pPr>
        <w:rPr>
          <w:rFonts w:hint="default" w:ascii="Times New Roman" w:hAnsi="Times New Roman" w:eastAsia="仿宋_GB2312" w:cs="Times New Roman"/>
          <w:color w:val="auto"/>
          <w:sz w:val="36"/>
          <w:szCs w:val="36"/>
        </w:rPr>
      </w:pPr>
    </w:p>
    <w:p w14:paraId="342A7E82">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4A850E93">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420EE2E7">
      <w:pPr>
        <w:adjustRightInd w:val="0"/>
        <w:snapToGrid w:val="0"/>
        <w:spacing w:line="288" w:lineRule="auto"/>
        <w:jc w:val="center"/>
        <w:outlineLvl w:val="0"/>
        <w:rPr>
          <w:rFonts w:hint="eastAsia" w:ascii="Times New Roman" w:hAnsi="Times New Roman" w:eastAsia="华文仿宋" w:cs="Times New Roman"/>
          <w:color w:val="auto"/>
          <w:kern w:val="44"/>
          <w:sz w:val="44"/>
          <w:szCs w:val="44"/>
          <w:lang w:val="en-US" w:eastAsia="zh-CN"/>
        </w:rPr>
      </w:pPr>
      <w:r>
        <w:rPr>
          <w:rFonts w:hint="eastAsia" w:ascii="Times New Roman" w:hAnsi="Times New Roman" w:eastAsia="华文仿宋" w:cs="Times New Roman"/>
          <w:color w:val="auto"/>
          <w:kern w:val="44"/>
          <w:sz w:val="44"/>
          <w:szCs w:val="44"/>
          <w:lang w:val="en-US" w:eastAsia="zh-CN"/>
        </w:rPr>
        <w:t xml:space="preserve"> </w:t>
      </w:r>
    </w:p>
    <w:p w14:paraId="333C367D">
      <w:pPr>
        <w:jc w:val="center"/>
        <w:rPr>
          <w:rFonts w:hint="default" w:ascii="Times New Roman" w:hAnsi="Times New Roman" w:eastAsia="仿宋" w:cs="Times New Roman"/>
          <w:color w:val="auto"/>
          <w:sz w:val="52"/>
          <w:szCs w:val="52"/>
        </w:rPr>
      </w:pPr>
    </w:p>
    <w:p w14:paraId="6C6AF1E0">
      <w:pPr>
        <w:ind w:firstLine="1040"/>
        <w:rPr>
          <w:rFonts w:hint="default" w:ascii="Times New Roman" w:hAnsi="Times New Roman" w:eastAsia="仿宋" w:cs="Times New Roman"/>
          <w:color w:val="auto"/>
          <w:sz w:val="44"/>
          <w:szCs w:val="44"/>
        </w:rPr>
      </w:pPr>
    </w:p>
    <w:p w14:paraId="4396BB73">
      <w:pPr>
        <w:ind w:firstLine="1040"/>
        <w:rPr>
          <w:rFonts w:hint="default" w:ascii="Times New Roman" w:hAnsi="Times New Roman" w:eastAsia="仿宋" w:cs="Times New Roman"/>
          <w:color w:val="auto"/>
          <w:sz w:val="44"/>
          <w:szCs w:val="44"/>
        </w:rPr>
      </w:pPr>
    </w:p>
    <w:p w14:paraId="32D9FD5B">
      <w:pPr>
        <w:adjustRightInd w:val="0"/>
        <w:snapToGrid w:val="0"/>
        <w:spacing w:line="288" w:lineRule="auto"/>
        <w:ind w:left="2877" w:leftChars="513" w:hanging="1800" w:hangingChars="500"/>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eastAsia" w:ascii="Times New Roman" w:hAnsi="Times New Roman" w:eastAsia="仿宋_GB2312" w:cs="Times New Roman"/>
          <w:color w:val="auto"/>
          <w:sz w:val="36"/>
          <w:szCs w:val="36"/>
          <w:u w:val="single"/>
          <w:lang w:val="en-US" w:eastAsia="zh-CN"/>
        </w:rPr>
        <w:t xml:space="preserve">年产8000吨模锻件、42000吨自由锻件、30000吨环锻件项目                           </w:t>
      </w:r>
    </w:p>
    <w:p w14:paraId="61B19F97">
      <w:pPr>
        <w:adjustRightInd w:val="0"/>
        <w:snapToGrid w:val="0"/>
        <w:spacing w:line="288" w:lineRule="auto"/>
        <w:ind w:firstLine="1040"/>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_GB2312" w:cs="Times New Roman"/>
          <w:color w:val="auto"/>
          <w:sz w:val="36"/>
          <w:szCs w:val="36"/>
          <w:u w:val="single"/>
          <w:lang w:val="en-US" w:eastAsia="zh-CN"/>
        </w:rPr>
        <w:t>江苏一重锻造有限公司</w:t>
      </w:r>
      <w:r>
        <w:rPr>
          <w:rFonts w:hint="eastAsia"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lang w:val="en-US" w:eastAsia="zh-CN"/>
        </w:rPr>
        <w:t xml:space="preserve"> </w:t>
      </w:r>
    </w:p>
    <w:p w14:paraId="739CF40F">
      <w:pPr>
        <w:adjustRightInd w:val="0"/>
        <w:snapToGrid w:val="0"/>
        <w:spacing w:line="288" w:lineRule="auto"/>
        <w:ind w:firstLine="1040"/>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202</w:t>
      </w:r>
      <w:r>
        <w:rPr>
          <w:rFonts w:hint="default" w:ascii="Times New Roman" w:hAnsi="Times New Roman" w:eastAsia="仿宋_GB2312" w:cs="Times New Roman"/>
          <w:color w:val="auto"/>
          <w:sz w:val="36"/>
          <w:szCs w:val="36"/>
          <w:u w:val="single"/>
          <w:lang w:val="en-US" w:eastAsia="zh-CN"/>
        </w:rPr>
        <w:t>4</w:t>
      </w:r>
      <w:r>
        <w:rPr>
          <w:rFonts w:hint="default" w:ascii="Times New Roman" w:hAnsi="Times New Roman" w:eastAsia="仿宋_GB2312" w:cs="Times New Roman"/>
          <w:color w:val="auto"/>
          <w:sz w:val="36"/>
          <w:szCs w:val="36"/>
          <w:u w:val="single"/>
        </w:rPr>
        <w:t>年</w:t>
      </w:r>
      <w:r>
        <w:rPr>
          <w:rFonts w:hint="default" w:ascii="Times New Roman" w:hAnsi="Times New Roman" w:eastAsia="仿宋_GB2312" w:cs="Times New Roman"/>
          <w:color w:val="auto"/>
          <w:sz w:val="36"/>
          <w:szCs w:val="36"/>
          <w:u w:val="single"/>
          <w:lang w:val="en-US" w:eastAsia="zh-CN"/>
        </w:rPr>
        <w:t>0</w:t>
      </w:r>
      <w:r>
        <w:rPr>
          <w:rFonts w:hint="eastAsia" w:ascii="Times New Roman" w:hAnsi="Times New Roman" w:eastAsia="仿宋_GB2312" w:cs="Times New Roman"/>
          <w:color w:val="auto"/>
          <w:sz w:val="36"/>
          <w:szCs w:val="36"/>
          <w:u w:val="single"/>
          <w:lang w:val="en-US" w:eastAsia="zh-CN"/>
        </w:rPr>
        <w:t>9</w:t>
      </w:r>
      <w:r>
        <w:rPr>
          <w:rFonts w:hint="default" w:ascii="Times New Roman" w:hAnsi="Times New Roman" w:eastAsia="仿宋_GB2312" w:cs="Times New Roman"/>
          <w:color w:val="auto"/>
          <w:sz w:val="36"/>
          <w:szCs w:val="36"/>
          <w:u w:val="single"/>
        </w:rPr>
        <w:t xml:space="preserve">月  </w:t>
      </w:r>
      <w:r>
        <w:rPr>
          <w:rFonts w:hint="eastAsia"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14:paraId="046809C0">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14:paraId="2A2D0C1B">
      <w:pPr>
        <w:adjustRightInd w:val="0"/>
        <w:snapToGrid w:val="0"/>
        <w:spacing w:line="288" w:lineRule="auto"/>
        <w:ind w:firstLine="1040"/>
        <w:rPr>
          <w:rFonts w:hint="default" w:ascii="Times New Roman" w:hAnsi="Times New Roman" w:eastAsia="仿宋_GB2312" w:cs="Times New Roman"/>
          <w:color w:val="auto"/>
          <w:sz w:val="36"/>
          <w:szCs w:val="36"/>
        </w:rPr>
      </w:pPr>
    </w:p>
    <w:p w14:paraId="4D7E5873">
      <w:pPr>
        <w:adjustRightInd w:val="0"/>
        <w:snapToGrid w:val="0"/>
        <w:spacing w:line="288" w:lineRule="auto"/>
        <w:ind w:firstLine="1040"/>
        <w:rPr>
          <w:rFonts w:hint="default" w:ascii="Times New Roman" w:hAnsi="Times New Roman" w:eastAsia="仿宋_GB2312" w:cs="Times New Roman"/>
          <w:color w:val="auto"/>
          <w:sz w:val="36"/>
          <w:szCs w:val="36"/>
        </w:rPr>
      </w:pPr>
    </w:p>
    <w:p w14:paraId="14A6D85F">
      <w:pPr>
        <w:adjustRightInd w:val="0"/>
        <w:snapToGrid w:val="0"/>
        <w:spacing w:line="288" w:lineRule="auto"/>
        <w:ind w:firstLine="1040"/>
        <w:rPr>
          <w:rFonts w:hint="default" w:ascii="Times New Roman" w:hAnsi="Times New Roman" w:eastAsia="仿宋_GB2312" w:cs="Times New Roman"/>
          <w:color w:val="auto"/>
          <w:sz w:val="36"/>
          <w:szCs w:val="36"/>
        </w:rPr>
      </w:pPr>
    </w:p>
    <w:p w14:paraId="1D811873">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14:paraId="52A57C1A">
      <w:pPr>
        <w:adjustRightInd w:val="0"/>
        <w:snapToGrid w:val="0"/>
        <w:spacing w:line="288" w:lineRule="auto"/>
        <w:jc w:val="center"/>
        <w:rPr>
          <w:rFonts w:hint="default" w:ascii="Times New Roman" w:hAnsi="Times New Roman" w:eastAsia="楷体_GB2312" w:cs="Times New Roman"/>
          <w:color w:val="auto"/>
          <w:sz w:val="36"/>
          <w:szCs w:val="36"/>
        </w:rPr>
      </w:pPr>
    </w:p>
    <w:p w14:paraId="1B24F0E0">
      <w:pPr>
        <w:adjustRightInd w:val="0"/>
        <w:snapToGrid w:val="0"/>
        <w:spacing w:line="288" w:lineRule="auto"/>
        <w:jc w:val="center"/>
        <w:rPr>
          <w:rFonts w:hint="default" w:ascii="Times New Roman" w:hAnsi="Times New Roman" w:eastAsia="楷体_GB2312" w:cs="Times New Roman"/>
          <w:color w:val="auto"/>
          <w:sz w:val="36"/>
          <w:szCs w:val="36"/>
        </w:rPr>
      </w:pPr>
    </w:p>
    <w:p w14:paraId="18851AB5">
      <w:pPr>
        <w:adjustRightInd w:val="0"/>
        <w:snapToGrid w:val="0"/>
        <w:spacing w:line="288" w:lineRule="auto"/>
        <w:jc w:val="center"/>
        <w:rPr>
          <w:rFonts w:hint="default" w:ascii="Times New Roman" w:hAnsi="Times New Roman" w:eastAsia="楷体_GB2312" w:cs="Times New Roman"/>
          <w:color w:val="auto"/>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r>
        <w:rPr>
          <w:rFonts w:hint="default" w:ascii="Times New Roman" w:hAnsi="Times New Roman" w:eastAsia="楷体_GB2312" w:cs="Times New Roman"/>
          <w:color w:val="auto"/>
          <w:sz w:val="36"/>
          <w:szCs w:val="36"/>
        </w:rPr>
        <w:t>中华人民共和国生态环境部制</w:t>
      </w:r>
    </w:p>
    <w:p w14:paraId="218DE23B">
      <w:pPr>
        <w:pStyle w:val="4"/>
        <w:rPr>
          <w:rFonts w:hint="default"/>
          <w:color w:val="auto"/>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23A976A3">
      <w:pPr>
        <w:pStyle w:val="36"/>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4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06"/>
        <w:gridCol w:w="1423"/>
        <w:gridCol w:w="1727"/>
        <w:gridCol w:w="2197"/>
        <w:gridCol w:w="2917"/>
      </w:tblGrid>
      <w:tr w14:paraId="04232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65D5B8B1">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建设项目名称</w:t>
            </w:r>
          </w:p>
        </w:tc>
        <w:tc>
          <w:tcPr>
            <w:tcW w:w="6488" w:type="dxa"/>
            <w:gridSpan w:val="3"/>
            <w:noWrap w:val="0"/>
            <w:vAlign w:val="center"/>
          </w:tcPr>
          <w:p w14:paraId="22A71570">
            <w:pPr>
              <w:adjustRightInd w:val="0"/>
              <w:snapToGri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年产8000吨模锻件、42000吨自由锻件、30000吨环锻件项目</w:t>
            </w:r>
          </w:p>
        </w:tc>
      </w:tr>
      <w:tr w14:paraId="0DE38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978479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项目代码</w:t>
            </w:r>
          </w:p>
        </w:tc>
        <w:tc>
          <w:tcPr>
            <w:tcW w:w="6488" w:type="dxa"/>
            <w:gridSpan w:val="3"/>
            <w:noWrap w:val="0"/>
            <w:vAlign w:val="center"/>
          </w:tcPr>
          <w:p w14:paraId="14A13E52">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2403-320657-89-01-773263 </w:t>
            </w:r>
          </w:p>
        </w:tc>
      </w:tr>
      <w:tr w14:paraId="61952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42C98D79">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建设单位联系人</w:t>
            </w:r>
          </w:p>
        </w:tc>
        <w:tc>
          <w:tcPr>
            <w:tcW w:w="1637" w:type="dxa"/>
            <w:noWrap w:val="0"/>
            <w:vAlign w:val="center"/>
          </w:tcPr>
          <w:p w14:paraId="35C9933E">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姜爱军</w:t>
            </w:r>
          </w:p>
        </w:tc>
        <w:tc>
          <w:tcPr>
            <w:tcW w:w="2212" w:type="dxa"/>
            <w:noWrap w:val="0"/>
            <w:vAlign w:val="center"/>
          </w:tcPr>
          <w:p w14:paraId="02F6D20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联系方式</w:t>
            </w:r>
          </w:p>
        </w:tc>
        <w:tc>
          <w:tcPr>
            <w:tcW w:w="2639" w:type="dxa"/>
            <w:noWrap w:val="0"/>
            <w:vAlign w:val="center"/>
          </w:tcPr>
          <w:p w14:paraId="0E8D36AF">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13862845959</w:t>
            </w:r>
          </w:p>
        </w:tc>
      </w:tr>
      <w:tr w14:paraId="55BC2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12FC625">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建设地点</w:t>
            </w:r>
          </w:p>
        </w:tc>
        <w:tc>
          <w:tcPr>
            <w:tcW w:w="6488" w:type="dxa"/>
            <w:gridSpan w:val="3"/>
            <w:noWrap w:val="0"/>
            <w:vAlign w:val="center"/>
          </w:tcPr>
          <w:p w14:paraId="71C05AAE">
            <w:pPr>
              <w:adjustRightInd w:val="0"/>
              <w:snapToGri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江苏省南通市海门经济技术开发区厦门路108号</w:t>
            </w:r>
          </w:p>
        </w:tc>
      </w:tr>
      <w:tr w14:paraId="10D33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214B123C">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地理坐标</w:t>
            </w:r>
          </w:p>
        </w:tc>
        <w:tc>
          <w:tcPr>
            <w:tcW w:w="6488" w:type="dxa"/>
            <w:gridSpan w:val="3"/>
            <w:noWrap w:val="0"/>
            <w:vAlign w:val="center"/>
          </w:tcPr>
          <w:p w14:paraId="469FE63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u w:val="single"/>
                <w14:textFill>
                  <w14:solidFill>
                    <w14:schemeClr w14:val="tx1"/>
                  </w14:solidFill>
                </w14:textFill>
              </w:rPr>
              <w:t xml:space="preserve"> 121 </w:t>
            </w:r>
            <w:r>
              <w:rPr>
                <w:rFonts w:hint="default" w:ascii="Times New Roman" w:hAnsi="Times New Roman" w:cs="Times New Roman"/>
                <w:color w:val="000000" w:themeColor="text1"/>
                <w:szCs w:val="21"/>
                <w14:textFill>
                  <w14:solidFill>
                    <w14:schemeClr w14:val="tx1"/>
                  </w14:solidFill>
                </w14:textFill>
              </w:rPr>
              <w:t>度</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lang w:val="en-US" w:eastAsia="zh-CN"/>
                <w14:textFill>
                  <w14:solidFill>
                    <w14:schemeClr w14:val="tx1"/>
                  </w14:solidFill>
                </w14:textFill>
              </w:rPr>
              <w:t>7</w:t>
            </w:r>
            <w:r>
              <w:rPr>
                <w:rFonts w:hint="default" w:ascii="Times New Roman" w:hAnsi="Times New Roman" w:cs="Times New Roman"/>
                <w:color w:val="000000" w:themeColor="text1"/>
                <w:szCs w:val="21"/>
                <w14:textFill>
                  <w14:solidFill>
                    <w14:schemeClr w14:val="tx1"/>
                  </w14:solidFill>
                </w14:textFill>
              </w:rPr>
              <w:t>分</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lang w:val="en-US" w:eastAsia="zh-CN"/>
                <w14:textFill>
                  <w14:solidFill>
                    <w14:schemeClr w14:val="tx1"/>
                  </w14:solidFill>
                </w14:textFill>
              </w:rPr>
              <w:t>19.210</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秒，</w:t>
            </w:r>
            <w:r>
              <w:rPr>
                <w:rFonts w:hint="default" w:ascii="Times New Roman" w:hAnsi="Times New Roman" w:cs="Times New Roman"/>
                <w:color w:val="000000" w:themeColor="text1"/>
                <w:szCs w:val="21"/>
                <w:u w:val="single"/>
                <w14:textFill>
                  <w14:solidFill>
                    <w14:schemeClr w14:val="tx1"/>
                  </w14:solidFill>
                </w14:textFill>
              </w:rPr>
              <w:t xml:space="preserve"> 31 </w:t>
            </w:r>
            <w:r>
              <w:rPr>
                <w:rFonts w:hint="default" w:ascii="Times New Roman" w:hAnsi="Times New Roman" w:cs="Times New Roman"/>
                <w:color w:val="000000" w:themeColor="text1"/>
                <w:szCs w:val="21"/>
                <w14:textFill>
                  <w14:solidFill>
                    <w14:schemeClr w14:val="tx1"/>
                  </w14:solidFill>
                </w14:textFill>
              </w:rPr>
              <w:t>度</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lang w:val="en-US" w:eastAsia="zh-CN"/>
                <w14:textFill>
                  <w14:solidFill>
                    <w14:schemeClr w14:val="tx1"/>
                  </w14:solidFill>
                </w14:textFill>
              </w:rPr>
              <w:t>48</w:t>
            </w:r>
            <w:r>
              <w:rPr>
                <w:rFonts w:hint="default" w:ascii="Times New Roman" w:hAnsi="Times New Roman" w:cs="Times New Roman"/>
                <w:color w:val="000000" w:themeColor="text1"/>
                <w:szCs w:val="21"/>
                <w14:textFill>
                  <w14:solidFill>
                    <w14:schemeClr w14:val="tx1"/>
                  </w14:solidFill>
                </w14:textFill>
              </w:rPr>
              <w:t>分</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lang w:val="en-US" w:eastAsia="zh-CN"/>
                <w14:textFill>
                  <w14:solidFill>
                    <w14:schemeClr w14:val="tx1"/>
                  </w14:solidFill>
                </w14:textFill>
              </w:rPr>
              <w:t>11.567</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秒）</w:t>
            </w:r>
          </w:p>
        </w:tc>
      </w:tr>
      <w:tr w14:paraId="710AF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gridSpan w:val="2"/>
            <w:noWrap w:val="0"/>
            <w:tcMar>
              <w:top w:w="16" w:type="dxa"/>
              <w:left w:w="16" w:type="dxa"/>
              <w:right w:w="16" w:type="dxa"/>
            </w:tcMar>
            <w:vAlign w:val="center"/>
          </w:tcPr>
          <w:p w14:paraId="15162E8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国民经济</w:t>
            </w:r>
          </w:p>
          <w:p w14:paraId="38CF81F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行业类别</w:t>
            </w:r>
          </w:p>
        </w:tc>
        <w:tc>
          <w:tcPr>
            <w:tcW w:w="1637" w:type="dxa"/>
            <w:noWrap w:val="0"/>
            <w:vAlign w:val="center"/>
          </w:tcPr>
          <w:p w14:paraId="5D9804ED">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14:textFill>
                  <w14:solidFill>
                    <w14:schemeClr w14:val="tx1"/>
                  </w14:solidFill>
                </w14:textFill>
              </w:rPr>
              <w:t>C</w:t>
            </w:r>
            <w:r>
              <w:rPr>
                <w:rFonts w:hint="default" w:ascii="Times New Roman" w:hAnsi="Times New Roman" w:cs="Times New Roman"/>
                <w:color w:val="000000" w:themeColor="text1"/>
                <w:szCs w:val="21"/>
                <w:lang w:val="en-US" w:eastAsia="zh-CN"/>
                <w14:textFill>
                  <w14:solidFill>
                    <w14:schemeClr w14:val="tx1"/>
                  </w14:solidFill>
                </w14:textFill>
              </w:rPr>
              <w:t>3</w:t>
            </w:r>
            <w:r>
              <w:rPr>
                <w:rFonts w:hint="eastAsia" w:ascii="Times New Roman" w:hAnsi="Times New Roman" w:cs="Times New Roman"/>
                <w:color w:val="000000" w:themeColor="text1"/>
                <w:szCs w:val="21"/>
                <w:lang w:val="en-US" w:eastAsia="zh-CN"/>
                <w14:textFill>
                  <w14:solidFill>
                    <w14:schemeClr w14:val="tx1"/>
                  </w14:solidFill>
                </w14:textFill>
              </w:rPr>
              <w:t>393锻件及粉末冶金制品制造</w:t>
            </w:r>
          </w:p>
        </w:tc>
        <w:tc>
          <w:tcPr>
            <w:tcW w:w="2212" w:type="dxa"/>
            <w:noWrap w:val="0"/>
            <w:vAlign w:val="center"/>
          </w:tcPr>
          <w:p w14:paraId="546A47C3">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bookmarkStart w:id="1" w:name="_Hlk49843745"/>
            <w:r>
              <w:rPr>
                <w:rFonts w:hint="default" w:ascii="Times New Roman" w:hAnsi="Times New Roman" w:cs="Times New Roman"/>
                <w:color w:val="000000" w:themeColor="text1"/>
                <w:szCs w:val="21"/>
                <w14:textFill>
                  <w14:solidFill>
                    <w14:schemeClr w14:val="tx1"/>
                  </w14:solidFill>
                </w14:textFill>
              </w:rPr>
              <w:t>建设项目</w:t>
            </w:r>
          </w:p>
          <w:p w14:paraId="1D9631D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行业类别</w:t>
            </w:r>
            <w:bookmarkEnd w:id="1"/>
          </w:p>
        </w:tc>
        <w:tc>
          <w:tcPr>
            <w:tcW w:w="2639" w:type="dxa"/>
            <w:noWrap w:val="0"/>
            <w:vAlign w:val="center"/>
          </w:tcPr>
          <w:p w14:paraId="0997AFCC">
            <w:pPr>
              <w:adjustRightInd w:val="0"/>
              <w:snapToGrid w:val="0"/>
              <w:jc w:val="center"/>
              <w:rPr>
                <w:rFonts w:hint="default" w:ascii="Times New Roman" w:hAnsi="Times New Roman" w:cs="Times New Roman"/>
                <w:color w:val="000000" w:themeColor="text1"/>
                <w:szCs w:val="21"/>
                <w:lang w:val="en-US"/>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三十</w:t>
            </w: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金属制品业-33</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铸造及其他金属制品制造339</w:t>
            </w:r>
          </w:p>
        </w:tc>
      </w:tr>
      <w:tr w14:paraId="02D32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2"/>
            <w:noWrap w:val="0"/>
            <w:tcMar>
              <w:top w:w="16" w:type="dxa"/>
              <w:left w:w="16" w:type="dxa"/>
              <w:right w:w="16" w:type="dxa"/>
            </w:tcMar>
            <w:vAlign w:val="center"/>
          </w:tcPr>
          <w:p w14:paraId="7024AD5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建设性质</w:t>
            </w:r>
          </w:p>
        </w:tc>
        <w:tc>
          <w:tcPr>
            <w:tcW w:w="1637" w:type="dxa"/>
            <w:noWrap w:val="0"/>
            <w:vAlign w:val="center"/>
          </w:tcPr>
          <w:p w14:paraId="0196661B">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w:char="00FE"/>
            </w:r>
            <w:r>
              <w:rPr>
                <w:rFonts w:hint="default" w:ascii="Times New Roman" w:hAnsi="Times New Roman" w:cs="Times New Roman"/>
                <w:color w:val="000000" w:themeColor="text1"/>
                <w:szCs w:val="21"/>
                <w14:textFill>
                  <w14:solidFill>
                    <w14:schemeClr w14:val="tx1"/>
                  </w14:solidFill>
                </w14:textFill>
              </w:rPr>
              <w:t>新建（迁建）</w:t>
            </w:r>
          </w:p>
          <w:p w14:paraId="730516D3">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00A3"/>
            </w:r>
            <w:r>
              <w:rPr>
                <w:rFonts w:hint="default" w:ascii="Times New Roman" w:hAnsi="Times New Roman" w:cs="Times New Roman"/>
                <w:color w:val="000000" w:themeColor="text1"/>
                <w:szCs w:val="21"/>
                <w14:textFill>
                  <w14:solidFill>
                    <w14:schemeClr w14:val="tx1"/>
                  </w14:solidFill>
                </w14:textFill>
              </w:rPr>
              <w:t>改建</w:t>
            </w:r>
          </w:p>
          <w:p w14:paraId="0392521C">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00A3"/>
            </w:r>
            <w:r>
              <w:rPr>
                <w:rFonts w:hint="default" w:ascii="Times New Roman" w:hAnsi="Times New Roman" w:cs="Times New Roman"/>
                <w:color w:val="000000" w:themeColor="text1"/>
                <w:szCs w:val="21"/>
                <w14:textFill>
                  <w14:solidFill>
                    <w14:schemeClr w14:val="tx1"/>
                  </w14:solidFill>
                </w14:textFill>
              </w:rPr>
              <w:t>扩建</w:t>
            </w:r>
          </w:p>
          <w:p w14:paraId="30A0B403">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w:char="00A8"/>
            </w:r>
            <w:r>
              <w:rPr>
                <w:rFonts w:hint="default" w:ascii="Times New Roman" w:hAnsi="Times New Roman" w:cs="Times New Roman"/>
                <w:color w:val="000000" w:themeColor="text1"/>
                <w:szCs w:val="21"/>
                <w14:textFill>
                  <w14:solidFill>
                    <w14:schemeClr w14:val="tx1"/>
                  </w14:solidFill>
                </w14:textFill>
              </w:rPr>
              <w:t>技术改造</w:t>
            </w:r>
          </w:p>
        </w:tc>
        <w:tc>
          <w:tcPr>
            <w:tcW w:w="2212" w:type="dxa"/>
            <w:noWrap w:val="0"/>
            <w:vAlign w:val="center"/>
          </w:tcPr>
          <w:p w14:paraId="2707EE6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建设项目</w:t>
            </w:r>
          </w:p>
          <w:p w14:paraId="425FE39A">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申报情形</w:t>
            </w:r>
          </w:p>
        </w:tc>
        <w:tc>
          <w:tcPr>
            <w:tcW w:w="2639" w:type="dxa"/>
            <w:noWrap w:val="0"/>
            <w:vAlign w:val="center"/>
          </w:tcPr>
          <w:p w14:paraId="39D0DCDC">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w:char="F0FE"/>
            </w:r>
            <w:r>
              <w:rPr>
                <w:rFonts w:hint="default" w:ascii="Times New Roman" w:hAnsi="Times New Roman" w:cs="Times New Roman"/>
                <w:color w:val="000000" w:themeColor="text1"/>
                <w:szCs w:val="21"/>
                <w14:textFill>
                  <w14:solidFill>
                    <w14:schemeClr w14:val="tx1"/>
                  </w14:solidFill>
                </w14:textFill>
              </w:rPr>
              <w:t xml:space="preserve">首次申报项目             </w:t>
            </w:r>
          </w:p>
          <w:p w14:paraId="65C9BFA8">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□不予批准后再次申报项目</w:t>
            </w:r>
          </w:p>
          <w:p w14:paraId="72D5DED5">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00A3"/>
            </w:r>
            <w:r>
              <w:rPr>
                <w:rFonts w:hint="default" w:ascii="Times New Roman" w:hAnsi="Times New Roman" w:cs="Times New Roman"/>
                <w:color w:val="000000" w:themeColor="text1"/>
                <w:szCs w:val="21"/>
                <w14:textFill>
                  <w14:solidFill>
                    <w14:schemeClr w14:val="tx1"/>
                  </w14:solidFill>
                </w14:textFill>
              </w:rPr>
              <w:t xml:space="preserve">超五年重新审核项目     </w:t>
            </w:r>
          </w:p>
          <w:p w14:paraId="45C54CB2">
            <w:pPr>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□重大变动重新报批项目</w:t>
            </w:r>
          </w:p>
        </w:tc>
      </w:tr>
      <w:tr w14:paraId="7AB0D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2"/>
            <w:noWrap w:val="0"/>
            <w:tcMar>
              <w:top w:w="16" w:type="dxa"/>
              <w:left w:w="16" w:type="dxa"/>
              <w:right w:w="16" w:type="dxa"/>
            </w:tcMar>
            <w:vAlign w:val="center"/>
          </w:tcPr>
          <w:p w14:paraId="4BAFB1F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项目审批（核准/</w:t>
            </w:r>
          </w:p>
          <w:p w14:paraId="06747B46">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备案）部门（选填）</w:t>
            </w:r>
          </w:p>
        </w:tc>
        <w:tc>
          <w:tcPr>
            <w:tcW w:w="1637" w:type="dxa"/>
            <w:noWrap w:val="0"/>
            <w:vAlign w:val="center"/>
          </w:tcPr>
          <w:p w14:paraId="68B582A0">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 xml:space="preserve"> 海门经济开发区行政审批局</w:t>
            </w:r>
          </w:p>
        </w:tc>
        <w:tc>
          <w:tcPr>
            <w:tcW w:w="2212" w:type="dxa"/>
            <w:noWrap w:val="0"/>
            <w:vAlign w:val="center"/>
          </w:tcPr>
          <w:p w14:paraId="4E0C8F1D">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项目审批（核准/</w:t>
            </w:r>
          </w:p>
          <w:p w14:paraId="7709E7D3">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备案）文号（选填）</w:t>
            </w:r>
          </w:p>
        </w:tc>
        <w:tc>
          <w:tcPr>
            <w:tcW w:w="2639" w:type="dxa"/>
            <w:noWrap w:val="0"/>
            <w:vAlign w:val="center"/>
          </w:tcPr>
          <w:p w14:paraId="1C167ADC">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海开审备</w:t>
            </w:r>
            <w:r>
              <w:rPr>
                <w:rFonts w:hint="default" w:ascii="Times New Roman" w:hAnsi="Times New Roman" w:eastAsia="宋体" w:cs="Times New Roman"/>
                <w:color w:val="000000" w:themeColor="text1"/>
                <w:szCs w:val="21"/>
                <w:lang w:val="en-US" w:eastAsia="zh-CN"/>
                <w14:textFill>
                  <w14:solidFill>
                    <w14:schemeClr w14:val="tx1"/>
                  </w14:solidFill>
                </w14:textFill>
              </w:rPr>
              <w:t>[202</w:t>
            </w:r>
            <w:r>
              <w:rPr>
                <w:rFonts w:hint="default" w:ascii="Times New Roman" w:hAnsi="Times New Roman" w:cs="Times New Roman"/>
                <w:color w:val="000000" w:themeColor="text1"/>
                <w:szCs w:val="21"/>
                <w:lang w:val="en-US" w:eastAsia="zh-CN"/>
                <w14:textFill>
                  <w14:solidFill>
                    <w14:schemeClr w14:val="tx1"/>
                  </w14:solidFill>
                </w14:textFill>
              </w:rPr>
              <w:t>4</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323</w:t>
            </w:r>
            <w:r>
              <w:rPr>
                <w:rFonts w:hint="default" w:ascii="Times New Roman" w:hAnsi="Times New Roman" w:eastAsia="宋体" w:cs="Times New Roman"/>
                <w:color w:val="000000" w:themeColor="text1"/>
                <w:szCs w:val="21"/>
                <w:lang w:val="en-US" w:eastAsia="zh-CN"/>
                <w14:textFill>
                  <w14:solidFill>
                    <w14:schemeClr w14:val="tx1"/>
                  </w14:solidFill>
                </w14:textFill>
              </w:rPr>
              <w:t>号</w:t>
            </w:r>
          </w:p>
        </w:tc>
      </w:tr>
      <w:tr w14:paraId="40C47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672D92B1">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总投资（万元）</w:t>
            </w:r>
          </w:p>
        </w:tc>
        <w:tc>
          <w:tcPr>
            <w:tcW w:w="1637" w:type="dxa"/>
            <w:noWrap w:val="0"/>
            <w:vAlign w:val="center"/>
          </w:tcPr>
          <w:p w14:paraId="7A8FDF50">
            <w:pPr>
              <w:adjustRightInd w:val="0"/>
              <w:snapToGrid w:val="0"/>
              <w:jc w:val="center"/>
              <w:rPr>
                <w:rFonts w:hint="default" w:ascii="Times New Roman" w:hAnsi="Times New Roman"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3000</w:t>
            </w:r>
          </w:p>
        </w:tc>
        <w:tc>
          <w:tcPr>
            <w:tcW w:w="2212" w:type="dxa"/>
            <w:noWrap w:val="0"/>
            <w:tcMar>
              <w:top w:w="16" w:type="dxa"/>
              <w:left w:w="16" w:type="dxa"/>
              <w:right w:w="16" w:type="dxa"/>
            </w:tcMar>
            <w:vAlign w:val="center"/>
          </w:tcPr>
          <w:p w14:paraId="6B3D0E97">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环保投资（万元）</w:t>
            </w:r>
          </w:p>
        </w:tc>
        <w:tc>
          <w:tcPr>
            <w:tcW w:w="2639" w:type="dxa"/>
            <w:noWrap w:val="0"/>
            <w:vAlign w:val="center"/>
          </w:tcPr>
          <w:p w14:paraId="62A4668E">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100</w:t>
            </w:r>
          </w:p>
        </w:tc>
      </w:tr>
      <w:tr w14:paraId="37806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2596F312">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环保投资占比（%）</w:t>
            </w:r>
          </w:p>
        </w:tc>
        <w:tc>
          <w:tcPr>
            <w:tcW w:w="1637" w:type="dxa"/>
            <w:noWrap w:val="0"/>
            <w:vAlign w:val="center"/>
          </w:tcPr>
          <w:p w14:paraId="5AAC215D">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3.33</w:t>
            </w:r>
          </w:p>
        </w:tc>
        <w:tc>
          <w:tcPr>
            <w:tcW w:w="2212" w:type="dxa"/>
            <w:noWrap w:val="0"/>
            <w:tcMar>
              <w:top w:w="16" w:type="dxa"/>
              <w:left w:w="16" w:type="dxa"/>
              <w:right w:w="16" w:type="dxa"/>
            </w:tcMar>
            <w:vAlign w:val="center"/>
          </w:tcPr>
          <w:p w14:paraId="4F57803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施工工期</w:t>
            </w:r>
          </w:p>
        </w:tc>
        <w:tc>
          <w:tcPr>
            <w:tcW w:w="2639" w:type="dxa"/>
            <w:noWrap w:val="0"/>
            <w:vAlign w:val="center"/>
          </w:tcPr>
          <w:p w14:paraId="5204A97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个月</w:t>
            </w:r>
          </w:p>
        </w:tc>
      </w:tr>
      <w:tr w14:paraId="21DCF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3CC924B3">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是否开工建设</w:t>
            </w:r>
          </w:p>
        </w:tc>
        <w:tc>
          <w:tcPr>
            <w:tcW w:w="1637" w:type="dxa"/>
            <w:noWrap w:val="0"/>
            <w:vAlign w:val="center"/>
          </w:tcPr>
          <w:p w14:paraId="753E3A30">
            <w:pPr>
              <w:adjustRightInd w:val="0"/>
              <w:snapToGrid w:val="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w:char="F0FE"/>
            </w:r>
            <w:r>
              <w:rPr>
                <w:rFonts w:hint="default" w:ascii="Times New Roman" w:hAnsi="Times New Roman" w:cs="Times New Roman"/>
                <w:color w:val="000000" w:themeColor="text1"/>
                <w:szCs w:val="21"/>
                <w14:textFill>
                  <w14:solidFill>
                    <w14:schemeClr w14:val="tx1"/>
                  </w14:solidFill>
                </w14:textFill>
              </w:rPr>
              <w:t>否</w:t>
            </w:r>
          </w:p>
          <w:p w14:paraId="7EBDAD5B">
            <w:pPr>
              <w:adjustRightInd w:val="0"/>
              <w:snapToGrid w:val="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00A3"/>
            </w:r>
            <w:r>
              <w:rPr>
                <w:rFonts w:hint="default" w:ascii="Times New Roman" w:hAnsi="Times New Roman" w:cs="Times New Roman"/>
                <w:color w:val="000000" w:themeColor="text1"/>
                <w:szCs w:val="21"/>
                <w14:textFill>
                  <w14:solidFill>
                    <w14:schemeClr w14:val="tx1"/>
                  </w14:solidFill>
                </w14:textFill>
              </w:rPr>
              <w:t>是：</w:t>
            </w:r>
            <w:r>
              <w:rPr>
                <w:rFonts w:hint="default" w:ascii="Times New Roman" w:hAnsi="Times New Roman" w:cs="Times New Roman"/>
                <w:color w:val="000000" w:themeColor="text1"/>
                <w:szCs w:val="21"/>
                <w:u w:val="single"/>
                <w14:textFill>
                  <w14:solidFill>
                    <w14:schemeClr w14:val="tx1"/>
                  </w14:solidFill>
                </w14:textFill>
              </w:rPr>
              <w:t xml:space="preserve">             </w:t>
            </w:r>
          </w:p>
        </w:tc>
        <w:tc>
          <w:tcPr>
            <w:tcW w:w="2212" w:type="dxa"/>
            <w:noWrap w:val="0"/>
            <w:tcMar>
              <w:top w:w="16" w:type="dxa"/>
              <w:left w:w="16" w:type="dxa"/>
              <w:right w:w="16" w:type="dxa"/>
            </w:tcMar>
            <w:vAlign w:val="center"/>
          </w:tcPr>
          <w:p w14:paraId="588A9D97">
            <w:pPr>
              <w:adjustRightInd w:val="0"/>
              <w:snapToGrid w:val="0"/>
              <w:jc w:val="center"/>
              <w:rPr>
                <w:rFonts w:hint="default" w:ascii="Times New Roman" w:hAnsi="Times New Roman" w:cs="Times New Roman"/>
                <w:color w:val="000000" w:themeColor="text1"/>
                <w:spacing w:val="-6"/>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用地（用海）</w:t>
            </w:r>
          </w:p>
          <w:p w14:paraId="281A3D9D">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面积（m</w:t>
            </w:r>
            <w:r>
              <w:rPr>
                <w:rFonts w:hint="default" w:ascii="Times New Roman" w:hAnsi="Times New Roman" w:cs="Times New Roman"/>
                <w:color w:val="000000" w:themeColor="text1"/>
                <w:spacing w:val="-6"/>
                <w:szCs w:val="21"/>
                <w:vertAlign w:val="superscript"/>
                <w14:textFill>
                  <w14:solidFill>
                    <w14:schemeClr w14:val="tx1"/>
                  </w14:solidFill>
                </w14:textFill>
              </w:rPr>
              <w:t>2</w:t>
            </w:r>
            <w:r>
              <w:rPr>
                <w:rFonts w:hint="default" w:ascii="Times New Roman" w:hAnsi="Times New Roman" w:cs="Times New Roman"/>
                <w:color w:val="000000" w:themeColor="text1"/>
                <w:spacing w:val="-6"/>
                <w:szCs w:val="21"/>
                <w14:textFill>
                  <w14:solidFill>
                    <w14:schemeClr w14:val="tx1"/>
                  </w14:solidFill>
                </w14:textFill>
              </w:rPr>
              <w:t>）</w:t>
            </w:r>
          </w:p>
        </w:tc>
        <w:tc>
          <w:tcPr>
            <w:tcW w:w="2639" w:type="dxa"/>
            <w:noWrap w:val="0"/>
            <w:vAlign w:val="center"/>
          </w:tcPr>
          <w:p w14:paraId="043A6E4F">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占地面积18775（租赁）</w:t>
            </w:r>
          </w:p>
        </w:tc>
      </w:tr>
      <w:tr w14:paraId="003FE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1FFF67F6">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专项评价设置情况</w:t>
            </w:r>
          </w:p>
        </w:tc>
        <w:tc>
          <w:tcPr>
            <w:tcW w:w="6488" w:type="dxa"/>
            <w:gridSpan w:val="3"/>
            <w:noWrap w:val="0"/>
            <w:vAlign w:val="center"/>
          </w:tcPr>
          <w:p w14:paraId="3271BA4D">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无</w:t>
            </w:r>
          </w:p>
        </w:tc>
      </w:tr>
      <w:tr w14:paraId="1EE94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60FFD2A6">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规划情况</w:t>
            </w:r>
          </w:p>
        </w:tc>
        <w:tc>
          <w:tcPr>
            <w:tcW w:w="6488" w:type="dxa"/>
            <w:gridSpan w:val="3"/>
            <w:noWrap w:val="0"/>
            <w:vAlign w:val="center"/>
          </w:tcPr>
          <w:p w14:paraId="5978BBA1">
            <w:pPr>
              <w:autoSpaceDE w:val="0"/>
              <w:autoSpaceDN w:val="0"/>
              <w:adjustRightInd w:val="0"/>
              <w:spacing w:line="360" w:lineRule="auto"/>
              <w:jc w:val="left"/>
              <w:rPr>
                <w:rFonts w:hint="default" w:ascii="Times New Roman" w:hAnsi="Times New Roman" w:cs="Times New Roman"/>
                <w:color w:val="FF0000"/>
                <w:lang w:val="en-US" w:eastAsia="zh-CN"/>
              </w:rPr>
            </w:pPr>
            <w:r>
              <w:rPr>
                <w:rFonts w:hint="default" w:ascii="Times New Roman" w:hAnsi="Times New Roman" w:cs="Times New Roman"/>
                <w:color w:val="FF0000"/>
                <w:lang w:val="en-US" w:eastAsia="zh-CN"/>
              </w:rPr>
              <w:t>规划文件名称：《海门市城市总体规划（2013-2030）》</w:t>
            </w:r>
          </w:p>
          <w:p w14:paraId="21724224">
            <w:pPr>
              <w:autoSpaceDE w:val="0"/>
              <w:autoSpaceDN w:val="0"/>
              <w:adjustRightInd w:val="0"/>
              <w:spacing w:line="360" w:lineRule="auto"/>
              <w:jc w:val="left"/>
              <w:rPr>
                <w:rFonts w:hint="default" w:ascii="Times New Roman" w:hAnsi="Times New Roman" w:cs="Times New Roman"/>
                <w:color w:val="FF0000"/>
                <w:lang w:val="en-US" w:eastAsia="zh-CN"/>
              </w:rPr>
            </w:pPr>
            <w:r>
              <w:rPr>
                <w:rFonts w:hint="default" w:ascii="Times New Roman" w:hAnsi="Times New Roman" w:cs="Times New Roman"/>
                <w:color w:val="FF0000"/>
                <w:lang w:val="en-US" w:eastAsia="zh-CN"/>
              </w:rPr>
              <w:t>审批机关：江苏省人民政府</w:t>
            </w:r>
          </w:p>
          <w:p w14:paraId="12B56185">
            <w:pPr>
              <w:autoSpaceDE w:val="0"/>
              <w:autoSpaceDN w:val="0"/>
              <w:adjustRightInd w:val="0"/>
              <w:spacing w:line="36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FF0000"/>
                <w:lang w:val="en-US" w:eastAsia="zh-CN"/>
              </w:rPr>
              <w:t>审批文号：苏政复[2014]68号（2014年6月3日）</w:t>
            </w:r>
          </w:p>
        </w:tc>
      </w:tr>
      <w:tr w14:paraId="11158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4CB016E4">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规划环境影响</w:t>
            </w:r>
          </w:p>
          <w:p w14:paraId="585E7994">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评价情况</w:t>
            </w:r>
          </w:p>
        </w:tc>
        <w:tc>
          <w:tcPr>
            <w:tcW w:w="6488" w:type="dxa"/>
            <w:gridSpan w:val="3"/>
            <w:noWrap w:val="0"/>
            <w:vAlign w:val="center"/>
          </w:tcPr>
          <w:p w14:paraId="52F6D212">
            <w:pPr>
              <w:autoSpaceDE w:val="0"/>
              <w:autoSpaceDN w:val="0"/>
              <w:adjustRightInd w:val="0"/>
              <w:spacing w:line="360" w:lineRule="auto"/>
              <w:jc w:val="left"/>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规划：</w:t>
            </w:r>
            <w:r>
              <w:rPr>
                <w:rFonts w:hint="default" w:ascii="Times New Roman" w:hAnsi="Times New Roman" w:cs="Times New Roman"/>
                <w:color w:val="000000" w:themeColor="text1"/>
                <w:szCs w:val="21"/>
                <w14:textFill>
                  <w14:solidFill>
                    <w14:schemeClr w14:val="tx1"/>
                  </w14:solidFill>
                </w14:textFill>
              </w:rPr>
              <w:t>《海门经济技术开发区</w:t>
            </w:r>
            <w:r>
              <w:rPr>
                <w:rFonts w:hint="default" w:ascii="Times New Roman" w:hAnsi="Times New Roman" w:cs="Times New Roman"/>
                <w:color w:val="000000" w:themeColor="text1"/>
                <w:szCs w:val="21"/>
                <w:lang w:val="en-US" w:eastAsia="zh-CN"/>
                <w14:textFill>
                  <w14:solidFill>
                    <w14:schemeClr w14:val="tx1"/>
                  </w14:solidFill>
                </w14:textFill>
              </w:rPr>
              <w:t>开发建设</w:t>
            </w:r>
            <w:r>
              <w:rPr>
                <w:rFonts w:hint="default" w:ascii="Times New Roman" w:hAnsi="Times New Roman" w:cs="Times New Roman"/>
                <w:color w:val="000000" w:themeColor="text1"/>
                <w:szCs w:val="21"/>
                <w14:textFill>
                  <w14:solidFill>
                    <w14:schemeClr w14:val="tx1"/>
                  </w14:solidFill>
                </w14:textFill>
              </w:rPr>
              <w:t>规划（20</w:t>
            </w:r>
            <w:r>
              <w:rPr>
                <w:rFonts w:hint="default" w:ascii="Times New Roman" w:hAnsi="Times New Roman" w:cs="Times New Roman"/>
                <w:color w:val="000000" w:themeColor="text1"/>
                <w:szCs w:val="21"/>
                <w:lang w:val="en-US" w:eastAsia="zh-CN"/>
                <w14:textFill>
                  <w14:solidFill>
                    <w14:schemeClr w14:val="tx1"/>
                  </w14:solidFill>
                </w14:textFill>
              </w:rPr>
              <w:t>22</w:t>
            </w:r>
            <w:r>
              <w:rPr>
                <w:rFonts w:hint="default" w:ascii="Times New Roman" w:hAnsi="Times New Roman" w:cs="Times New Roman"/>
                <w:color w:val="000000" w:themeColor="text1"/>
                <w:szCs w:val="21"/>
                <w14:textFill>
                  <w14:solidFill>
                    <w14:schemeClr w14:val="tx1"/>
                  </w14:solidFill>
                </w14:textFill>
              </w:rPr>
              <w:t>-203</w:t>
            </w:r>
            <w:r>
              <w:rPr>
                <w:rFonts w:hint="default" w:ascii="Times New Roman" w:hAnsi="Times New Roman"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）环境影响报告书》</w:t>
            </w:r>
          </w:p>
          <w:p w14:paraId="7306EEE1">
            <w:pPr>
              <w:autoSpaceDE w:val="0"/>
              <w:autoSpaceDN w:val="0"/>
              <w:adjustRightInd w:val="0"/>
              <w:spacing w:line="360" w:lineRule="auto"/>
              <w:jc w:val="left"/>
              <w:rPr>
                <w:rFonts w:hint="default" w:ascii="Times New Roman" w:hAnsi="Times New Roman" w:eastAsia="新宋体" w:cs="Times New Roman"/>
                <w:color w:val="000000" w:themeColor="text1"/>
                <w:szCs w:val="21"/>
                <w:lang w:val="en-US" w:eastAsia="zh-CN"/>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审批机关：</w:t>
            </w:r>
            <w:r>
              <w:rPr>
                <w:rFonts w:hint="default" w:ascii="Times New Roman" w:hAnsi="Times New Roman" w:eastAsia="新宋体" w:cs="Times New Roman"/>
                <w:color w:val="000000" w:themeColor="text1"/>
                <w:szCs w:val="21"/>
                <w:lang w:val="en-US" w:eastAsia="zh-CN"/>
                <w14:textFill>
                  <w14:solidFill>
                    <w14:schemeClr w14:val="tx1"/>
                  </w14:solidFill>
                </w14:textFill>
              </w:rPr>
              <w:t>江苏省生态环境厅</w:t>
            </w:r>
          </w:p>
          <w:p w14:paraId="14E9B533">
            <w:pPr>
              <w:autoSpaceDE w:val="0"/>
              <w:autoSpaceDN w:val="0"/>
              <w:adjustRightInd w:val="0"/>
              <w:snapToGrid w:val="0"/>
              <w:spacing w:line="360" w:lineRule="auto"/>
              <w:jc w:val="both"/>
              <w:rPr>
                <w:rFonts w:hint="default"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审批文件名称及文号：《</w:t>
            </w:r>
            <w:r>
              <w:rPr>
                <w:rFonts w:hint="default" w:ascii="Times New Roman" w:hAnsi="Times New Roman" w:eastAsia="新宋体" w:cs="Times New Roman"/>
                <w:color w:val="000000" w:themeColor="text1"/>
                <w:szCs w:val="21"/>
                <w:lang w:val="en-US" w:eastAsia="zh-CN"/>
                <w14:textFill>
                  <w14:solidFill>
                    <w14:schemeClr w14:val="tx1"/>
                  </w14:solidFill>
                </w14:textFill>
              </w:rPr>
              <w:t>省生态环境厅关于海门经济技术开发区建设规划（2022-2035年）环境影响报告书的审查意见</w:t>
            </w:r>
            <w:r>
              <w:rPr>
                <w:rFonts w:hint="default" w:ascii="Times New Roman" w:hAnsi="Times New Roman" w:eastAsia="新宋体" w:cs="Times New Roman"/>
                <w:color w:val="000000" w:themeColor="text1"/>
                <w:szCs w:val="21"/>
                <w14:textFill>
                  <w14:solidFill>
                    <w14:schemeClr w14:val="tx1"/>
                  </w14:solidFill>
                </w14:textFill>
              </w:rPr>
              <w:t>》</w:t>
            </w:r>
            <w:r>
              <w:rPr>
                <w:rFonts w:hint="default" w:ascii="Times New Roman" w:hAnsi="Times New Roman" w:eastAsia="新宋体" w:cs="Times New Roman"/>
                <w:color w:val="000000" w:themeColor="text1"/>
                <w:szCs w:val="21"/>
                <w:lang w:eastAsia="zh-CN"/>
                <w14:textFill>
                  <w14:solidFill>
                    <w14:schemeClr w14:val="tx1"/>
                  </w14:solidFill>
                </w14:textFill>
              </w:rPr>
              <w:t>（</w:t>
            </w:r>
            <w:r>
              <w:rPr>
                <w:rFonts w:hint="default" w:ascii="Times New Roman" w:hAnsi="Times New Roman" w:eastAsia="新宋体" w:cs="Times New Roman"/>
                <w:color w:val="000000" w:themeColor="text1"/>
                <w:szCs w:val="21"/>
                <w:lang w:val="en-US" w:eastAsia="zh-CN"/>
                <w14:textFill>
                  <w14:solidFill>
                    <w14:schemeClr w14:val="tx1"/>
                  </w14:solidFill>
                </w14:textFill>
              </w:rPr>
              <w:t>苏</w:t>
            </w:r>
            <w:r>
              <w:rPr>
                <w:rFonts w:hint="default" w:ascii="Times New Roman" w:hAnsi="Times New Roman" w:cs="Times New Roman"/>
                <w:color w:val="000000" w:themeColor="text1"/>
                <w:szCs w:val="21"/>
                <w14:textFill>
                  <w14:solidFill>
                    <w14:schemeClr w14:val="tx1"/>
                  </w14:solidFill>
                </w14:textFill>
              </w:rPr>
              <w:t>环审[20</w:t>
            </w:r>
            <w:r>
              <w:rPr>
                <w:rFonts w:hint="default" w:ascii="Times New Roman" w:hAnsi="Times New Roman" w:cs="Times New Roman"/>
                <w:color w:val="000000" w:themeColor="text1"/>
                <w:szCs w:val="21"/>
                <w:lang w:val="en-US" w:eastAsia="zh-CN"/>
                <w14:textFill>
                  <w14:solidFill>
                    <w14:schemeClr w14:val="tx1"/>
                  </w14:solidFill>
                </w14:textFill>
              </w:rPr>
              <w:t>24</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14:textFill>
                  <w14:solidFill>
                    <w14:schemeClr w14:val="tx1"/>
                  </w14:solidFill>
                </w14:textFill>
              </w:rPr>
              <w:t>号</w:t>
            </w:r>
            <w:r>
              <w:rPr>
                <w:rFonts w:hint="default" w:ascii="Times New Roman" w:hAnsi="Times New Roman" w:cs="Times New Roman"/>
                <w:color w:val="000000" w:themeColor="text1"/>
                <w:szCs w:val="21"/>
                <w:lang w:eastAsia="zh-CN"/>
                <w14:textFill>
                  <w14:solidFill>
                    <w14:schemeClr w14:val="tx1"/>
                  </w14:solidFill>
                </w14:textFill>
              </w:rPr>
              <w:t>）</w:t>
            </w:r>
          </w:p>
        </w:tc>
      </w:tr>
      <w:tr w14:paraId="670FE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9" w:type="dxa"/>
            <w:noWrap w:val="0"/>
            <w:vAlign w:val="center"/>
          </w:tcPr>
          <w:p w14:paraId="7F71B0C4">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规划及规划环境影响评价符合性分析</w:t>
            </w:r>
          </w:p>
        </w:tc>
        <w:tc>
          <w:tcPr>
            <w:tcW w:w="8121" w:type="dxa"/>
            <w:gridSpan w:val="4"/>
            <w:noWrap w:val="0"/>
            <w:vAlign w:val="center"/>
          </w:tcPr>
          <w:p w14:paraId="083A261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20"/>
              <w:jc w:val="both"/>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pacing w:val="0"/>
                <w:kern w:val="11"/>
                <w:sz w:val="21"/>
                <w:szCs w:val="21"/>
                <w:highlight w:val="none"/>
                <w:lang w:val="en-US" w:eastAsia="zh-CN"/>
                <w14:textFill>
                  <w14:solidFill>
                    <w14:schemeClr w14:val="tx1"/>
                  </w14:solidFill>
                </w14:textFill>
              </w:rPr>
              <w:t>与《海门市城市总体规划（2013-2030）》</w:t>
            </w:r>
          </w:p>
          <w:p w14:paraId="3713C53C">
            <w:pPr>
              <w:keepNext w:val="0"/>
              <w:keepLines w:val="0"/>
              <w:pageBreakBefore w:val="0"/>
              <w:widowControl w:val="0"/>
              <w:kinsoku/>
              <w:wordWrap/>
              <w:overflowPunct/>
              <w:topLinePunct w:val="0"/>
              <w:autoSpaceDE/>
              <w:autoSpaceDN/>
              <w:bidi w:val="0"/>
              <w:adjustRightInd w:val="0"/>
              <w:snapToGrid w:val="0"/>
              <w:spacing w:line="360" w:lineRule="auto"/>
              <w:ind w:firstLine="420"/>
              <w:jc w:val="both"/>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本项目位于江苏省南通市海门经济技术开发区厦门路108号，根据《海门市城市总体规划（2013-2030）》，项目所在地属于工业用地，因此本项目的建设符合城市规划要求。</w:t>
            </w:r>
          </w:p>
          <w:p w14:paraId="244AB84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cs="Times New Roman"/>
                <w:b/>
                <w:bCs/>
                <w:color w:val="000000" w:themeColor="text1"/>
                <w:spacing w:val="0"/>
                <w:kern w:val="11"/>
                <w:sz w:val="21"/>
                <w:szCs w:val="21"/>
                <w:highlight w:val="none"/>
                <w:lang w:eastAsia="zh-CN"/>
                <w14:textFill>
                  <w14:solidFill>
                    <w14:schemeClr w14:val="tx1"/>
                  </w14:solidFill>
                </w14:textFill>
              </w:rPr>
            </w:pPr>
            <w:r>
              <w:rPr>
                <w:rFonts w:hint="eastAsia" w:ascii="Times New Roman" w:hAnsi="Times New Roman" w:cs="Times New Roman"/>
                <w:b/>
                <w:bCs/>
                <w:color w:val="000000" w:themeColor="text1"/>
                <w:spacing w:val="0"/>
                <w:kern w:val="11"/>
                <w:sz w:val="21"/>
                <w:szCs w:val="21"/>
                <w:highlight w:val="none"/>
                <w:lang w:val="en-US" w:eastAsia="zh-CN"/>
                <w14:textFill>
                  <w14:solidFill>
                    <w14:schemeClr w14:val="tx1"/>
                  </w14:solidFill>
                </w14:textFill>
              </w:rPr>
              <w:t>2</w:t>
            </w:r>
            <w:r>
              <w:rPr>
                <w:rFonts w:hint="default" w:ascii="Times New Roman" w:hAnsi="Times New Roman" w:cs="Times New Roman"/>
                <w:b/>
                <w:bCs/>
                <w:color w:val="000000" w:themeColor="text1"/>
                <w:spacing w:val="0"/>
                <w:kern w:val="11"/>
                <w:sz w:val="21"/>
                <w:szCs w:val="21"/>
                <w:highlight w:val="none"/>
                <w:lang w:eastAsia="zh-CN"/>
                <w14:textFill>
                  <w14:solidFill>
                    <w14:schemeClr w14:val="tx1"/>
                  </w14:solidFill>
                </w14:textFill>
              </w:rPr>
              <w:t>、</w:t>
            </w:r>
            <w:r>
              <w:rPr>
                <w:rFonts w:hint="default" w:ascii="Times New Roman" w:hAnsi="Times New Roman" w:cs="Times New Roman"/>
                <w:b/>
                <w:bCs/>
                <w:color w:val="000000" w:themeColor="text1"/>
                <w:spacing w:val="0"/>
                <w:kern w:val="11"/>
                <w:sz w:val="21"/>
                <w:szCs w:val="21"/>
                <w:highlight w:val="none"/>
                <w:lang w:val="en-US" w:eastAsia="zh-CN"/>
                <w14:textFill>
                  <w14:solidFill>
                    <w14:schemeClr w14:val="tx1"/>
                  </w14:solidFill>
                </w14:textFill>
              </w:rPr>
              <w:t>与</w:t>
            </w:r>
            <w:r>
              <w:rPr>
                <w:rFonts w:hint="default" w:ascii="Times New Roman" w:hAnsi="Times New Roman" w:cs="Times New Roman"/>
                <w:b/>
                <w:bCs/>
                <w:color w:val="000000" w:themeColor="text1"/>
                <w:szCs w:val="21"/>
                <w14:textFill>
                  <w14:solidFill>
                    <w14:schemeClr w14:val="tx1"/>
                  </w14:solidFill>
                </w14:textFill>
              </w:rPr>
              <w:t>《海门经济技术开发区</w:t>
            </w:r>
            <w:r>
              <w:rPr>
                <w:rFonts w:hint="eastAsia" w:ascii="Times New Roman" w:hAnsi="Times New Roman" w:cs="Times New Roman"/>
                <w:b/>
                <w:bCs/>
                <w:color w:val="000000" w:themeColor="text1"/>
                <w:szCs w:val="21"/>
                <w:lang w:val="en-US" w:eastAsia="zh-CN"/>
                <w14:textFill>
                  <w14:solidFill>
                    <w14:schemeClr w14:val="tx1"/>
                  </w14:solidFill>
                </w14:textFill>
              </w:rPr>
              <w:t>开发建设</w:t>
            </w:r>
            <w:r>
              <w:rPr>
                <w:rFonts w:hint="default" w:ascii="Times New Roman" w:hAnsi="Times New Roman" w:cs="Times New Roman"/>
                <w:b/>
                <w:bCs/>
                <w:color w:val="000000" w:themeColor="text1"/>
                <w:szCs w:val="21"/>
                <w14:textFill>
                  <w14:solidFill>
                    <w14:schemeClr w14:val="tx1"/>
                  </w14:solidFill>
                </w14:textFill>
              </w:rPr>
              <w:t>规划（20</w:t>
            </w:r>
            <w:r>
              <w:rPr>
                <w:rFonts w:hint="eastAsia" w:ascii="Times New Roman" w:hAnsi="Times New Roman" w:cs="Times New Roman"/>
                <w:b/>
                <w:bCs/>
                <w:color w:val="000000" w:themeColor="text1"/>
                <w:szCs w:val="21"/>
                <w:lang w:val="en-US" w:eastAsia="zh-CN"/>
                <w14:textFill>
                  <w14:solidFill>
                    <w14:schemeClr w14:val="tx1"/>
                  </w14:solidFill>
                </w14:textFill>
              </w:rPr>
              <w:t>22-2035</w:t>
            </w:r>
            <w:r>
              <w:rPr>
                <w:rFonts w:hint="default" w:ascii="Times New Roman" w:hAnsi="Times New Roman" w:cs="Times New Roman"/>
                <w:b/>
                <w:bCs/>
                <w:color w:val="000000" w:themeColor="text1"/>
                <w:szCs w:val="21"/>
                <w14:textFill>
                  <w14:solidFill>
                    <w14:schemeClr w14:val="tx1"/>
                  </w14:solidFill>
                </w14:textFill>
              </w:rPr>
              <w:t>）环境影响报告书》</w:t>
            </w:r>
            <w:r>
              <w:rPr>
                <w:rFonts w:hint="eastAsia" w:ascii="Times New Roman" w:hAnsi="Times New Roman" w:cs="Times New Roman"/>
                <w:b/>
                <w:bCs/>
                <w:color w:val="000000" w:themeColor="text1"/>
                <w:szCs w:val="21"/>
                <w:lang w:val="en-US" w:eastAsia="zh-CN"/>
                <w14:textFill>
                  <w14:solidFill>
                    <w14:schemeClr w14:val="tx1"/>
                  </w14:solidFill>
                </w14:textFill>
              </w:rPr>
              <w:t>苏</w:t>
            </w:r>
            <w:r>
              <w:rPr>
                <w:rFonts w:hint="default" w:ascii="Times New Roman" w:hAnsi="Times New Roman" w:cs="Times New Roman"/>
                <w:b/>
                <w:bCs/>
                <w:color w:val="000000" w:themeColor="text1"/>
                <w:szCs w:val="21"/>
                <w14:textFill>
                  <w14:solidFill>
                    <w14:schemeClr w14:val="tx1"/>
                  </w14:solidFill>
                </w14:textFill>
              </w:rPr>
              <w:t>环审【20</w:t>
            </w:r>
            <w:r>
              <w:rPr>
                <w:rFonts w:hint="eastAsia" w:ascii="Times New Roman" w:hAnsi="Times New Roman" w:cs="Times New Roman"/>
                <w:b/>
                <w:bCs/>
                <w:color w:val="000000" w:themeColor="text1"/>
                <w:szCs w:val="21"/>
                <w:lang w:val="en-US" w:eastAsia="zh-CN"/>
                <w14:textFill>
                  <w14:solidFill>
                    <w14:schemeClr w14:val="tx1"/>
                  </w14:solidFill>
                </w14:textFill>
              </w:rPr>
              <w:t>24</w:t>
            </w:r>
            <w:r>
              <w:rPr>
                <w:rFonts w:hint="default" w:ascii="Times New Roman" w:hAnsi="Times New Roman" w:cs="Times New Roman"/>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lang w:val="en-US" w:eastAsia="zh-CN"/>
                <w14:textFill>
                  <w14:solidFill>
                    <w14:schemeClr w14:val="tx1"/>
                  </w14:solidFill>
                </w14:textFill>
              </w:rPr>
              <w:t>7</w:t>
            </w:r>
            <w:r>
              <w:rPr>
                <w:rFonts w:hint="default" w:ascii="Times New Roman" w:hAnsi="Times New Roman" w:cs="Times New Roman"/>
                <w:b/>
                <w:bCs/>
                <w:color w:val="000000" w:themeColor="text1"/>
                <w:szCs w:val="21"/>
                <w14:textFill>
                  <w14:solidFill>
                    <w14:schemeClr w14:val="tx1"/>
                  </w14:solidFill>
                </w14:textFill>
              </w:rPr>
              <w:t>号文相符性分析</w:t>
            </w:r>
          </w:p>
          <w:p w14:paraId="289A4B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本项目与《海门经济技术开发区开发建设规划（2022~2035）环境影响报告书》苏环审【2024】7号文相符性分析见表 1-1。</w:t>
            </w:r>
          </w:p>
          <w:p w14:paraId="3F893856">
            <w:pPr>
              <w:keepNext w:val="0"/>
              <w:keepLines w:val="0"/>
              <w:pageBreakBefore w:val="0"/>
              <w:widowControl w:val="0"/>
              <w:kinsoku/>
              <w:wordWrap/>
              <w:overflowPunct/>
              <w:topLinePunct w:val="0"/>
              <w:autoSpaceDE/>
              <w:autoSpaceDN/>
              <w:bidi w:val="0"/>
              <w:adjustRightInd w:val="0"/>
              <w:snapToGrid w:val="0"/>
              <w:spacing w:line="240" w:lineRule="auto"/>
              <w:ind w:firstLine="420"/>
              <w:jc w:val="center"/>
              <w:textAlignment w:val="auto"/>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表1-</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与《海门经济技术开发区</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开发建设</w:t>
            </w:r>
            <w:r>
              <w:rPr>
                <w:rFonts w:hint="default" w:ascii="Times New Roman" w:hAnsi="Times New Roman" w:cs="Times New Roman"/>
                <w:b/>
                <w:bCs/>
                <w:color w:val="000000" w:themeColor="text1"/>
                <w:sz w:val="21"/>
                <w:szCs w:val="21"/>
                <w:highlight w:val="none"/>
                <w14:textFill>
                  <w14:solidFill>
                    <w14:schemeClr w14:val="tx1"/>
                  </w14:solidFill>
                </w14:textFill>
              </w:rPr>
              <w:t>规划（20</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22</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2035</w:t>
            </w:r>
            <w:r>
              <w:rPr>
                <w:rFonts w:hint="default" w:ascii="Times New Roman" w:hAnsi="Times New Roman" w:cs="Times New Roman"/>
                <w:b/>
                <w:bCs/>
                <w:color w:val="000000" w:themeColor="text1"/>
                <w:sz w:val="21"/>
                <w:szCs w:val="21"/>
                <w:highlight w:val="none"/>
                <w14:textFill>
                  <w14:solidFill>
                    <w14:schemeClr w14:val="tx1"/>
                  </w14:solidFill>
                </w14:textFill>
              </w:rPr>
              <w:t>）环境影响报告书》</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苏</w:t>
            </w:r>
            <w:r>
              <w:rPr>
                <w:rFonts w:hint="default" w:ascii="Times New Roman" w:hAnsi="Times New Roman" w:cs="Times New Roman"/>
                <w:b/>
                <w:bCs/>
                <w:color w:val="000000" w:themeColor="text1"/>
                <w:sz w:val="21"/>
                <w:szCs w:val="21"/>
                <w:highlight w:val="none"/>
                <w14:textFill>
                  <w14:solidFill>
                    <w14:schemeClr w14:val="tx1"/>
                  </w14:solidFill>
                </w14:textFill>
              </w:rPr>
              <w:t>环审【20</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24</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1"/>
                <w:szCs w:val="21"/>
                <w:highlight w:val="none"/>
                <w14:textFill>
                  <w14:solidFill>
                    <w14:schemeClr w14:val="tx1"/>
                  </w14:solidFill>
                </w14:textFill>
              </w:rPr>
              <w:t>号文相符性分析</w:t>
            </w:r>
          </w:p>
          <w:tbl>
            <w:tblPr>
              <w:tblStyle w:val="41"/>
              <w:tblW w:w="4998" w:type="pct"/>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4350"/>
              <w:gridCol w:w="2190"/>
              <w:gridCol w:w="994"/>
            </w:tblGrid>
            <w:tr w14:paraId="52E0A45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0" w:type="pct"/>
                  <w:tcBorders>
                    <w:tl2br w:val="nil"/>
                    <w:tr2bl w:val="nil"/>
                  </w:tcBorders>
                  <w:noWrap w:val="0"/>
                  <w:vAlign w:val="center"/>
                </w:tcPr>
                <w:p w14:paraId="0C568A51">
                  <w:pPr>
                    <w:adjustRightInd w:val="0"/>
                    <w:snapToGrid w:val="0"/>
                    <w:jc w:val="both"/>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序号</w:t>
                  </w:r>
                </w:p>
              </w:tc>
              <w:tc>
                <w:tcPr>
                  <w:tcW w:w="2713" w:type="pct"/>
                  <w:tcBorders>
                    <w:tl2br w:val="nil"/>
                    <w:tr2bl w:val="nil"/>
                  </w:tcBorders>
                  <w:noWrap w:val="0"/>
                  <w:vAlign w:val="center"/>
                </w:tcPr>
                <w:p w14:paraId="0B5A75B8">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pacing w:val="0"/>
                      <w:kern w:val="11"/>
                      <w:sz w:val="21"/>
                      <w:szCs w:val="21"/>
                      <w:highlight w:val="none"/>
                      <w:lang w:val="en-US" w:eastAsia="zh-CN"/>
                      <w14:textFill>
                        <w14:solidFill>
                          <w14:schemeClr w14:val="tx1"/>
                        </w14:solidFill>
                      </w14:textFill>
                    </w:rPr>
                    <w:t>规划环评批复具体内容</w:t>
                  </w:r>
                </w:p>
              </w:tc>
              <w:tc>
                <w:tcPr>
                  <w:tcW w:w="1366" w:type="pct"/>
                  <w:tcBorders>
                    <w:tl2br w:val="nil"/>
                    <w:tr2bl w:val="nil"/>
                  </w:tcBorders>
                  <w:noWrap w:val="0"/>
                  <w:vAlign w:val="center"/>
                </w:tcPr>
                <w:p w14:paraId="5D3F578F">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本项目情况</w:t>
                  </w:r>
                </w:p>
              </w:tc>
              <w:tc>
                <w:tcPr>
                  <w:tcW w:w="620" w:type="pct"/>
                  <w:tcBorders>
                    <w:tl2br w:val="nil"/>
                    <w:tr2bl w:val="nil"/>
                  </w:tcBorders>
                  <w:noWrap w:val="0"/>
                  <w:vAlign w:val="center"/>
                </w:tcPr>
                <w:p w14:paraId="0DC86705">
                  <w:pPr>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相符性</w:t>
                  </w:r>
                </w:p>
              </w:tc>
            </w:tr>
            <w:tr w14:paraId="3CF5E1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0" w:type="pct"/>
                  <w:tcBorders>
                    <w:tl2br w:val="nil"/>
                    <w:tr2bl w:val="nil"/>
                  </w:tcBorders>
                  <w:noWrap w:val="0"/>
                  <w:vAlign w:val="center"/>
                </w:tcPr>
                <w:p w14:paraId="428C7C13">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2713" w:type="pct"/>
                  <w:tcBorders>
                    <w:tl2br w:val="nil"/>
                    <w:tr2bl w:val="nil"/>
                  </w:tcBorders>
                  <w:noWrap w:val="0"/>
                  <w:vAlign w:val="center"/>
                </w:tcPr>
                <w:p w14:paraId="5EE9C968">
                  <w:pPr>
                    <w:widowControl/>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规划》应深入贯彻落实习近平生态文明思想，完整、准确、全面贯彻新发展理念，坚持生态优先、节约集约、绿色低碳发展，以生态保护和环境质量持续改善为目标，做好与国土空间总体规划和生态环境分区管控体系的协调衔接，进一步优化《规划》布局、产业结构和发展规模，降低区域环境风险，协同推进生态环境高水平保护与经济高质量发展。</w:t>
                  </w:r>
                </w:p>
              </w:tc>
              <w:tc>
                <w:tcPr>
                  <w:tcW w:w="1366" w:type="pct"/>
                  <w:tcBorders>
                    <w:tl2br w:val="nil"/>
                    <w:tr2bl w:val="nil"/>
                  </w:tcBorders>
                  <w:noWrap w:val="0"/>
                  <w:vAlign w:val="center"/>
                </w:tcPr>
                <w:p w14:paraId="1C831B4E">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本项目位于江苏省南通市海门经济技术开发区厦门路108号</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，项目所在地为工业用地</w:t>
                  </w:r>
                </w:p>
              </w:tc>
              <w:tc>
                <w:tcPr>
                  <w:tcW w:w="620" w:type="pct"/>
                  <w:tcBorders>
                    <w:tl2br w:val="nil"/>
                    <w:tr2bl w:val="nil"/>
                  </w:tcBorders>
                  <w:noWrap w:val="0"/>
                  <w:vAlign w:val="center"/>
                </w:tcPr>
                <w:p w14:paraId="194D2CBB">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相符</w:t>
                  </w:r>
                </w:p>
              </w:tc>
            </w:tr>
            <w:tr w14:paraId="4A6FC9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0" w:type="pct"/>
                  <w:tcBorders>
                    <w:tl2br w:val="nil"/>
                    <w:tr2bl w:val="nil"/>
                  </w:tcBorders>
                  <w:noWrap w:val="0"/>
                  <w:vAlign w:val="center"/>
                </w:tcPr>
                <w:p w14:paraId="610B40FA">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2713" w:type="pct"/>
                  <w:tcBorders>
                    <w:tl2br w:val="nil"/>
                    <w:tr2bl w:val="nil"/>
                  </w:tcBorders>
                  <w:noWrap w:val="0"/>
                  <w:vAlign w:val="center"/>
                </w:tcPr>
                <w:p w14:paraId="1654D188">
                  <w:pPr>
                    <w:widowControl/>
                    <w:jc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(二)严格空间管控，优化空间布局。严格落实生态空间管控要求，海门河清水通道维护区、海门区沿江堤防生态公益林和謇公湖重要湿地等 3 处生态空间管控区原则上不得开展有损主导生态功能的开发建设活动，不得随意占用和调整。开发区内绿地及水域在规划期内原则上不得开发利用。加快推进老城片区工居混杂用地综合整治，南通市先锋印刷有限公司、南通东莲纺织品有限公司、乾钟鞋业(海门)有限公司、海门市星苑绣衣有限责任公司、南通铭家纺织品有限公司等 5家企业于 2025 年前退出。强化工业企业退出和产业升级过程中的污染防治、生态修复。严格落实企业卫生防护距离要求，企业卫生防护距离内不得规划布局敏感目标。加强滨江片区浒通河两侧居住用地与工业用地之间100 米绿化防护带建设，排放 VOCs、氨气等废气污染物的企业远离居住用地布置，确保开发区产业布局与生态环境保护、人居环境安全相协调。</w:t>
                  </w:r>
                </w:p>
              </w:tc>
              <w:tc>
                <w:tcPr>
                  <w:tcW w:w="1366" w:type="pct"/>
                  <w:tcBorders>
                    <w:tl2br w:val="nil"/>
                    <w:tr2bl w:val="nil"/>
                  </w:tcBorders>
                  <w:noWrap w:val="0"/>
                  <w:vAlign w:val="center"/>
                </w:tcPr>
                <w:p w14:paraId="61D7AFC2">
                  <w:pPr>
                    <w:widowControl/>
                    <w:jc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本项目不涉及生态管控空间。建设项目</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位于江苏省南通市海门经济技术开发区厦门路108号</w:t>
                  </w: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，不属于海门区沿江堤防生态公益林内；不属于海门长江饮用水水源保护区范围内；</w:t>
                  </w:r>
                  <w:r>
                    <w:rPr>
                      <w:rFonts w:hint="default" w:ascii="Times New Roman" w:hAnsi="Times New Roman" w:cs="Times New Roman"/>
                      <w:color w:val="000000" w:themeColor="text1"/>
                      <w:sz w:val="21"/>
                      <w:szCs w:val="21"/>
                      <w14:textFill>
                        <w14:solidFill>
                          <w14:schemeClr w14:val="tx1"/>
                        </w14:solidFill>
                      </w14:textFill>
                    </w:rPr>
                    <w:t>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C3393锻件及粉末冶金制品制造</w:t>
                  </w: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，属于允许类，符合总体发展规划。</w:t>
                  </w:r>
                </w:p>
              </w:tc>
              <w:tc>
                <w:tcPr>
                  <w:tcW w:w="620" w:type="pct"/>
                  <w:tcBorders>
                    <w:tl2br w:val="nil"/>
                    <w:tr2bl w:val="nil"/>
                  </w:tcBorders>
                  <w:noWrap w:val="0"/>
                  <w:vAlign w:val="center"/>
                </w:tcPr>
                <w:p w14:paraId="1A33A803">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相符</w:t>
                  </w:r>
                </w:p>
              </w:tc>
            </w:tr>
            <w:tr w14:paraId="44BF7B2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0" w:type="pct"/>
                  <w:tcBorders>
                    <w:tl2br w:val="nil"/>
                    <w:tr2bl w:val="nil"/>
                  </w:tcBorders>
                  <w:noWrap w:val="0"/>
                  <w:vAlign w:val="center"/>
                </w:tcPr>
                <w:p w14:paraId="42FD517A">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2713" w:type="pct"/>
                  <w:tcBorders>
                    <w:tl2br w:val="nil"/>
                    <w:tr2bl w:val="nil"/>
                  </w:tcBorders>
                  <w:noWrap w:val="0"/>
                  <w:vAlign w:val="center"/>
                </w:tcPr>
                <w:p w14:paraId="0F7E4DCE">
                  <w:pPr>
                    <w:widowControl/>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三)严守环境质量底线，实施污染物排放限值限量管理。落实国家和江苏省关于大气、水、土壤、噪声污染防治、区域生态环境分区管控、工业园区(集中区)污染物排放限值限量管理相关要求，建立以环境质量为核心的污染物总量控制管理体系，实施主要污染物排放浓度和总量“双管控”。2025 年，开发区环境空气细颗粒物(PM2.5)年均浓度应达到 25 微克/立方米；大港河、新江海河、立新河稳定达到 II 类水质标准。</w:t>
                  </w:r>
                </w:p>
              </w:tc>
              <w:tc>
                <w:tcPr>
                  <w:tcW w:w="1366" w:type="pct"/>
                  <w:tcBorders>
                    <w:tl2br w:val="nil"/>
                    <w:tr2bl w:val="nil"/>
                  </w:tcBorders>
                  <w:noWrap w:val="0"/>
                  <w:vAlign w:val="center"/>
                </w:tcPr>
                <w:p w14:paraId="5FC4D725">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本项目采取有效污染防治措施，废水、废气及噪声 均可达标排放，排放总量在海门区内平衡</w:t>
                  </w:r>
                </w:p>
              </w:tc>
              <w:tc>
                <w:tcPr>
                  <w:tcW w:w="620" w:type="pct"/>
                  <w:tcBorders>
                    <w:tl2br w:val="nil"/>
                    <w:tr2bl w:val="nil"/>
                  </w:tcBorders>
                  <w:noWrap w:val="0"/>
                  <w:vAlign w:val="center"/>
                </w:tcPr>
                <w:p w14:paraId="3B64E36D">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相符</w:t>
                  </w:r>
                </w:p>
              </w:tc>
            </w:tr>
            <w:tr w14:paraId="2C9B6C0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0" w:type="pct"/>
                  <w:tcBorders>
                    <w:tl2br w:val="nil"/>
                    <w:tr2bl w:val="nil"/>
                  </w:tcBorders>
                  <w:noWrap w:val="0"/>
                  <w:vAlign w:val="center"/>
                </w:tcPr>
                <w:p w14:paraId="5D6F5814">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w:t>
                  </w:r>
                </w:p>
              </w:tc>
              <w:tc>
                <w:tcPr>
                  <w:tcW w:w="2713" w:type="pct"/>
                  <w:tcBorders>
                    <w:tl2br w:val="nil"/>
                    <w:tr2bl w:val="nil"/>
                  </w:tcBorders>
                  <w:noWrap w:val="0"/>
                  <w:vAlign w:val="center"/>
                </w:tcPr>
                <w:p w14:paraId="15872BEA">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四)加强源头治理，协同推进减污降碳。严格落实生态环境准入清单(附件2)，落实《报告书》提出的生态环境准入要求，严格限制与主导产业不相关且排污负荷大的项目入区，执行最严格的废水、废气排放控制要求。强化企业特征污染物排放控制、高效治理设施建设，落实精细化管控要求。引进项目的生产工艺、设备，以及单位产品水耗、能耗、污染物排放和资源利用效率等应达到同行业国际先进水平。全面开展清洁生产审核，推动重点行业依法实施强制性审核，引导其他行业自觉自愿开展审核，不断提高现有企业清洁生产和污染治理水平。根据国家和地方碳减排、碳达峰行动方案和路径要求，推进开发区绿色低碳转型发展，优化产业结构、能源结构、交通运输等规划内</w:t>
                  </w:r>
                </w:p>
              </w:tc>
              <w:tc>
                <w:tcPr>
                  <w:tcW w:w="1366" w:type="pct"/>
                  <w:tcBorders>
                    <w:tl2br w:val="nil"/>
                    <w:tr2bl w:val="nil"/>
                  </w:tcBorders>
                  <w:noWrap w:val="0"/>
                  <w:vAlign w:val="center"/>
                </w:tcPr>
                <w:p w14:paraId="0F276F03">
                  <w:pPr>
                    <w:widowControl/>
                    <w:jc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本项目所使用的能源主要为水、电、天然气，物耗及能耗水平均较低。</w:t>
                  </w:r>
                </w:p>
              </w:tc>
              <w:tc>
                <w:tcPr>
                  <w:tcW w:w="620" w:type="pct"/>
                  <w:tcBorders>
                    <w:tl2br w:val="nil"/>
                    <w:tr2bl w:val="nil"/>
                  </w:tcBorders>
                  <w:noWrap w:val="0"/>
                  <w:vAlign w:val="center"/>
                </w:tcPr>
                <w:p w14:paraId="664CB8BC">
                  <w:pPr>
                    <w:widowControl/>
                    <w:jc w:val="center"/>
                    <w:rPr>
                      <w:rFonts w:hint="default" w:ascii="Times New Roman" w:hAnsi="Times New Roman"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14:textFill>
                        <w14:solidFill>
                          <w14:schemeClr w14:val="tx1"/>
                        </w14:solidFill>
                      </w14:textFill>
                    </w:rPr>
                    <w:t>相符</w:t>
                  </w:r>
                </w:p>
              </w:tc>
            </w:tr>
            <w:tr w14:paraId="62842BC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0" w:type="pct"/>
                  <w:tcBorders>
                    <w:tl2br w:val="nil"/>
                    <w:tr2bl w:val="nil"/>
                  </w:tcBorders>
                  <w:noWrap w:val="0"/>
                  <w:vAlign w:val="center"/>
                </w:tcPr>
                <w:p w14:paraId="4AF92D2E">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p>
              </w:tc>
              <w:tc>
                <w:tcPr>
                  <w:tcW w:w="2713" w:type="pct"/>
                  <w:tcBorders>
                    <w:tl2br w:val="nil"/>
                    <w:tr2bl w:val="nil"/>
                  </w:tcBorders>
                  <w:noWrap w:val="0"/>
                  <w:vAlign w:val="center"/>
                </w:tcPr>
                <w:p w14:paraId="435D6000">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五)完善环境基础设施建设，提高基础设施运行效能。完善区域污水管网建设，加快推进东洲污水处理厂、开发区污水处理厂扩建工程，确保工业废水与生活污水分类收集、分质处理；根据新一代信息技术产业项目引进情况推进工业绿岛建设，确保重金属废水“零排放”。推进中水回用设施及配套管网建设，确保开发区中水回用率不低于 30%。定期开展开发区污水管网渗漏排查工作，建立健全地下水污染监督、检查、管理及修复机制。积极推进供热管网建设，依托海门鑫源热电厂实施集中供热。加强开发区固体废物资源化、减量化、无害化处理，一般工业固废、危险废物应依法依规收集、处理处置，做到“就地分类收集、就近转移处置”。推进开发区固体废物储运中心建设，提升园区危废监管水平。</w:t>
                  </w:r>
                </w:p>
              </w:tc>
              <w:tc>
                <w:tcPr>
                  <w:tcW w:w="1366" w:type="pct"/>
                  <w:tcBorders>
                    <w:tl2br w:val="nil"/>
                    <w:tr2bl w:val="nil"/>
                  </w:tcBorders>
                  <w:noWrap w:val="0"/>
                  <w:vAlign w:val="center"/>
                </w:tcPr>
                <w:p w14:paraId="7B76F5E3">
                  <w:pPr>
                    <w:widowControl/>
                    <w:jc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本项目</w:t>
                  </w: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废气经污染治理措施治理后达标排放；</w:t>
                  </w: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污水经处理后接管达标排放</w:t>
                  </w: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；固废妥善处置零排放</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w:t>
                  </w:r>
                </w:p>
              </w:tc>
              <w:tc>
                <w:tcPr>
                  <w:tcW w:w="620" w:type="pct"/>
                  <w:tcBorders>
                    <w:tl2br w:val="nil"/>
                    <w:tr2bl w:val="nil"/>
                  </w:tcBorders>
                  <w:noWrap w:val="0"/>
                  <w:vAlign w:val="center"/>
                </w:tcPr>
                <w:p w14:paraId="407D7567">
                  <w:pPr>
                    <w:widowControl/>
                    <w:jc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相符</w:t>
                  </w:r>
                </w:p>
              </w:tc>
            </w:tr>
            <w:tr w14:paraId="77F36DD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0" w:type="pct"/>
                  <w:tcBorders>
                    <w:tl2br w:val="nil"/>
                    <w:tr2bl w:val="nil"/>
                  </w:tcBorders>
                  <w:noWrap w:val="0"/>
                  <w:vAlign w:val="center"/>
                </w:tcPr>
                <w:p w14:paraId="39054CA1">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w:t>
                  </w:r>
                </w:p>
              </w:tc>
              <w:tc>
                <w:tcPr>
                  <w:tcW w:w="2713" w:type="pct"/>
                  <w:tcBorders>
                    <w:tl2br w:val="nil"/>
                    <w:tr2bl w:val="nil"/>
                  </w:tcBorders>
                  <w:noWrap w:val="0"/>
                  <w:vAlign w:val="center"/>
                </w:tcPr>
                <w:p w14:paraId="15AF0F39">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六)建立健全环境监测监控体系。开展包括环境空气、地表水、地下水、土壤、底泥等环境要素的长期跟踪监测与管理。结合区域跟踪监测情况，动态调整开发区开发建设规模和时序进度，优化生态环境保护措施，确保区域环境质量不恶化。对于企业关闭、搬迁遗留的污染地块应依法开展土壤污染状况调查、治理与修复工作。严格落实环境质量监测要求，建立开发区土壤和地下水隐患排查制度并纳入监控预警体系。探索开展新污染物环境本底调查监测，依法公开新污染物信息。指导区内企业规范安装在线监测设备并联网，推进区内排污许可重点管理单位自动监测全覆盖;暂不具备安装在线监测设备条件的企业，应做好委托监测工作。积极推进氟化物污染物排放及水环境质量的监测监控，区内重点涉氟企业雨水、污水排放口应安装氟化物自动监控系统并联网。</w:t>
                  </w:r>
                </w:p>
              </w:tc>
              <w:tc>
                <w:tcPr>
                  <w:tcW w:w="1366" w:type="pct"/>
                  <w:tcBorders>
                    <w:tl2br w:val="nil"/>
                    <w:tr2bl w:val="nil"/>
                  </w:tcBorders>
                  <w:noWrap w:val="0"/>
                  <w:vAlign w:val="center"/>
                </w:tcPr>
                <w:p w14:paraId="39CD2A0A">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本项目建成后要求企业定期开展自行监测。</w:t>
                  </w:r>
                </w:p>
              </w:tc>
              <w:tc>
                <w:tcPr>
                  <w:tcW w:w="620" w:type="pct"/>
                  <w:tcBorders>
                    <w:tl2br w:val="nil"/>
                    <w:tr2bl w:val="nil"/>
                  </w:tcBorders>
                  <w:noWrap w:val="0"/>
                  <w:vAlign w:val="center"/>
                </w:tcPr>
                <w:p w14:paraId="4E2862B9">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相符</w:t>
                  </w:r>
                </w:p>
              </w:tc>
            </w:tr>
            <w:tr w14:paraId="2B1A69E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0" w:type="pct"/>
                  <w:tcBorders>
                    <w:tl2br w:val="nil"/>
                    <w:tr2bl w:val="nil"/>
                  </w:tcBorders>
                  <w:noWrap w:val="0"/>
                  <w:vAlign w:val="center"/>
                </w:tcPr>
                <w:p w14:paraId="6657EFE5">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w:t>
                  </w:r>
                </w:p>
              </w:tc>
              <w:tc>
                <w:tcPr>
                  <w:tcW w:w="2713" w:type="pct"/>
                  <w:tcBorders>
                    <w:tl2br w:val="nil"/>
                    <w:tr2bl w:val="nil"/>
                  </w:tcBorders>
                  <w:noWrap w:val="0"/>
                  <w:vAlign w:val="center"/>
                </w:tcPr>
                <w:p w14:paraId="11AA6CEC">
                  <w:pPr>
                    <w:widowControl/>
                    <w:jc w:val="cente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eastAsia="zh-CN" w:bidi="ar"/>
                      <w14:textFill>
                        <w14:solidFill>
                          <w14:schemeClr w14:val="tx1"/>
                        </w14:solidFill>
                      </w14:textFill>
                    </w:rPr>
                    <w:t>(七)健全环境风险防控体系，提升环境应急能力。强化入河排污口监督管理，有效管控入河污染物排放，加强通江河流环境风险管理，确保海门长江饮用水源保护区用水安全。进一步完善开发区特别是以涉重片区为重点的突发水污染事件风险防控体系建设，确保“小事故不出厂区、大事故不出园区”。加强环境应急基础设施建设，配备充足的应急装备物资,提高环境应急救援能力。建立健全环境风险评估和应急预案制度，定期开展环境应急演练，完善环境应急响应联动机制，提升应急实战水平。建立突发环境事件隐患排查长效机制，定期排查突发环境事件隐患，建立隐患清单并督促整改到位，保障区域环境安全。重点关注并督促指导涉重金属企业构筑“风险单元-管网、应急池-厂界”环境风险防控体系，严防涉重金属突发水污染事件。</w:t>
                  </w:r>
                </w:p>
              </w:tc>
              <w:tc>
                <w:tcPr>
                  <w:tcW w:w="1366" w:type="pct"/>
                  <w:tcBorders>
                    <w:tl2br w:val="nil"/>
                    <w:tr2bl w:val="nil"/>
                  </w:tcBorders>
                  <w:noWrap w:val="0"/>
                  <w:vAlign w:val="center"/>
                </w:tcPr>
                <w:p w14:paraId="3F38ABE0">
                  <w:pPr>
                    <w:widowControl/>
                    <w:jc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本项目建成后将制定环境风险应急预案，同时企业内储备有足够的环境应急物资，实现环境风险联防联控，故能满足环境风险防控的相关要求。</w:t>
                  </w:r>
                </w:p>
              </w:tc>
              <w:tc>
                <w:tcPr>
                  <w:tcW w:w="620" w:type="pct"/>
                  <w:tcBorders>
                    <w:tl2br w:val="nil"/>
                    <w:tr2bl w:val="nil"/>
                  </w:tcBorders>
                  <w:noWrap w:val="0"/>
                  <w:vAlign w:val="center"/>
                </w:tcPr>
                <w:p w14:paraId="41E98554">
                  <w:pPr>
                    <w:widowControl/>
                    <w:jc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相符</w:t>
                  </w:r>
                </w:p>
              </w:tc>
            </w:tr>
          </w:tbl>
          <w:p w14:paraId="1CBB1295">
            <w:pPr>
              <w:snapToGrid w:val="0"/>
              <w:spacing w:line="360" w:lineRule="auto"/>
              <w:ind w:firstLine="420" w:firstLineChars="200"/>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由上表可知，本项目建设符合与《海门经济技术开发区开发建设规划（2022-2035）环境影响报告书》苏环审【2024】7号文</w:t>
            </w:r>
            <w:r>
              <w:rPr>
                <w:rFonts w:hint="default" w:ascii="Times New Roman" w:hAnsi="Times New Roman" w:cs="Times New Roman"/>
                <w:color w:val="000000" w:themeColor="text1"/>
                <w:szCs w:val="21"/>
                <w:lang w:val="en-US" w:eastAsia="zh-CN"/>
                <w14:textFill>
                  <w14:solidFill>
                    <w14:schemeClr w14:val="tx1"/>
                  </w14:solidFill>
                </w14:textFill>
              </w:rPr>
              <w:t>的相关要求。</w:t>
            </w:r>
          </w:p>
          <w:p w14:paraId="3B8A81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cs="Times New Roman"/>
                <w:b/>
                <w:bCs/>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pacing w:val="0"/>
                <w:kern w:val="11"/>
                <w:sz w:val="21"/>
                <w:szCs w:val="21"/>
                <w:highlight w:val="none"/>
                <w:lang w:val="en-US" w:eastAsia="zh-CN"/>
                <w14:textFill>
                  <w14:solidFill>
                    <w14:schemeClr w14:val="tx1"/>
                  </w14:solidFill>
                </w14:textFill>
              </w:rPr>
              <w:t>3、与《海门经济技术开发区开发建设规划（2022-2035 年）环境影响报告书》规划相符性</w:t>
            </w:r>
          </w:p>
          <w:p w14:paraId="1169AF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根据《海门经济技术开发区开发建设规划（2022-2035 年）环境影响报告书》，规划如下：</w:t>
            </w:r>
          </w:p>
          <w:p w14:paraId="3380D2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规划范围：包括滨江片区和老城片区，其中滨江片区西至保税东路如通苏湖城际东侧，东至岷江路-民生路，南至沿江江堤，北至大连路-上海路，面积 48.25 平方公里；老城片区西至日新路-越秀路，东至嫩江路，南至南海路-东海路-北京路，北至河海路-红海路，面积 13.63 平方公里；滨江片区与老城片区相隔 2.2 公里，规划总面积 61.88 平方公里。</w:t>
            </w:r>
          </w:p>
          <w:p w14:paraId="3C3C35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规划期限：近期：2021－2025 年；远期：2026－2035 年。</w:t>
            </w:r>
          </w:p>
          <w:p w14:paraId="1B0761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产业定位：：聚焦新旧动能转换，提升产业竞争力，坚持主导产业提质增效与战略性新兴产业培育并举，海门经济技术开发区重点打造以海工装备、新一代信息技术、智能制造产业为主导的现代化产业体系，为高质量发展夯实产业基础。</w:t>
            </w:r>
          </w:p>
          <w:p w14:paraId="28B199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①主导产业：海工装备、新一代信息技术、智能制造；</w:t>
            </w:r>
          </w:p>
          <w:p w14:paraId="4286BD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②生产性服务业：电子商务、金融服务、现代物流、信息网络、融资租赁、工业设计、软件与服务外包等；</w:t>
            </w:r>
          </w:p>
          <w:p w14:paraId="4EE02A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③高端生活性服务业：商贸服务、文化、体育、旅游、休闲健康、养老医疗、房地产业等。</w:t>
            </w:r>
          </w:p>
          <w:p w14:paraId="72F1C5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产业布局：规划坚持“生产生活融合、产业功能集中、土地集约利用”的理念，提升创新引领能力，强化协同带动作用，总体形成“一核四园”的产业空间布局结构。①“一核”謇公湖科创核心，作为开发区综合配套服务的核心，也是区域科创特色服务中心，以科技创新、孵化加速、足球小镇、院校教育、生态休闲等为主，謇公湖区域以现代智慧科教功能为核心，以滨江生态特色休闲旅游功能和高能级的公共服务为主导功能，打造海门面向上海大都市圈的滨江特色服务型功能区。</w:t>
            </w:r>
          </w:p>
          <w:p w14:paraId="4AB830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②“四园”规划形成海工装备、新一代信息技术、智能制造Ⅰ、智能制造Ⅱ四大产业片区，生产性服务业结合各产业片区按需落位。</w:t>
            </w:r>
          </w:p>
          <w:p w14:paraId="0C9742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本项目产品主要为锻件，主要应用于航空领域，行业分类属于C3393锻件及粉末冶金制品制造。对照产业准入清单可知，本项目不属于优先引入、禁止引入、限制引入，属于一般发展行业，为允许类，符合总体发展规划。</w:t>
            </w:r>
          </w:p>
          <w:p w14:paraId="5BEC5D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p>
          <w:p w14:paraId="20F4AF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pPr>
          </w:p>
          <w:p w14:paraId="63CD766E">
            <w:pPr>
              <w:autoSpaceDE w:val="0"/>
              <w:autoSpaceDN w:val="0"/>
              <w:adjustRightInd w:val="0"/>
              <w:snapToGrid w:val="0"/>
              <w:jc w:val="left"/>
              <w:rPr>
                <w:rFonts w:hint="default" w:ascii="Times New Roman" w:hAnsi="Times New Roman" w:cs="Times New Roman"/>
                <w:color w:val="000000" w:themeColor="text1"/>
                <w:kern w:val="0"/>
                <w:szCs w:val="21"/>
                <w14:textFill>
                  <w14:solidFill>
                    <w14:schemeClr w14:val="tx1"/>
                  </w14:solidFill>
                </w14:textFill>
              </w:rPr>
            </w:pPr>
          </w:p>
        </w:tc>
      </w:tr>
      <w:tr w14:paraId="1ECFA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6" w:hRule="atLeast"/>
          <w:jc w:val="center"/>
        </w:trPr>
        <w:tc>
          <w:tcPr>
            <w:tcW w:w="749" w:type="dxa"/>
            <w:noWrap w:val="0"/>
            <w:vAlign w:val="center"/>
          </w:tcPr>
          <w:p w14:paraId="743FCE81">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其他符合性分析</w:t>
            </w:r>
          </w:p>
        </w:tc>
        <w:tc>
          <w:tcPr>
            <w:tcW w:w="8121" w:type="dxa"/>
            <w:gridSpan w:val="4"/>
            <w:noWrap w:val="0"/>
            <w:vAlign w:val="center"/>
          </w:tcPr>
          <w:p w14:paraId="772813B4">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ascii="Times New Roman" w:hAnsi="Times New Roman" w:eastAsia="宋体" w:cs="Times New Roman"/>
                <w:b/>
                <w:color w:val="000000" w:themeColor="text1"/>
                <w:kern w:val="0"/>
                <w:szCs w:val="21"/>
                <w14:textFill>
                  <w14:solidFill>
                    <w14:schemeClr w14:val="tx1"/>
                  </w14:solidFill>
                </w14:textFill>
              </w:rPr>
              <w:t>1、产业政策相</w:t>
            </w:r>
            <w:r>
              <w:rPr>
                <w:rFonts w:hint="default" w:ascii="Times New Roman" w:hAnsi="Times New Roman" w:eastAsia="宋体" w:cs="Times New Roman"/>
                <w:b/>
                <w:color w:val="000000" w:themeColor="text1"/>
                <w:kern w:val="0"/>
                <w:szCs w:val="21"/>
                <w:lang w:val="en-US" w:eastAsia="zh-CN"/>
                <w14:textFill>
                  <w14:solidFill>
                    <w14:schemeClr w14:val="tx1"/>
                  </w14:solidFill>
                </w14:textFill>
              </w:rPr>
              <w:t>符</w:t>
            </w:r>
            <w:r>
              <w:rPr>
                <w:rFonts w:hint="default" w:ascii="Times New Roman" w:hAnsi="Times New Roman" w:eastAsia="宋体" w:cs="Times New Roman"/>
                <w:b/>
                <w:color w:val="000000" w:themeColor="text1"/>
                <w:kern w:val="0"/>
                <w:szCs w:val="21"/>
                <w14:textFill>
                  <w14:solidFill>
                    <w14:schemeClr w14:val="tx1"/>
                  </w14:solidFill>
                </w14:textFill>
              </w:rPr>
              <w:t>性分析</w:t>
            </w:r>
          </w:p>
          <w:p w14:paraId="42E89D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t>项目行业类别属于C3393锻件及粉末冶金制品制造。根据《产业结构调整指导目录（2024年本）》，不属于限制和禁止项目。对照《南通市工业结构调整指导目录》，不属于限制类和淘汰类项目，符合《南通市工业结构调整指导目录》的要求。</w:t>
            </w:r>
          </w:p>
          <w:p w14:paraId="599A81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t>本项目不属于国土资源部《限制用地项目目录（2012年本）》和《禁止用地项目目录（2012年本）》、《江苏省限制用地项目目录（2013年本）》和《江苏省禁止用地项目目录（2013年本）》中的限制用地、禁止用地项目；亦不属于其它相关法律法规要求淘汰和限制的产业。</w:t>
            </w:r>
          </w:p>
          <w:p w14:paraId="253CD6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t>本项目对照《市场准入负面清单》（2024 版），不属于其中的禁止类和限制类，符合相关规划。对照《环境保护综合名录（2021年版）》，本项目不在“高污染、高环境风险”产品名录内；对照《关于坚决遏制“两高”项目盲目发展的通知》（苏发改资环发〔2021〕837号），本项目不属于两高项目。</w:t>
            </w:r>
          </w:p>
          <w:p w14:paraId="1000B0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11"/>
                <w:sz w:val="21"/>
                <w:szCs w:val="21"/>
                <w:highlight w:val="none"/>
                <w:lang w:val="en-US" w:eastAsia="zh-CN"/>
                <w14:textFill>
                  <w14:solidFill>
                    <w14:schemeClr w14:val="tx1"/>
                  </w14:solidFill>
                </w14:textFill>
              </w:rPr>
              <w:t>因此，本项目符合国家和地方相关产业政策要求。</w:t>
            </w:r>
          </w:p>
          <w:p w14:paraId="0ED0FC73">
            <w:pPr>
              <w:spacing w:line="360" w:lineRule="auto"/>
              <w:ind w:firstLine="422" w:firstLineChars="200"/>
              <w:jc w:val="left"/>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2</w:t>
            </w:r>
            <w:r>
              <w:rPr>
                <w:rFonts w:hint="default" w:ascii="Times New Roman" w:hAnsi="Times New Roman" w:cs="Times New Roman"/>
                <w:b/>
                <w:bCs/>
                <w:color w:val="000000" w:themeColor="text1"/>
                <w:sz w:val="21"/>
                <w:szCs w:val="21"/>
                <w14:textFill>
                  <w14:solidFill>
                    <w14:schemeClr w14:val="tx1"/>
                  </w14:solidFill>
                </w14:textFill>
              </w:rPr>
              <w:t>、“三线一单”相符性分析</w:t>
            </w:r>
          </w:p>
          <w:p w14:paraId="434ABA34">
            <w:pPr>
              <w:adjustRightInd w:val="0"/>
              <w:snapToGrid w:val="0"/>
              <w:spacing w:line="360" w:lineRule="auto"/>
              <w:ind w:firstLine="420" w:firstLineChars="2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（1）生态红线</w:t>
            </w:r>
          </w:p>
          <w:p w14:paraId="31D6C202">
            <w:pPr>
              <w:adjustRightInd w:val="0"/>
              <w:snapToGrid w:val="0"/>
              <w:spacing w:line="360" w:lineRule="auto"/>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①对照《江苏省国家级生态保护红线规划》（苏政发【2018】74 号）</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《自然资源部生态环境部国家林业和草原局关于加强生态保护红线管理的通知（试行）》（自然资发[2022]142号）</w:t>
            </w:r>
            <w:r>
              <w:rPr>
                <w:rFonts w:hint="default" w:ascii="Times New Roman" w:hAnsi="Times New Roman" w:cs="Times New Roman"/>
                <w:color w:val="000000" w:themeColor="text1"/>
                <w14:textFill>
                  <w14:solidFill>
                    <w14:schemeClr w14:val="tx1"/>
                  </w14:solidFill>
                </w14:textFill>
              </w:rPr>
              <w:t>，海门区境内生态保护红线为海门长江饮用水源保护区。本项目位于</w:t>
            </w:r>
            <w:r>
              <w:rPr>
                <w:rFonts w:hint="default" w:ascii="Times New Roman" w:hAnsi="Times New Roman" w:cs="Times New Roman"/>
                <w:color w:val="000000" w:themeColor="text1"/>
                <w:szCs w:val="21"/>
                <w14:textFill>
                  <w14:solidFill>
                    <w14:schemeClr w14:val="tx1"/>
                  </w14:solidFill>
                </w14:textFill>
              </w:rPr>
              <w:t>南通市</w:t>
            </w:r>
            <w:r>
              <w:rPr>
                <w:rFonts w:hint="default" w:ascii="Times New Roman" w:hAnsi="Times New Roman" w:cs="Times New Roman"/>
                <w:color w:val="000000" w:themeColor="text1"/>
                <w:szCs w:val="21"/>
                <w:lang w:eastAsia="zh-CN"/>
                <w14:textFill>
                  <w14:solidFill>
                    <w14:schemeClr w14:val="tx1"/>
                  </w14:solidFill>
                </w14:textFill>
              </w:rPr>
              <w:t>海门经济技术开发区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厦门路108号</w:t>
            </w:r>
            <w:r>
              <w:rPr>
                <w:rFonts w:hint="default" w:ascii="Times New Roman" w:hAnsi="Times New Roman" w:cs="Times New Roman"/>
                <w:color w:val="000000" w:themeColor="text1"/>
                <w14:textFill>
                  <w14:solidFill>
                    <w14:schemeClr w14:val="tx1"/>
                  </w14:solidFill>
                </w14:textFill>
              </w:rPr>
              <w:t>，距离海门长江饮用水源保护区约</w:t>
            </w:r>
            <w:r>
              <w:rPr>
                <w:rFonts w:hint="default" w:ascii="Times New Roman" w:hAnsi="Times New Roman" w:cs="Times New Roman"/>
                <w:color w:val="000000" w:themeColor="text1"/>
                <w:lang w:val="en-US" w:eastAsia="zh-CN"/>
                <w14:textFill>
                  <w14:solidFill>
                    <w14:schemeClr w14:val="tx1"/>
                  </w14:solidFill>
                </w14:textFill>
              </w:rPr>
              <w:t>1.7</w:t>
            </w:r>
            <w:r>
              <w:rPr>
                <w:rFonts w:hint="default" w:ascii="Times New Roman" w:hAnsi="Times New Roman" w:cs="Times New Roman"/>
                <w:color w:val="000000" w:themeColor="text1"/>
                <w14:textFill>
                  <w14:solidFill>
                    <w14:schemeClr w14:val="tx1"/>
                  </w14:solidFill>
                </w14:textFill>
              </w:rPr>
              <w:t>km，不涉及上述生态保护红线，符合《江苏省国家级生态保护红线规划》（苏政发【2018】74号）相关要求。</w:t>
            </w:r>
          </w:p>
          <w:p w14:paraId="2D408483">
            <w:pPr>
              <w:adjustRightInd w:val="0"/>
              <w:snapToGrid w:val="0"/>
              <w:spacing w:line="360" w:lineRule="auto"/>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②生态空间管控区域：《江苏省生态空间管控区域规划》（苏政发[2020]1号）以及</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《自然资源部生态环境部国家林业和草原局关于加强生态保护红线管理的通知（试行）》（自然资发[2022]142号）</w:t>
            </w:r>
            <w:r>
              <w:rPr>
                <w:rFonts w:hint="default" w:ascii="Times New Roman" w:hAnsi="Times New Roman" w:cs="Times New Roman"/>
                <w:color w:val="000000" w:themeColor="text1"/>
                <w14:textFill>
                  <w14:solidFill>
                    <w14:schemeClr w14:val="tx1"/>
                  </w14:solidFill>
                </w14:textFill>
              </w:rPr>
              <w:t>，将江苏省具有重要生态服务功能的区域分为自然保护区、风景名胜区、森林公园、湿地公园、地质遗迹保护区（公园）、饮用水源保护区、海洋特别保护区、洪水调蓄区、重要水源涵养区、重要渔业水域、重要湿地、清水通道维护区、生态公益林、太湖重要保护区、特殊物种保护区等15种类型。本项目位于</w:t>
            </w:r>
            <w:r>
              <w:rPr>
                <w:rFonts w:hint="default" w:ascii="Times New Roman" w:hAnsi="Times New Roman" w:cs="Times New Roman"/>
                <w:color w:val="000000" w:themeColor="text1"/>
                <w:szCs w:val="21"/>
                <w14:textFill>
                  <w14:solidFill>
                    <w14:schemeClr w14:val="tx1"/>
                  </w14:solidFill>
                </w14:textFill>
              </w:rPr>
              <w:t>南通市</w:t>
            </w:r>
            <w:r>
              <w:rPr>
                <w:rFonts w:hint="default" w:ascii="Times New Roman" w:hAnsi="Times New Roman" w:cs="Times New Roman"/>
                <w:color w:val="000000" w:themeColor="text1"/>
                <w:szCs w:val="21"/>
                <w:lang w:eastAsia="zh-CN"/>
                <w14:textFill>
                  <w14:solidFill>
                    <w14:schemeClr w14:val="tx1"/>
                  </w14:solidFill>
                </w14:textFill>
              </w:rPr>
              <w:t>海门经济技术开发区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厦门路108号</w:t>
            </w:r>
            <w:r>
              <w:rPr>
                <w:rFonts w:hint="default" w:ascii="Times New Roman" w:hAnsi="Times New Roman" w:cs="Times New Roman"/>
                <w:color w:val="000000" w:themeColor="text1"/>
                <w14:textFill>
                  <w14:solidFill>
                    <w14:schemeClr w14:val="tx1"/>
                  </w14:solidFill>
                </w14:textFill>
              </w:rPr>
              <w:t>，距离海门区沿江堤防生态公益林约</w:t>
            </w:r>
            <w:r>
              <w:rPr>
                <w:rFonts w:hint="default" w:ascii="Times New Roman" w:hAnsi="Times New Roman" w:cs="Times New Roman"/>
                <w:color w:val="000000" w:themeColor="text1"/>
                <w:lang w:val="en-US" w:eastAsia="zh-CN"/>
                <w14:textFill>
                  <w14:solidFill>
                    <w14:schemeClr w14:val="tx1"/>
                  </w14:solidFill>
                </w14:textFill>
              </w:rPr>
              <w:t>1.2k</w:t>
            </w:r>
            <w:r>
              <w:rPr>
                <w:rFonts w:hint="default" w:ascii="Times New Roman" w:hAnsi="Times New Roman" w:cs="Times New Roman"/>
                <w:color w:val="000000" w:themeColor="text1"/>
                <w14:textFill>
                  <w14:solidFill>
                    <w14:schemeClr w14:val="tx1"/>
                  </w14:solidFill>
                </w14:textFill>
              </w:rPr>
              <w:t>m，不在其管控范围内。生态红线保护区分布图见附图4。</w:t>
            </w:r>
          </w:p>
          <w:p w14:paraId="65843941">
            <w:pPr>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③</w:t>
            </w:r>
            <w:r>
              <w:rPr>
                <w:rFonts w:hint="eastAsia" w:ascii="Times New Roman" w:hAnsi="Times New Roman" w:cs="Times New Roman"/>
                <w:color w:val="000000" w:themeColor="text1"/>
                <w:lang w:eastAsia="zh-CN"/>
                <w14:textFill>
                  <w14:solidFill>
                    <w14:schemeClr w14:val="tx1"/>
                  </w14:solidFill>
                </w14:textFill>
              </w:rPr>
              <w:t>项目与</w:t>
            </w:r>
            <w:r>
              <w:rPr>
                <w:rFonts w:hint="default" w:ascii="Times New Roman" w:hAnsi="Times New Roman" w:cs="Times New Roman"/>
                <w:color w:val="000000" w:themeColor="text1"/>
                <w:lang w:val="en-US" w:eastAsia="zh-CN"/>
                <w14:textFill>
                  <w14:solidFill>
                    <w14:schemeClr w14:val="tx1"/>
                  </w14:solidFill>
                </w14:textFill>
              </w:rPr>
              <w:t>《2023年生态环境分区管控成果动态更新工作方案》（环办环评函[2023]81号）、《江苏省2023年度生态环境分区管控动态更新成果公告》</w:t>
            </w:r>
            <w:r>
              <w:rPr>
                <w:rFonts w:hint="eastAsia" w:ascii="Times New Roman" w:hAnsi="Times New Roman" w:cs="Times New Roman"/>
                <w:color w:val="000000" w:themeColor="text1"/>
                <w:lang w:val="en-US" w:eastAsia="zh-CN"/>
                <w14:textFill>
                  <w14:solidFill>
                    <w14:schemeClr w14:val="tx1"/>
                  </w14:solidFill>
                </w14:textFill>
              </w:rPr>
              <w:t>相符性分析</w:t>
            </w:r>
          </w:p>
          <w:p w14:paraId="487EE2F7">
            <w:pPr>
              <w:spacing w:line="400" w:lineRule="exact"/>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表1-</w:t>
            </w:r>
            <w:r>
              <w:rPr>
                <w:rFonts w:hint="default" w:ascii="Times New Roman" w:hAnsi="Times New Roman" w:cs="Times New Roman"/>
                <w:b/>
                <w:color w:val="000000" w:themeColor="text1"/>
                <w:lang w:val="en-US" w:eastAsia="zh-CN"/>
                <w14:textFill>
                  <w14:solidFill>
                    <w14:schemeClr w14:val="tx1"/>
                  </w14:solidFill>
                </w14:textFill>
              </w:rPr>
              <w:t>2</w:t>
            </w:r>
            <w:r>
              <w:rPr>
                <w:rFonts w:hint="default" w:ascii="Times New Roman" w:hAnsi="Times New Roman" w:cs="Times New Roman"/>
                <w:b/>
                <w:color w:val="000000" w:themeColor="text1"/>
                <w14:textFill>
                  <w14:solidFill>
                    <w14:schemeClr w14:val="tx1"/>
                  </w14:solidFill>
                </w14:textFill>
              </w:rPr>
              <w:t xml:space="preserve">  建设项目与</w:t>
            </w:r>
            <w:r>
              <w:rPr>
                <w:rFonts w:hint="default" w:ascii="Times New Roman" w:hAnsi="Times New Roman" w:cs="Times New Roman"/>
                <w:b/>
                <w:color w:val="000000" w:themeColor="text1"/>
                <w:lang w:val="en-US" w:eastAsia="zh-CN"/>
                <w14:textFill>
                  <w14:solidFill>
                    <w14:schemeClr w14:val="tx1"/>
                  </w14:solidFill>
                </w14:textFill>
              </w:rPr>
              <w:t>江苏省生态环境分区管控总体要求</w:t>
            </w:r>
            <w:r>
              <w:rPr>
                <w:rFonts w:hint="default" w:ascii="Times New Roman" w:hAnsi="Times New Roman" w:cs="Times New Roman"/>
                <w:b/>
                <w:color w:val="000000" w:themeColor="text1"/>
                <w14:textFill>
                  <w14:solidFill>
                    <w14:schemeClr w14:val="tx1"/>
                  </w14:solidFill>
                </w14:textFill>
              </w:rPr>
              <w:t>相符性分析</w:t>
            </w:r>
          </w:p>
          <w:tbl>
            <w:tblPr>
              <w:tblStyle w:val="4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4872"/>
              <w:gridCol w:w="1955"/>
            </w:tblGrid>
            <w:tr w14:paraId="425B9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Align w:val="center"/>
                </w:tcPr>
                <w:p w14:paraId="523349BE">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管控类别</w:t>
                  </w:r>
                </w:p>
              </w:tc>
              <w:tc>
                <w:tcPr>
                  <w:tcW w:w="3027" w:type="pct"/>
                  <w:vAlign w:val="center"/>
                </w:tcPr>
                <w:p w14:paraId="4A3B6797">
                  <w:pPr>
                    <w:spacing w:line="4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重点管控要求</w:t>
                  </w:r>
                </w:p>
              </w:tc>
              <w:tc>
                <w:tcPr>
                  <w:tcW w:w="1214" w:type="pct"/>
                  <w:vAlign w:val="center"/>
                </w:tcPr>
                <w:p w14:paraId="540C2EAC">
                  <w:pPr>
                    <w:spacing w:line="4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相符性分析</w:t>
                  </w:r>
                </w:p>
              </w:tc>
            </w:tr>
            <w:tr w14:paraId="760E1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Align w:val="center"/>
                </w:tcPr>
                <w:p w14:paraId="30D1CB24">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空间布局约束</w:t>
                  </w:r>
                </w:p>
              </w:tc>
              <w:tc>
                <w:tcPr>
                  <w:tcW w:w="3027" w:type="pct"/>
                  <w:vAlign w:val="top"/>
                </w:tcPr>
                <w:p w14:paraId="5F6300DB">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1．按照《自然资源部 生态环境部 国家林业和草原局关于加强生态保护红线管理的通知（试行）》（自然资发〔2022〕142号）、《省政府关于印发江苏省生态空间管控区域规划的通知》（苏政发〔2020〕1号）、《关于进一步加强生态保护红线监督管理的通知》（苏自然函（2023）880号）、《江苏省国土空间规划（2021—2035年）》（国函〔2023〕</w:t>
                  </w:r>
                </w:p>
                <w:p w14:paraId="0742F271">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69号），坚持节约优先、保护优先、自然恢复为主的方针，以改善生态环境质量为核心，以保障和维护生态功能为主线，统筹山水林田湖草一体化保护和修复，严守生态保护红线，实行最严格的生态空间管控制度，确保全省生态功能不降低、面积不减少、性质不改变，切实维护生态安全。生态保护红线不低于1.82万平方千米，其中海洋生态</w:t>
                  </w:r>
                  <w:r>
                    <w:rPr>
                      <w:rFonts w:hint="eastAsia" w:ascii="Times New Roman" w:hAnsi="Times New Roman" w:cs="Times New Roman"/>
                      <w:color w:val="000000" w:themeColor="text1"/>
                      <w:lang w:val="en-US" w:eastAsia="zh-CN"/>
                      <w14:textFill>
                        <w14:solidFill>
                          <w14:schemeClr w14:val="tx1"/>
                        </w14:solidFill>
                      </w14:textFill>
                    </w:rPr>
                    <w:t>保</w:t>
                  </w:r>
                  <w:r>
                    <w:rPr>
                      <w:rFonts w:hint="default" w:ascii="Times New Roman" w:hAnsi="Times New Roman" w:cs="Times New Roman"/>
                      <w:color w:val="000000" w:themeColor="text1"/>
                      <w:lang w:val="en-US" w:eastAsia="zh-CN"/>
                      <w14:textFill>
                        <w14:solidFill>
                          <w14:schemeClr w14:val="tx1"/>
                        </w14:solidFill>
                      </w14:textFill>
                    </w:rPr>
                    <w:t xml:space="preserve">护红线不低于0.95万平方千米。 </w:t>
                  </w:r>
                </w:p>
                <w:p w14:paraId="7CCF9961">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2．牢牢把握推动长江经济带发展“共抓大保护，不搞大开发”战略导向，对省域范围内需要重点保护的岸线、河段和区域实行严格管控，管住控好排放量大、耗能高、产能过剩的产业，推动长江经济带高质量发展。 </w:t>
                  </w:r>
                </w:p>
                <w:p w14:paraId="1935E356">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3．大幅压减沿长江干支流两侧1公里范围内、环境敏感区域、城镇人口密集区、化工园区外和规模以下化工生产企业，着力破解“重化围江”突出问题，高起点同步推进沿江地区战略性转型和沿海地区战略性布局。 </w:t>
                  </w:r>
                </w:p>
                <w:p w14:paraId="0EE6488C">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全省钢铁行业坚持布局调整和产能整合相结合，坚持企业搬迁与转型升级相结合，鼓励有条件的企业实施跨地区、跨所有制的兼并重组，高起点、高标准规划建设沿海精品钢基地，做精做优沿江特钢产业基地，加快推动全省钢铁行业转型升级优化布局。</w:t>
                  </w:r>
                </w:p>
                <w:p w14:paraId="33A966BE">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对列入国家和省规划，涉及生态保护红线和相关法定保护区的重大民生项目、重大基础设施项目（交通基础设施项目等），应优化空间布局（选线）、主动避让；确实无法避让的，应采取无害化方式（如无害化穿、跨越方式等），依法依规履行行政审批手续，强化减缓生态环境影响和生态补偿措施。</w:t>
                  </w:r>
                </w:p>
              </w:tc>
              <w:tc>
                <w:tcPr>
                  <w:tcW w:w="1214" w:type="pct"/>
                  <w:vAlign w:val="center"/>
                </w:tcPr>
                <w:p w14:paraId="02CE32F8">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对照江苏省环境管控单元图，项目位于重点管控单元内，重点管控单元主要推进产业布局优化、转型升级，不断提高资源利用效率，加强污染物排放控制和环境风险防控，解决突出生态环境问题。本项目为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锻件及粉末冶金制品制造</w:t>
                  </w:r>
                  <w:r>
                    <w:rPr>
                      <w:rFonts w:hint="default" w:ascii="Times New Roman" w:hAnsi="Times New Roman" w:cs="Times New Roman"/>
                      <w:color w:val="000000" w:themeColor="text1"/>
                      <w:szCs w:val="21"/>
                      <w:lang w:val="en-US" w:eastAsia="zh-CN"/>
                      <w14:textFill>
                        <w14:solidFill>
                          <w14:schemeClr w14:val="tx1"/>
                        </w14:solidFill>
                      </w14:textFill>
                    </w:rPr>
                    <w:t>，三废采取有效措施处理，对周边生态环境影响较小。</w:t>
                  </w:r>
                </w:p>
              </w:tc>
            </w:tr>
            <w:tr w14:paraId="71517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Align w:val="center"/>
                </w:tcPr>
                <w:p w14:paraId="1B7FBBDA">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污染物排放管控</w:t>
                  </w:r>
                </w:p>
              </w:tc>
              <w:tc>
                <w:tcPr>
                  <w:tcW w:w="3027" w:type="pct"/>
                  <w:vAlign w:val="top"/>
                </w:tcPr>
                <w:p w14:paraId="04426D89">
                  <w:pPr>
                    <w:widowControl/>
                    <w:jc w:val="both"/>
                    <w:rPr>
                      <w:rFonts w:hint="default" w:ascii="Times New Roman" w:hAnsi="Times New Roman"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kern w:val="0"/>
                      <w:lang w:val="en-US" w:eastAsia="zh-CN" w:bidi="ar"/>
                      <w14:textFill>
                        <w14:solidFill>
                          <w14:schemeClr w14:val="tx1"/>
                        </w14:solidFill>
                      </w14:textFill>
                    </w:rPr>
                    <w:t xml:space="preserve">1．坚持生态环境质量只能更好、不能变坏，实施污染物总量控制，以环境容量定产业、定项目、定规模，确保开发建设行为不突破生态环境承载力。 </w:t>
                  </w:r>
                </w:p>
                <w:p w14:paraId="43798863">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val="en-US" w:eastAsia="zh-CN" w:bidi="ar"/>
                      <w14:textFill>
                        <w14:solidFill>
                          <w14:schemeClr w14:val="tx1"/>
                        </w14:solidFill>
                      </w14:textFill>
                    </w:rPr>
                    <w:t>2．2025年，主要污染物排放减排完成国家下达任务，单位工业增加值二氧化碳排放量下降20%，主要高耗能行业单位产品二氧化碳排放达到世界先进水平。实施氮氧化物（NOx）和VOCs协同减排，推进多污染物和关联区域连防联控。</w:t>
                  </w:r>
                </w:p>
              </w:tc>
              <w:tc>
                <w:tcPr>
                  <w:tcW w:w="1214" w:type="pct"/>
                  <w:vAlign w:val="center"/>
                </w:tcPr>
                <w:p w14:paraId="5D4643A1">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本项目建成后将实施污染物总量控制，新增大气污染物总量能在海门区范围内平衡</w:t>
                  </w:r>
                  <w:r>
                    <w:rPr>
                      <w:rFonts w:hint="default" w:ascii="Times New Roman" w:hAnsi="Times New Roman" w:cs="Times New Roman"/>
                      <w:color w:val="000000" w:themeColor="text1"/>
                      <w:kern w:val="0"/>
                      <w:lang w:eastAsia="zh-CN" w:bidi="ar"/>
                      <w14:textFill>
                        <w14:solidFill>
                          <w14:schemeClr w14:val="tx1"/>
                        </w14:solidFill>
                      </w14:textFill>
                    </w:rPr>
                    <w:t>，</w:t>
                  </w:r>
                  <w:r>
                    <w:rPr>
                      <w:rFonts w:hint="default" w:ascii="Times New Roman" w:hAnsi="Times New Roman" w:cs="Times New Roman"/>
                      <w:color w:val="000000" w:themeColor="text1"/>
                      <w:kern w:val="0"/>
                      <w:lang w:bidi="ar"/>
                      <w14:textFill>
                        <w14:solidFill>
                          <w14:schemeClr w14:val="tx1"/>
                        </w14:solidFill>
                      </w14:textFill>
                    </w:rPr>
                    <w:t>故不会突</w:t>
                  </w:r>
                  <w:r>
                    <w:rPr>
                      <w:rFonts w:hint="default" w:ascii="Times New Roman" w:hAnsi="Times New Roman" w:cs="Times New Roman"/>
                      <w:color w:val="000000" w:themeColor="text1"/>
                      <w:kern w:val="0"/>
                      <w:lang w:val="en-US" w:eastAsia="zh-CN" w:bidi="ar"/>
                      <w14:textFill>
                        <w14:solidFill>
                          <w14:schemeClr w14:val="tx1"/>
                        </w14:solidFill>
                      </w14:textFill>
                    </w:rPr>
                    <w:t>破生态</w:t>
                  </w:r>
                  <w:r>
                    <w:rPr>
                      <w:rFonts w:hint="default" w:ascii="Times New Roman" w:hAnsi="Times New Roman" w:cs="Times New Roman"/>
                      <w:color w:val="000000" w:themeColor="text1"/>
                      <w:kern w:val="0"/>
                      <w:lang w:bidi="ar"/>
                      <w14:textFill>
                        <w14:solidFill>
                          <w14:schemeClr w14:val="tx1"/>
                        </w14:solidFill>
                      </w14:textFill>
                    </w:rPr>
                    <w:t>环境承载力。</w:t>
                  </w:r>
                </w:p>
              </w:tc>
            </w:tr>
            <w:tr w14:paraId="5000F8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Align w:val="center"/>
                </w:tcPr>
                <w:p w14:paraId="06D098D8">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环境风险防控</w:t>
                  </w:r>
                </w:p>
              </w:tc>
              <w:tc>
                <w:tcPr>
                  <w:tcW w:w="3027" w:type="pct"/>
                  <w:vAlign w:val="top"/>
                </w:tcPr>
                <w:p w14:paraId="7F14E931">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1．强化饮用水水源环境风险管控。县级以上城市全部建成应急水源或双源供水。 </w:t>
                  </w:r>
                </w:p>
                <w:p w14:paraId="1D66F4A7">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2．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 </w:t>
                  </w:r>
                </w:p>
                <w:p w14:paraId="6B6A232E">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3．强化环境事故应急管理。深化跨部门、跨区域环境应急协调联动，分区域建立环境应急物资储备库。各级工业园区（集聚区）和企业的环境应急装备和储备物资应纳入储备体系。 </w:t>
                  </w:r>
                </w:p>
                <w:p w14:paraId="747E4A0F">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1214" w:type="pct"/>
                  <w:vAlign w:val="center"/>
                </w:tcPr>
                <w:p w14:paraId="4F456828">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本项目建成后将制定环境风险应急预案，同时企业内储备有足够的环境应急物资，实现环境风险联防控，故能满足环境风险防控的相关要求。</w:t>
                  </w:r>
                </w:p>
              </w:tc>
            </w:tr>
            <w:tr w14:paraId="5EF4AA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Align w:val="center"/>
                </w:tcPr>
                <w:p w14:paraId="329F599C">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资源利用效率要求</w:t>
                  </w:r>
                </w:p>
              </w:tc>
              <w:tc>
                <w:tcPr>
                  <w:tcW w:w="3027" w:type="pct"/>
                  <w:vAlign w:val="top"/>
                </w:tcPr>
                <w:p w14:paraId="2D5AC9C3">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1．水资源利用总量及效率要求：到2025年，全省用水总量控制在525.9亿立方米以内，万元地区生产总值用水量、 万元工业增加值用水量下降完成国家下达目标，农田灌溉水有效利用系数提高到0.625。 </w:t>
                  </w:r>
                </w:p>
                <w:p w14:paraId="15FB867C">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2．土地资源总量要求：到2025年，江苏省耕地保有量不低于5977万亩，其中永久基本农田保护面积不低于5344万亩。 </w:t>
                  </w:r>
                </w:p>
                <w:p w14:paraId="0F4C5066">
                  <w:pPr>
                    <w:widowControl/>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3．禁燃区要求：在禁燃区内，禁止销售、燃用高污染燃料；禁止新建、扩建燃用高污染燃料的设施，已建成的，应当在城市人民政府规定的期限内改用天然气、页岩气、液化石油气、电或者其他清洁能源。</w:t>
                  </w:r>
                </w:p>
              </w:tc>
              <w:tc>
                <w:tcPr>
                  <w:tcW w:w="1214" w:type="pct"/>
                  <w:vAlign w:val="center"/>
                </w:tcPr>
                <w:p w14:paraId="777C8824">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本项目不新增耕地、农田等用地，满足土地资源总量要求；生产过程中使用电能等，不使用高污染燃料，故符合禁燃区的相关要求。</w:t>
                  </w:r>
                </w:p>
              </w:tc>
            </w:tr>
          </w:tbl>
          <w:p w14:paraId="1C9C7867">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2520315</wp:posOffset>
                      </wp:positionH>
                      <wp:positionV relativeFrom="paragraph">
                        <wp:posOffset>1486535</wp:posOffset>
                      </wp:positionV>
                      <wp:extent cx="1136015" cy="331470"/>
                      <wp:effectExtent l="71755" t="5080" r="11430" b="234950"/>
                      <wp:wrapNone/>
                      <wp:docPr id="4" name="矩形标注 4"/>
                      <wp:cNvGraphicFramePr/>
                      <a:graphic xmlns:a="http://schemas.openxmlformats.org/drawingml/2006/main">
                        <a:graphicData uri="http://schemas.microsoft.com/office/word/2010/wordprocessingShape">
                          <wps:wsp>
                            <wps:cNvSpPr/>
                            <wps:spPr>
                              <a:xfrm>
                                <a:off x="3820795" y="7907020"/>
                                <a:ext cx="1136015" cy="331470"/>
                              </a:xfrm>
                              <a:prstGeom prst="wedgeRectCallout">
                                <a:avLst>
                                  <a:gd name="adj1" fmla="val -55925"/>
                                  <a:gd name="adj2" fmla="val 115325"/>
                                </a:avLst>
                              </a:prstGeom>
                              <a:noFill/>
                              <a:ln w="6350">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6FC056F">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本项目所在地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98.45pt;margin-top:117.05pt;height:26.1pt;width:89.45pt;z-index:251664384;v-text-anchor:middle;mso-width-relative:page;mso-height-relative:page;" filled="f" stroked="t" coordsize="21600,21600" o:gfxdata="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IHFVl2QAAAAsBAAAPAAAAAAAAAAEAIAAAACIAAABkcnMvZG93&#10;bnJldi54bWxQSwECFAAUAAAACACHTuJAJMsO9KoCAAAvBQAADgAAAAAAAAABACAAAAAoAQAAZHJz&#10;L2Uyb0RvYy54bWxQSwUGAAAAAAYABgBZAQAARAYAAAAA&#10;" adj="-1280,35710">
                      <v:fill on="f" focussize="0,0"/>
                      <v:stroke weight="0.5pt" color="#FF0000 [2404]" joinstyle="round"/>
                      <v:imagedata o:title=""/>
                      <o:lock v:ext="edit" aspectratio="f"/>
                      <v:textbox>
                        <w:txbxContent>
                          <w:p w14:paraId="56FC056F">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本项目所在地</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2361565</wp:posOffset>
                      </wp:positionH>
                      <wp:positionV relativeFrom="paragraph">
                        <wp:posOffset>2023110</wp:posOffset>
                      </wp:positionV>
                      <wp:extent cx="76200" cy="76200"/>
                      <wp:effectExtent l="13970" t="12065" r="24130" b="26035"/>
                      <wp:wrapNone/>
                      <wp:docPr id="3" name="五角星 3"/>
                      <wp:cNvGraphicFramePr/>
                      <a:graphic xmlns:a="http://schemas.openxmlformats.org/drawingml/2006/main">
                        <a:graphicData uri="http://schemas.microsoft.com/office/word/2010/wordprocessingShape">
                          <wps:wsp>
                            <wps:cNvSpPr/>
                            <wps:spPr>
                              <a:xfrm rot="10200000" flipH="1" flipV="1">
                                <a:off x="3758565" y="8080375"/>
                                <a:ext cx="76200" cy="76200"/>
                              </a:xfrm>
                              <a:prstGeom prst="star5">
                                <a:avLst/>
                              </a:prstGeom>
                              <a:solidFill>
                                <a:srgbClr val="FF0000"/>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x y;margin-left:185.95pt;margin-top:159.3pt;height:6pt;width:6pt;rotation:11141120f;z-index:251663360;v-text-anchor:middle;mso-width-relative:page;mso-height-relative:page;" fillcolor="#FF0000" filled="t" stroked="t" coordsize="76200,76200" o:gfxdata="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ujx6O2gAAAAsBAAAPAAAAAAAAAAEA&#10;IAAAACIAAABkcnMvZG93bnJldi54bWxQSwECFAAUAAAACACHTuJAWLUF4X8CAAANBQAADgAAAAAA&#10;AAABACAAAAApAQAAZHJzL2Uyb0RvYy54bWxQSwUGAAAAAAYABgBZAQAAGgYAAAAA&#10;" path="m0,29105l29105,29105,38100,0,47094,29105,76199,29105,52652,47093,61647,76199,38100,58211,14552,76199,23547,47093xe">
                      <v:path o:connectlocs="38100,0;0,29105;14552,76199;61647,76199;76199,29105" o:connectangles="247,164,82,82,0"/>
                      <v:fill on="t" focussize="0,0"/>
                      <v:stroke weight="2pt" color="#FF0000 [2404]" joinstyle="round"/>
                      <v:imagedata o:title=""/>
                      <o:lock v:ext="edit" aspectratio="f"/>
                    </v:shape>
                  </w:pict>
                </mc:Fallback>
              </mc:AlternateContent>
            </w:r>
            <w:r>
              <w:rPr>
                <w:rFonts w:hint="eastAsia" w:ascii="Times New Roman" w:hAnsi="Times New Roman" w:eastAsia="宋体" w:cs="Times New Roman"/>
                <w:color w:val="000000" w:themeColor="text1"/>
                <w:kern w:val="0"/>
                <w:lang w:eastAsia="zh-CN"/>
                <w14:textFill>
                  <w14:solidFill>
                    <w14:schemeClr w14:val="tx1"/>
                  </w14:solidFill>
                </w14:textFill>
              </w:rPr>
              <w:drawing>
                <wp:inline distT="0" distB="0" distL="114300" distR="114300">
                  <wp:extent cx="3771265" cy="2650490"/>
                  <wp:effectExtent l="0" t="0" r="635" b="16510"/>
                  <wp:docPr id="2" name="图片 2" descr="4942e01f09fe39ebcec6c426a78db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42e01f09fe39ebcec6c426a78dba5"/>
                          <pic:cNvPicPr>
                            <a:picLocks noChangeAspect="1"/>
                          </pic:cNvPicPr>
                        </pic:nvPicPr>
                        <pic:blipFill>
                          <a:blip r:embed="rId7"/>
                          <a:stretch>
                            <a:fillRect/>
                          </a:stretch>
                        </pic:blipFill>
                        <pic:spPr>
                          <a:xfrm>
                            <a:off x="0" y="0"/>
                            <a:ext cx="3771265" cy="2650490"/>
                          </a:xfrm>
                          <a:prstGeom prst="rect">
                            <a:avLst/>
                          </a:prstGeom>
                        </pic:spPr>
                      </pic:pic>
                    </a:graphicData>
                  </a:graphic>
                </wp:inline>
              </w:drawing>
            </w:r>
          </w:p>
          <w:p w14:paraId="39C7DCC0">
            <w:pPr>
              <w:adjustRightInd w:val="0"/>
              <w:snapToGrid w:val="0"/>
              <w:spacing w:line="360" w:lineRule="auto"/>
              <w:ind w:firstLine="422" w:firstLineChars="200"/>
              <w:jc w:val="center"/>
              <w:rPr>
                <w:rFonts w:hint="default" w:ascii="Times New Roman" w:hAnsi="Times New Roman" w:eastAsia="宋体" w:cs="Times New Roman"/>
                <w:b/>
                <w:bCs/>
                <w:color w:val="000000" w:themeColor="text1"/>
                <w:kern w:val="0"/>
                <w:lang w:val="en-US" w:eastAsia="zh-CN"/>
                <w14:textFill>
                  <w14:solidFill>
                    <w14:schemeClr w14:val="tx1"/>
                  </w14:solidFill>
                </w14:textFill>
              </w:rPr>
            </w:pPr>
            <w:r>
              <w:rPr>
                <w:rFonts w:hint="eastAsia" w:ascii="Times New Roman" w:hAnsi="Times New Roman" w:cs="Times New Roman"/>
                <w:b/>
                <w:bCs/>
                <w:color w:val="000000" w:themeColor="text1"/>
                <w:kern w:val="0"/>
                <w:lang w:eastAsia="zh-CN"/>
                <w14:textFill>
                  <w14:solidFill>
                    <w14:schemeClr w14:val="tx1"/>
                  </w14:solidFill>
                </w14:textFill>
              </w:rPr>
              <w:t>图</w:t>
            </w:r>
            <w:r>
              <w:rPr>
                <w:rFonts w:hint="eastAsia" w:ascii="Times New Roman" w:hAnsi="Times New Roman" w:cs="Times New Roman"/>
                <w:b/>
                <w:bCs/>
                <w:color w:val="000000" w:themeColor="text1"/>
                <w:kern w:val="0"/>
                <w:lang w:val="en-US" w:eastAsia="zh-CN"/>
                <w14:textFill>
                  <w14:solidFill>
                    <w14:schemeClr w14:val="tx1"/>
                  </w14:solidFill>
                </w14:textFill>
              </w:rPr>
              <w:t>1-1 本项目所在地</w:t>
            </w:r>
          </w:p>
          <w:p w14:paraId="7CD12DF3">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eastAsia" w:ascii="Times New Roman" w:hAnsi="Times New Roman" w:cs="Times New Roman"/>
                <w:color w:val="000000" w:themeColor="text1"/>
                <w:kern w:val="0"/>
                <w:lang w:eastAsia="zh-CN"/>
                <w14:textFill>
                  <w14:solidFill>
                    <w14:schemeClr w14:val="tx1"/>
                  </w14:solidFill>
                </w14:textFill>
              </w:rPr>
              <w:t>根据上表、上图分析可知，</w:t>
            </w:r>
            <w:r>
              <w:rPr>
                <w:rFonts w:hint="default" w:ascii="Times New Roman" w:hAnsi="Times New Roman" w:cs="Times New Roman"/>
                <w:color w:val="000000" w:themeColor="text1"/>
                <w:kern w:val="0"/>
                <w14:textFill>
                  <w14:solidFill>
                    <w14:schemeClr w14:val="tx1"/>
                  </w14:solidFill>
                </w14:textFill>
              </w:rPr>
              <w:t>本项目的建设符合</w:t>
            </w:r>
            <w:r>
              <w:rPr>
                <w:rFonts w:hint="default" w:ascii="Times New Roman" w:hAnsi="Times New Roman" w:cs="Times New Roman"/>
                <w:color w:val="000000" w:themeColor="text1"/>
                <w:lang w:val="en-US" w:eastAsia="zh-CN"/>
                <w14:textFill>
                  <w14:solidFill>
                    <w14:schemeClr w14:val="tx1"/>
                  </w14:solidFill>
                </w14:textFill>
              </w:rPr>
              <w:t>《2023年生态环境分区管控成果动态更新工作方案》（环办环评函[2023]81号）、《江苏省2023年度生态环境分区管控动态更新成果公告》</w:t>
            </w:r>
            <w:r>
              <w:rPr>
                <w:rFonts w:hint="default" w:ascii="Times New Roman" w:hAnsi="Times New Roman" w:cs="Times New Roman"/>
                <w:color w:val="000000" w:themeColor="text1"/>
                <w:kern w:val="0"/>
                <w14:textFill>
                  <w14:solidFill>
                    <w14:schemeClr w14:val="tx1"/>
                  </w14:solidFill>
                </w14:textFill>
              </w:rPr>
              <w:t xml:space="preserve">的相关要求。 </w:t>
            </w:r>
          </w:p>
          <w:p w14:paraId="4C01D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④</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项目与</w:t>
            </w:r>
            <w:r>
              <w:rPr>
                <w:rFonts w:hint="default" w:ascii="Times New Roman" w:hAnsi="Times New Roman" w:cs="Times New Roman"/>
                <w:b w:val="0"/>
                <w:bCs w:val="0"/>
                <w:color w:val="000000" w:themeColor="text1"/>
                <w:sz w:val="21"/>
                <w:szCs w:val="21"/>
                <w:highlight w:val="none"/>
                <w14:textFill>
                  <w14:solidFill>
                    <w14:schemeClr w14:val="tx1"/>
                  </w14:solidFill>
                </w14:textFill>
              </w:rPr>
              <w:t>《市政府办公室关于印发南通市“三线一单”生态环境分区管控实施方案的通知》（通政办规[202</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val="0"/>
                <w:bCs w:val="0"/>
                <w:color w:val="000000" w:themeColor="text1"/>
                <w:sz w:val="21"/>
                <w:szCs w:val="21"/>
                <w:highlight w:val="none"/>
                <w14:textFill>
                  <w14:solidFill>
                    <w14:schemeClr w14:val="tx1"/>
                  </w14:solidFill>
                </w14:textFill>
              </w:rPr>
              <w:t>]4号）</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相符性分析见表1-3。</w:t>
            </w:r>
          </w:p>
          <w:p w14:paraId="254E0801">
            <w:pPr>
              <w:ind w:firstLine="422" w:firstLineChars="20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表1-</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与《市政府办公室关于印发南通市“三线一单”生态环境分区管控实施方案的通知》（通政办规[202</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1"/>
                <w:szCs w:val="21"/>
                <w:highlight w:val="none"/>
                <w14:textFill>
                  <w14:solidFill>
                    <w14:schemeClr w14:val="tx1"/>
                  </w14:solidFill>
                </w14:textFill>
              </w:rPr>
              <w:t>]4号）的相符性</w:t>
            </w:r>
          </w:p>
          <w:tbl>
            <w:tblPr>
              <w:tblStyle w:val="41"/>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4628"/>
              <w:gridCol w:w="2263"/>
              <w:gridCol w:w="727"/>
            </w:tblGrid>
            <w:tr w14:paraId="08A67E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56" w:type="pct"/>
                  <w:noWrap w:val="0"/>
                  <w:vAlign w:val="center"/>
                </w:tcPr>
                <w:p w14:paraId="08E4D262">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管控类别</w:t>
                  </w:r>
                </w:p>
              </w:tc>
              <w:tc>
                <w:tcPr>
                  <w:tcW w:w="2879" w:type="pct"/>
                  <w:noWrap w:val="0"/>
                  <w:vAlign w:val="center"/>
                </w:tcPr>
                <w:p w14:paraId="34D7A7D1">
                  <w:pPr>
                    <w:ind w:firstLine="422" w:firstLineChars="20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重点管控要求</w:t>
                  </w:r>
                </w:p>
              </w:tc>
              <w:tc>
                <w:tcPr>
                  <w:tcW w:w="1409" w:type="pct"/>
                  <w:noWrap w:val="0"/>
                  <w:vAlign w:val="center"/>
                </w:tcPr>
                <w:p w14:paraId="3C247620">
                  <w:pPr>
                    <w:ind w:firstLine="422" w:firstLineChars="20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本项目情况</w:t>
                  </w:r>
                </w:p>
              </w:tc>
              <w:tc>
                <w:tcPr>
                  <w:tcW w:w="455" w:type="pct"/>
                  <w:noWrap w:val="0"/>
                  <w:vAlign w:val="center"/>
                </w:tcPr>
                <w:p w14:paraId="4452D37F">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相符性</w:t>
                  </w:r>
                </w:p>
              </w:tc>
            </w:tr>
            <w:tr w14:paraId="3C1504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56" w:type="pct"/>
                  <w:noWrap w:val="0"/>
                  <w:vAlign w:val="center"/>
                </w:tcPr>
                <w:p w14:paraId="1B357265">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空间布局约束</w:t>
                  </w:r>
                </w:p>
              </w:tc>
              <w:tc>
                <w:tcPr>
                  <w:tcW w:w="2879" w:type="pct"/>
                  <w:noWrap w:val="0"/>
                  <w:vAlign w:val="center"/>
                </w:tcPr>
                <w:p w14:paraId="7AB90EF5">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1.严格执行《南通市长江经济带生态环境保护实施规划》（通政办发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18</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42号）、《南通市“两减六治三提升”专项行动实施方案》（通政办发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17</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55号）、《南通市打赢蓝天保卫战三年行动计划实施方案（2018~2020年）》（通政发〔2018〕63号）、《南通市土壤污染防治工作方案》（通政发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17</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20号）、《南通市水污染防治工作方案》（通政发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16</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35号）等文件要求。 2.严格执行《（长江经济带发展负面清单指南）江苏省实施细则（试行）》；禁止引进列入《南通市工业结构调整指导目录》淘汰类的产业、列入《南通市工业产业技术改造负面清单》严格禁止的技术改造工艺装备及产品。 3.根据《南通市长江经济带生态环境保护实施规划》（通政办发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18</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42号），沿江地区不再新布局石化项目。禁止在长江干流自然保护区、风景名胜区等重点区域新建工业类和污染类项目，现有高风险企业实施限期治理。自然保护区核心区及缓冲区内禁止新建码头工程，逐步拆除已有的各类生产设施以及危化品、石油类泊位。禁止向内河和江海直达船舶销售渣油、重油以及不符合标准的普通柴油，禁止海船使用不符合要求的燃油。</w:t>
                  </w:r>
                </w:p>
                <w:p w14:paraId="489B66E7">
                  <w:pPr>
                    <w:ind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4.根据《省政府关于加强全省化工园区化工集中区规范化管理的通知》（苏政发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[202</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94号）、《市政府关于印发南通市化工产业环保准入指导意见的通知》（通政发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14</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10号），化工园区、化工集中区处于长江干流和主要支流岸线1公里范围（以下简称沿江1公里范围）内的区域不得新建、扩建化工企业和项目（安全、环保、节能、信息化智能化、提升产品品质技术改造项目除外）。禁止建设属于国家、省和我市禁止类、淘汰类生产工艺、产品的项目。从严控制农药、传统医药、染料化工项目审批，原则上不再新上医药中间体、农药中间体、染料中间体项目（具有自主知识产权的关键中间体及高产出、低污染项目除外，分别由科技部门和环保部门认定）。沿江化工园区不再新增农药、染料化工企业。</w:t>
                  </w:r>
                </w:p>
              </w:tc>
              <w:tc>
                <w:tcPr>
                  <w:tcW w:w="1409" w:type="pct"/>
                  <w:noWrap w:val="0"/>
                  <w:vAlign w:val="center"/>
                </w:tcPr>
                <w:p w14:paraId="6F634F43">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本项目严格执行《南通市长江经济带生态环境保护实施规划》（通政办发〔2018〕42号）、《南通市“两减六治三提升”专项行动实施方案》（通政办发〔2017〕55号）、《南通市打赢蓝天保卫战三年行动计划实施方案（2018~2020年）》（通政发〔2018〕63号）、《南通市土壤污染防治工作方案》（通政发〔2017〕20号）、《南通市水污染防治工作方案》（通政发〔2016〕35号）等文件要求。 2.本项目严格执行《（长江经济带发展负面清单指南）江苏省实施细则（试行）》；本项目不属于《南通市工业结构调整指导目录》淘汰类的产业、不属于《南通市工业产业技术改造负面清单》严格禁止的技术改造工艺装备及产品。 3.本项目不属于石化项目，不在长江干流自然保护区、风景名胜区等重点区域内，符合《南通市长江经济带生态环境保护实施规划》（通政办发〔2018〕42号）文件要求。4.本项目不属于化工项目。</w:t>
                  </w:r>
                </w:p>
              </w:tc>
              <w:tc>
                <w:tcPr>
                  <w:tcW w:w="455" w:type="pct"/>
                  <w:noWrap w:val="0"/>
                  <w:vAlign w:val="center"/>
                </w:tcPr>
                <w:p w14:paraId="0D9FC779">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相符</w:t>
                  </w:r>
                </w:p>
              </w:tc>
            </w:tr>
            <w:tr w14:paraId="4B5CF1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56" w:type="pct"/>
                  <w:noWrap w:val="0"/>
                  <w:vAlign w:val="center"/>
                </w:tcPr>
                <w:p w14:paraId="258EEF5D">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污染物排放管控</w:t>
                  </w:r>
                </w:p>
              </w:tc>
              <w:tc>
                <w:tcPr>
                  <w:tcW w:w="2879" w:type="pct"/>
                  <w:noWrap w:val="0"/>
                  <w:vAlign w:val="center"/>
                </w:tcPr>
                <w:p w14:paraId="06EAB18D">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严格落实污染物排放总量控制制度，把主要污染物排放总量指标作为建设项目环境影响评价审批的前置条件。排放主要污染物的建设项目，在环境影响评价文件（以下简称环评文件）审批前，须取得主要污染物排放总量指标。2.用于建设项目的“可替代总量指标”不得低于建设项目所需替代的主要污染物排放总量指标。上一年度环境空气质量年平均浓度不达标的地区、水环境质量未达到要求的地区，相关污染物应按照建设项目所需替代的主要污染物排放总量指标的2倍进行削减替代（燃煤发电机组大气污染物排放浓度基本达到燃气轮机组排放限值的除外）；细颗粒物（PM</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2.5</w:t>
                  </w:r>
                  <w:r>
                    <w:rPr>
                      <w:rFonts w:hint="default" w:ascii="Times New Roman" w:hAnsi="Times New Roman" w:cs="Times New Roman"/>
                      <w:color w:val="000000" w:themeColor="text1"/>
                      <w:sz w:val="21"/>
                      <w:szCs w:val="21"/>
                      <w:highlight w:val="none"/>
                      <w14:textFill>
                        <w14:solidFill>
                          <w14:schemeClr w14:val="tx1"/>
                        </w14:solidFill>
                      </w14:textFill>
                    </w:rPr>
                    <w:t>）年平均浓度不达标的地区，二氧化硫、氮氧化物、烟粉尘、挥发性有机物四项污染物均需进行2倍削减替代（燃煤发电机组大气污染物排放浓度基本达到燃气轮机组排放限值的除外）。3.落实《省政府办公厅关于印发江苏省排污权有偿使用和交易管理暂行办法的通知》（苏政办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17</w:t>
                  </w:r>
                  <w:r>
                    <w:rPr>
                      <w:rFonts w:hint="default" w:ascii="Times New Roman" w:hAnsi="Times New Roman" w:cs="Times New Roman"/>
                      <w:color w:val="000000" w:themeColor="text1"/>
                      <w:sz w:val="21"/>
                      <w:szCs w:val="21"/>
                      <w:highlight w:val="none"/>
                      <w14:textFill>
                        <w14:solidFill>
                          <w14:schemeClr w14:val="tx1"/>
                        </w14:solidFill>
                      </w14:textFill>
                    </w:rPr>
                    <w:t>115号）及配套的实施细则中，关于新、改扩建项目获得排污权指标的相关要求。</w:t>
                  </w:r>
                </w:p>
              </w:tc>
              <w:tc>
                <w:tcPr>
                  <w:tcW w:w="1409" w:type="pct"/>
                  <w:noWrap w:val="0"/>
                  <w:vAlign w:val="center"/>
                </w:tcPr>
                <w:p w14:paraId="6089AA3F">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环评阶段主要污染物总量指标审核按照南通市生态环境局《关于进一步规范建设项目主要污染物排放总量指标审核、管理及排污权交易的工作方案》（通环办[2021]23号）的通知执行，拟建项目建成后，排放大气污染物拟在南通市海门区范围内平衡</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p>
              </w:tc>
              <w:tc>
                <w:tcPr>
                  <w:tcW w:w="455" w:type="pct"/>
                  <w:noWrap w:val="0"/>
                  <w:vAlign w:val="center"/>
                </w:tcPr>
                <w:p w14:paraId="0BFB20C3">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相符</w:t>
                  </w:r>
                </w:p>
              </w:tc>
            </w:tr>
            <w:tr w14:paraId="25FB21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56" w:type="pct"/>
                  <w:noWrap w:val="0"/>
                  <w:vAlign w:val="center"/>
                </w:tcPr>
                <w:p w14:paraId="2A24490E">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环境风险防控</w:t>
                  </w:r>
                </w:p>
              </w:tc>
              <w:tc>
                <w:tcPr>
                  <w:tcW w:w="2879" w:type="pct"/>
                  <w:noWrap w:val="0"/>
                  <w:vAlign w:val="center"/>
                </w:tcPr>
                <w:p w14:paraId="1358F251">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1.落实《南通市突发环境事件应急预案（2020年修订版）》（通政办发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[202</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46号）。</w:t>
                  </w:r>
                </w:p>
                <w:p w14:paraId="25C3D8EB">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2.根据《南通市化工产业安全环保整治提升三年行动计划（2019~2021年）》（通政办发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19</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102号），保留提升的化工生产企业必须制订整治提升实施方案。严格危险废物处置管理。企业须在环评报告中准确全面评价固体废物的种类、数量、属性及产生、贮存、利用或处置情况。在安评报告中对固体废物贮存、利用处置环节进行安全性评价，并按标准规范设计、建造或改建贮存、利用处置危险废物的设施设备。生产企业应按照相关管理要求申报、处置废弃危险化学品。强化对危险废物的收集、贮存和处置的监督管理，实现危险废物监管无盲区、无死角。3.根据《关于加快全省化工钢铁煤电行业转型升级高质量发展的实施意见》（苏办发</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18</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32号），钢铁行业企业总平面布置必须符合国家规范要求，有较大变更的必须进行安全风险分析和评估论证。企业必须按规定设计、设置和运行自动控制系统，按规定实施全流程自动控制改造，有条件的鼓励创建智能工厂（装置）。企业涉及重大危险源的设施设备与周边重要公共建筑安全距离须符合国家相关标准要求。坚决淘汰超期服役的高风险设备和设施。</w:t>
                  </w:r>
                </w:p>
              </w:tc>
              <w:tc>
                <w:tcPr>
                  <w:tcW w:w="1409" w:type="pct"/>
                  <w:noWrap w:val="0"/>
                  <w:vAlign w:val="center"/>
                </w:tcPr>
                <w:p w14:paraId="148714CB">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1.本环评要求企业落实应急预案。2.在本次环评报告中全面评价固体废物的种类、属性及产生、贮存、利用或处置情况。</w:t>
                  </w:r>
                </w:p>
              </w:tc>
              <w:tc>
                <w:tcPr>
                  <w:tcW w:w="455" w:type="pct"/>
                  <w:noWrap w:val="0"/>
                  <w:vAlign w:val="center"/>
                </w:tcPr>
                <w:p w14:paraId="20D02C19">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相符</w:t>
                  </w:r>
                </w:p>
              </w:tc>
            </w:tr>
            <w:tr w14:paraId="245BCD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56" w:type="pct"/>
                  <w:noWrap w:val="0"/>
                  <w:vAlign w:val="center"/>
                </w:tcPr>
                <w:p w14:paraId="005EB40F">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资源利用效率要求</w:t>
                  </w:r>
                </w:p>
              </w:tc>
              <w:tc>
                <w:tcPr>
                  <w:tcW w:w="2879" w:type="pct"/>
                  <w:noWrap w:val="0"/>
                  <w:vAlign w:val="center"/>
                </w:tcPr>
                <w:p w14:paraId="670D6A35">
                  <w:pPr>
                    <w:ind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根据《中华人民共和国大气污染防治法》，禁燃区禁止新建、扩建燃用高污染燃料的项目和设施，已建成的应逐步或依法限期改用天然气、电或者其他清洁能源。2.化工行业新建化工项目须达到国内清洁生产先进水平或行业先进水平，生产过程连续化、密闭化、自动化、智能化；钢铁行业沿海地区新建钢厂、其他地区钢厂改造升级项目必须符合《江苏省钢铁行业布局优化结构调整项目建设实施标准》要求。3.严格控制地下水开采。落实《江苏省地下水超采区划分方案》（苏政复</w:t>
                  </w:r>
                  <w:r>
                    <w:rPr>
                      <w:rFonts w:hint="default" w:ascii="Times New Roman" w:hAnsi="Times New Roman" w:cs="Times New Roman"/>
                      <w:b w:val="0"/>
                      <w:bCs w:val="0"/>
                      <w:color w:val="000000" w:themeColor="text1"/>
                      <w:sz w:val="21"/>
                      <w:szCs w:val="21"/>
                      <w:highlight w:val="none"/>
                      <w14:textFill>
                        <w14:solidFill>
                          <w14:schemeClr w14:val="tx1"/>
                        </w14:solidFill>
                      </w14:textFill>
                    </w:rPr>
                    <w:t>[20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13</w:t>
                  </w:r>
                  <w:r>
                    <w:rPr>
                      <w:rFonts w:hint="default" w:ascii="Times New Roman" w:hAnsi="Times New Roman"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59号），在海门区的海门城区、三厂、常乐等乡镇共计136.9平方公里，实施地下水禁采；在如东县的掘港及马塘、岔河、洋口、丰利等乡镇，海门区除三阳、海永外的大部分地区，启东市的汇龙、吕四、北新等乡镇，通州区的东社镇、二甲镇，通州湾的三余镇等地2095.8平方公里，实施地下水限采。</w:t>
                  </w:r>
                </w:p>
              </w:tc>
              <w:tc>
                <w:tcPr>
                  <w:tcW w:w="1409" w:type="pct"/>
                  <w:noWrap w:val="0"/>
                  <w:vAlign w:val="center"/>
                </w:tcPr>
                <w:p w14:paraId="2D666B9F">
                  <w:pP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1.本项目不使用高污染燃料。2.本项目不属于化工项目，也不属于钢铁行业。3.本项目不使用地下水。</w:t>
                  </w:r>
                </w:p>
              </w:tc>
              <w:tc>
                <w:tcPr>
                  <w:tcW w:w="455" w:type="pct"/>
                  <w:noWrap w:val="0"/>
                  <w:vAlign w:val="center"/>
                </w:tcPr>
                <w:p w14:paraId="0B4A3882">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相符</w:t>
                  </w:r>
                </w:p>
              </w:tc>
            </w:tr>
          </w:tbl>
          <w:p w14:paraId="693F33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⑤本项目与《南通市</w:t>
            </w:r>
            <w:r>
              <w:rPr>
                <w:rFonts w:hint="default" w:ascii="Times New Roman" w:hAnsi="Times New Roman" w:cs="Times New Roman"/>
                <w:color w:val="000000" w:themeColor="text1"/>
                <w:kern w:val="0"/>
                <w:lang w:val="en-US" w:eastAsia="zh-CN"/>
                <w14:textFill>
                  <w14:solidFill>
                    <w14:schemeClr w14:val="tx1"/>
                  </w14:solidFill>
                </w14:textFill>
              </w:rPr>
              <w:t>海门区</w:t>
            </w:r>
            <w:r>
              <w:rPr>
                <w:rFonts w:hint="default" w:ascii="Times New Roman" w:hAnsi="Times New Roman" w:cs="Times New Roman"/>
                <w:color w:val="000000" w:themeColor="text1"/>
                <w:kern w:val="0"/>
                <w14:textFill>
                  <w14:solidFill>
                    <w14:schemeClr w14:val="tx1"/>
                  </w14:solidFill>
                </w14:textFill>
              </w:rPr>
              <w:t>“三线一单”生态环境分区管控实施方案的通知》（</w:t>
            </w:r>
            <w:r>
              <w:rPr>
                <w:rFonts w:hint="default" w:ascii="Times New Roman" w:hAnsi="Times New Roman" w:cs="Times New Roman"/>
                <w:color w:val="000000" w:themeColor="text1"/>
                <w:kern w:val="0"/>
                <w:lang w:val="en-US" w:eastAsia="zh-CN"/>
                <w14:textFill>
                  <w14:solidFill>
                    <w14:schemeClr w14:val="tx1"/>
                  </w14:solidFill>
                </w14:textFill>
              </w:rPr>
              <w:t>海政办发</w:t>
            </w:r>
            <w:r>
              <w:rPr>
                <w:rFonts w:hint="default" w:ascii="Times New Roman" w:hAnsi="Times New Roman" w:cs="Times New Roman"/>
                <w:color w:val="000000" w:themeColor="text1"/>
                <w:kern w:val="0"/>
                <w14:textFill>
                  <w14:solidFill>
                    <w14:schemeClr w14:val="tx1"/>
                  </w14:solidFill>
                </w14:textFill>
              </w:rPr>
              <w:t>[2021]</w:t>
            </w:r>
            <w:r>
              <w:rPr>
                <w:rFonts w:hint="default" w:ascii="Times New Roman" w:hAnsi="Times New Roman" w:cs="Times New Roman"/>
                <w:color w:val="000000" w:themeColor="text1"/>
                <w:kern w:val="0"/>
                <w:lang w:val="en-US" w:eastAsia="zh-CN"/>
                <w14:textFill>
                  <w14:solidFill>
                    <w14:schemeClr w14:val="tx1"/>
                  </w14:solidFill>
                </w14:textFill>
              </w:rPr>
              <w:t>85</w:t>
            </w:r>
            <w:r>
              <w:rPr>
                <w:rFonts w:hint="default" w:ascii="Times New Roman" w:hAnsi="Times New Roman" w:cs="Times New Roman"/>
                <w:color w:val="000000" w:themeColor="text1"/>
                <w:kern w:val="0"/>
                <w14:textFill>
                  <w14:solidFill>
                    <w14:schemeClr w14:val="tx1"/>
                  </w14:solidFill>
                </w14:textFill>
              </w:rPr>
              <w:t>号）相符性分析如下：</w:t>
            </w:r>
          </w:p>
          <w:p w14:paraId="456A704A">
            <w:pPr>
              <w:ind w:firstLine="422" w:firstLineChars="20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表1-</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cs="Times New Roman"/>
                <w:b/>
                <w:color w:val="000000" w:themeColor="text1"/>
                <w14:textFill>
                  <w14:solidFill>
                    <w14:schemeClr w14:val="tx1"/>
                  </w14:solidFill>
                </w14:textFill>
              </w:rPr>
              <w:t>与</w:t>
            </w:r>
            <w:r>
              <w:rPr>
                <w:rFonts w:hint="default" w:ascii="Times New Roman" w:hAnsi="Times New Roman" w:cs="Times New Roman"/>
                <w:b/>
                <w:color w:val="000000" w:themeColor="text1"/>
                <w:lang w:val="en-US" w:eastAsia="zh-CN"/>
                <w14:textFill>
                  <w14:solidFill>
                    <w14:schemeClr w14:val="tx1"/>
                  </w14:solidFill>
                </w14:textFill>
              </w:rPr>
              <w:t>海门区</w:t>
            </w:r>
            <w:r>
              <w:rPr>
                <w:rFonts w:hint="default" w:ascii="Times New Roman" w:hAnsi="Times New Roman" w:cs="Times New Roman"/>
                <w:b/>
                <w:color w:val="000000" w:themeColor="text1"/>
                <w14:textFill>
                  <w14:solidFill>
                    <w14:schemeClr w14:val="tx1"/>
                  </w14:solidFill>
                </w14:textFill>
              </w:rPr>
              <w:t>“三线一单”生态环境分区管控方案相符性分析</w:t>
            </w:r>
          </w:p>
          <w:tbl>
            <w:tblPr>
              <w:tblStyle w:val="4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5271"/>
              <w:gridCol w:w="1943"/>
            </w:tblGrid>
            <w:tr w14:paraId="0FB138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14:paraId="51C22262">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管控类别</w:t>
                  </w:r>
                </w:p>
              </w:tc>
              <w:tc>
                <w:tcPr>
                  <w:tcW w:w="3275" w:type="pct"/>
                  <w:vAlign w:val="center"/>
                </w:tcPr>
                <w:p w14:paraId="04213B39">
                  <w:pPr>
                    <w:spacing w:line="4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重点管控要求</w:t>
                  </w:r>
                </w:p>
              </w:tc>
              <w:tc>
                <w:tcPr>
                  <w:tcW w:w="1207" w:type="pct"/>
                  <w:vAlign w:val="center"/>
                </w:tcPr>
                <w:p w14:paraId="38CB7382">
                  <w:pPr>
                    <w:spacing w:line="4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相符性分析</w:t>
                  </w:r>
                </w:p>
              </w:tc>
            </w:tr>
            <w:tr w14:paraId="04389F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14:paraId="4E8E6971">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空间布局约束</w:t>
                  </w:r>
                </w:p>
              </w:tc>
              <w:tc>
                <w:tcPr>
                  <w:tcW w:w="3275" w:type="pct"/>
                  <w:vAlign w:val="center"/>
                </w:tcPr>
                <w:p w14:paraId="2D7479D5">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1. 严格执行《江苏省“三线一单”生态环境分区管控方案 》、《南通市“三线一单”生态环境分区管控实施方案》等文件中总体准入管控的相关要求。</w:t>
                  </w:r>
                </w:p>
                <w:p w14:paraId="6F33225F">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2. 按照《省政府关于印发江苏省生态空间管控区域规划的通知》、《省政府办公厅关于印发江苏省生态空间管控区域调整管理办法的通知》、《省政府办公厅关于印发江苏省生态空间管控区域监督管理办法的通知》，生态空间管控区域一经划定，任何单位和个人不得擅自占用。落实生态红线管控刚性要求。严格落实国家生态保护红线、省级生态空间管控区域要求，加强生态空间保护区域执法监管，确保生态功能不降低、面积不减少、性质不改变。</w:t>
                  </w:r>
                </w:p>
                <w:p w14:paraId="0E345ACD">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3. 根据《南通市海门区国民经济和社会发展第十四个五年规划和二〇三五年远景目标纲要》，海门区重点围绕高端家纺、现代建筑、先进装备制造三大现有千亿级产业提升和新材料、生物医药、新一代信息技术三大新兴千亿级产业培育，强化产业链、创新链、价值链三链一体协同发展，形成“一城两港六组团”空间格局。</w:t>
                  </w:r>
                </w:p>
                <w:p w14:paraId="38653000">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4. 严格执行《〈长江经济带负面清单指南〉江苏省实施细则（试行）》和《南通市长江经济带生态环境保护实施规划》等，青龙化工区、灵甸化工区已取消化工定位，加快推进沿江 1km 范围内化工企业关停、转型海门区长江干流和主要支流岸线 1 公里范围内的区域不得新建、扩建化工企业和项目。</w:t>
                  </w:r>
                </w:p>
                <w:p w14:paraId="0BADDED0">
                  <w:pPr>
                    <w:widowControl/>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5. 落实《南通市关于加大污染减排力度推进重点行业绿色发展的指导意见》《海门区重点行业转型升级和绿色发展工作方案》，严格涉重项目环境准入，落实纺织印染、装备制造、电子信息、船舶海工、非金属矿物制品、生物医药等行业准入要求。</w:t>
                  </w:r>
                </w:p>
              </w:tc>
              <w:tc>
                <w:tcPr>
                  <w:tcW w:w="1207" w:type="pct"/>
                  <w:vAlign w:val="center"/>
                </w:tcPr>
                <w:p w14:paraId="3BCF68E8">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本项目不属于淘汰类、禁止类产业，不涉及禁止的技术改造工艺装备及产品；本项目不属于石化项目，不在保护区内。因此，本项目符合</w:t>
                  </w:r>
                  <w:r>
                    <w:rPr>
                      <w:rFonts w:hint="default" w:ascii="Times New Roman" w:hAnsi="Times New Roman" w:cs="Times New Roman"/>
                      <w:color w:val="000000" w:themeColor="text1"/>
                      <w:kern w:val="0"/>
                      <w:lang w:val="en-US" w:eastAsia="zh-CN"/>
                      <w14:textFill>
                        <w14:solidFill>
                          <w14:schemeClr w14:val="tx1"/>
                        </w14:solidFill>
                      </w14:textFill>
                    </w:rPr>
                    <w:t>海政办发</w:t>
                  </w:r>
                  <w:r>
                    <w:rPr>
                      <w:rFonts w:hint="default" w:ascii="Times New Roman" w:hAnsi="Times New Roman" w:cs="Times New Roman"/>
                      <w:color w:val="000000" w:themeColor="text1"/>
                      <w:kern w:val="0"/>
                      <w14:textFill>
                        <w14:solidFill>
                          <w14:schemeClr w14:val="tx1"/>
                        </w14:solidFill>
                      </w14:textFill>
                    </w:rPr>
                    <w:t>[2021]</w:t>
                  </w:r>
                  <w:r>
                    <w:rPr>
                      <w:rFonts w:hint="default" w:ascii="Times New Roman" w:hAnsi="Times New Roman" w:cs="Times New Roman"/>
                      <w:color w:val="000000" w:themeColor="text1"/>
                      <w:kern w:val="0"/>
                      <w:lang w:val="en-US" w:eastAsia="zh-CN"/>
                      <w14:textFill>
                        <w14:solidFill>
                          <w14:schemeClr w14:val="tx1"/>
                        </w14:solidFill>
                      </w14:textFill>
                    </w:rPr>
                    <w:t>85</w:t>
                  </w:r>
                  <w:r>
                    <w:rPr>
                      <w:rFonts w:hint="default" w:ascii="Times New Roman" w:hAnsi="Times New Roman" w:cs="Times New Roman"/>
                      <w:color w:val="000000" w:themeColor="text1"/>
                      <w:kern w:val="0"/>
                      <w14:textFill>
                        <w14:solidFill>
                          <w14:schemeClr w14:val="tx1"/>
                        </w14:solidFill>
                      </w14:textFill>
                    </w:rPr>
                    <w:t>号</w:t>
                  </w:r>
                  <w:r>
                    <w:rPr>
                      <w:rFonts w:hint="default" w:ascii="Times New Roman" w:hAnsi="Times New Roman" w:cs="Times New Roman"/>
                      <w:color w:val="000000" w:themeColor="text1"/>
                      <w:kern w:val="0"/>
                      <w:lang w:bidi="ar"/>
                      <w14:textFill>
                        <w14:solidFill>
                          <w14:schemeClr w14:val="tx1"/>
                        </w14:solidFill>
                      </w14:textFill>
                    </w:rPr>
                    <w:t>相关要求。</w:t>
                  </w:r>
                </w:p>
              </w:tc>
            </w:tr>
            <w:tr w14:paraId="260EBC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14:paraId="409B383F">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污染物排放管控</w:t>
                  </w:r>
                </w:p>
              </w:tc>
              <w:tc>
                <w:tcPr>
                  <w:tcW w:w="3275" w:type="pct"/>
                  <w:vAlign w:val="center"/>
                </w:tcPr>
                <w:p w14:paraId="43EEE009">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1. 加速碳排放达峰和空气质量达标“双达”进程，落实达峰和减排措施，实行碳排放总量和强度双重目标控制机制。单位GDP二氧化碳排放下降率完成市级下达任务。</w:t>
                  </w:r>
                </w:p>
                <w:p w14:paraId="5BCD68AC">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2. 落实《关于印发江苏省工业园区（集中区）污染物排放限值限量管理工作方案（试行）的通知》，实施工业园区生态环境限值限量管理，严控高能耗高排放、严禁高污染不安全项目落地，完善工业园区主要污染物排放总量控制措施，实现主要污染物排放浓度和总量“双控”。</w:t>
                  </w:r>
                </w:p>
                <w:p w14:paraId="331DAC0E">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3. 严格执行《关于加强高耗能、高排放建设项目生态环境源头防控的指导意见》，严把建设项目环境准入关，落实区域削减要求。</w:t>
                  </w:r>
                </w:p>
                <w:p w14:paraId="28846A74">
                  <w:pPr>
                    <w:widowControl/>
                    <w:spacing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4. 2025年污染物排放总量以“十四五”规划约束性目标为准。</w:t>
                  </w:r>
                </w:p>
              </w:tc>
              <w:tc>
                <w:tcPr>
                  <w:tcW w:w="1207" w:type="pct"/>
                  <w:vAlign w:val="center"/>
                </w:tcPr>
                <w:p w14:paraId="5A357240">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本项目建成后将实施污染物总量控制，新增大气污染物总量能在海门区范围内平衡。</w:t>
                  </w:r>
                </w:p>
              </w:tc>
            </w:tr>
            <w:tr w14:paraId="564FC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14:paraId="2AE75EC2">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环境风险防控</w:t>
                  </w:r>
                </w:p>
              </w:tc>
              <w:tc>
                <w:tcPr>
                  <w:tcW w:w="3275" w:type="pct"/>
                  <w:vAlign w:val="center"/>
                </w:tcPr>
                <w:p w14:paraId="237A1AED">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1. 落实《南通市海门区突发事件总体应急预案》《海门区突发环境事件应急预案（2020年修订版）》《海门区集中式饮用水源突发污染事件应急预案（2020年修订版）》等文件要求，建立健全环境风险防范体系，强化环境事故应急管理，防范化解重大风险。</w:t>
                  </w:r>
                </w:p>
                <w:p w14:paraId="7BE92618">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2. 根据《海门市污染地块环境管理联动实施方案》，落实地块属地政府管理责任，实行联动监管。加强污染地块环境风险防控，有效保障建设用地土壤环境安全。</w:t>
                  </w:r>
                </w:p>
                <w:p w14:paraId="18D9CAD7">
                  <w:pPr>
                    <w:widowControl/>
                    <w:spacing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3. 根据《海门市重污染天气应急预案（2020年修订版）》，加强空气质量监测和大气污染源监控，建立重污染天气风险防范体系，积极预警、及时控制、消除隐患，提高应急处置能力，尽可能减轻重污染天气造成的影响和损失，最大程度地保障大气环境安全。</w:t>
                  </w:r>
                </w:p>
              </w:tc>
              <w:tc>
                <w:tcPr>
                  <w:tcW w:w="1207" w:type="pct"/>
                  <w:vAlign w:val="center"/>
                </w:tcPr>
                <w:p w14:paraId="10744E8D">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本项目建成后将制定环境风险应急预案，同时企业内储备有足够的环境应急物资，实现环境风险联防控，故能满足环境风险防控的相关要求。</w:t>
                  </w:r>
                </w:p>
              </w:tc>
            </w:tr>
            <w:tr w14:paraId="0704E7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14:paraId="25181A5E">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资源利用效率要求</w:t>
                  </w:r>
                </w:p>
              </w:tc>
              <w:tc>
                <w:tcPr>
                  <w:tcW w:w="3275" w:type="pct"/>
                  <w:vAlign w:val="center"/>
                </w:tcPr>
                <w:p w14:paraId="7B5AD204">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1. 到2025年，</w:t>
                  </w:r>
                  <w:bookmarkStart w:id="2" w:name="_Hlk90020885"/>
                  <w:r>
                    <w:rPr>
                      <w:rFonts w:hint="default" w:ascii="Times New Roman" w:hAnsi="Times New Roman" w:cs="Times New Roman" w:eastAsiaTheme="minorEastAsia"/>
                      <w:snapToGrid w:val="0"/>
                      <w:color w:val="000000" w:themeColor="text1"/>
                      <w:kern w:val="0"/>
                      <w14:textFill>
                        <w14:solidFill>
                          <w14:schemeClr w14:val="tx1"/>
                        </w14:solidFill>
                      </w14:textFill>
                    </w:rPr>
                    <w:t>海门区用水总量控制在3.1亿立方米以内，单位地区生产总值用水量控制在16立方米内；燃煤总量控制在30万吨以内，其中非电行业燃煤量为0（不计中天钢铁项目）。单位地区生产总值能耗控制在0.2tce/万元以下。</w:t>
                  </w:r>
                </w:p>
                <w:p w14:paraId="1CA19806">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 xml:space="preserve">2. </w:t>
                  </w:r>
                  <w:bookmarkEnd w:id="2"/>
                  <w:r>
                    <w:rPr>
                      <w:rFonts w:hint="default" w:ascii="Times New Roman" w:hAnsi="Times New Roman" w:cs="Times New Roman" w:eastAsiaTheme="minorEastAsia"/>
                      <w:snapToGrid w:val="0"/>
                      <w:color w:val="000000" w:themeColor="text1"/>
                      <w:kern w:val="0"/>
                      <w14:textFill>
                        <w14:solidFill>
                          <w14:schemeClr w14:val="tx1"/>
                        </w14:solidFill>
                      </w14:textFill>
                    </w:rPr>
                    <w:t>落实《关于强化节能审查工作和监督管理坚决遏制“两高”项目盲目发展的通知》，“两高”项目要坚决落实能效水平和能耗减量替代要求，能效水平须达到国内领先、国际先进，能效水平不满足要求和未落实能耗减量替代的，一律不得出具节能审查意见。</w:t>
                  </w:r>
                </w:p>
                <w:p w14:paraId="41D00631">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3. 根据《海门市政府关于划定高污染燃料禁燃区的通告》，海门经济技术开发区、三厂工业园区、海门工业园区、海永镇范围内除现有热电企业、集中供热企业及规划建设的火电、热电联产项目外，全部为Ⅲ类燃料禁燃区；其他行政区域内为Ⅱ类燃料禁燃区，分区域执行相关文件管理要求。</w:t>
                  </w:r>
                </w:p>
                <w:p w14:paraId="7B96D5F6">
                  <w:pPr>
                    <w:autoSpaceDE w:val="0"/>
                    <w:autoSpaceDN w:val="0"/>
                    <w:adjustRightInd w:val="0"/>
                    <w:snapToGrid w:val="0"/>
                    <w:spacing w:line="240" w:lineRule="auto"/>
                    <w:jc w:val="left"/>
                    <w:rPr>
                      <w:rFonts w:hint="default" w:ascii="Times New Roman" w:hAnsi="Times New Roman" w:cs="Times New Roman" w:eastAsiaTheme="minorEastAsia"/>
                      <w:snapToGrid w:val="0"/>
                      <w:color w:val="000000" w:themeColor="text1"/>
                      <w:kern w:val="0"/>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4. 实施最严格海洋资源管理和海洋环境保护，进一步从严管控围填海，严格保护自然岸线，整治修复受损岸线，严格水域岸线用途管制，严禁违法侵占河道、围垦河道、非法采砂，注重沿海滩涂资源保护，加强渔业资源养护，建立渔业资源保护区域，控制海洋捕捞强度。加强海洋自然保护地建设，严格落实用海项目生态补偿制度。</w:t>
                  </w:r>
                </w:p>
                <w:p w14:paraId="772DA531">
                  <w:pPr>
                    <w:widowControl/>
                    <w:spacing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snapToGrid w:val="0"/>
                      <w:color w:val="000000" w:themeColor="text1"/>
                      <w:kern w:val="0"/>
                      <w14:textFill>
                        <w14:solidFill>
                          <w14:schemeClr w14:val="tx1"/>
                        </w14:solidFill>
                      </w14:textFill>
                    </w:rPr>
                    <w:t>5. 根据国家《长江岸线保护和开发利用总体规划》，制定岸线保护和开发利用实施方案，严格分区管理和用途管制。加强长江岸线保护，海门城区段及以东以生活、生态岸线为主，限制工业发展。到2025年，确保全区长江干线及洲岛岸线开发利用率保持在50%以下。</w:t>
                  </w:r>
                </w:p>
              </w:tc>
              <w:tc>
                <w:tcPr>
                  <w:tcW w:w="1207" w:type="pct"/>
                  <w:vAlign w:val="center"/>
                </w:tcPr>
                <w:p w14:paraId="24D37E1E">
                  <w:pPr>
                    <w:widowControl/>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生产过程中不使用高污染燃料，故符合禁燃区的相关要求。</w:t>
                  </w:r>
                </w:p>
              </w:tc>
            </w:tr>
          </w:tbl>
          <w:p w14:paraId="52479ABE">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因此，本项目的建设符合《南通市</w:t>
            </w:r>
            <w:r>
              <w:rPr>
                <w:rFonts w:hint="default" w:ascii="Times New Roman" w:hAnsi="Times New Roman" w:cs="Times New Roman"/>
                <w:color w:val="000000" w:themeColor="text1"/>
                <w:kern w:val="0"/>
                <w:lang w:val="en-US" w:eastAsia="zh-CN"/>
                <w14:textFill>
                  <w14:solidFill>
                    <w14:schemeClr w14:val="tx1"/>
                  </w14:solidFill>
                </w14:textFill>
              </w:rPr>
              <w:t>海门区</w:t>
            </w:r>
            <w:r>
              <w:rPr>
                <w:rFonts w:hint="default" w:ascii="Times New Roman" w:hAnsi="Times New Roman" w:cs="Times New Roman"/>
                <w:color w:val="000000" w:themeColor="text1"/>
                <w:kern w:val="0"/>
                <w14:textFill>
                  <w14:solidFill>
                    <w14:schemeClr w14:val="tx1"/>
                  </w14:solidFill>
                </w14:textFill>
              </w:rPr>
              <w:t>“三线一单”生态环境分区管控实施方案的通知》（</w:t>
            </w:r>
            <w:r>
              <w:rPr>
                <w:rFonts w:hint="default" w:ascii="Times New Roman" w:hAnsi="Times New Roman" w:cs="Times New Roman"/>
                <w:color w:val="000000" w:themeColor="text1"/>
                <w:kern w:val="0"/>
                <w:lang w:val="en-US" w:eastAsia="zh-CN"/>
                <w14:textFill>
                  <w14:solidFill>
                    <w14:schemeClr w14:val="tx1"/>
                  </w14:solidFill>
                </w14:textFill>
              </w:rPr>
              <w:t>海政办发</w:t>
            </w:r>
            <w:r>
              <w:rPr>
                <w:rFonts w:hint="default" w:ascii="Times New Roman" w:hAnsi="Times New Roman" w:cs="Times New Roman"/>
                <w:color w:val="000000" w:themeColor="text1"/>
                <w:kern w:val="0"/>
                <w14:textFill>
                  <w14:solidFill>
                    <w14:schemeClr w14:val="tx1"/>
                  </w14:solidFill>
                </w14:textFill>
              </w:rPr>
              <w:t>[2021]</w:t>
            </w:r>
            <w:r>
              <w:rPr>
                <w:rFonts w:hint="default" w:ascii="Times New Roman" w:hAnsi="Times New Roman" w:cs="Times New Roman"/>
                <w:color w:val="000000" w:themeColor="text1"/>
                <w:kern w:val="0"/>
                <w:lang w:val="en-US" w:eastAsia="zh-CN"/>
                <w14:textFill>
                  <w14:solidFill>
                    <w14:schemeClr w14:val="tx1"/>
                  </w14:solidFill>
                </w14:textFill>
              </w:rPr>
              <w:t>85</w:t>
            </w:r>
            <w:r>
              <w:rPr>
                <w:rFonts w:hint="default" w:ascii="Times New Roman" w:hAnsi="Times New Roman" w:cs="Times New Roman"/>
                <w:color w:val="000000" w:themeColor="text1"/>
                <w:kern w:val="0"/>
                <w14:textFill>
                  <w14:solidFill>
                    <w14:schemeClr w14:val="tx1"/>
                  </w14:solidFill>
                </w14:textFill>
              </w:rPr>
              <w:t xml:space="preserve">号）中相关要求。 </w:t>
            </w:r>
          </w:p>
          <w:p w14:paraId="092271F7">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val="en-US" w:eastAsia="zh-CN"/>
                <w14:textFill>
                  <w14:solidFill>
                    <w14:schemeClr w14:val="tx1"/>
                  </w14:solidFill>
                </w14:textFill>
              </w:rPr>
              <w:t>⑥</w:t>
            </w:r>
            <w:r>
              <w:rPr>
                <w:rFonts w:hint="default" w:ascii="Times New Roman" w:hAnsi="Times New Roman" w:cs="Times New Roman"/>
                <w:color w:val="000000" w:themeColor="text1"/>
                <w:kern w:val="0"/>
                <w14:textFill>
                  <w14:solidFill>
                    <w14:schemeClr w14:val="tx1"/>
                  </w14:solidFill>
                </w14:textFill>
              </w:rPr>
              <w:t xml:space="preserve">与《省政府关于印发江苏省生态空间管控区域调整管理办法的通知》（苏政办发〔2021〕3号）相符性分析： </w:t>
            </w:r>
          </w:p>
          <w:p w14:paraId="504308FA">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 xml:space="preserve">根据江苏省省域生态环境重点管控要求： </w:t>
            </w:r>
          </w:p>
          <w:p w14:paraId="51EDFA7D">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 xml:space="preserve">空间布局约束方面： </w:t>
            </w:r>
          </w:p>
          <w:p w14:paraId="1DDDCD02">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坚持节约优先、保护优先、自然恢复为主的方针,以改</w:t>
            </w:r>
            <w:r>
              <w:rPr>
                <w:rFonts w:hint="default" w:ascii="Times New Roman" w:hAnsi="Times New Roman" w:cs="Times New Roman"/>
                <w:color w:val="000000" w:themeColor="text1"/>
                <w:kern w:val="0"/>
                <w:lang w:val="en-US" w:eastAsia="zh-CN"/>
                <w14:textFill>
                  <w14:solidFill>
                    <w14:schemeClr w14:val="tx1"/>
                  </w14:solidFill>
                </w14:textFill>
              </w:rPr>
              <w:t>善</w:t>
            </w:r>
            <w:r>
              <w:rPr>
                <w:rFonts w:hint="default" w:ascii="Times New Roman" w:hAnsi="Times New Roman" w:cs="Times New Roman"/>
                <w:color w:val="000000" w:themeColor="text1"/>
                <w:kern w:val="0"/>
                <w14:textFill>
                  <w14:solidFill>
                    <w14:schemeClr w14:val="tx1"/>
                  </w14:solidFill>
                </w14:textFill>
              </w:rPr>
              <w:t xml:space="preserve">生态环境质量为核心，以保障和维护生态功能为主线，统筹山水林田湖草一体化保护和修复，严守生态保护红线，实行最严格的生态空间管控制度，确保全省生态功能不降低、面积不减少、性质不改变，切实维护生态安全。 </w:t>
            </w:r>
          </w:p>
          <w:p w14:paraId="275134A8">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 xml:space="preserve">牢牢把握推动长江经济带发展“共抓大保护,不搞大开发”战略导向。对省域范围内需要重点保护的岸线、河段和区域实行严格空间布局管控，管住控好排放量大、耗能高、产能过剩的产业，推动长江经济带高质量发展。大幅压减沿长江干支流两侧1公里范围内、环境敏感区域、城镇人口密集区、化工园区外和规模以下化工生产企业，着力破解“重化围江”突出问题，高起点同步推进沿江地区战略性转型和沿海地区战略性布局。 </w:t>
            </w:r>
          </w:p>
          <w:p w14:paraId="54666F32">
            <w:pPr>
              <w:adjustRightInd w:val="0"/>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相符性分析：对照江苏省环境管控单元，项目距离长江直线距离约</w:t>
            </w:r>
            <w:r>
              <w:rPr>
                <w:rFonts w:hint="default" w:ascii="Times New Roman" w:hAnsi="Times New Roman" w:cs="Times New Roman"/>
                <w:color w:val="000000" w:themeColor="text1"/>
                <w:kern w:val="0"/>
                <w:lang w:val="en-US" w:eastAsia="zh-CN"/>
                <w14:textFill>
                  <w14:solidFill>
                    <w14:schemeClr w14:val="tx1"/>
                  </w14:solidFill>
                </w14:textFill>
              </w:rPr>
              <w:t>1.7k</w:t>
            </w:r>
            <w:r>
              <w:rPr>
                <w:rFonts w:hint="default" w:ascii="Times New Roman" w:hAnsi="Times New Roman" w:cs="Times New Roman"/>
                <w:color w:val="000000" w:themeColor="text1"/>
                <w:kern w:val="0"/>
                <w14:textFill>
                  <w14:solidFill>
                    <w14:schemeClr w14:val="tx1"/>
                  </w14:solidFill>
                </w14:textFill>
              </w:rPr>
              <w:t>m，</w:t>
            </w:r>
            <w:r>
              <w:rPr>
                <w:rFonts w:hint="default" w:ascii="Times New Roman" w:hAnsi="Times New Roman" w:cs="Times New Roman"/>
                <w:color w:val="000000" w:themeColor="text1"/>
                <w:kern w:val="0"/>
                <w:lang w:val="en-US" w:eastAsia="zh-CN"/>
                <w14:textFill>
                  <w14:solidFill>
                    <w14:schemeClr w14:val="tx1"/>
                  </w14:solidFill>
                </w14:textFill>
              </w:rPr>
              <w:t>且</w:t>
            </w:r>
            <w:r>
              <w:rPr>
                <w:rFonts w:hint="default" w:ascii="Times New Roman" w:hAnsi="Times New Roman" w:cs="Times New Roman"/>
                <w:color w:val="000000" w:themeColor="text1"/>
                <w:kern w:val="0"/>
                <w14:textFill>
                  <w14:solidFill>
                    <w14:schemeClr w14:val="tx1"/>
                  </w14:solidFill>
                </w14:textFill>
              </w:rPr>
              <w:t>本项目不属于化工生产项目，符合苏政办发〔2021〕3号中相关要求。</w:t>
            </w:r>
          </w:p>
          <w:p w14:paraId="01A033DD">
            <w:pPr>
              <w:adjustRightInd w:val="0"/>
              <w:snapToGrid w:val="0"/>
              <w:spacing w:line="360" w:lineRule="auto"/>
              <w:ind w:firstLine="420" w:firstLineChars="200"/>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color w:val="000000" w:themeColor="text1"/>
                <w:kern w:val="0"/>
                <w14:textFill>
                  <w14:solidFill>
                    <w14:schemeClr w14:val="tx1"/>
                  </w14:solidFill>
                </w14:textFill>
              </w:rPr>
              <w:t>（2）环境质量底线</w:t>
            </w:r>
          </w:p>
          <w:p w14:paraId="6D4C962E">
            <w:pPr>
              <w:adjustRightInd w:val="0"/>
              <w:snapToGrid w:val="0"/>
              <w:spacing w:line="360" w:lineRule="auto"/>
              <w:ind w:firstLine="420" w:firstLineChars="200"/>
              <w:rPr>
                <w:rFonts w:hint="default"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根据《南通市生态环境状况公报》（202</w:t>
            </w:r>
            <w:r>
              <w:rPr>
                <w:rFonts w:hint="eastAsia" w:ascii="Times New Roman" w:hAnsi="Times New Roman" w:eastAsia="宋体" w:cs="Times New Roman"/>
                <w:color w:val="000000" w:themeColor="text1"/>
                <w:kern w:val="0"/>
                <w:lang w:val="en-US" w:eastAsia="zh-CN"/>
                <w14:textFill>
                  <w14:solidFill>
                    <w14:schemeClr w14:val="tx1"/>
                  </w14:solidFill>
                </w14:textFill>
              </w:rPr>
              <w:t>3</w:t>
            </w:r>
            <w:r>
              <w:rPr>
                <w:rFonts w:hint="eastAsia" w:ascii="Times New Roman" w:hAnsi="Times New Roman" w:eastAsia="宋体" w:cs="Times New Roman"/>
                <w:color w:val="000000" w:themeColor="text1"/>
                <w:kern w:val="0"/>
                <w14:textFill>
                  <w14:solidFill>
                    <w14:schemeClr w14:val="tx1"/>
                  </w14:solidFill>
                </w14:textFill>
              </w:rPr>
              <w:t>年），本项目所在区域 SO2、NO2、CO、PM2.5及PM10相关指标符合《环境空气质量标准》 （GB3095-2012）二级标准，O3的日最大8小时滑动平均值第90百分位数浓度超过《环境空气质量标准》（GB3095-2012）二级标准浓度限值。因此区域属于大气环境质量不达标区，具体大气污染物目标分解计划根据《南通市2023年大气污染防治工作计划》执行。</w:t>
            </w:r>
          </w:p>
          <w:p w14:paraId="217D1433">
            <w:pPr>
              <w:adjustRightInd w:val="0"/>
              <w:snapToGrid w:val="0"/>
              <w:spacing w:line="360" w:lineRule="auto"/>
              <w:ind w:firstLine="420" w:firstLineChars="200"/>
              <w:rPr>
                <w:rFonts w:hint="default"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为贯彻落实《中共中央、国务院关于深入打好污染防治攻坚战的意见》《中共江苏省委、江苏省人民政府关于深入打好污染防治攻坚战的实施意见》精神，深入打好蓝天保卫战，持续改善全市环境空气质量，南通市人民政府特制定南通市2023年大气污染防治工作计划。通过优化结构布局，加快推进产业绿色低碳转型；聚焦重点领域，加快推进源头治理；突出整治重点，全力压降VOCs排放水平；强化监督管理，开展专项帮扶整治行动；加强面源管理，提高精细化治理水平；加强能力建设，提升生态环境治理体系和治理能力现代化水平；强化激励约束，落实各项治气保障措施。健全政策制度体系，推动生态环境法规标准和经济政策落实；落实各方责任，开展全民行动，南通市环境质量现状将的得到进一步提升。地表水满足《地表水环境质量保证》（GB3838-2002）Ⅲ类标准要求。</w:t>
            </w:r>
          </w:p>
          <w:p w14:paraId="3BD10DA8">
            <w:pPr>
              <w:adjustRightInd w:val="0"/>
              <w:snapToGrid w:val="0"/>
              <w:spacing w:line="360" w:lineRule="auto"/>
              <w:ind w:firstLine="420" w:firstLineChars="200"/>
              <w:rPr>
                <w:rFonts w:hint="default"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项目建成后，废气经收集处理后达标排放，废水、噪声及固废均有效处置，对周边环境影响较小，不会降低所在地的环境功能质量，符合环境质量底线要求。</w:t>
            </w:r>
          </w:p>
          <w:p w14:paraId="6CE35DFA">
            <w:pPr>
              <w:pStyle w:val="238"/>
              <w:numPr>
                <w:ilvl w:val="0"/>
                <w:numId w:val="3"/>
              </w:numPr>
              <w:adjustRightInd w:val="0"/>
              <w:snapToGrid w:val="0"/>
              <w:spacing w:line="360" w:lineRule="auto"/>
              <w:ind w:firstLine="420" w:firstLineChars="2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资源利用上线</w:t>
            </w:r>
          </w:p>
          <w:p w14:paraId="1706D230">
            <w:pPr>
              <w:pStyle w:val="238"/>
              <w:adjustRightInd w:val="0"/>
              <w:snapToGrid w:val="0"/>
              <w:spacing w:line="360" w:lineRule="auto"/>
              <w:ind w:firstLine="420" w:firstLineChars="2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用水由市政自来水管网提供，用电由市政电网供给，不会达到资源利用上线；项目用地为工业用地，不占用新的土地资源，本项目不会突破当地资源利用上线，符合当地土地规划要求，亦不会达到资源利用上线。</w:t>
            </w:r>
          </w:p>
          <w:p w14:paraId="599B11EA">
            <w:pPr>
              <w:numPr>
                <w:ilvl w:val="0"/>
                <w:numId w:val="3"/>
              </w:numPr>
              <w:adjustRightInd w:val="0"/>
              <w:snapToGrid w:val="0"/>
              <w:spacing w:line="360" w:lineRule="auto"/>
              <w:ind w:firstLine="420" w:firstLineChars="2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生态</w:t>
            </w:r>
            <w:r>
              <w:rPr>
                <w:rFonts w:hint="default" w:ascii="Times New Roman" w:hAnsi="Times New Roman" w:cs="Times New Roman"/>
                <w:color w:val="000000" w:themeColor="text1"/>
                <w:sz w:val="21"/>
                <w:szCs w:val="21"/>
                <w14:textFill>
                  <w14:solidFill>
                    <w14:schemeClr w14:val="tx1"/>
                  </w14:solidFill>
                </w14:textFill>
              </w:rPr>
              <w:t>环境准入负面清单</w:t>
            </w:r>
          </w:p>
          <w:p w14:paraId="7D2E89DD">
            <w:pPr>
              <w:pStyle w:val="5"/>
              <w:spacing w:line="360" w:lineRule="auto"/>
              <w:ind w:firstLine="480"/>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本项目所在地生态环境准入清单具体见表1-5。</w:t>
            </w:r>
          </w:p>
          <w:p w14:paraId="4AF592E9">
            <w:pPr>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表1-</w:t>
            </w:r>
            <w:r>
              <w:rPr>
                <w:rFonts w:hint="default" w:ascii="Times New Roman" w:hAnsi="Times New Roman" w:cs="Times New Roman"/>
                <w:b/>
                <w:bCs/>
                <w:color w:val="000000" w:themeColor="text1"/>
                <w:sz w:val="21"/>
                <w:szCs w:val="21"/>
                <w:lang w:val="en-US" w:eastAsia="zh-CN"/>
                <w14:textFill>
                  <w14:solidFill>
                    <w14:schemeClr w14:val="tx1"/>
                  </w14:solidFill>
                </w14:textFill>
              </w:rPr>
              <w:t>5</w:t>
            </w:r>
            <w:r>
              <w:rPr>
                <w:rFonts w:hint="default" w:ascii="Times New Roman" w:hAnsi="Times New Roman" w:cs="Times New Roman"/>
                <w:b/>
                <w:bCs/>
                <w:color w:val="000000" w:themeColor="text1"/>
                <w:sz w:val="21"/>
                <w:szCs w:val="21"/>
                <w14:textFill>
                  <w14:solidFill>
                    <w14:schemeClr w14:val="tx1"/>
                  </w14:solidFill>
                </w14:textFill>
              </w:rPr>
              <w:t xml:space="preserve"> 海门经济开发区生态环境准入清单相符性分析</w:t>
            </w:r>
          </w:p>
          <w:tbl>
            <w:tblPr>
              <w:tblStyle w:val="41"/>
              <w:tblW w:w="79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480"/>
              <w:gridCol w:w="3525"/>
              <w:gridCol w:w="2563"/>
              <w:gridCol w:w="928"/>
            </w:tblGrid>
            <w:tr w14:paraId="00885B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gridSpan w:val="2"/>
                  <w:noWrap w:val="0"/>
                  <w:vAlign w:val="center"/>
                </w:tcPr>
                <w:p w14:paraId="3529A9C4">
                  <w:pPr>
                    <w:autoSpaceDE w:val="0"/>
                    <w:spacing w:line="240" w:lineRule="auto"/>
                    <w:jc w:val="center"/>
                    <w:textAlignment w:val="baseline"/>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1"/>
                      <w:lang w:val="en-US" w:eastAsia="zh-CN"/>
                      <w14:textFill>
                        <w14:solidFill>
                          <w14:schemeClr w14:val="tx1"/>
                        </w14:solidFill>
                      </w14:textFill>
                    </w:rPr>
                    <w:t>清单类别</w:t>
                  </w:r>
                </w:p>
              </w:tc>
              <w:tc>
                <w:tcPr>
                  <w:tcW w:w="3525" w:type="dxa"/>
                  <w:noWrap w:val="0"/>
                  <w:vAlign w:val="center"/>
                </w:tcPr>
                <w:p w14:paraId="14D8D5D2">
                  <w:pPr>
                    <w:autoSpaceDE w:val="0"/>
                    <w:spacing w:line="240" w:lineRule="auto"/>
                    <w:jc w:val="center"/>
                    <w:textAlignment w:val="baseline"/>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1"/>
                      <w:lang w:val="en-US" w:eastAsia="zh-CN"/>
                      <w14:textFill>
                        <w14:solidFill>
                          <w14:schemeClr w14:val="tx1"/>
                        </w14:solidFill>
                      </w14:textFill>
                    </w:rPr>
                    <w:t>生态环境准入条件</w:t>
                  </w:r>
                </w:p>
              </w:tc>
              <w:tc>
                <w:tcPr>
                  <w:tcW w:w="2563" w:type="dxa"/>
                  <w:noWrap w:val="0"/>
                  <w:vAlign w:val="center"/>
                </w:tcPr>
                <w:p w14:paraId="7BC32465">
                  <w:pPr>
                    <w:autoSpaceDE w:val="0"/>
                    <w:spacing w:line="240" w:lineRule="auto"/>
                    <w:jc w:val="center"/>
                    <w:textAlignment w:val="baseline"/>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本项目</w:t>
                  </w:r>
                </w:p>
              </w:tc>
              <w:tc>
                <w:tcPr>
                  <w:tcW w:w="928" w:type="dxa"/>
                  <w:noWrap w:val="0"/>
                  <w:vAlign w:val="center"/>
                </w:tcPr>
                <w:p w14:paraId="5D28FF69">
                  <w:pPr>
                    <w:autoSpaceDE w:val="0"/>
                    <w:spacing w:line="240" w:lineRule="auto"/>
                    <w:jc w:val="center"/>
                    <w:textAlignment w:val="baseline"/>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相符性</w:t>
                  </w:r>
                </w:p>
              </w:tc>
            </w:tr>
            <w:tr w14:paraId="0CE3DF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 w:type="dxa"/>
                  <w:vMerge w:val="restart"/>
                  <w:noWrap w:val="0"/>
                  <w:vAlign w:val="center"/>
                </w:tcPr>
                <w:p w14:paraId="42F477C9">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产业准入</w:t>
                  </w:r>
                </w:p>
              </w:tc>
              <w:tc>
                <w:tcPr>
                  <w:tcW w:w="480" w:type="dxa"/>
                  <w:noWrap w:val="0"/>
                  <w:vAlign w:val="center"/>
                </w:tcPr>
                <w:p w14:paraId="0BBE3928">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主导产业</w:t>
                  </w:r>
                </w:p>
              </w:tc>
              <w:tc>
                <w:tcPr>
                  <w:tcW w:w="3525" w:type="dxa"/>
                  <w:noWrap w:val="0"/>
                  <w:vAlign w:val="center"/>
                </w:tcPr>
                <w:p w14:paraId="206B386B">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海工装备、智能制造、新一代信息技术等产业</w:t>
                  </w:r>
                </w:p>
              </w:tc>
              <w:tc>
                <w:tcPr>
                  <w:tcW w:w="2563" w:type="dxa"/>
                  <w:vMerge w:val="restart"/>
                  <w:noWrap w:val="0"/>
                  <w:vAlign w:val="center"/>
                </w:tcPr>
                <w:p w14:paraId="44A9CC13">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C3393锻件及粉末冶金制品制造</w:t>
                  </w: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本项目不在开发区限制及禁止类名单内，符合园区产业定位</w:t>
                  </w:r>
                  <w:r>
                    <w:rPr>
                      <w:rFonts w:hint="default" w:ascii="Times New Roman" w:hAnsi="Times New Roman" w:cs="Times New Roman"/>
                      <w:b w:val="0"/>
                      <w:bCs w:val="0"/>
                      <w:color w:val="000000" w:themeColor="text1"/>
                      <w:sz w:val="21"/>
                      <w:szCs w:val="21"/>
                      <w:lang w:eastAsia="zh-CN"/>
                      <w14:textFill>
                        <w14:solidFill>
                          <w14:schemeClr w14:val="tx1"/>
                        </w14:solidFill>
                      </w14:textFill>
                    </w:rPr>
                    <w:t>。</w:t>
                  </w:r>
                </w:p>
              </w:tc>
              <w:tc>
                <w:tcPr>
                  <w:tcW w:w="928" w:type="dxa"/>
                  <w:noWrap w:val="0"/>
                  <w:vAlign w:val="center"/>
                </w:tcPr>
                <w:p w14:paraId="182817E4">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74CBF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 w:type="dxa"/>
                  <w:vMerge w:val="continue"/>
                  <w:noWrap w:val="0"/>
                  <w:vAlign w:val="center"/>
                </w:tcPr>
                <w:p w14:paraId="6622855D">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p>
              </w:tc>
              <w:tc>
                <w:tcPr>
                  <w:tcW w:w="480" w:type="dxa"/>
                  <w:noWrap w:val="0"/>
                  <w:vAlign w:val="center"/>
                </w:tcPr>
                <w:p w14:paraId="7C523972">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优先引入</w:t>
                  </w:r>
                </w:p>
              </w:tc>
              <w:tc>
                <w:tcPr>
                  <w:tcW w:w="3525" w:type="dxa"/>
                  <w:noWrap w:val="0"/>
                  <w:vAlign w:val="center"/>
                </w:tcPr>
                <w:p w14:paraId="251AA60C">
                  <w:pPr>
                    <w:numPr>
                      <w:ilvl w:val="0"/>
                      <w:numId w:val="4"/>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优先引入符合产业定位且属于相关产业政策文件中的鼓励类和重点发展行业中的产品、工艺和技术；</w:t>
                  </w:r>
                </w:p>
                <w:p w14:paraId="49A9B338">
                  <w:pPr>
                    <w:numPr>
                      <w:ilvl w:val="0"/>
                      <w:numId w:val="4"/>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优先引入符合产业定位的国家战略需要和尖端科技事业相关的项目，高性能、技术含量高的关键性、基础性、资源优势性的项目；</w:t>
                  </w:r>
                </w:p>
                <w:p w14:paraId="78ADF4F9">
                  <w:pPr>
                    <w:numPr>
                      <w:ilvl w:val="0"/>
                      <w:numId w:val="4"/>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(3)鼓励依托龙头企业发展上下游关联度强、技术水平高、绿色安全环保的企业和项目，进一步补链、延链、强链。</w:t>
                  </w:r>
                </w:p>
              </w:tc>
              <w:tc>
                <w:tcPr>
                  <w:tcW w:w="2563" w:type="dxa"/>
                  <w:vMerge w:val="continue"/>
                  <w:noWrap w:val="0"/>
                  <w:vAlign w:val="center"/>
                </w:tcPr>
                <w:p w14:paraId="72391ABB">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928" w:type="dxa"/>
                  <w:noWrap w:val="0"/>
                  <w:vAlign w:val="center"/>
                </w:tcPr>
                <w:p w14:paraId="45A38DFE">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21D50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 w:type="dxa"/>
                  <w:vMerge w:val="continue"/>
                  <w:noWrap w:val="0"/>
                  <w:vAlign w:val="center"/>
                </w:tcPr>
                <w:p w14:paraId="2C0E9791">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p>
              </w:tc>
              <w:tc>
                <w:tcPr>
                  <w:tcW w:w="480" w:type="dxa"/>
                  <w:noWrap w:val="0"/>
                  <w:vAlign w:val="center"/>
                </w:tcPr>
                <w:p w14:paraId="055D4EDA">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禁止引入</w:t>
                  </w:r>
                </w:p>
              </w:tc>
              <w:tc>
                <w:tcPr>
                  <w:tcW w:w="3525" w:type="dxa"/>
                  <w:noWrap w:val="0"/>
                  <w:vAlign w:val="center"/>
                </w:tcPr>
                <w:p w14:paraId="588AEF6B">
                  <w:pPr>
                    <w:numPr>
                      <w:ilvl w:val="0"/>
                      <w:numId w:val="5"/>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禁止引入与国家、地方现行产业政策相冲突的项目；</w:t>
                  </w:r>
                </w:p>
                <w:p w14:paraId="09FC4047">
                  <w:pPr>
                    <w:numPr>
                      <w:ilvl w:val="0"/>
                      <w:numId w:val="5"/>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禁止新建纯电镀项目(为本地产业配套的“绿岛”类项目除外)、新引进含印染的项目，禁止现有印染企业新建、扩建印染项目；</w:t>
                  </w:r>
                </w:p>
                <w:p w14:paraId="0D0F5BF3">
                  <w:pPr>
                    <w:numPr>
                      <w:ilvl w:val="0"/>
                      <w:numId w:val="5"/>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禁止引入金属或非金属表面处理外加工产业(不包括新一代信息、海工装备、智能制造等产业生产工艺流程中必备的磷化、喷涂、电泳等工序)；</w:t>
                  </w:r>
                </w:p>
                <w:p w14:paraId="284AF8B1">
                  <w:pPr>
                    <w:numPr>
                      <w:ilvl w:val="0"/>
                      <w:numId w:val="5"/>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禁止引入使用高 VOCs 含量的溶剂型涂料、油墨、胶粘剂等项目；</w:t>
                  </w:r>
                </w:p>
                <w:p w14:paraId="1F32CCAE">
                  <w:pPr>
                    <w:numPr>
                      <w:ilvl w:val="0"/>
                      <w:numId w:val="0"/>
                    </w:numPr>
                    <w:autoSpaceDE w:val="0"/>
                    <w:spacing w:line="240" w:lineRule="auto"/>
                    <w:ind w:left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(5)禁止引入生产工艺及设备落后、风险防范措施疏漏、抗风险能力差的项目。</w:t>
                  </w:r>
                </w:p>
              </w:tc>
              <w:tc>
                <w:tcPr>
                  <w:tcW w:w="2563" w:type="dxa"/>
                  <w:vMerge w:val="continue"/>
                  <w:noWrap w:val="0"/>
                  <w:vAlign w:val="center"/>
                </w:tcPr>
                <w:p w14:paraId="12266C49">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928" w:type="dxa"/>
                  <w:noWrap w:val="0"/>
                  <w:vAlign w:val="center"/>
                </w:tcPr>
                <w:p w14:paraId="4CA28983">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2C484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 w:type="dxa"/>
                  <w:vMerge w:val="continue"/>
                  <w:noWrap w:val="0"/>
                  <w:vAlign w:val="center"/>
                </w:tcPr>
                <w:p w14:paraId="5BE45AB4">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p>
              </w:tc>
              <w:tc>
                <w:tcPr>
                  <w:tcW w:w="480" w:type="dxa"/>
                  <w:noWrap w:val="0"/>
                  <w:vAlign w:val="center"/>
                </w:tcPr>
                <w:p w14:paraId="6621DCC2">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限制引入</w:t>
                  </w:r>
                </w:p>
              </w:tc>
              <w:tc>
                <w:tcPr>
                  <w:tcW w:w="3525" w:type="dxa"/>
                  <w:noWrap w:val="0"/>
                  <w:vAlign w:val="center"/>
                </w:tcPr>
                <w:p w14:paraId="0181A497">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国家和地方产业政策限制类的建设项目和工艺。</w:t>
                  </w:r>
                </w:p>
              </w:tc>
              <w:tc>
                <w:tcPr>
                  <w:tcW w:w="2563" w:type="dxa"/>
                  <w:vMerge w:val="continue"/>
                  <w:noWrap w:val="0"/>
                  <w:vAlign w:val="center"/>
                </w:tcPr>
                <w:p w14:paraId="5398FCB1">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928" w:type="dxa"/>
                  <w:noWrap w:val="0"/>
                  <w:vAlign w:val="center"/>
                </w:tcPr>
                <w:p w14:paraId="0DF77437">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56863B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gridSpan w:val="2"/>
                  <w:noWrap w:val="0"/>
                  <w:vAlign w:val="center"/>
                </w:tcPr>
                <w:p w14:paraId="46CB5C59">
                  <w:pPr>
                    <w:autoSpaceDE w:val="0"/>
                    <w:spacing w:line="240" w:lineRule="auto"/>
                    <w:jc w:val="center"/>
                    <w:textAlignment w:val="baseline"/>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空间布局约束</w:t>
                  </w:r>
                </w:p>
              </w:tc>
              <w:tc>
                <w:tcPr>
                  <w:tcW w:w="3525" w:type="dxa"/>
                  <w:noWrap w:val="0"/>
                  <w:vAlign w:val="center"/>
                </w:tcPr>
                <w:p w14:paraId="3465A989">
                  <w:pPr>
                    <w:numPr>
                      <w:ilvl w:val="0"/>
                      <w:numId w:val="6"/>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依据《基本农田保护条例》，对基本农田实行严格保护，确保基本农田面积不减、质量提升、布局稳定；</w:t>
                  </w:r>
                </w:p>
                <w:p w14:paraId="4E9A0E8B">
                  <w:pPr>
                    <w:numPr>
                      <w:ilvl w:val="0"/>
                      <w:numId w:val="6"/>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区内水域和防护绿地作为生态空间重点保护，原则上不得开发和占用；</w:t>
                  </w:r>
                </w:p>
                <w:p w14:paraId="7A7BA527">
                  <w:pPr>
                    <w:numPr>
                      <w:ilvl w:val="0"/>
                      <w:numId w:val="6"/>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各类开发建设活动应符合相关规划要求，落实生态红线管控要求；</w:t>
                  </w:r>
                </w:p>
                <w:p w14:paraId="41CAFCC1">
                  <w:pPr>
                    <w:numPr>
                      <w:ilvl w:val="0"/>
                      <w:numId w:val="0"/>
                    </w:numPr>
                    <w:autoSpaceDE w:val="0"/>
                    <w:spacing w:line="240" w:lineRule="auto"/>
                    <w:ind w:left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(4)工业用地与人口集中居住区之间，应设置以道路(河道)+防护林为主要形式的空间防护带，防护带的宽度原则上不小于50米，非生产型企业空间防护距离可以适当缩小，但不应小于30米；居住用地周边10</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米范围内工业用地禁止引入含喷涂、酸洗、危化品仓库的项目，排放VOCs、氨气等废气污染物的企业远离居住用地布置。</w:t>
                  </w:r>
                </w:p>
              </w:tc>
              <w:tc>
                <w:tcPr>
                  <w:tcW w:w="2563" w:type="dxa"/>
                  <w:noWrap w:val="0"/>
                  <w:vAlign w:val="center"/>
                </w:tcPr>
                <w:p w14:paraId="65CFB83D">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本项目不涉及生态管控区间内，位于工业用地，</w:t>
                  </w:r>
                  <w:r>
                    <w:rPr>
                      <w:rFonts w:hint="default" w:ascii="Times New Roman" w:hAnsi="Times New Roman" w:cs="Times New Roman"/>
                      <w:color w:val="000000" w:themeColor="text1"/>
                      <w:szCs w:val="21"/>
                      <w:lang w:val="en-US" w:eastAsia="zh-CN"/>
                      <w14:textFill>
                        <w14:solidFill>
                          <w14:schemeClr w14:val="tx1"/>
                        </w14:solidFill>
                      </w14:textFill>
                    </w:rPr>
                    <w:t>并且远离居住用地</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928" w:type="dxa"/>
                  <w:noWrap w:val="0"/>
                  <w:vAlign w:val="center"/>
                </w:tcPr>
                <w:p w14:paraId="594C1AAF">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76D766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 w:type="dxa"/>
                  <w:vMerge w:val="restart"/>
                  <w:noWrap w:val="0"/>
                  <w:vAlign w:val="center"/>
                </w:tcPr>
                <w:p w14:paraId="0F01C33C">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污染物排放管控</w:t>
                  </w:r>
                </w:p>
              </w:tc>
              <w:tc>
                <w:tcPr>
                  <w:tcW w:w="480" w:type="dxa"/>
                  <w:noWrap w:val="0"/>
                  <w:vAlign w:val="center"/>
                </w:tcPr>
                <w:p w14:paraId="4F83AC2D">
                  <w:pPr>
                    <w:autoSpaceDE w:val="0"/>
                    <w:spacing w:line="240" w:lineRule="auto"/>
                    <w:jc w:val="center"/>
                    <w:textAlignment w:val="baseline"/>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环境质量</w:t>
                  </w:r>
                </w:p>
              </w:tc>
              <w:tc>
                <w:tcPr>
                  <w:tcW w:w="3525" w:type="dxa"/>
                  <w:noWrap w:val="0"/>
                  <w:vAlign w:val="center"/>
                </w:tcPr>
                <w:p w14:paraId="49C8DD99">
                  <w:pPr>
                    <w:numPr>
                      <w:ilvl w:val="0"/>
                      <w:numId w:val="7"/>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大气环境质量达到《环境空气质量标准》二级标准、《环境影响评价技术导则大气环境》(HJ2.2-2018)附录 D其他污染物空气质量浓度参考限值等；2025年，环境空气细颗粒物(PM2.5)、臭氧、二氧化氮浓度分别达到25、160、17微克/立方米；2035年，环境空气细颗粒物(PM2.5)达到 23微克/立方米，环境质量持续改善；</w:t>
                  </w:r>
                </w:p>
                <w:p w14:paraId="54D0CAA6">
                  <w:pPr>
                    <w:numPr>
                      <w:ilvl w:val="0"/>
                      <w:numId w:val="7"/>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大港河、新江海河、立新河、浒通河、海门河稳定达到III类水质标准；</w:t>
                  </w:r>
                </w:p>
                <w:p w14:paraId="75C0ED6D">
                  <w:pPr>
                    <w:numPr>
                      <w:ilvl w:val="0"/>
                      <w:numId w:val="7"/>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土壤达到《土壤环境质量建设用地土壤污染风险管控标准(试行)》(GB36600-2018)筛选值中的第一类、第二类用地标准；</w:t>
                  </w:r>
                </w:p>
                <w:p w14:paraId="04D8818F">
                  <w:pPr>
                    <w:numPr>
                      <w:ilvl w:val="0"/>
                      <w:numId w:val="0"/>
                    </w:numPr>
                    <w:autoSpaceDE w:val="0"/>
                    <w:spacing w:line="240" w:lineRule="auto"/>
                    <w:ind w:left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(4)工业区声环境满足《声环境质量标准》(GB3096-2008)中3类标准要求；居住区、商业区满足2类标准要求；交通干线两侧满足4a类标准要求。</w:t>
                  </w:r>
                </w:p>
              </w:tc>
              <w:tc>
                <w:tcPr>
                  <w:tcW w:w="2563" w:type="dxa"/>
                  <w:noWrap w:val="0"/>
                  <w:vAlign w:val="center"/>
                </w:tcPr>
                <w:p w14:paraId="77AD8229">
                  <w:pPr>
                    <w:autoSpaceDE w:val="0"/>
                    <w:spacing w:line="240" w:lineRule="auto"/>
                    <w:jc w:val="center"/>
                    <w:textAlignment w:val="baseline"/>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本项目建成后，废气、废水、噪声及固废均有效处置，对周边环境影响较小，不会降低所在地的环境功能质量，符合环境质量底线标准</w:t>
                  </w:r>
                  <w:r>
                    <w:rPr>
                      <w:rFonts w:hint="default" w:ascii="Times New Roman" w:hAnsi="Times New Roman" w:cs="Times New Roman"/>
                      <w:color w:val="000000" w:themeColor="text1"/>
                      <w:szCs w:val="21"/>
                      <w:lang w:eastAsia="zh-CN"/>
                      <w14:textFill>
                        <w14:solidFill>
                          <w14:schemeClr w14:val="tx1"/>
                        </w14:solidFill>
                      </w14:textFill>
                    </w:rPr>
                    <w:t>。</w:t>
                  </w:r>
                </w:p>
              </w:tc>
              <w:tc>
                <w:tcPr>
                  <w:tcW w:w="928" w:type="dxa"/>
                  <w:noWrap w:val="0"/>
                  <w:vAlign w:val="center"/>
                </w:tcPr>
                <w:p w14:paraId="160A843C">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61312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 w:type="dxa"/>
                  <w:vMerge w:val="continue"/>
                  <w:noWrap w:val="0"/>
                  <w:vAlign w:val="center"/>
                </w:tcPr>
                <w:p w14:paraId="0B460671">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480" w:type="dxa"/>
                  <w:noWrap w:val="0"/>
                  <w:vAlign w:val="center"/>
                </w:tcPr>
                <w:p w14:paraId="60A0C460">
                  <w:pPr>
                    <w:autoSpaceDE w:val="0"/>
                    <w:spacing w:line="240" w:lineRule="auto"/>
                    <w:jc w:val="center"/>
                    <w:textAlignment w:val="baseline"/>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污染物排放总量</w:t>
                  </w:r>
                </w:p>
              </w:tc>
              <w:tc>
                <w:tcPr>
                  <w:tcW w:w="3525" w:type="dxa"/>
                  <w:noWrap w:val="0"/>
                  <w:vAlign w:val="center"/>
                </w:tcPr>
                <w:p w14:paraId="0868CDB3">
                  <w:pPr>
                    <w:numPr>
                      <w:ilvl w:val="0"/>
                      <w:numId w:val="8"/>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废水污染物(外排量)：2025年排放量，化学需氧量小于592.46吨/年，氨氮小于46.44吨/年、总磷小于 5.92吨/年、总氮小于228.98 吨/年；2035年排放量，化学需氧量小于 859.80 吨/年，氨氮小于54.07 吨/年、总磷小于8.60吨/年、总氮小于356.05吨/年；</w:t>
                  </w:r>
                </w:p>
                <w:p w14:paraId="49A50D9C">
                  <w:pPr>
                    <w:numPr>
                      <w:ilvl w:val="0"/>
                      <w:numId w:val="8"/>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大气污染物：2025年排放量,二氧化硫小于524.14吨/年，氮氧化物小于446.93 吨/年，颗粒物小于 724.79 吨/年，VOCs小于113.61吨/年；2035年排放量，二氧化硫小于 535.07吨/年，氮氧化物小于454.81 吨/年，颗粒物小于750.19吨/年，VOCs小于128.33吨/年；</w:t>
                  </w:r>
                </w:p>
                <w:p w14:paraId="62FF70B3">
                  <w:pPr>
                    <w:numPr>
                      <w:ilvl w:val="0"/>
                      <w:numId w:val="8"/>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2025年一般工业固废8.16万吨/年，危险废物0.65万吨/年；2035 年一般工业固废9.11万吨/年，危险废物1.20万吨/年，全部综合利用或者委外合法安全处置。</w:t>
                  </w:r>
                </w:p>
              </w:tc>
              <w:tc>
                <w:tcPr>
                  <w:tcW w:w="2563" w:type="dxa"/>
                  <w:noWrap w:val="0"/>
                  <w:vAlign w:val="center"/>
                </w:tcPr>
                <w:p w14:paraId="4DF4FC92">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本项目采取有效污染防治措施，废水、废气及噪声均可达标排放，排放总量在海门区内平衡</w:t>
                  </w: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928" w:type="dxa"/>
                  <w:noWrap w:val="0"/>
                  <w:vAlign w:val="center"/>
                </w:tcPr>
                <w:p w14:paraId="451AEAE1">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162E6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gridSpan w:val="2"/>
                  <w:noWrap w:val="0"/>
                  <w:vAlign w:val="center"/>
                </w:tcPr>
                <w:p w14:paraId="0735D947">
                  <w:pPr>
                    <w:autoSpaceDE w:val="0"/>
                    <w:spacing w:line="240" w:lineRule="auto"/>
                    <w:jc w:val="center"/>
                    <w:textAlignment w:val="baseline"/>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环境风险管控</w:t>
                  </w:r>
                </w:p>
              </w:tc>
              <w:tc>
                <w:tcPr>
                  <w:tcW w:w="3525" w:type="dxa"/>
                  <w:noWrap w:val="0"/>
                  <w:vAlign w:val="center"/>
                </w:tcPr>
                <w:p w14:paraId="372ED322">
                  <w:pPr>
                    <w:numPr>
                      <w:ilvl w:val="0"/>
                      <w:numId w:val="9"/>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立区内环境风险物质和环境风险防控措施两个清单;及时完成环境应急预案更新、备案；定期开展环境应急演练，完善环境应急响应联动机制，提升应急实战水平；建立突发环境事件隐患排查长效机制，定期排查整治突发环境事件隐患，督促区内企业开展突发环境事件应急预案“一图两单两卡”管理，指导区内较大及以上重点环境风险企业按要求实施“三落实三必须”；应急物资库配备必要的污染物吸附、拦截、消减及现场快速检测设备等应急物资,提高环境应急救援能力；</w:t>
                  </w:r>
                </w:p>
                <w:p w14:paraId="36B67AE6">
                  <w:pPr>
                    <w:numPr>
                      <w:ilvl w:val="0"/>
                      <w:numId w:val="9"/>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根据新一代信息技术产业片区引进产业，建立突发水污染事件等环境应急防范体系，完善“企业-公共管网- 区内水体”水污染三级防控基础设施建设；建立有毒有害气体监控预警体系，完善重点监控区域预警和应急机制，涉及有毒有害气体的企业全部安装毒害气体监控预警装置并与当地生态环境主管部门或开发区管理平台联网，加强监控；</w:t>
                  </w:r>
                </w:p>
                <w:p w14:paraId="3D70FE6C">
                  <w:pPr>
                    <w:numPr>
                      <w:ilvl w:val="0"/>
                      <w:numId w:val="0"/>
                    </w:numPr>
                    <w:autoSpaceDE w:val="0"/>
                    <w:spacing w:line="240" w:lineRule="auto"/>
                    <w:ind w:left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(3)按照相关管理要求申报、处置废弃危险化学品。强化对危险废物的收集、贮存和处置的监督管理，实现危险废物监管无盲区、无死角。</w:t>
                  </w:r>
                </w:p>
              </w:tc>
              <w:tc>
                <w:tcPr>
                  <w:tcW w:w="2563" w:type="dxa"/>
                  <w:noWrap w:val="0"/>
                  <w:vAlign w:val="center"/>
                </w:tcPr>
                <w:p w14:paraId="0DCB3C6B">
                  <w:pPr>
                    <w:autoSpaceDE w:val="0"/>
                    <w:spacing w:line="240" w:lineRule="auto"/>
                    <w:jc w:val="center"/>
                    <w:textAlignment w:val="baseline"/>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本项目建设后按要求进行应急预案编制，并按照相关要求例行监测。项目危废委托有资质单位处置，严格对危险废物的收集、贮存和处置的监督管理，实现危险废物监管无盲区、无死角。</w:t>
                  </w:r>
                </w:p>
              </w:tc>
              <w:tc>
                <w:tcPr>
                  <w:tcW w:w="928" w:type="dxa"/>
                  <w:noWrap w:val="0"/>
                  <w:vAlign w:val="center"/>
                </w:tcPr>
                <w:p w14:paraId="225CF50B">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r w14:paraId="2C222C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gridSpan w:val="2"/>
                  <w:noWrap w:val="0"/>
                  <w:vAlign w:val="center"/>
                </w:tcPr>
                <w:p w14:paraId="42510A22">
                  <w:pPr>
                    <w:autoSpaceDE w:val="0"/>
                    <w:spacing w:line="240" w:lineRule="auto"/>
                    <w:jc w:val="center"/>
                    <w:textAlignment w:val="baseline"/>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资源开发利用要求</w:t>
                  </w:r>
                </w:p>
              </w:tc>
              <w:tc>
                <w:tcPr>
                  <w:tcW w:w="3525" w:type="dxa"/>
                  <w:noWrap w:val="0"/>
                  <w:vAlign w:val="center"/>
                </w:tcPr>
                <w:p w14:paraId="299171D2">
                  <w:pPr>
                    <w:numPr>
                      <w:ilvl w:val="0"/>
                      <w:numId w:val="10"/>
                    </w:num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单位工业增加值新鲜水耗不高于 6.5吨/万元；</w:t>
                  </w:r>
                </w:p>
                <w:p w14:paraId="5ED27474">
                  <w:pPr>
                    <w:numPr>
                      <w:ilvl w:val="0"/>
                      <w:numId w:val="10"/>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建设用地总量上限不高于50.99 平方公里，工业用地及仓储用地总量不高于18.83平方公里；</w:t>
                  </w:r>
                </w:p>
                <w:p w14:paraId="11835E9B">
                  <w:pPr>
                    <w:numPr>
                      <w:ilvl w:val="0"/>
                      <w:numId w:val="10"/>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单位工业增加值综合能耗不高于 0.4</w:t>
                  </w:r>
                  <w:r>
                    <w:rPr>
                      <w:rFonts w:hint="default" w:ascii="Times New Roman" w:hAnsi="Times New Roman" w:cs="Times New Roman"/>
                      <w:color w:val="000000" w:themeColor="text1"/>
                      <w:szCs w:val="21"/>
                      <w:lang w:val="en-US" w:eastAsia="zh-CN"/>
                      <w14:textFill>
                        <w14:solidFill>
                          <w14:schemeClr w14:val="tx1"/>
                        </w14:solidFill>
                      </w14:textFill>
                    </w:rPr>
                    <w:t>1</w:t>
                  </w:r>
                  <w:r>
                    <w:rPr>
                      <w:rFonts w:hint="default" w:ascii="Times New Roman" w:hAnsi="Times New Roman" w:cs="Times New Roman"/>
                      <w:color w:val="000000" w:themeColor="text1"/>
                      <w:szCs w:val="21"/>
                      <w14:textFill>
                        <w14:solidFill>
                          <w14:schemeClr w14:val="tx1"/>
                        </w14:solidFill>
                      </w14:textFill>
                    </w:rPr>
                    <w:t>吨标煤/万元；</w:t>
                  </w:r>
                </w:p>
                <w:p w14:paraId="5915A66B">
                  <w:pPr>
                    <w:numPr>
                      <w:ilvl w:val="0"/>
                      <w:numId w:val="10"/>
                    </w:numPr>
                    <w:autoSpaceDE w:val="0"/>
                    <w:spacing w:line="240" w:lineRule="auto"/>
                    <w:ind w:left="0" w:leftChars="0" w:firstLine="0" w:firstLine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引进项目的生产工艺、设备，以及单位产品水耗、能耗、污染物排放和资源利用效率等应达到同行业国际先进水平；</w:t>
                  </w:r>
                </w:p>
                <w:p w14:paraId="407C6476">
                  <w:pPr>
                    <w:numPr>
                      <w:ilvl w:val="0"/>
                      <w:numId w:val="0"/>
                    </w:numPr>
                    <w:autoSpaceDE w:val="0"/>
                    <w:spacing w:line="240" w:lineRule="auto"/>
                    <w:ind w:leftChars="0"/>
                    <w:jc w:val="both"/>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(5)企业应加强水的循环利用，提高水的重复利用率，推进节水型企业、节水型园区建设，提高区域中水回用率，2035年开发区工业污水处理厂中水回用率不低于30%。</w:t>
                  </w:r>
                </w:p>
              </w:tc>
              <w:tc>
                <w:tcPr>
                  <w:tcW w:w="2563" w:type="dxa"/>
                  <w:noWrap w:val="0"/>
                  <w:vAlign w:val="center"/>
                </w:tcPr>
                <w:p w14:paraId="2D488991">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本项目预计年销售额</w:t>
                  </w:r>
                  <w:r>
                    <w:rPr>
                      <w:rFonts w:hint="default" w:ascii="Times New Roman" w:hAnsi="Times New Roman" w:cs="Times New Roman"/>
                      <w:color w:val="000000" w:themeColor="text1"/>
                      <w:szCs w:val="21"/>
                      <w:highlight w:val="none"/>
                      <w:lang w:val="en-US" w:eastAsia="zh-CN"/>
                      <w14:textFill>
                        <w14:solidFill>
                          <w14:schemeClr w14:val="tx1"/>
                        </w14:solidFill>
                      </w14:textFill>
                    </w:rPr>
                    <w:t>3.2亿</w:t>
                  </w:r>
                  <w:r>
                    <w:rPr>
                      <w:rFonts w:hint="default" w:ascii="Times New Roman" w:hAnsi="Times New Roman" w:cs="Times New Roman"/>
                      <w:color w:val="000000" w:themeColor="text1"/>
                      <w:szCs w:val="21"/>
                      <w:highlight w:val="none"/>
                      <w14:textFill>
                        <w14:solidFill>
                          <w14:schemeClr w14:val="tx1"/>
                        </w14:solidFill>
                      </w14:textFill>
                    </w:rPr>
                    <w:t>元，单位工业增加值新鲜水耗</w:t>
                  </w:r>
                  <w:r>
                    <w:rPr>
                      <w:rFonts w:hint="default" w:ascii="Times New Roman" w:hAnsi="Times New Roman" w:cs="Times New Roman"/>
                      <w:color w:val="000000" w:themeColor="text1"/>
                      <w:szCs w:val="21"/>
                      <w:highlight w:val="none"/>
                      <w:lang w:val="en-US" w:eastAsia="zh-CN"/>
                      <w14:textFill>
                        <w14:solidFill>
                          <w14:schemeClr w14:val="tx1"/>
                        </w14:solidFill>
                      </w14:textFill>
                    </w:rPr>
                    <w:t>0.432</w:t>
                  </w:r>
                  <w:r>
                    <w:rPr>
                      <w:rFonts w:hint="default" w:ascii="Times New Roman" w:hAnsi="Times New Roman" w:cs="Times New Roman"/>
                      <w:color w:val="000000" w:themeColor="text1"/>
                      <w:szCs w:val="21"/>
                      <w:highlight w:val="none"/>
                      <w14:textFill>
                        <w14:solidFill>
                          <w14:schemeClr w14:val="tx1"/>
                        </w14:solidFill>
                      </w14:textFill>
                    </w:rPr>
                    <w:t>吨/万元，符合不高于6.5 吨/万元要求；本项目年用电量</w:t>
                  </w:r>
                  <w:r>
                    <w:rPr>
                      <w:rFonts w:hint="default" w:ascii="Times New Roman" w:hAnsi="Times New Roman" w:cs="Times New Roman"/>
                      <w:color w:val="000000" w:themeColor="text1"/>
                      <w:szCs w:val="21"/>
                      <w:highlight w:val="none"/>
                      <w:lang w:val="en-US" w:eastAsia="zh-CN"/>
                      <w14:textFill>
                        <w14:solidFill>
                          <w14:schemeClr w14:val="tx1"/>
                        </w14:solidFill>
                      </w14:textFill>
                    </w:rPr>
                    <w:t>4500</w:t>
                  </w:r>
                  <w:r>
                    <w:rPr>
                      <w:rFonts w:hint="default" w:ascii="Times New Roman" w:hAnsi="Times New Roman" w:cs="Times New Roman"/>
                      <w:color w:val="000000" w:themeColor="text1"/>
                      <w:szCs w:val="21"/>
                      <w:highlight w:val="none"/>
                      <w14:textFill>
                        <w14:solidFill>
                          <w14:schemeClr w14:val="tx1"/>
                        </w14:solidFill>
                      </w14:textFill>
                    </w:rPr>
                    <w:t xml:space="preserve">万 kWh/a，年水用量 </w:t>
                  </w:r>
                  <w:r>
                    <w:rPr>
                      <w:rFonts w:hint="default" w:ascii="Times New Roman" w:hAnsi="Times New Roman" w:cs="Times New Roman"/>
                      <w:color w:val="000000" w:themeColor="text1"/>
                      <w:szCs w:val="21"/>
                      <w:highlight w:val="none"/>
                      <w:lang w:val="en-US" w:eastAsia="zh-CN"/>
                      <w14:textFill>
                        <w14:solidFill>
                          <w14:schemeClr w14:val="tx1"/>
                        </w14:solidFill>
                      </w14:textFill>
                    </w:rPr>
                    <w:t>13825</w:t>
                  </w:r>
                  <w:r>
                    <w:rPr>
                      <w:rFonts w:hint="default" w:ascii="Times New Roman" w:hAnsi="Times New Roman" w:cs="Times New Roman"/>
                      <w:color w:val="000000" w:themeColor="text1"/>
                      <w:szCs w:val="21"/>
                      <w:highlight w:val="none"/>
                      <w14:textFill>
                        <w14:solidFill>
                          <w14:schemeClr w14:val="tx1"/>
                        </w14:solidFill>
                      </w14:textFill>
                    </w:rPr>
                    <w:t xml:space="preserve"> 吨，折标准煤量约</w:t>
                  </w:r>
                  <w:r>
                    <w:rPr>
                      <w:rFonts w:hint="default" w:ascii="Times New Roman" w:hAnsi="Times New Roman" w:cs="Times New Roman"/>
                      <w:color w:val="000000" w:themeColor="text1"/>
                      <w:szCs w:val="21"/>
                      <w:highlight w:val="none"/>
                      <w:lang w:val="en-US" w:eastAsia="zh-CN"/>
                      <w14:textFill>
                        <w14:solidFill>
                          <w14:schemeClr w14:val="tx1"/>
                        </w14:solidFill>
                      </w14:textFill>
                    </w:rPr>
                    <w:t>5533.12</w:t>
                  </w:r>
                  <w:r>
                    <w:rPr>
                      <w:rFonts w:hint="default" w:ascii="Times New Roman" w:hAnsi="Times New Roman" w:cs="Times New Roman"/>
                      <w:color w:val="000000" w:themeColor="text1"/>
                      <w:szCs w:val="21"/>
                      <w:highlight w:val="none"/>
                      <w14:textFill>
                        <w14:solidFill>
                          <w14:schemeClr w14:val="tx1"/>
                        </w14:solidFill>
                      </w14:textFill>
                    </w:rPr>
                    <w:t xml:space="preserve"> 吨标准煤，本项目预计年销售额</w:t>
                  </w:r>
                  <w:r>
                    <w:rPr>
                      <w:rFonts w:hint="default" w:ascii="Times New Roman" w:hAnsi="Times New Roman" w:cs="Times New Roman"/>
                      <w:color w:val="000000" w:themeColor="text1"/>
                      <w:szCs w:val="21"/>
                      <w:highlight w:val="none"/>
                      <w:lang w:val="en-US" w:eastAsia="zh-CN"/>
                      <w14:textFill>
                        <w14:solidFill>
                          <w14:schemeClr w14:val="tx1"/>
                        </w14:solidFill>
                      </w14:textFill>
                    </w:rPr>
                    <w:t>3.2</w:t>
                  </w:r>
                  <w:r>
                    <w:rPr>
                      <w:rFonts w:hint="default" w:ascii="Times New Roman" w:hAnsi="Times New Roman" w:cs="Times New Roman"/>
                      <w:color w:val="000000" w:themeColor="text1"/>
                      <w:szCs w:val="21"/>
                      <w:highlight w:val="none"/>
                      <w:lang w:eastAsia="zh-CN"/>
                      <w14:textFill>
                        <w14:solidFill>
                          <w14:schemeClr w14:val="tx1"/>
                        </w14:solidFill>
                      </w14:textFill>
                    </w:rPr>
                    <w:t>亿</w:t>
                  </w:r>
                  <w:r>
                    <w:rPr>
                      <w:rFonts w:hint="default" w:ascii="Times New Roman" w:hAnsi="Times New Roman" w:cs="Times New Roman"/>
                      <w:color w:val="000000" w:themeColor="text1"/>
                      <w:szCs w:val="21"/>
                      <w:highlight w:val="none"/>
                      <w14:textFill>
                        <w14:solidFill>
                          <w14:schemeClr w14:val="tx1"/>
                        </w14:solidFill>
                      </w14:textFill>
                    </w:rPr>
                    <w:t>元，单位工业增加值综合能耗约</w:t>
                  </w:r>
                  <w:r>
                    <w:rPr>
                      <w:rFonts w:hint="default" w:ascii="Times New Roman" w:hAnsi="Times New Roman" w:cs="Times New Roman"/>
                      <w:color w:val="000000" w:themeColor="text1"/>
                      <w:szCs w:val="21"/>
                      <w:highlight w:val="none"/>
                      <w:lang w:val="en-US" w:eastAsia="zh-CN"/>
                      <w14:textFill>
                        <w14:solidFill>
                          <w14:schemeClr w14:val="tx1"/>
                        </w14:solidFill>
                      </w14:textFill>
                    </w:rPr>
                    <w:t>0.173</w:t>
                  </w:r>
                  <w:r>
                    <w:rPr>
                      <w:rFonts w:hint="default" w:ascii="Times New Roman" w:hAnsi="Times New Roman" w:cs="Times New Roman"/>
                      <w:color w:val="000000" w:themeColor="text1"/>
                      <w:szCs w:val="21"/>
                      <w:highlight w:val="none"/>
                      <w14:textFill>
                        <w14:solidFill>
                          <w14:schemeClr w14:val="tx1"/>
                        </w14:solidFill>
                      </w14:textFill>
                    </w:rPr>
                    <w:t xml:space="preserve"> 吨标煤/万元，低于 0.41 吨标煤/万元，符合要求；通过对比同行业</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本项目的生产工艺、设备，以及单位产品水耗、能耗、污染物排放和资源利用效率等应达到同行业国际先进水平，因此符合园区规划要求。</w:t>
                  </w:r>
                </w:p>
              </w:tc>
              <w:tc>
                <w:tcPr>
                  <w:tcW w:w="928" w:type="dxa"/>
                  <w:noWrap w:val="0"/>
                  <w:vAlign w:val="center"/>
                </w:tcPr>
                <w:p w14:paraId="10275B0C">
                  <w:pPr>
                    <w:autoSpaceDE w:val="0"/>
                    <w:spacing w:line="240" w:lineRule="auto"/>
                    <w:jc w:val="center"/>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相符</w:t>
                  </w:r>
                </w:p>
              </w:tc>
            </w:tr>
          </w:tbl>
          <w:p w14:paraId="44D1B429">
            <w:pPr>
              <w:pStyle w:val="5"/>
              <w:spacing w:line="360" w:lineRule="auto"/>
              <w:ind w:firstLine="480"/>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本项目与《长江经济带发展负面清单指南（试行，2022年版）的通知》</w:t>
            </w:r>
            <w:r>
              <w:rPr>
                <w:rFonts w:hint="default" w:ascii="Times New Roman" w:hAnsi="Times New Roman" w:cs="Times New Roman"/>
                <w:b w:val="0"/>
                <w:bCs/>
                <w:color w:val="000000" w:themeColor="text1"/>
                <w:sz w:val="21"/>
                <w:szCs w:val="21"/>
                <w14:textFill>
                  <w14:solidFill>
                    <w14:schemeClr w14:val="tx1"/>
                  </w14:solidFill>
                </w14:textFill>
              </w:rPr>
              <w:t>（长江办（2022）7号）</w:t>
            </w:r>
            <w:r>
              <w:rPr>
                <w:rFonts w:hint="default" w:ascii="Times New Roman" w:hAnsi="Times New Roman" w:cs="Times New Roman"/>
                <w:bCs/>
                <w:color w:val="000000" w:themeColor="text1"/>
                <w:sz w:val="21"/>
                <w:szCs w:val="21"/>
                <w:lang w:val="en-US" w:eastAsia="zh-CN"/>
                <w14:textFill>
                  <w14:solidFill>
                    <w14:schemeClr w14:val="tx1"/>
                  </w14:solidFill>
                </w14:textFill>
              </w:rPr>
              <w:t>相符性分析见表1-6。</w:t>
            </w:r>
          </w:p>
          <w:p w14:paraId="54638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表1-</w:t>
            </w:r>
            <w:r>
              <w:rPr>
                <w:rFonts w:hint="default" w:ascii="Times New Roman" w:hAnsi="Times New Roman" w:cs="Times New Roman"/>
                <w:b/>
                <w:color w:val="000000" w:themeColor="text1"/>
                <w:sz w:val="21"/>
                <w:szCs w:val="21"/>
                <w:lang w:val="en-US" w:eastAsia="zh-CN"/>
                <w14:textFill>
                  <w14:solidFill>
                    <w14:schemeClr w14:val="tx1"/>
                  </w14:solidFill>
                </w14:textFill>
              </w:rPr>
              <w:t>6</w:t>
            </w:r>
            <w:r>
              <w:rPr>
                <w:rFonts w:hint="default" w:ascii="Times New Roman" w:hAnsi="Times New Roman" w:cs="Times New Roman"/>
                <w:b/>
                <w:color w:val="000000" w:themeColor="text1"/>
                <w:sz w:val="21"/>
                <w:szCs w:val="21"/>
                <w14:textFill>
                  <w14:solidFill>
                    <w14:schemeClr w14:val="tx1"/>
                  </w14:solidFill>
                </w14:textFill>
              </w:rPr>
              <w:t xml:space="preserve">  项目与《长江经济带发展负面清单（</w:t>
            </w:r>
            <w:r>
              <w:rPr>
                <w:rFonts w:hint="default" w:ascii="Times New Roman" w:hAnsi="Times New Roman" w:cs="Times New Roman"/>
                <w:b/>
                <w:color w:val="000000" w:themeColor="text1"/>
                <w:sz w:val="21"/>
                <w:szCs w:val="21"/>
                <w:lang w:val="en-US" w:eastAsia="zh-CN"/>
                <w14:textFill>
                  <w14:solidFill>
                    <w14:schemeClr w14:val="tx1"/>
                  </w14:solidFill>
                </w14:textFill>
              </w:rPr>
              <w:t>试行</w:t>
            </w:r>
            <w:r>
              <w:rPr>
                <w:rFonts w:hint="default" w:ascii="Times New Roman" w:hAnsi="Times New Roman" w:cs="Times New Roman"/>
                <w:b/>
                <w:color w:val="000000" w:themeColor="text1"/>
                <w:sz w:val="21"/>
                <w:szCs w:val="21"/>
                <w14:textFill>
                  <w14:solidFill>
                    <w14:schemeClr w14:val="tx1"/>
                  </w14:solidFill>
                </w14:textFill>
              </w:rPr>
              <w:t>）》相符性分析</w:t>
            </w:r>
          </w:p>
          <w:tbl>
            <w:tblPr>
              <w:tblStyle w:val="4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4520"/>
              <w:gridCol w:w="2609"/>
              <w:gridCol w:w="461"/>
            </w:tblGrid>
            <w:tr w14:paraId="7E56B3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12" w:space="0"/>
                    <w:bottom w:val="single" w:color="auto" w:sz="4" w:space="0"/>
                    <w:right w:val="single" w:color="auto" w:sz="4" w:space="0"/>
                  </w:tcBorders>
                  <w:noWrap w:val="0"/>
                  <w:vAlign w:val="center"/>
                </w:tcPr>
                <w:p w14:paraId="3481DF07">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序号</w:t>
                  </w:r>
                </w:p>
              </w:tc>
              <w:tc>
                <w:tcPr>
                  <w:tcW w:w="2807" w:type="pct"/>
                  <w:tcBorders>
                    <w:top w:val="single" w:color="auto" w:sz="12" w:space="0"/>
                    <w:left w:val="single" w:color="auto" w:sz="4" w:space="0"/>
                    <w:bottom w:val="single" w:color="auto" w:sz="4" w:space="0"/>
                    <w:right w:val="single" w:color="auto" w:sz="4" w:space="0"/>
                  </w:tcBorders>
                  <w:noWrap w:val="0"/>
                  <w:vAlign w:val="center"/>
                </w:tcPr>
                <w:p w14:paraId="37C8235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相关要求</w:t>
                  </w:r>
                </w:p>
              </w:tc>
              <w:tc>
                <w:tcPr>
                  <w:tcW w:w="1620" w:type="pct"/>
                  <w:tcBorders>
                    <w:top w:val="single" w:color="auto" w:sz="12" w:space="0"/>
                    <w:left w:val="single" w:color="auto" w:sz="4" w:space="0"/>
                    <w:bottom w:val="single" w:color="auto" w:sz="4" w:space="0"/>
                    <w:right w:val="single" w:color="auto" w:sz="4" w:space="0"/>
                  </w:tcBorders>
                  <w:noWrap w:val="0"/>
                  <w:vAlign w:val="center"/>
                </w:tcPr>
                <w:p w14:paraId="19F93AB0">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相符性分析</w:t>
                  </w:r>
                </w:p>
              </w:tc>
              <w:tc>
                <w:tcPr>
                  <w:tcW w:w="286" w:type="pct"/>
                  <w:tcBorders>
                    <w:top w:val="single" w:color="auto" w:sz="12" w:space="0"/>
                    <w:left w:val="single" w:color="auto" w:sz="4" w:space="0"/>
                    <w:bottom w:val="single" w:color="auto" w:sz="4" w:space="0"/>
                  </w:tcBorders>
                  <w:noWrap w:val="0"/>
                  <w:vAlign w:val="center"/>
                </w:tcPr>
                <w:p w14:paraId="25BEE9C9">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判定</w:t>
                  </w:r>
                </w:p>
              </w:tc>
            </w:tr>
            <w:tr w14:paraId="42FE92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2946F809">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3826DDD8">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禁止建设不符合全国和省级港口布局规划以及港口总体</w:t>
                  </w:r>
                  <w:r>
                    <w:rPr>
                      <w:rFonts w:hint="default" w:ascii="Times New Roman" w:hAnsi="Times New Roman" w:cs="Times New Roman"/>
                      <w:color w:val="000000" w:themeColor="text1"/>
                      <w:sz w:val="21"/>
                      <w:szCs w:val="21"/>
                      <w:lang w:val="en-US" w:eastAsia="zh-CN"/>
                      <w14:textFill>
                        <w14:solidFill>
                          <w14:schemeClr w14:val="tx1"/>
                        </w14:solidFill>
                      </w14:textFill>
                    </w:rPr>
                    <w:t>规划</w:t>
                  </w:r>
                  <w:r>
                    <w:rPr>
                      <w:rFonts w:hint="default" w:ascii="Times New Roman" w:hAnsi="Times New Roman" w:cs="Times New Roman"/>
                      <w:color w:val="000000" w:themeColor="text1"/>
                      <w:sz w:val="21"/>
                      <w:szCs w:val="21"/>
                      <w14:textFill>
                        <w14:solidFill>
                          <w14:schemeClr w14:val="tx1"/>
                        </w14:solidFill>
                      </w14:textFill>
                    </w:rPr>
                    <w:t>的码头项目，禁止建设不符合《长江干线过江通道布局规划》的过长江通道项目。</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142EF15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C3393锻件及粉末冶金制品制造</w:t>
                  </w:r>
                  <w:r>
                    <w:rPr>
                      <w:rFonts w:hint="default" w:ascii="Times New Roman" w:hAnsi="Times New Roman" w:cs="Times New Roman"/>
                      <w:color w:val="000000" w:themeColor="text1"/>
                      <w:sz w:val="21"/>
                      <w:szCs w:val="21"/>
                      <w14:textFill>
                        <w14:solidFill>
                          <w14:schemeClr w14:val="tx1"/>
                        </w14:solidFill>
                      </w14:textFill>
                    </w:rPr>
                    <w:t>，因此，本项目不属于港口码头项目，符合相关要求。</w:t>
                  </w:r>
                </w:p>
              </w:tc>
              <w:tc>
                <w:tcPr>
                  <w:tcW w:w="286" w:type="pct"/>
                  <w:tcBorders>
                    <w:top w:val="single" w:color="auto" w:sz="4" w:space="0"/>
                    <w:left w:val="single" w:color="auto" w:sz="4" w:space="0"/>
                    <w:bottom w:val="single" w:color="auto" w:sz="4" w:space="0"/>
                  </w:tcBorders>
                  <w:noWrap w:val="0"/>
                  <w:vAlign w:val="center"/>
                </w:tcPr>
                <w:p w14:paraId="0689848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700BDF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42195CC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029D548B">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禁止在自然保护区核心区、缓冲区的岸线和河段范围内投资建设旅游和生产经营项目。禁止在风景名胜区核心景区的岸线和河段范围内投资建设与风景名胜资源保护无关的项目。</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3B5926B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本项目位于南通市</w:t>
                  </w:r>
                  <w:r>
                    <w:rPr>
                      <w:rFonts w:hint="default" w:ascii="Times New Roman" w:hAnsi="Times New Roman" w:cs="Times New Roman"/>
                      <w:color w:val="000000" w:themeColor="text1"/>
                      <w:sz w:val="21"/>
                      <w:szCs w:val="21"/>
                      <w:lang w:eastAsia="zh-CN"/>
                      <w14:textFill>
                        <w14:solidFill>
                          <w14:schemeClr w14:val="tx1"/>
                        </w14:solidFill>
                      </w14:textFill>
                    </w:rPr>
                    <w:t>海门经济技术开发区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厦门路108号</w:t>
                  </w:r>
                  <w:r>
                    <w:rPr>
                      <w:rFonts w:hint="default" w:ascii="Times New Roman" w:hAnsi="Times New Roman" w:cs="Times New Roman"/>
                      <w:color w:val="000000" w:themeColor="text1"/>
                      <w:sz w:val="21"/>
                      <w:szCs w:val="21"/>
                      <w14:textFill>
                        <w14:solidFill>
                          <w14:schemeClr w14:val="tx1"/>
                        </w14:solidFill>
                      </w14:textFill>
                    </w:rPr>
                    <w:t>，不在禁止范围内。</w:t>
                  </w:r>
                </w:p>
              </w:tc>
              <w:tc>
                <w:tcPr>
                  <w:tcW w:w="286" w:type="pct"/>
                  <w:tcBorders>
                    <w:top w:val="single" w:color="auto" w:sz="4" w:space="0"/>
                    <w:left w:val="single" w:color="auto" w:sz="4" w:space="0"/>
                    <w:bottom w:val="single" w:color="auto" w:sz="4" w:space="0"/>
                  </w:tcBorders>
                  <w:noWrap w:val="0"/>
                  <w:vAlign w:val="center"/>
                </w:tcPr>
                <w:p w14:paraId="648242D5">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2E59D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7223E2D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6C4D86C4">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饮用水水源一级保护区的岸线和河段范围内新建、改建、新建与供水设施和保护水源无关的项目，以及网箱养殖、旅游等可能污染饮用水水体的投资建设项目。禁止在饮用水水源二级保护区的岸线和河范围内新建、改建、新建排放污染物的投资建设项目。</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33ED0925">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本项目位于南通市</w:t>
                  </w:r>
                  <w:r>
                    <w:rPr>
                      <w:rFonts w:hint="default" w:ascii="Times New Roman" w:hAnsi="Times New Roman" w:cs="Times New Roman"/>
                      <w:color w:val="000000" w:themeColor="text1"/>
                      <w:sz w:val="21"/>
                      <w:szCs w:val="21"/>
                      <w:lang w:eastAsia="zh-CN"/>
                      <w14:textFill>
                        <w14:solidFill>
                          <w14:schemeClr w14:val="tx1"/>
                        </w14:solidFill>
                      </w14:textFill>
                    </w:rPr>
                    <w:t>海门经济技术开发区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厦门路108号</w:t>
                  </w:r>
                  <w:r>
                    <w:rPr>
                      <w:rFonts w:hint="default" w:ascii="Times New Roman" w:hAnsi="Times New Roman" w:cs="Times New Roman"/>
                      <w:color w:val="000000" w:themeColor="text1"/>
                      <w:sz w:val="21"/>
                      <w:szCs w:val="21"/>
                      <w14:textFill>
                        <w14:solidFill>
                          <w14:schemeClr w14:val="tx1"/>
                        </w14:solidFill>
                      </w14:textFill>
                    </w:rPr>
                    <w:t>，不在禁止范围内。</w:t>
                  </w:r>
                </w:p>
              </w:tc>
              <w:tc>
                <w:tcPr>
                  <w:tcW w:w="286" w:type="pct"/>
                  <w:tcBorders>
                    <w:top w:val="single" w:color="auto" w:sz="4" w:space="0"/>
                    <w:left w:val="single" w:color="auto" w:sz="4" w:space="0"/>
                    <w:bottom w:val="single" w:color="auto" w:sz="4" w:space="0"/>
                  </w:tcBorders>
                  <w:noWrap w:val="0"/>
                  <w:vAlign w:val="center"/>
                </w:tcPr>
                <w:p w14:paraId="42345E44">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62A3D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1A9F033D">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6D4390D9">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14EDB077">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本项目位于南通市</w:t>
                  </w:r>
                  <w:r>
                    <w:rPr>
                      <w:rFonts w:hint="default" w:ascii="Times New Roman" w:hAnsi="Times New Roman" w:cs="Times New Roman"/>
                      <w:color w:val="000000" w:themeColor="text1"/>
                      <w:sz w:val="21"/>
                      <w:szCs w:val="21"/>
                      <w:lang w:eastAsia="zh-CN"/>
                      <w14:textFill>
                        <w14:solidFill>
                          <w14:schemeClr w14:val="tx1"/>
                        </w14:solidFill>
                      </w14:textFill>
                    </w:rPr>
                    <w:t>海门经济技术开发区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厦门路108号</w:t>
                  </w:r>
                  <w:r>
                    <w:rPr>
                      <w:rFonts w:hint="default" w:ascii="Times New Roman" w:hAnsi="Times New Roman" w:cs="Times New Roman"/>
                      <w:color w:val="000000" w:themeColor="text1"/>
                      <w:sz w:val="21"/>
                      <w:szCs w:val="21"/>
                      <w14:textFill>
                        <w14:solidFill>
                          <w14:schemeClr w14:val="tx1"/>
                        </w14:solidFill>
                      </w14:textFill>
                    </w:rPr>
                    <w:t>，不在禁止范围内。</w:t>
                  </w:r>
                </w:p>
              </w:tc>
              <w:tc>
                <w:tcPr>
                  <w:tcW w:w="286" w:type="pct"/>
                  <w:tcBorders>
                    <w:top w:val="single" w:color="auto" w:sz="4" w:space="0"/>
                    <w:left w:val="single" w:color="auto" w:sz="4" w:space="0"/>
                    <w:bottom w:val="single" w:color="auto" w:sz="4" w:space="0"/>
                  </w:tcBorders>
                  <w:noWrap w:val="0"/>
                  <w:vAlign w:val="center"/>
                </w:tcPr>
                <w:p w14:paraId="0C6DCB05">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19B50D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7F7112E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440B62E7">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禁止违法利用、占用长江流域河湖岸线。</w:t>
                  </w:r>
                  <w:r>
                    <w:rPr>
                      <w:rFonts w:hint="default" w:ascii="Times New Roman" w:hAnsi="Times New Roman" w:cs="Times New Roman"/>
                      <w:color w:val="000000" w:themeColor="text1"/>
                      <w:sz w:val="21"/>
                      <w:szCs w:val="21"/>
                      <w14:textFill>
                        <w14:solidFill>
                          <w14:schemeClr w14:val="tx1"/>
                        </w14:solidFill>
                      </w14:textFill>
                    </w:rPr>
                    <w:t>禁止在《长江岸线保护和开发利用总体规划》划定的岸线保护区</w:t>
                  </w:r>
                  <w:r>
                    <w:rPr>
                      <w:rFonts w:hint="default" w:ascii="Times New Roman" w:hAnsi="Times New Roman" w:cs="Times New Roman"/>
                      <w:color w:val="000000" w:themeColor="text1"/>
                      <w:sz w:val="21"/>
                      <w:szCs w:val="21"/>
                      <w:lang w:val="en-US" w:eastAsia="zh-CN"/>
                      <w14:textFill>
                        <w14:solidFill>
                          <w14:schemeClr w14:val="tx1"/>
                        </w14:solidFill>
                      </w14:textFill>
                    </w:rPr>
                    <w:t>和保留区内投资建设除事关公共安全及公众利益的防洪护岸、河道治理、供水、生态环境保护、航道整治、国家重要基础设施以外的项目</w:t>
                  </w:r>
                  <w:r>
                    <w:rPr>
                      <w:rFonts w:hint="default" w:ascii="Times New Roman" w:hAnsi="Times New Roman" w:cs="Times New Roman"/>
                      <w:color w:val="000000" w:themeColor="text1"/>
                      <w:sz w:val="21"/>
                      <w:szCs w:val="21"/>
                      <w14:textFill>
                        <w14:solidFill>
                          <w14:schemeClr w14:val="tx1"/>
                        </w14:solidFill>
                      </w14:textFill>
                    </w:rPr>
                    <w:t>。禁止在《全国重要江河湖泊水功能区划》划定的河段</w:t>
                  </w:r>
                  <w:r>
                    <w:rPr>
                      <w:rFonts w:hint="default" w:ascii="Times New Roman" w:hAnsi="Times New Roman" w:cs="Times New Roman"/>
                      <w:color w:val="000000" w:themeColor="text1"/>
                      <w:sz w:val="21"/>
                      <w:szCs w:val="21"/>
                      <w:lang w:val="en-US" w:eastAsia="zh-CN"/>
                      <w14:textFill>
                        <w14:solidFill>
                          <w14:schemeClr w14:val="tx1"/>
                        </w14:solidFill>
                      </w14:textFill>
                    </w:rPr>
                    <w:t>及湖泊</w:t>
                  </w:r>
                  <w:r>
                    <w:rPr>
                      <w:rFonts w:hint="default" w:ascii="Times New Roman" w:hAnsi="Times New Roman" w:cs="Times New Roman"/>
                      <w:color w:val="000000" w:themeColor="text1"/>
                      <w:sz w:val="21"/>
                      <w:szCs w:val="21"/>
                      <w14:textFill>
                        <w14:solidFill>
                          <w14:schemeClr w14:val="tx1"/>
                        </w14:solidFill>
                      </w14:textFill>
                    </w:rPr>
                    <w:t>保护区、保留区内</w:t>
                  </w:r>
                  <w:r>
                    <w:rPr>
                      <w:rFonts w:hint="default" w:ascii="Times New Roman" w:hAnsi="Times New Roman" w:cs="Times New Roman"/>
                      <w:color w:val="000000" w:themeColor="text1"/>
                      <w:sz w:val="21"/>
                      <w:szCs w:val="21"/>
                      <w:lang w:val="en-US" w:eastAsia="zh-CN"/>
                      <w14:textFill>
                        <w14:solidFill>
                          <w14:schemeClr w14:val="tx1"/>
                        </w14:solidFill>
                      </w14:textFill>
                    </w:rPr>
                    <w:t>投资建设不利于水资源及自然生态保护的项目</w:t>
                  </w:r>
                  <w:r>
                    <w:rPr>
                      <w:rFonts w:hint="default" w:ascii="Times New Roman" w:hAnsi="Times New Roman" w:cs="Times New Roman"/>
                      <w:color w:val="000000" w:themeColor="text1"/>
                      <w:sz w:val="21"/>
                      <w:szCs w:val="21"/>
                      <w14:textFill>
                        <w14:solidFill>
                          <w14:schemeClr w14:val="tx1"/>
                        </w14:solidFill>
                      </w14:textFill>
                    </w:rPr>
                    <w:t>。</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51688932">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本项目位于南通市</w:t>
                  </w:r>
                  <w:r>
                    <w:rPr>
                      <w:rFonts w:hint="default" w:ascii="Times New Roman" w:hAnsi="Times New Roman" w:cs="Times New Roman"/>
                      <w:color w:val="000000" w:themeColor="text1"/>
                      <w:sz w:val="21"/>
                      <w:szCs w:val="21"/>
                      <w:lang w:eastAsia="zh-CN"/>
                      <w14:textFill>
                        <w14:solidFill>
                          <w14:schemeClr w14:val="tx1"/>
                        </w14:solidFill>
                      </w14:textFill>
                    </w:rPr>
                    <w:t>海门经济技术开发区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厦门路108号</w:t>
                  </w:r>
                  <w:r>
                    <w:rPr>
                      <w:rFonts w:hint="default" w:ascii="Times New Roman" w:hAnsi="Times New Roman" w:cs="Times New Roman"/>
                      <w:color w:val="000000" w:themeColor="text1"/>
                      <w:sz w:val="21"/>
                      <w:szCs w:val="21"/>
                      <w14:textFill>
                        <w14:solidFill>
                          <w14:schemeClr w14:val="tx1"/>
                        </w14:solidFill>
                      </w14:textFill>
                    </w:rPr>
                    <w:t>，不在禁止范围内。</w:t>
                  </w:r>
                </w:p>
              </w:tc>
              <w:tc>
                <w:tcPr>
                  <w:tcW w:w="286" w:type="pct"/>
                  <w:tcBorders>
                    <w:top w:val="single" w:color="auto" w:sz="4" w:space="0"/>
                    <w:left w:val="single" w:color="auto" w:sz="4" w:space="0"/>
                    <w:bottom w:val="single" w:color="auto" w:sz="4" w:space="0"/>
                  </w:tcBorders>
                  <w:noWrap w:val="0"/>
                  <w:vAlign w:val="center"/>
                </w:tcPr>
                <w:p w14:paraId="178C31A1">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2259F2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632E41A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2F5BE2ED">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禁止未经许可在长江干支流及湖泊新设、改设或扩大排污口。</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57C61452">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本项目不涉及。</w:t>
                  </w:r>
                </w:p>
              </w:tc>
              <w:tc>
                <w:tcPr>
                  <w:tcW w:w="286" w:type="pct"/>
                  <w:tcBorders>
                    <w:top w:val="single" w:color="auto" w:sz="4" w:space="0"/>
                    <w:left w:val="single" w:color="auto" w:sz="4" w:space="0"/>
                    <w:bottom w:val="single" w:color="auto" w:sz="4" w:space="0"/>
                  </w:tcBorders>
                  <w:noWrap w:val="0"/>
                  <w:vAlign w:val="center"/>
                </w:tcPr>
                <w:p w14:paraId="4970ADFC">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0856EB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07597142">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5BB3AF9B">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禁止在“一江一口两湖七河”和332个水生生物保护区开展生产性捕捞。</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7E633A07">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本项目不涉及。</w:t>
                  </w:r>
                </w:p>
              </w:tc>
              <w:tc>
                <w:tcPr>
                  <w:tcW w:w="286" w:type="pct"/>
                  <w:tcBorders>
                    <w:top w:val="single" w:color="auto" w:sz="4" w:space="0"/>
                    <w:left w:val="single" w:color="auto" w:sz="4" w:space="0"/>
                    <w:bottom w:val="single" w:color="auto" w:sz="4" w:space="0"/>
                  </w:tcBorders>
                  <w:noWrap w:val="0"/>
                  <w:vAlign w:val="center"/>
                </w:tcPr>
                <w:p w14:paraId="0A1C7A6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04482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3E23D9D1">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39DD9E0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禁止在长江干支流</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重要湖泊岸线一</w:t>
                  </w:r>
                  <w:r>
                    <w:rPr>
                      <w:rFonts w:hint="default" w:ascii="Times New Roman" w:hAnsi="Times New Roman" w:cs="Times New Roman"/>
                      <w:color w:val="000000" w:themeColor="text1"/>
                      <w:sz w:val="21"/>
                      <w:szCs w:val="21"/>
                      <w14:textFill>
                        <w14:solidFill>
                          <w14:schemeClr w14:val="tx1"/>
                        </w14:solidFill>
                      </w14:textFill>
                    </w:rPr>
                    <w:t>公里范围内新建、</w:t>
                  </w:r>
                  <w:r>
                    <w:rPr>
                      <w:rFonts w:hint="default" w:ascii="Times New Roman" w:hAnsi="Times New Roman" w:cs="Times New Roman"/>
                      <w:color w:val="000000" w:themeColor="text1"/>
                      <w:sz w:val="21"/>
                      <w:szCs w:val="21"/>
                      <w:lang w:val="en-US" w:eastAsia="zh-CN"/>
                      <w14:textFill>
                        <w14:solidFill>
                          <w14:schemeClr w14:val="tx1"/>
                        </w14:solidFill>
                      </w14:textFill>
                    </w:rPr>
                    <w:t>扩建</w:t>
                  </w:r>
                  <w:r>
                    <w:rPr>
                      <w:rFonts w:hint="default" w:ascii="Times New Roman" w:hAnsi="Times New Roman" w:cs="Times New Roman"/>
                      <w:color w:val="000000" w:themeColor="text1"/>
                      <w:sz w:val="21"/>
                      <w:szCs w:val="21"/>
                      <w14:textFill>
                        <w14:solidFill>
                          <w14:schemeClr w14:val="tx1"/>
                        </w14:solidFill>
                      </w14:textFill>
                    </w:rPr>
                    <w:t>化工园区和化工项目。禁止在</w:t>
                  </w:r>
                  <w:r>
                    <w:rPr>
                      <w:rFonts w:hint="default" w:ascii="Times New Roman" w:hAnsi="Times New Roman" w:cs="Times New Roman"/>
                      <w:color w:val="000000" w:themeColor="text1"/>
                      <w:sz w:val="21"/>
                      <w:szCs w:val="21"/>
                      <w:lang w:val="en-US" w:eastAsia="zh-CN"/>
                      <w14:textFill>
                        <w14:solidFill>
                          <w14:schemeClr w14:val="tx1"/>
                        </w14:solidFill>
                      </w14:textFill>
                    </w:rPr>
                    <w:t>长江干流岸线三公里范围内和重要支流岸线一公里范围内新建、改建、扩建尾矿库、冶炼渣库和磷石膏库，以提升安全、生态环境保护水平为目的的改建除外</w:t>
                  </w:r>
                  <w:r>
                    <w:rPr>
                      <w:rFonts w:hint="default" w:ascii="Times New Roman" w:hAnsi="Times New Roman" w:cs="Times New Roman"/>
                      <w:color w:val="000000" w:themeColor="text1"/>
                      <w:sz w:val="21"/>
                      <w:szCs w:val="21"/>
                      <w14:textFill>
                        <w14:solidFill>
                          <w14:schemeClr w14:val="tx1"/>
                        </w14:solidFill>
                      </w14:textFill>
                    </w:rPr>
                    <w:t>。</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2E5127CA">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C3393锻件及粉末冶金制品制造</w:t>
                  </w:r>
                  <w:r>
                    <w:rPr>
                      <w:rFonts w:hint="default" w:ascii="Times New Roman" w:hAnsi="Times New Roman" w:cs="Times New Roman"/>
                      <w:color w:val="000000" w:themeColor="text1"/>
                      <w:sz w:val="21"/>
                      <w:szCs w:val="21"/>
                      <w14:textFill>
                        <w14:solidFill>
                          <w14:schemeClr w14:val="tx1"/>
                        </w14:solidFill>
                      </w14:textFill>
                    </w:rPr>
                    <w:t>，符合相关要求。</w:t>
                  </w:r>
                </w:p>
              </w:tc>
              <w:tc>
                <w:tcPr>
                  <w:tcW w:w="286" w:type="pct"/>
                  <w:tcBorders>
                    <w:top w:val="single" w:color="auto" w:sz="4" w:space="0"/>
                    <w:left w:val="single" w:color="auto" w:sz="4" w:space="0"/>
                    <w:bottom w:val="single" w:color="auto" w:sz="4" w:space="0"/>
                  </w:tcBorders>
                  <w:noWrap w:val="0"/>
                  <w:vAlign w:val="center"/>
                </w:tcPr>
                <w:p w14:paraId="2B1D748B">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1B1133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3CB67FD1">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3E3F7ADA">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禁止在合规园区外新建、扩建钢铁、石化、化工、焦化、建材、有色、制浆造纸等高污染项目</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56AAA606">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C3393锻件及粉末冶金制品制造</w:t>
                  </w:r>
                  <w:r>
                    <w:rPr>
                      <w:rFonts w:hint="eastAsia"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符合相关要求。</w:t>
                  </w:r>
                </w:p>
              </w:tc>
              <w:tc>
                <w:tcPr>
                  <w:tcW w:w="286" w:type="pct"/>
                  <w:tcBorders>
                    <w:top w:val="single" w:color="auto" w:sz="4" w:space="0"/>
                    <w:left w:val="single" w:color="auto" w:sz="4" w:space="0"/>
                    <w:bottom w:val="single" w:color="auto" w:sz="4" w:space="0"/>
                  </w:tcBorders>
                  <w:noWrap w:val="0"/>
                  <w:vAlign w:val="center"/>
                </w:tcPr>
                <w:p w14:paraId="2AB2E87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755F52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41AFF294">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5CA4104F">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禁止新建、</w:t>
                  </w:r>
                  <w:r>
                    <w:rPr>
                      <w:rFonts w:hint="default" w:ascii="Times New Roman" w:hAnsi="Times New Roman" w:cs="Times New Roman"/>
                      <w:color w:val="000000" w:themeColor="text1"/>
                      <w:sz w:val="21"/>
                      <w:szCs w:val="21"/>
                      <w:lang w:val="en-US" w:eastAsia="zh-CN"/>
                      <w14:textFill>
                        <w14:solidFill>
                          <w14:schemeClr w14:val="tx1"/>
                        </w14:solidFill>
                      </w14:textFill>
                    </w:rPr>
                    <w:t>扩</w:t>
                  </w:r>
                  <w:r>
                    <w:rPr>
                      <w:rFonts w:hint="default" w:ascii="Times New Roman" w:hAnsi="Times New Roman" w:cs="Times New Roman"/>
                      <w:color w:val="000000" w:themeColor="text1"/>
                      <w:sz w:val="21"/>
                      <w:szCs w:val="21"/>
                      <w14:textFill>
                        <w14:solidFill>
                          <w14:schemeClr w14:val="tx1"/>
                        </w14:solidFill>
                      </w14:textFill>
                    </w:rPr>
                    <w:t>建不符合国家石化、现代煤化工等产业布局规划的项目。</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63DA429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C3393锻件及粉末冶金制品制造</w:t>
                  </w:r>
                  <w:r>
                    <w:rPr>
                      <w:rFonts w:hint="default" w:ascii="Times New Roman" w:hAnsi="Times New Roman" w:cs="Times New Roman"/>
                      <w:color w:val="000000" w:themeColor="text1"/>
                      <w:sz w:val="21"/>
                      <w:szCs w:val="21"/>
                      <w14:textFill>
                        <w14:solidFill>
                          <w14:schemeClr w14:val="tx1"/>
                        </w14:solidFill>
                      </w14:textFill>
                    </w:rPr>
                    <w:t>，符合相关要求。</w:t>
                  </w:r>
                </w:p>
              </w:tc>
              <w:tc>
                <w:tcPr>
                  <w:tcW w:w="286" w:type="pct"/>
                  <w:tcBorders>
                    <w:top w:val="single" w:color="auto" w:sz="4" w:space="0"/>
                    <w:left w:val="single" w:color="auto" w:sz="4" w:space="0"/>
                    <w:bottom w:val="single" w:color="auto" w:sz="4" w:space="0"/>
                  </w:tcBorders>
                  <w:noWrap w:val="0"/>
                  <w:vAlign w:val="center"/>
                </w:tcPr>
                <w:p w14:paraId="21AE0AA1">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21BCE3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4" w:space="0"/>
                    <w:right w:val="single" w:color="auto" w:sz="4" w:space="0"/>
                  </w:tcBorders>
                  <w:noWrap w:val="0"/>
                  <w:vAlign w:val="center"/>
                </w:tcPr>
                <w:p w14:paraId="7CC1A988">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w:t>
                  </w:r>
                </w:p>
              </w:tc>
              <w:tc>
                <w:tcPr>
                  <w:tcW w:w="2807" w:type="pct"/>
                  <w:tcBorders>
                    <w:top w:val="single" w:color="auto" w:sz="4" w:space="0"/>
                    <w:left w:val="single" w:color="auto" w:sz="4" w:space="0"/>
                    <w:bottom w:val="single" w:color="auto" w:sz="4" w:space="0"/>
                    <w:right w:val="single" w:color="auto" w:sz="4" w:space="0"/>
                  </w:tcBorders>
                  <w:noWrap w:val="0"/>
                  <w:vAlign w:val="center"/>
                </w:tcPr>
                <w:p w14:paraId="47405357">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禁止新建、</w:t>
                  </w:r>
                  <w:r>
                    <w:rPr>
                      <w:rFonts w:hint="default" w:ascii="Times New Roman" w:hAnsi="Times New Roman" w:cs="Times New Roman"/>
                      <w:color w:val="000000" w:themeColor="text1"/>
                      <w:sz w:val="21"/>
                      <w:szCs w:val="21"/>
                      <w:lang w:val="en-US" w:eastAsia="zh-CN"/>
                      <w14:textFill>
                        <w14:solidFill>
                          <w14:schemeClr w14:val="tx1"/>
                        </w14:solidFill>
                      </w14:textFill>
                    </w:rPr>
                    <w:t>扩</w:t>
                  </w:r>
                  <w:r>
                    <w:rPr>
                      <w:rFonts w:hint="default" w:ascii="Times New Roman" w:hAnsi="Times New Roman" w:cs="Times New Roman"/>
                      <w:color w:val="000000" w:themeColor="text1"/>
                      <w:sz w:val="21"/>
                      <w:szCs w:val="21"/>
                      <w14:textFill>
                        <w14:solidFill>
                          <w14:schemeClr w14:val="tx1"/>
                        </w14:solidFill>
                      </w14:textFill>
                    </w:rPr>
                    <w:t>建法律法规和相关政策明令禁止的落后产能项目。禁止新建、新建不符</w:t>
                  </w:r>
                  <w:r>
                    <w:rPr>
                      <w:rFonts w:hint="default" w:ascii="Times New Roman" w:hAnsi="Times New Roman" w:cs="Times New Roman"/>
                      <w:color w:val="000000" w:themeColor="text1"/>
                      <w:sz w:val="21"/>
                      <w:szCs w:val="21"/>
                      <w:lang w:val="en-US" w:eastAsia="zh-CN"/>
                      <w14:textFill>
                        <w14:solidFill>
                          <w14:schemeClr w14:val="tx1"/>
                        </w14:solidFill>
                      </w14:textFill>
                    </w:rPr>
                    <w:t>合</w:t>
                  </w:r>
                  <w:r>
                    <w:rPr>
                      <w:rFonts w:hint="default" w:ascii="Times New Roman" w:hAnsi="Times New Roman" w:cs="Times New Roman"/>
                      <w:color w:val="000000" w:themeColor="text1"/>
                      <w:sz w:val="21"/>
                      <w:szCs w:val="21"/>
                      <w14:textFill>
                        <w14:solidFill>
                          <w14:schemeClr w14:val="tx1"/>
                        </w14:solidFill>
                      </w14:textFill>
                    </w:rPr>
                    <w:t>国家产能置换要求的严重过剩产能行业的项目</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禁止新建、扩建不符合要求的高耗能高排项目。</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0522942D">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本项目为</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C3393锻件及粉末冶金制品制造</w:t>
                  </w:r>
                  <w:r>
                    <w:rPr>
                      <w:rFonts w:hint="eastAsia"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因此，本项目</w:t>
                  </w:r>
                  <w:r>
                    <w:rPr>
                      <w:rFonts w:hint="default" w:ascii="Times New Roman" w:hAnsi="Times New Roman" w:cs="Times New Roman"/>
                      <w:color w:val="000000" w:themeColor="text1"/>
                      <w:sz w:val="21"/>
                      <w:szCs w:val="21"/>
                      <w:lang w:val="en-US" w:eastAsia="zh-CN"/>
                      <w14:textFill>
                        <w14:solidFill>
                          <w14:schemeClr w14:val="tx1"/>
                        </w14:solidFill>
                      </w14:textFill>
                    </w:rPr>
                    <w:t>不属于落后产能项目，</w:t>
                  </w:r>
                  <w:r>
                    <w:rPr>
                      <w:rFonts w:hint="default" w:ascii="Times New Roman" w:hAnsi="Times New Roman" w:cs="Times New Roman"/>
                      <w:color w:val="000000" w:themeColor="text1"/>
                      <w:sz w:val="21"/>
                      <w:szCs w:val="21"/>
                      <w14:textFill>
                        <w14:solidFill>
                          <w14:schemeClr w14:val="tx1"/>
                        </w14:solidFill>
                      </w14:textFill>
                    </w:rPr>
                    <w:t>不属于产能置换严重过剩产能的行业</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不属于高耗能高排放项目</w:t>
                  </w:r>
                  <w:r>
                    <w:rPr>
                      <w:rFonts w:hint="default" w:ascii="Times New Roman" w:hAnsi="Times New Roman" w:cs="Times New Roman"/>
                      <w:color w:val="000000" w:themeColor="text1"/>
                      <w:sz w:val="21"/>
                      <w:szCs w:val="21"/>
                      <w14:textFill>
                        <w14:solidFill>
                          <w14:schemeClr w14:val="tx1"/>
                        </w14:solidFill>
                      </w14:textFill>
                    </w:rPr>
                    <w:t>，符合相关要求。</w:t>
                  </w:r>
                </w:p>
              </w:tc>
              <w:tc>
                <w:tcPr>
                  <w:tcW w:w="286" w:type="pct"/>
                  <w:tcBorders>
                    <w:top w:val="single" w:color="auto" w:sz="4" w:space="0"/>
                    <w:left w:val="single" w:color="auto" w:sz="4" w:space="0"/>
                    <w:bottom w:val="single" w:color="auto" w:sz="4" w:space="0"/>
                  </w:tcBorders>
                  <w:noWrap w:val="0"/>
                  <w:vAlign w:val="center"/>
                </w:tcPr>
                <w:p w14:paraId="58B721B0">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144CD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4" w:space="0"/>
                    <w:bottom w:val="single" w:color="auto" w:sz="12" w:space="0"/>
                    <w:right w:val="single" w:color="auto" w:sz="4" w:space="0"/>
                  </w:tcBorders>
                  <w:noWrap w:val="0"/>
                  <w:vAlign w:val="center"/>
                </w:tcPr>
                <w:p w14:paraId="34030E08">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2807" w:type="pct"/>
                  <w:tcBorders>
                    <w:top w:val="single" w:color="auto" w:sz="4" w:space="0"/>
                    <w:left w:val="single" w:color="auto" w:sz="4" w:space="0"/>
                    <w:bottom w:val="single" w:color="auto" w:sz="12" w:space="0"/>
                    <w:right w:val="single" w:color="auto" w:sz="4" w:space="0"/>
                  </w:tcBorders>
                  <w:noWrap w:val="0"/>
                  <w:vAlign w:val="center"/>
                </w:tcPr>
                <w:p w14:paraId="1814ADE7">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法律法规及相关政策文件有更加严格规定的从其规定。</w:t>
                  </w:r>
                </w:p>
              </w:tc>
              <w:tc>
                <w:tcPr>
                  <w:tcW w:w="1620" w:type="pct"/>
                  <w:tcBorders>
                    <w:top w:val="single" w:color="auto" w:sz="4" w:space="0"/>
                    <w:left w:val="single" w:color="auto" w:sz="4" w:space="0"/>
                    <w:bottom w:val="single" w:color="auto" w:sz="12" w:space="0"/>
                    <w:right w:val="single" w:color="auto" w:sz="4" w:space="0"/>
                  </w:tcBorders>
                  <w:noWrap w:val="0"/>
                  <w:vAlign w:val="center"/>
                </w:tcPr>
                <w:p w14:paraId="31498CDC">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286" w:type="pct"/>
                  <w:tcBorders>
                    <w:top w:val="single" w:color="auto" w:sz="4" w:space="0"/>
                    <w:left w:val="single" w:color="auto" w:sz="4" w:space="0"/>
                    <w:bottom w:val="single" w:color="auto" w:sz="12" w:space="0"/>
                  </w:tcBorders>
                  <w:noWrap w:val="0"/>
                  <w:vAlign w:val="center"/>
                </w:tcPr>
                <w:p w14:paraId="4F4DFCF7">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bl>
          <w:p w14:paraId="51AD328A">
            <w:pPr>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对照《长江经济带发展负面清单指南（试行</w:t>
            </w:r>
            <w:r>
              <w:rPr>
                <w:rFonts w:hint="default" w:ascii="Times New Roman" w:hAnsi="Times New Roman" w:cs="Times New Roman"/>
                <w:b w:val="0"/>
                <w:bCs/>
                <w:color w:val="000000" w:themeColor="text1"/>
                <w:sz w:val="21"/>
                <w:szCs w:val="21"/>
                <w:lang w:eastAsia="zh-CN"/>
                <w14:textFill>
                  <w14:solidFill>
                    <w14:schemeClr w14:val="tx1"/>
                  </w14:solidFill>
                </w14:textFill>
              </w:rPr>
              <w:t>，</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2022年版</w:t>
            </w:r>
            <w:r>
              <w:rPr>
                <w:rFonts w:hint="default" w:ascii="Times New Roman" w:hAnsi="Times New Roman" w:cs="Times New Roman"/>
                <w:b w:val="0"/>
                <w:bCs/>
                <w:color w:val="000000" w:themeColor="text1"/>
                <w:sz w:val="21"/>
                <w:szCs w:val="21"/>
                <w14:textFill>
                  <w14:solidFill>
                    <w14:schemeClr w14:val="tx1"/>
                  </w14:solidFill>
                </w14:textFill>
              </w:rPr>
              <w:t>）的通知》（长江办（20</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22</w:t>
            </w:r>
            <w:r>
              <w:rPr>
                <w:rFonts w:hint="default" w:ascii="Times New Roman" w:hAnsi="Times New Roman" w:cs="Times New Roman"/>
                <w:b w:val="0"/>
                <w:bCs/>
                <w:color w:val="000000" w:themeColor="text1"/>
                <w:sz w:val="21"/>
                <w:szCs w:val="21"/>
                <w14:textFill>
                  <w14:solidFill>
                    <w14:schemeClr w14:val="tx1"/>
                  </w14:solidFill>
                </w14:textFill>
              </w:rPr>
              <w:t>）</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7</w:t>
            </w:r>
            <w:r>
              <w:rPr>
                <w:rFonts w:hint="default" w:ascii="Times New Roman" w:hAnsi="Times New Roman" w:cs="Times New Roman"/>
                <w:b w:val="0"/>
                <w:bCs/>
                <w:color w:val="000000" w:themeColor="text1"/>
                <w:sz w:val="21"/>
                <w:szCs w:val="21"/>
                <w14:textFill>
                  <w14:solidFill>
                    <w14:schemeClr w14:val="tx1"/>
                  </w14:solidFill>
                </w14:textFill>
              </w:rPr>
              <w:t>号）中相关内容要求，本项目符合相关要求</w:t>
            </w:r>
            <w:r>
              <w:rPr>
                <w:rFonts w:hint="default" w:ascii="Times New Roman" w:hAnsi="Times New Roman" w:cs="Times New Roman"/>
                <w:bCs/>
                <w:color w:val="000000" w:themeColor="text1"/>
                <w:sz w:val="21"/>
                <w:szCs w:val="21"/>
                <w14:textFill>
                  <w14:solidFill>
                    <w14:schemeClr w14:val="tx1"/>
                  </w14:solidFill>
                </w14:textFill>
              </w:rPr>
              <w:t>。</w:t>
            </w:r>
          </w:p>
          <w:p w14:paraId="138B0303">
            <w:pPr>
              <w:pStyle w:val="5"/>
              <w:spacing w:line="360" w:lineRule="auto"/>
              <w:ind w:firstLine="480"/>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本项目与《长江经济带发展负面清单指南》（试行，2022年版）（江苏省实施细则）的相符性分析见表1-7。</w:t>
            </w:r>
          </w:p>
          <w:p w14:paraId="0288F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表1-</w:t>
            </w:r>
            <w:r>
              <w:rPr>
                <w:rFonts w:hint="default" w:ascii="Times New Roman" w:hAnsi="Times New Roman" w:cs="Times New Roman"/>
                <w:b/>
                <w:color w:val="000000" w:themeColor="text1"/>
                <w:sz w:val="21"/>
                <w:szCs w:val="21"/>
                <w:lang w:val="en-US" w:eastAsia="zh-CN"/>
                <w14:textFill>
                  <w14:solidFill>
                    <w14:schemeClr w14:val="tx1"/>
                  </w14:solidFill>
                </w14:textFill>
              </w:rPr>
              <w:t>7</w:t>
            </w:r>
            <w:r>
              <w:rPr>
                <w:rFonts w:hint="default" w:ascii="Times New Roman" w:hAnsi="Times New Roman" w:cs="Times New Roman"/>
                <w:b/>
                <w:color w:val="000000" w:themeColor="text1"/>
                <w:sz w:val="21"/>
                <w:szCs w:val="21"/>
                <w14:textFill>
                  <w14:solidFill>
                    <w14:schemeClr w14:val="tx1"/>
                  </w14:solidFill>
                </w14:textFill>
              </w:rPr>
              <w:t xml:space="preserve">  项目与《长江经济带发展负面清单（</w:t>
            </w:r>
            <w:r>
              <w:rPr>
                <w:rFonts w:hint="default" w:ascii="Times New Roman" w:hAnsi="Times New Roman" w:cs="Times New Roman"/>
                <w:b/>
                <w:color w:val="000000" w:themeColor="text1"/>
                <w:sz w:val="21"/>
                <w:szCs w:val="21"/>
                <w:lang w:val="en-US" w:eastAsia="zh-CN"/>
                <w14:textFill>
                  <w14:solidFill>
                    <w14:schemeClr w14:val="tx1"/>
                  </w14:solidFill>
                </w14:textFill>
              </w:rPr>
              <w:t>试行</w:t>
            </w:r>
            <w:r>
              <w:rPr>
                <w:rFonts w:hint="default" w:ascii="Times New Roman" w:hAnsi="Times New Roman" w:cs="Times New Roman"/>
                <w:b/>
                <w:color w:val="000000" w:themeColor="text1"/>
                <w:sz w:val="21"/>
                <w:szCs w:val="21"/>
                <w14:textFill>
                  <w14:solidFill>
                    <w14:schemeClr w14:val="tx1"/>
                  </w14:solidFill>
                </w14:textFill>
              </w:rPr>
              <w:t>）》相符性分析</w:t>
            </w:r>
          </w:p>
          <w:tbl>
            <w:tblPr>
              <w:tblStyle w:val="4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2073"/>
              <w:gridCol w:w="1119"/>
            </w:tblGrid>
            <w:tr w14:paraId="60951A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6" w:type="pct"/>
                  <w:tcBorders>
                    <w:top w:val="single" w:color="auto" w:sz="12" w:space="0"/>
                    <w:bottom w:val="single" w:color="auto" w:sz="4" w:space="0"/>
                    <w:right w:val="single" w:color="auto" w:sz="4" w:space="0"/>
                  </w:tcBorders>
                  <w:noWrap w:val="0"/>
                  <w:vAlign w:val="center"/>
                </w:tcPr>
                <w:p w14:paraId="7FD858BD">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相关要求</w:t>
                  </w:r>
                </w:p>
              </w:tc>
              <w:tc>
                <w:tcPr>
                  <w:tcW w:w="1288" w:type="pct"/>
                  <w:tcBorders>
                    <w:top w:val="single" w:color="auto" w:sz="12" w:space="0"/>
                    <w:left w:val="single" w:color="auto" w:sz="4" w:space="0"/>
                    <w:bottom w:val="single" w:color="auto" w:sz="4" w:space="0"/>
                    <w:right w:val="single" w:color="auto" w:sz="4" w:space="0"/>
                  </w:tcBorders>
                  <w:noWrap w:val="0"/>
                  <w:vAlign w:val="center"/>
                </w:tcPr>
                <w:p w14:paraId="5B43EF0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本项目</w:t>
                  </w:r>
                </w:p>
              </w:tc>
              <w:tc>
                <w:tcPr>
                  <w:tcW w:w="695" w:type="pct"/>
                  <w:tcBorders>
                    <w:top w:val="single" w:color="auto" w:sz="12" w:space="0"/>
                    <w:left w:val="single" w:color="auto" w:sz="4" w:space="0"/>
                    <w:bottom w:val="single" w:color="auto" w:sz="4" w:space="0"/>
                  </w:tcBorders>
                  <w:noWrap w:val="0"/>
                  <w:vAlign w:val="center"/>
                </w:tcPr>
                <w:p w14:paraId="52BE3998">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相符性</w:t>
                  </w:r>
                </w:p>
              </w:tc>
            </w:tr>
            <w:tr w14:paraId="761F4B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6" w:type="pct"/>
                  <w:tcBorders>
                    <w:top w:val="single" w:color="auto" w:sz="4" w:space="0"/>
                    <w:bottom w:val="single" w:color="auto" w:sz="4" w:space="0"/>
                    <w:right w:val="single" w:color="auto" w:sz="4" w:space="0"/>
                  </w:tcBorders>
                  <w:noWrap w:val="0"/>
                  <w:vAlign w:val="center"/>
                </w:tcPr>
                <w:p w14:paraId="486972BD">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一、河段利用与岸线开发</w:t>
                  </w:r>
                </w:p>
                <w:p w14:paraId="59A6E867">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1.禁止建设不符合国家港口布局规划和《江苏省沿江沿海港口布局规划(2015-2030 年)》《江苏省内河港口布局规划(2017-2035 年)》以及我省有关港口总体规划的码头项目，禁止建设未纳入《长江干线过江通道布局规划》的过长江通道项目。</w:t>
                  </w:r>
                </w:p>
                <w:p w14:paraId="6BA1F0B7">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严格执行《中华人民共和国自然保护区条例》，禁止在自然保护区核心区、缓冲区的岸线和河段范围内投资建设旅游和生产经营项目。严格执行《风景名胜区条例》《江苏省风景名胜区管理条例》，禁止在国家级和省级风景名胜区核心景区的岸线和河段范围内投资建设与风景名胜资源保护无关的项目。自然保护区、风景名胜区由省林业局会同有关方面界定并落实管控责任。</w:t>
                  </w:r>
                </w:p>
                <w:p w14:paraId="0BE05FB3">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严格执行《中华人民共和国水污染防治法》《江苏省人民代表大会常务委员会关于加强饮用水源地保护的决定》《江苏省水污染防治条例》，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禁止在饮用水水源准保护区的岸线和河段范围内新建、扩建对水体污染严重的投资建设项目，改建项目应当消减排污量。饮用水水源一级保护区、二级保护区、准保护区由省生态环境厅会同水利等有关方面界定并落实管控责任。</w:t>
                  </w:r>
                </w:p>
                <w:p w14:paraId="728D71FD">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严格执行《水产种质资源保护区管理暂行办法》，禁止在国家级和省级水产种质资源保护区的岸线和河段范围内新建围湖造田、围海造地或围填海等投资建设项目。严格执行《中华人民共和国湿地保护法》《江苏省湿地保护条例》，禁止在国家湿地公园的岸线和河段范围内挖沙、采矿，以及任何不符合主体功能定位的投资建设项目。水产种质资源保护区、国家</w:t>
                  </w:r>
                </w:p>
                <w:p w14:paraId="46D4729A">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湿地公园分别由省农业农村厅、省林业局会同有关方面界定并落实管控责任。</w:t>
                  </w:r>
                </w:p>
                <w:p w14:paraId="3DAC1E47">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长江干支流基础设施项目应按照《长江岸线保护和开发利用总体规划》和生态环境保护、岸线保护等要求，按规定开展项目</w:t>
                  </w:r>
                </w:p>
                <w:p w14:paraId="0CECE947">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前期论证并办理相关手续。禁止在《全国重要江河湖泊水功能区划》划定的河段及湖泊保护区、保留区内投资建设不利于水资源及自然生态保护的项目。</w:t>
                  </w:r>
                </w:p>
                <w:p w14:paraId="57E3A1E3">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6.禁止未经许可在长江干支流及湖泊新设、改设或扩大排污口。</w:t>
                  </w:r>
                </w:p>
              </w:tc>
              <w:tc>
                <w:tcPr>
                  <w:tcW w:w="1288" w:type="pct"/>
                  <w:tcBorders>
                    <w:top w:val="single" w:color="auto" w:sz="4" w:space="0"/>
                    <w:left w:val="single" w:color="auto" w:sz="4" w:space="0"/>
                    <w:bottom w:val="single" w:color="auto" w:sz="4" w:space="0"/>
                    <w:right w:val="single" w:color="auto" w:sz="4" w:space="0"/>
                  </w:tcBorders>
                  <w:noWrap w:val="0"/>
                  <w:vAlign w:val="center"/>
                </w:tcPr>
                <w:p w14:paraId="580BA324">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本项目不涉及岸线，不在风景区，不在饮用水保护区，不涉及水产种质资源破坏，污水接管处理，不涉及河流排污口。</w:t>
                  </w:r>
                </w:p>
                <w:p w14:paraId="5AD95A1D">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5" w:type="pct"/>
                  <w:tcBorders>
                    <w:top w:val="single" w:color="auto" w:sz="4" w:space="0"/>
                    <w:left w:val="single" w:color="auto" w:sz="4" w:space="0"/>
                    <w:bottom w:val="single" w:color="auto" w:sz="4" w:space="0"/>
                  </w:tcBorders>
                  <w:noWrap w:val="0"/>
                  <w:vAlign w:val="center"/>
                </w:tcPr>
                <w:p w14:paraId="3514375B">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1E698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6" w:type="pct"/>
                  <w:tcBorders>
                    <w:top w:val="single" w:color="auto" w:sz="4" w:space="0"/>
                    <w:bottom w:val="single" w:color="auto" w:sz="4" w:space="0"/>
                    <w:right w:val="single" w:color="auto" w:sz="4" w:space="0"/>
                  </w:tcBorders>
                  <w:noWrap w:val="0"/>
                  <w:vAlign w:val="center"/>
                </w:tcPr>
                <w:p w14:paraId="561BFFAB">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二、区域活动</w:t>
                  </w:r>
                </w:p>
                <w:p w14:paraId="06E9EB64">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7.禁止长江干流、长江口、34 个列入《率先全面禁捕的长江流域水生生物保护区名录》的水生生物保护区以及省规定的其它禁渔水域开展生产性捕捞。</w:t>
                  </w:r>
                </w:p>
                <w:p w14:paraId="68835708">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8.禁止在距离长江干支流岸线一公里范围内新建、扩建化工园区和化工项目。长江干支流一公里按照长江</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干</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支流岸线边界(即水利部门河道管理范围边界)向陆域纵深一公里执行。</w:t>
                  </w:r>
                </w:p>
                <w:p w14:paraId="7953ADEE">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9.禁止在长江干流岸线三公里范围内新建、改建、扩建尾矿库、冶炼渣库和磷石膏库，以提升安全、生态环境保护水平为目的的改建除外。</w:t>
                  </w:r>
                </w:p>
                <w:p w14:paraId="05C37FE6">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10.禁止在太湖流域一、二、三级保护区内开展《江苏省太湖水污染防治条例》禁止的投资建设活动。</w:t>
                  </w:r>
                </w:p>
                <w:p w14:paraId="5EB059D5">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11.禁止在沿江地区新建、扩建未纳入国家和省布局规划的燃煤发电项目。</w:t>
                  </w:r>
                </w:p>
                <w:p w14:paraId="4DBB2218">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12.禁止在合规园区外新建、扩建钢铁、石化、化工、焦化、建材、有色、制浆造纸等高污染项目。合规园区名录按照《〈长江经济带发展负面清单指南(试行，2022 年版))江苏省实施细则》执行。</w:t>
                  </w:r>
                </w:p>
                <w:p w14:paraId="61F5F5F7">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13. 禁止在取消化工定位的园区(集中区)内新建化工项目。</w:t>
                  </w:r>
                </w:p>
                <w:p w14:paraId="0FCB7723">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14.禁止在化工企业周边建设不符合安全距离规定的劳动密集型的非化工项目和其他人员密集的公共设施项目。</w:t>
                  </w:r>
                </w:p>
              </w:tc>
              <w:tc>
                <w:tcPr>
                  <w:tcW w:w="1288" w:type="pct"/>
                  <w:tcBorders>
                    <w:top w:val="single" w:color="auto" w:sz="4" w:space="0"/>
                    <w:left w:val="single" w:color="auto" w:sz="4" w:space="0"/>
                    <w:bottom w:val="single" w:color="auto" w:sz="4" w:space="0"/>
                    <w:right w:val="single" w:color="auto" w:sz="4" w:space="0"/>
                  </w:tcBorders>
                  <w:noWrap w:val="0"/>
                  <w:vAlign w:val="center"/>
                </w:tcPr>
                <w:p w14:paraId="65106986">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本项目不涉及捕捞、不属于化工、火电、采矿等上述规定高污染行业</w:t>
                  </w:r>
                </w:p>
                <w:p w14:paraId="346F0C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5" w:type="pct"/>
                  <w:tcBorders>
                    <w:top w:val="single" w:color="auto" w:sz="4" w:space="0"/>
                    <w:left w:val="single" w:color="auto" w:sz="4" w:space="0"/>
                    <w:bottom w:val="single" w:color="auto" w:sz="4" w:space="0"/>
                  </w:tcBorders>
                  <w:noWrap w:val="0"/>
                  <w:vAlign w:val="center"/>
                </w:tcPr>
                <w:p w14:paraId="64EA03D9">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4DD85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6" w:type="pct"/>
                  <w:tcBorders>
                    <w:top w:val="single" w:color="auto" w:sz="4" w:space="0"/>
                    <w:bottom w:val="single" w:color="auto" w:sz="12" w:space="0"/>
                    <w:right w:val="single" w:color="auto" w:sz="4" w:space="0"/>
                  </w:tcBorders>
                  <w:noWrap w:val="0"/>
                  <w:vAlign w:val="center"/>
                </w:tcPr>
                <w:p w14:paraId="7CD9DC81">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三、产业发展</w:t>
                  </w:r>
                </w:p>
                <w:p w14:paraId="60784935">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15.禁止新建、扩建不符合国家和省产业政策的尿素、磷铵、电石、烧碱、聚氯乙烯、纯碱等行业新增产能项目。</w:t>
                  </w:r>
                </w:p>
                <w:p w14:paraId="26CD4BFE">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16.禁止新建、改建、扩建高毒、高残留以及对环境影响大的农药原药(化学合成类)项目，禁止新建、扩建不符合国家和省产业政策的农药、医药和染料中间体化工项目。</w:t>
                  </w:r>
                </w:p>
                <w:p w14:paraId="2A2D1462">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17.禁止新建、扩建不符合国家石化、现代煤化工等产业布局规划的项目，禁止新建独立焦化项目。</w:t>
                  </w:r>
                </w:p>
                <w:p w14:paraId="5FB5C3DE">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18.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p w14:paraId="0A7CBC04">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19.禁止新建、扩建不符合国家产能置换要求的严重过剩产能行业的项目。禁止新建、扩建不符合要求的高耗能高排放项目。</w:t>
                  </w:r>
                </w:p>
                <w:p w14:paraId="6159CC1F">
                  <w:pPr>
                    <w:keepNext w:val="0"/>
                    <w:keepLines w:val="0"/>
                    <w:widowControl/>
                    <w:suppressLineNumbers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20.法律法规及相关政策文件有更加严格规定的从其规定。</w:t>
                  </w:r>
                </w:p>
              </w:tc>
              <w:tc>
                <w:tcPr>
                  <w:tcW w:w="1288" w:type="pct"/>
                  <w:tcBorders>
                    <w:top w:val="single" w:color="auto" w:sz="4" w:space="0"/>
                    <w:left w:val="single" w:color="auto" w:sz="4" w:space="0"/>
                    <w:bottom w:val="single" w:color="auto" w:sz="12" w:space="0"/>
                    <w:right w:val="single" w:color="auto" w:sz="4" w:space="0"/>
                  </w:tcBorders>
                  <w:noWrap w:val="0"/>
                  <w:vAlign w:val="center"/>
                </w:tcPr>
                <w:p w14:paraId="0C0A2435">
                  <w:pPr>
                    <w:keepNext w:val="0"/>
                    <w:keepLines w:val="0"/>
                    <w:widowControl/>
                    <w:suppressLineNumbers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本项目不涉及捕捞、不属于化工、火电、采矿等上述规定高污染及</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明令</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禁止、</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限制</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行业</w:t>
                  </w:r>
                </w:p>
                <w:p w14:paraId="2627FE46">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95" w:type="pct"/>
                  <w:tcBorders>
                    <w:top w:val="single" w:color="auto" w:sz="4" w:space="0"/>
                    <w:left w:val="single" w:color="auto" w:sz="4" w:space="0"/>
                    <w:bottom w:val="single" w:color="auto" w:sz="12" w:space="0"/>
                  </w:tcBorders>
                  <w:noWrap w:val="0"/>
                  <w:vAlign w:val="center"/>
                </w:tcPr>
                <w:p w14:paraId="2A6CD44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bl>
          <w:p w14:paraId="48124760">
            <w:pPr>
              <w:pStyle w:val="5"/>
              <w:spacing w:line="360" w:lineRule="auto"/>
              <w:ind w:firstLine="480"/>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对照</w:t>
            </w:r>
            <w:r>
              <w:rPr>
                <w:rFonts w:hint="default" w:ascii="Times New Roman" w:hAnsi="Times New Roman" w:cs="Times New Roman"/>
                <w:bCs/>
                <w:color w:val="000000" w:themeColor="text1"/>
                <w:sz w:val="21"/>
                <w:szCs w:val="21"/>
                <w:lang w:val="en-US" w:eastAsia="zh-CN"/>
                <w14:textFill>
                  <w14:solidFill>
                    <w14:schemeClr w14:val="tx1"/>
                  </w14:solidFill>
                </w14:textFill>
              </w:rPr>
              <w:t>《长江经济带发展负面清单指南》（试行，2022年版）（江苏省实施细则）</w:t>
            </w:r>
            <w:r>
              <w:rPr>
                <w:rFonts w:hint="default" w:ascii="Times New Roman" w:hAnsi="Times New Roman" w:cs="Times New Roman"/>
                <w:b w:val="0"/>
                <w:bCs/>
                <w:color w:val="000000" w:themeColor="text1"/>
                <w:sz w:val="21"/>
                <w:szCs w:val="21"/>
                <w14:textFill>
                  <w14:solidFill>
                    <w14:schemeClr w14:val="tx1"/>
                  </w14:solidFill>
                </w14:textFill>
              </w:rPr>
              <w:t>中相关内容要求，本项目符合相关要求</w:t>
            </w:r>
            <w:r>
              <w:rPr>
                <w:rFonts w:hint="default" w:ascii="Times New Roman" w:hAnsi="Times New Roman" w:cs="Times New Roman"/>
                <w:bCs/>
                <w:color w:val="000000" w:themeColor="text1"/>
                <w:sz w:val="21"/>
                <w:szCs w:val="21"/>
                <w14:textFill>
                  <w14:solidFill>
                    <w14:schemeClr w14:val="tx1"/>
                  </w14:solidFill>
                </w14:textFill>
              </w:rPr>
              <w:t>。</w:t>
            </w:r>
          </w:p>
          <w:p w14:paraId="60F0A9FA">
            <w:pPr>
              <w:pStyle w:val="5"/>
              <w:spacing w:line="360" w:lineRule="auto"/>
              <w:ind w:firstLine="48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综上所述，拟建项目符合</w:t>
            </w:r>
            <w:r>
              <w:rPr>
                <w:rFonts w:hint="default" w:ascii="Times New Roman" w:hAnsi="Times New Roman" w:eastAsia="宋体" w:cs="Times New Roman"/>
                <w:bCs/>
                <w:color w:val="000000" w:themeColor="text1"/>
                <w:sz w:val="21"/>
                <w:szCs w:val="21"/>
                <w14:textFill>
                  <w14:solidFill>
                    <w14:schemeClr w14:val="tx1"/>
                  </w14:solidFill>
                </w14:textFill>
              </w:rPr>
              <w:t>“三线一单”</w:t>
            </w:r>
            <w:r>
              <w:rPr>
                <w:rFonts w:hint="default" w:ascii="Times New Roman" w:hAnsi="Times New Roman" w:cs="Times New Roman"/>
                <w:bCs/>
                <w:color w:val="000000" w:themeColor="text1"/>
                <w:sz w:val="21"/>
                <w:szCs w:val="21"/>
                <w14:textFill>
                  <w14:solidFill>
                    <w14:schemeClr w14:val="tx1"/>
                  </w14:solidFill>
                </w14:textFill>
              </w:rPr>
              <w:t>要求</w:t>
            </w:r>
            <w:r>
              <w:rPr>
                <w:rFonts w:hint="default" w:ascii="Times New Roman" w:hAnsi="Times New Roman" w:cs="Times New Roman"/>
                <w:color w:val="000000" w:themeColor="text1"/>
                <w:sz w:val="24"/>
                <w:lang w:val="en-US" w:eastAsia="zh-CN"/>
                <w14:textFill>
                  <w14:solidFill>
                    <w14:schemeClr w14:val="tx1"/>
                  </w14:solidFill>
                </w14:textFill>
              </w:rPr>
              <w:t>。</w:t>
            </w:r>
          </w:p>
          <w:p w14:paraId="6DDE81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3</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、与南通市海门区国土空间总体规划相符性分析</w:t>
            </w:r>
          </w:p>
          <w:p w14:paraId="7A3CEA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本项目与《南通市海门区国土空间总体规划》（2021-2035年）相符性分析见表1-</w:t>
            </w:r>
            <w:r>
              <w:rPr>
                <w:rFonts w:hint="eastAsia" w:cs="Times New Roman"/>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2A5FA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表1-</w:t>
            </w:r>
            <w:r>
              <w:rPr>
                <w:rFonts w:hint="eastAsia" w:cs="Times New Roman"/>
                <w:b/>
                <w:bCs/>
                <w:color w:val="000000" w:themeColor="text1"/>
                <w:szCs w:val="21"/>
                <w:lang w:val="en-US" w:eastAsia="zh-CN"/>
                <w14:textFill>
                  <w14:solidFill>
                    <w14:schemeClr w14:val="tx1"/>
                  </w14:solidFill>
                </w14:textFill>
              </w:rPr>
              <w:t>8</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 xml:space="preserve">  与南通市海门区国土空间总体规划相符性分析</w:t>
            </w:r>
          </w:p>
          <w:tbl>
            <w:tblPr>
              <w:tblStyle w:val="4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4033"/>
              <w:gridCol w:w="2068"/>
              <w:gridCol w:w="1054"/>
            </w:tblGrid>
            <w:tr w14:paraId="3726ED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2" w:type="pct"/>
                  <w:shd w:val="clear" w:color="auto" w:fill="auto"/>
                  <w:noWrap w:val="0"/>
                  <w:vAlign w:val="center"/>
                </w:tcPr>
                <w:p w14:paraId="661A1416">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要点</w:t>
                  </w:r>
                </w:p>
              </w:tc>
              <w:tc>
                <w:tcPr>
                  <w:tcW w:w="2506" w:type="pct"/>
                  <w:shd w:val="clear" w:color="auto" w:fill="auto"/>
                  <w:noWrap w:val="0"/>
                  <w:vAlign w:val="center"/>
                </w:tcPr>
                <w:p w14:paraId="0693744D">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规划</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要求</w:t>
                  </w:r>
                </w:p>
              </w:tc>
              <w:tc>
                <w:tcPr>
                  <w:tcW w:w="1285" w:type="pct"/>
                  <w:shd w:val="clear" w:color="auto" w:fill="auto"/>
                  <w:noWrap w:val="0"/>
                  <w:vAlign w:val="center"/>
                </w:tcPr>
                <w:p w14:paraId="5FC28248">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情况</w:t>
                  </w:r>
                </w:p>
              </w:tc>
              <w:tc>
                <w:tcPr>
                  <w:tcW w:w="655" w:type="pct"/>
                  <w:shd w:val="clear" w:color="auto" w:fill="auto"/>
                  <w:noWrap w:val="0"/>
                  <w:vAlign w:val="center"/>
                </w:tcPr>
                <w:p w14:paraId="272ECDC9">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相符性</w:t>
                  </w:r>
                </w:p>
              </w:tc>
            </w:tr>
            <w:tr w14:paraId="3392A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552" w:type="pct"/>
                  <w:shd w:val="clear" w:color="auto" w:fill="auto"/>
                  <w:noWrap w:val="0"/>
                  <w:vAlign w:val="center"/>
                </w:tcPr>
                <w:p w14:paraId="33CCACBB">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三区划定管控</w:t>
                  </w:r>
                </w:p>
              </w:tc>
              <w:tc>
                <w:tcPr>
                  <w:tcW w:w="2506" w:type="pct"/>
                  <w:shd w:val="clear" w:color="auto" w:fill="auto"/>
                  <w:noWrap w:val="0"/>
                  <w:vAlign w:val="center"/>
                </w:tcPr>
                <w:p w14:paraId="1926E04B">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中心城市——滨江主城：集现代制造、科技创新、人文宜居、综合服务等功能于一体的城市；</w:t>
                  </w:r>
                </w:p>
                <w:p w14:paraId="1B515A9B">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重点镇区——包场镇：集临港产业、商贸配套于一体的滨海新城，三星镇：集临空产业、家纺商贸于一体的现代新城，临江镇： 海门生物医药基地，引导产业提档升级，推动 高污染、低效益企业腾退，完善生活生产服务职能；</w:t>
                  </w:r>
                </w:p>
                <w:p w14:paraId="6774B5AA">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一般镇区——正余镇、四甲镇、余东镇、常乐镇、悦来镇、海永镇：发展特色产业，完善生活服务功能</w:t>
                  </w:r>
                </w:p>
              </w:tc>
              <w:tc>
                <w:tcPr>
                  <w:tcW w:w="1285" w:type="pct"/>
                  <w:shd w:val="clear" w:color="auto" w:fill="auto"/>
                  <w:noWrap w:val="0"/>
                  <w:vAlign w:val="center"/>
                </w:tcPr>
                <w:p w14:paraId="77AEC28C">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本项目位于滨江街道，属于</w:t>
                  </w:r>
                  <w:r>
                    <w:rPr>
                      <w:rFonts w:hint="eastAsia" w:ascii="Times New Roman" w:hAnsi="Times New Roman" w:cs="Times New Roman"/>
                      <w:color w:val="000000" w:themeColor="text1"/>
                      <w:szCs w:val="21"/>
                      <w:lang w:val="en-US" w:eastAsia="zh-CN"/>
                      <w14:textFill>
                        <w14:solidFill>
                          <w14:schemeClr w14:val="tx1"/>
                        </w14:solidFill>
                      </w14:textFill>
                    </w:rPr>
                    <w:t>锻件及粉末冶金制品制造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，满足现代制造功能要求</w:t>
                  </w:r>
                </w:p>
              </w:tc>
              <w:tc>
                <w:tcPr>
                  <w:tcW w:w="655" w:type="pct"/>
                  <w:shd w:val="clear" w:color="auto" w:fill="auto"/>
                  <w:noWrap w:val="0"/>
                  <w:vAlign w:val="center"/>
                </w:tcPr>
                <w:p w14:paraId="532875EB">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05D4AC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52" w:type="pct"/>
                  <w:vMerge w:val="restart"/>
                  <w:noWrap w:val="0"/>
                  <w:vAlign w:val="center"/>
                </w:tcPr>
                <w:p w14:paraId="1FF674FB">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三线划定管控</w:t>
                  </w:r>
                </w:p>
              </w:tc>
              <w:tc>
                <w:tcPr>
                  <w:tcW w:w="2506" w:type="pct"/>
                  <w:noWrap w:val="0"/>
                  <w:vAlign w:val="center"/>
                </w:tcPr>
                <w:p w14:paraId="2C905A30">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严格落实上级下达的耕地和永久基本农田保护任务，确保永久基本农田数量不减少、质量不降低、布局稳定。坚决遏制耕地“非农化”，防止耕地耕地“非粮化”</w:t>
                  </w:r>
                </w:p>
              </w:tc>
              <w:tc>
                <w:tcPr>
                  <w:tcW w:w="1285" w:type="pct"/>
                  <w:noWrap w:val="0"/>
                  <w:vAlign w:val="center"/>
                </w:tcPr>
                <w:p w14:paraId="35F3FC72">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本项目建设未新增建设用地</w:t>
                  </w:r>
                </w:p>
              </w:tc>
              <w:tc>
                <w:tcPr>
                  <w:tcW w:w="655" w:type="pct"/>
                  <w:noWrap w:val="0"/>
                  <w:vAlign w:val="center"/>
                </w:tcPr>
                <w:p w14:paraId="581EF82C">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492409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pct"/>
                  <w:vMerge w:val="continue"/>
                  <w:noWrap w:val="0"/>
                  <w:vAlign w:val="center"/>
                </w:tcPr>
                <w:p w14:paraId="0D8F1043">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506" w:type="pct"/>
                  <w:noWrap w:val="0"/>
                  <w:vAlign w:val="center"/>
                </w:tcPr>
                <w:p w14:paraId="0D820A1F">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锚固优质生态空间，严守生态保护红线，禁止开发性、生产性建设活动，除国家重大战略项目外，仅允许对生态功能不破坏的有限人为活动</w:t>
                  </w:r>
                </w:p>
              </w:tc>
              <w:tc>
                <w:tcPr>
                  <w:tcW w:w="1285" w:type="pct"/>
                  <w:noWrap w:val="0"/>
                  <w:vAlign w:val="center"/>
                </w:tcPr>
                <w:p w14:paraId="7521D0E2">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本项目建设地不在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生态保护红线</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区域</w:t>
                  </w:r>
                </w:p>
              </w:tc>
              <w:tc>
                <w:tcPr>
                  <w:tcW w:w="655" w:type="pct"/>
                  <w:noWrap w:val="0"/>
                  <w:vAlign w:val="center"/>
                </w:tcPr>
                <w:p w14:paraId="543A08AB">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60E74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pct"/>
                  <w:vMerge w:val="continue"/>
                  <w:noWrap w:val="0"/>
                  <w:vAlign w:val="center"/>
                </w:tcPr>
                <w:p w14:paraId="6E235C9E">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506" w:type="pct"/>
                  <w:noWrap w:val="0"/>
                  <w:vAlign w:val="center"/>
                </w:tcPr>
                <w:p w14:paraId="003B4633">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坚持节约集约、紧凑发展原则，新增城镇建设用地投放应向城镇开发边界内集中，因国家重大战略实施等原因需调整的，应报国土空间规划原审批机关审批</w:t>
                  </w:r>
                </w:p>
              </w:tc>
              <w:tc>
                <w:tcPr>
                  <w:tcW w:w="1285" w:type="pct"/>
                  <w:noWrap w:val="0"/>
                  <w:vAlign w:val="center"/>
                </w:tcPr>
                <w:p w14:paraId="430DCB6E">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本项目建设未新增建设用地</w:t>
                  </w:r>
                </w:p>
              </w:tc>
              <w:tc>
                <w:tcPr>
                  <w:tcW w:w="655" w:type="pct"/>
                  <w:noWrap w:val="0"/>
                  <w:vAlign w:val="center"/>
                </w:tcPr>
                <w:p w14:paraId="5D5F2A74">
                  <w:pPr>
                    <w:pStyle w:val="50"/>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bl>
          <w:p w14:paraId="4A1636F0">
            <w:pPr>
              <w:pStyle w:val="50"/>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420" w:leftChars="0"/>
              <w:jc w:val="both"/>
              <w:textAlignment w:val="auto"/>
              <w:rPr>
                <w:rFonts w:hint="default" w:ascii="Times New Roman" w:hAnsi="Times New Roman" w:cs="Times New Roman"/>
                <w:b/>
                <w:color w:val="000000" w:themeColor="text1"/>
                <w:sz w:val="21"/>
                <w:szCs w:val="21"/>
                <w:lang w:val="en-US" w:eastAsia="zh-CN"/>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4、</w:t>
            </w:r>
            <w:r>
              <w:rPr>
                <w:rFonts w:hint="default" w:ascii="Times New Roman" w:hAnsi="Times New Roman" w:cs="Times New Roman"/>
                <w:b/>
                <w:color w:val="000000" w:themeColor="text1"/>
                <w:sz w:val="21"/>
                <w:szCs w:val="21"/>
                <w:lang w:val="en-US" w:eastAsia="zh-CN"/>
                <w14:textFill>
                  <w14:solidFill>
                    <w14:schemeClr w14:val="tx1"/>
                  </w14:solidFill>
                </w14:textFill>
              </w:rPr>
              <w:t>与《关于推动铸造和锻压行业高质量发展的指导意见》（工信部联通装</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〔202</w:t>
            </w:r>
            <w:r>
              <w:rPr>
                <w:rFonts w:hint="default" w:ascii="Times New Roman" w:hAnsi="Times New Roman"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w:t>
            </w:r>
            <w:r>
              <w:rPr>
                <w:rFonts w:hint="default" w:ascii="Times New Roman" w:hAnsi="Times New Roman" w:cs="Times New Roman"/>
                <w:b/>
                <w:color w:val="000000" w:themeColor="text1"/>
                <w:sz w:val="21"/>
                <w:szCs w:val="21"/>
                <w:lang w:val="en-US" w:eastAsia="zh-CN"/>
                <w14:textFill>
                  <w14:solidFill>
                    <w14:schemeClr w14:val="tx1"/>
                  </w14:solidFill>
                </w14:textFill>
              </w:rPr>
              <w:t>40号）的相符性分析</w:t>
            </w:r>
          </w:p>
          <w:p w14:paraId="66691F32">
            <w:pPr>
              <w:pStyle w:val="50"/>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表1-9  与《</w:t>
            </w:r>
            <w:r>
              <w:rPr>
                <w:rFonts w:hint="default" w:ascii="Times New Roman" w:hAnsi="Times New Roman" w:cs="Times New Roman"/>
                <w:b/>
                <w:color w:val="000000" w:themeColor="text1"/>
                <w:sz w:val="21"/>
                <w:szCs w:val="21"/>
                <w:lang w:val="en-US" w:eastAsia="zh-CN"/>
                <w14:textFill>
                  <w14:solidFill>
                    <w14:schemeClr w14:val="tx1"/>
                  </w14:solidFill>
                </w14:textFill>
              </w:rPr>
              <w:t>关于推动铸造和锻压行业高质量发展的指导意见</w:t>
            </w:r>
            <w:r>
              <w:rPr>
                <w:rFonts w:hint="default" w:ascii="Times New Roman" w:hAnsi="Times New Roman" w:cs="Times New Roman"/>
                <w:b/>
                <w:bCs/>
                <w:color w:val="000000" w:themeColor="text1"/>
                <w:sz w:val="21"/>
                <w:szCs w:val="21"/>
                <w:lang w:val="en-US" w:eastAsia="zh-CN"/>
                <w14:textFill>
                  <w14:solidFill>
                    <w14:schemeClr w14:val="tx1"/>
                  </w14:solidFill>
                </w14:textFill>
              </w:rPr>
              <w:t>》相符性分析表</w:t>
            </w:r>
          </w:p>
          <w:tbl>
            <w:tblPr>
              <w:tblStyle w:val="4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554"/>
              <w:gridCol w:w="3799"/>
              <w:gridCol w:w="2039"/>
              <w:gridCol w:w="964"/>
            </w:tblGrid>
            <w:tr w14:paraId="1D7289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8" w:type="pct"/>
                  <w:noWrap w:val="0"/>
                  <w:vAlign w:val="center"/>
                </w:tcPr>
                <w:p w14:paraId="5630DBE1">
                  <w:pPr>
                    <w:pStyle w:val="5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2704" w:type="pct"/>
                  <w:gridSpan w:val="2"/>
                  <w:noWrap w:val="0"/>
                  <w:vAlign w:val="center"/>
                </w:tcPr>
                <w:p w14:paraId="27900408">
                  <w:pPr>
                    <w:pStyle w:val="5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文件相关内容</w:t>
                  </w:r>
                </w:p>
              </w:tc>
              <w:tc>
                <w:tcPr>
                  <w:tcW w:w="1267" w:type="pct"/>
                  <w:noWrap w:val="0"/>
                  <w:vAlign w:val="center"/>
                </w:tcPr>
                <w:p w14:paraId="744A2116">
                  <w:pPr>
                    <w:pStyle w:val="5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本项目情况</w:t>
                  </w:r>
                </w:p>
              </w:tc>
              <w:tc>
                <w:tcPr>
                  <w:tcW w:w="599" w:type="pct"/>
                  <w:noWrap w:val="0"/>
                  <w:vAlign w:val="center"/>
                </w:tcPr>
                <w:p w14:paraId="149D4214">
                  <w:pPr>
                    <w:pStyle w:val="5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相符性</w:t>
                  </w:r>
                </w:p>
              </w:tc>
            </w:tr>
            <w:tr w14:paraId="28A9D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28" w:type="pct"/>
                  <w:noWrap w:val="0"/>
                  <w:vAlign w:val="center"/>
                </w:tcPr>
                <w:p w14:paraId="4867F8F0">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344" w:type="pct"/>
                  <w:vMerge w:val="restart"/>
                  <w:noWrap w:val="0"/>
                  <w:vAlign w:val="center"/>
                </w:tcPr>
                <w:p w14:paraId="150C2DD9">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提高行业创新能力</w:t>
                  </w:r>
                </w:p>
              </w:tc>
              <w:tc>
                <w:tcPr>
                  <w:tcW w:w="2360" w:type="pct"/>
                  <w:noWrap w:val="0"/>
                  <w:vAlign w:val="center"/>
                </w:tcPr>
                <w:p w14:paraId="4A2031A4">
                  <w:pPr>
                    <w:pStyle w:val="5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1.开展关键核心技术攻关。</w:t>
                  </w: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推进以企业为主体，产学研用相结合的技术创新体系建设。鼓励企业与上游主机装备企业、高校、科研院所开展协同攻关，推动产业链上中下游协同创新、大中小企业融通创新和科技成果转化应用。聚焦国家战略和产业发展需求，通过实施产业基础再造工程，支持关键核心技术攻关，突破行业急需的先进基础工艺和装备、关键基础材料、关键软件等，补齐产业链短板，着力提高装备制造业产业链供应链韧性，增强产业体系抗冲击能力。</w:t>
                  </w:r>
                </w:p>
              </w:tc>
              <w:tc>
                <w:tcPr>
                  <w:tcW w:w="1267" w:type="pct"/>
                  <w:noWrap w:val="0"/>
                  <w:vAlign w:val="center"/>
                </w:tcPr>
                <w:p w14:paraId="3A83F0E2">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本项目使用的较为先进的</w:t>
                  </w:r>
                  <w:r>
                    <w:rPr>
                      <w:rFonts w:hint="eastAsia" w:ascii="Times New Roman" w:hAnsi="Times New Roman" w:cs="Times New Roman"/>
                      <w:color w:val="000000" w:themeColor="text1"/>
                      <w:sz w:val="21"/>
                      <w:szCs w:val="21"/>
                      <w:lang w:val="en-US" w:eastAsia="zh-CN"/>
                      <w14:textFill>
                        <w14:solidFill>
                          <w14:schemeClr w14:val="tx1"/>
                        </w14:solidFill>
                      </w14:textFill>
                    </w:rPr>
                    <w:t>锻压</w:t>
                  </w:r>
                  <w:r>
                    <w:rPr>
                      <w:rFonts w:hint="default" w:ascii="Times New Roman" w:hAnsi="Times New Roman" w:cs="Times New Roman"/>
                      <w:color w:val="000000" w:themeColor="text1"/>
                      <w:sz w:val="21"/>
                      <w:szCs w:val="21"/>
                      <w:lang w:val="en-US" w:eastAsia="zh-CN"/>
                      <w14:textFill>
                        <w14:solidFill>
                          <w14:schemeClr w14:val="tx1"/>
                        </w14:solidFill>
                      </w14:textFill>
                    </w:rPr>
                    <w:t>工艺</w:t>
                  </w:r>
                </w:p>
              </w:tc>
              <w:tc>
                <w:tcPr>
                  <w:tcW w:w="599" w:type="pct"/>
                  <w:noWrap w:val="0"/>
                  <w:vAlign w:val="center"/>
                </w:tcPr>
                <w:p w14:paraId="426BDB8B">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3C5A2C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8" w:type="pct"/>
                  <w:noWrap w:val="0"/>
                  <w:vAlign w:val="center"/>
                </w:tcPr>
                <w:p w14:paraId="5257C088">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344" w:type="pct"/>
                  <w:vMerge w:val="continue"/>
                  <w:noWrap w:val="0"/>
                  <w:vAlign w:val="center"/>
                </w:tcPr>
                <w:p w14:paraId="37688AC5">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p>
              </w:tc>
              <w:tc>
                <w:tcPr>
                  <w:tcW w:w="2360" w:type="pct"/>
                  <w:noWrap w:val="0"/>
                  <w:vAlign w:val="center"/>
                </w:tcPr>
                <w:p w14:paraId="2C9F3750">
                  <w:pPr>
                    <w:pStyle w:val="5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2.发展先进铸造工艺与装备。</w:t>
                  </w: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重点发展高紧实度粘土砂自动化造型、高效自硬砂铸造、精密组芯造型、壳型铸造、离心铸造、金属型铸造、铁模覆砂、消失模/V法/实型铸造、轻合金高压/挤压/差压/低压/半固态/调压铸造、硅溶胶熔模铸造、短流程铸造、砂型3D打印等先进铸造工艺与装备。</w:t>
                  </w:r>
                </w:p>
              </w:tc>
              <w:tc>
                <w:tcPr>
                  <w:tcW w:w="1267" w:type="pct"/>
                  <w:noWrap w:val="0"/>
                  <w:vAlign w:val="center"/>
                </w:tcPr>
                <w:p w14:paraId="63C96C23">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本项目不涉及</w:t>
                  </w:r>
                </w:p>
              </w:tc>
              <w:tc>
                <w:tcPr>
                  <w:tcW w:w="599" w:type="pct"/>
                  <w:noWrap w:val="0"/>
                  <w:vAlign w:val="center"/>
                </w:tcPr>
                <w:p w14:paraId="275611BE">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26395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8" w:type="pct"/>
                  <w:noWrap w:val="0"/>
                  <w:vAlign w:val="center"/>
                </w:tcPr>
                <w:p w14:paraId="29B5D747">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344" w:type="pct"/>
                  <w:vMerge w:val="continue"/>
                  <w:noWrap w:val="0"/>
                  <w:vAlign w:val="center"/>
                </w:tcPr>
                <w:p w14:paraId="78F5AF7F">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p>
              </w:tc>
              <w:tc>
                <w:tcPr>
                  <w:tcW w:w="2360" w:type="pct"/>
                  <w:noWrap w:val="0"/>
                  <w:vAlign w:val="center"/>
                </w:tcPr>
                <w:p w14:paraId="09A4FB5B">
                  <w:pPr>
                    <w:pStyle w:val="5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3.发展先进锻压工艺与装备。</w:t>
                  </w: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重点发展精密结构件高速冲压、超高强板材深拉深、高强轻质合金板材冲击液压成形、复杂异型结构旋压、高速精密多工位锻造、冷热径向锻造、冲锻复合近净成形、短流程模锻及自由锻、精密锻造、粉末精密锻造、数字化钣金制作成形中心、数字化高效通用零件加工中心等先进锻压工艺与装备。</w:t>
                  </w:r>
                </w:p>
              </w:tc>
              <w:tc>
                <w:tcPr>
                  <w:tcW w:w="1267" w:type="pct"/>
                  <w:noWrap w:val="0"/>
                  <w:vAlign w:val="center"/>
                </w:tcPr>
                <w:p w14:paraId="428DA621">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本项目采用</w:t>
                  </w: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先进</w:t>
                  </w:r>
                  <w:r>
                    <w:rPr>
                      <w:rFonts w:hint="default" w:ascii="Times New Roman" w:hAnsi="Times New Roman" w:cs="Times New Roman"/>
                      <w:color w:val="000000" w:themeColor="text1"/>
                      <w:sz w:val="21"/>
                      <w:szCs w:val="21"/>
                      <w:lang w:val="en-US" w:eastAsia="zh-CN"/>
                      <w14:textFill>
                        <w14:solidFill>
                          <w14:schemeClr w14:val="tx1"/>
                        </w14:solidFill>
                      </w14:textFill>
                    </w:rPr>
                    <w:t>精密锻造</w:t>
                  </w:r>
                </w:p>
              </w:tc>
              <w:tc>
                <w:tcPr>
                  <w:tcW w:w="599" w:type="pct"/>
                  <w:noWrap w:val="0"/>
                  <w:vAlign w:val="center"/>
                </w:tcPr>
                <w:p w14:paraId="74156D27">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2E5F7A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8" w:type="pct"/>
                  <w:noWrap w:val="0"/>
                  <w:vAlign w:val="center"/>
                </w:tcPr>
                <w:p w14:paraId="07A086F1">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344" w:type="pct"/>
                  <w:vMerge w:val="continue"/>
                  <w:noWrap w:val="0"/>
                  <w:vAlign w:val="center"/>
                </w:tcPr>
                <w:p w14:paraId="16F783CE">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p>
              </w:tc>
              <w:tc>
                <w:tcPr>
                  <w:tcW w:w="2360" w:type="pct"/>
                  <w:noWrap w:val="0"/>
                  <w:vAlign w:val="center"/>
                </w:tcPr>
                <w:p w14:paraId="6EBE1AE7">
                  <w:pPr>
                    <w:pStyle w:val="5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4.强化创新服务平台建设。</w:t>
                  </w: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优化提升现有研发创新机构建设水平，建设一批产业技术基础公共服务平台，推动标准、计量、认证认可、检验检测、试验验证、产业信息、知识产权、成果转化等技术基础要素体系融合发展，增强面向行业的共性技术服务能力。建设材料、工艺等数据库，开展工艺数据分析和优化服务。鼓励有条件的企业和科研院所整合创新资源，布局建设基础研究机构，提升共性技术供给能力。</w:t>
                  </w:r>
                </w:p>
              </w:tc>
              <w:tc>
                <w:tcPr>
                  <w:tcW w:w="1267" w:type="pct"/>
                  <w:noWrap w:val="0"/>
                  <w:vAlign w:val="center"/>
                </w:tcPr>
                <w:p w14:paraId="3FEA9A54">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本项目实施后将尽可能推动技术基础要素体系融合发展</w:t>
                  </w:r>
                </w:p>
              </w:tc>
              <w:tc>
                <w:tcPr>
                  <w:tcW w:w="599" w:type="pct"/>
                  <w:noWrap w:val="0"/>
                  <w:vAlign w:val="center"/>
                </w:tcPr>
                <w:p w14:paraId="212E997E">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438C2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8" w:type="pct"/>
                  <w:noWrap w:val="0"/>
                  <w:vAlign w:val="center"/>
                </w:tcPr>
                <w:p w14:paraId="439ED560">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344" w:type="pct"/>
                  <w:noWrap w:val="0"/>
                  <w:vAlign w:val="center"/>
                </w:tcPr>
                <w:p w14:paraId="5821213B">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推进行业规范发展</w:t>
                  </w:r>
                </w:p>
              </w:tc>
              <w:tc>
                <w:tcPr>
                  <w:tcW w:w="2360" w:type="pct"/>
                  <w:noWrap w:val="0"/>
                  <w:vAlign w:val="center"/>
                </w:tcPr>
                <w:p w14:paraId="546B22DF">
                  <w:pPr>
                    <w:pStyle w:val="50"/>
                    <w:jc w:val="center"/>
                    <w:rPr>
                      <w:rStyle w:val="44"/>
                      <w:rFonts w:hint="default" w:ascii="Times New Roman" w:hAnsi="Times New Roman" w:eastAsia="宋体" w:cs="Times New Roman"/>
                      <w:b w:val="0"/>
                      <w:bCs w:val="0"/>
                      <w:i w:val="0"/>
                      <w:iCs w:val="0"/>
                      <w:caps w:val="0"/>
                      <w:color w:val="000000" w:themeColor="text1"/>
                      <w:spacing w:val="0"/>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1.推进产业结构优化。严格执行节能、环保、质量、安全技术等相关法律法规标准和《产业结构调整指导目录》等政策，依法依规淘汰工艺装备落后、污染物排放不达标、生产安全无保障的落后产能。鼓励大气污染防治重点区域加大淘汰落后力度。铸造企业不得采用无芯工频感应电炉、无磁轭（≥0.25吨）铝壳中频感应电炉、水玻璃熔模精密铸造氯化铵硬化模壳、铝合金六氯乙烷精炼等淘汰类工艺和装备。加快存量项目升级改造，推进企业合理选择低污染、低能耗、经济高效的先进工艺技术，提升行业竞争能力。强化铸造和锻压与装备制造业协同布局，引导具备条件的企业入园集聚发展，提升产业链供应链协同配套能力，构建布局合理、错位互补、供需联动、协同发展的产业格局。</w:t>
                  </w:r>
                </w:p>
              </w:tc>
              <w:tc>
                <w:tcPr>
                  <w:tcW w:w="1267" w:type="pct"/>
                  <w:noWrap w:val="0"/>
                  <w:vAlign w:val="center"/>
                </w:tcPr>
                <w:p w14:paraId="54AB2D88">
                  <w:pPr>
                    <w:pStyle w:val="50"/>
                    <w:jc w:val="cente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t xml:space="preserve">本项目严格执行节能、环保、质量、安全等相关法规要求和《产业结构调 </w:t>
                  </w:r>
                </w:p>
                <w:p w14:paraId="0DD5AC7C">
                  <w:pPr>
                    <w:pStyle w:val="50"/>
                    <w:jc w:val="cente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t>整指导目录》等政策，本项目不采用淘汰类工艺和装备</w:t>
                  </w:r>
                </w:p>
              </w:tc>
              <w:tc>
                <w:tcPr>
                  <w:tcW w:w="599" w:type="pct"/>
                  <w:noWrap w:val="0"/>
                  <w:vAlign w:val="center"/>
                </w:tcPr>
                <w:p w14:paraId="061DE330">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0F84A8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8" w:type="pct"/>
                  <w:noWrap w:val="0"/>
                  <w:vAlign w:val="center"/>
                </w:tcPr>
                <w:p w14:paraId="258DF874">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p>
              </w:tc>
              <w:tc>
                <w:tcPr>
                  <w:tcW w:w="344" w:type="pct"/>
                  <w:vMerge w:val="restart"/>
                  <w:noWrap w:val="0"/>
                  <w:vAlign w:val="center"/>
                </w:tcPr>
                <w:p w14:paraId="43752AFC">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加快行业绿色发展</w:t>
                  </w:r>
                </w:p>
              </w:tc>
              <w:tc>
                <w:tcPr>
                  <w:tcW w:w="2360" w:type="pct"/>
                  <w:noWrap w:val="0"/>
                  <w:vAlign w:val="center"/>
                </w:tcPr>
                <w:p w14:paraId="2D84D547">
                  <w:pPr>
                    <w:pStyle w:val="5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1.加快绿色低碳转型。</w:t>
                  </w: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推进绿色方式贯穿铸造和锻压生产全流程，开发绿色原辅材料、推广绿色工艺、建设绿色工厂、发展绿色园区，深入推进园区循环化改造。推动企业依法披露环境信息，接受社会监督。积极开展清洁生产，做好节能监察执法、节能诊断服务工作，深入挖掘节能潜力。鼓励企业采用高效节能熔炼、热处理等设备，提高余热利用水平。推广短流程铸造，鼓励铸造行业冲天炉（10吨/小时及以下）改为电炉。推进铸造废砂再生处理技术应用、废旧金属循环再生与利用。推广整体化大型化短流程低成本锻压技术，推广环保润滑介质应用，加大非调质钢使用比例等。</w:t>
                  </w:r>
                </w:p>
              </w:tc>
              <w:tc>
                <w:tcPr>
                  <w:tcW w:w="1267" w:type="pct"/>
                  <w:noWrap w:val="0"/>
                  <w:vAlign w:val="center"/>
                </w:tcPr>
                <w:p w14:paraId="7969448C">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本项目采用电炉</w:t>
                  </w:r>
                </w:p>
              </w:tc>
              <w:tc>
                <w:tcPr>
                  <w:tcW w:w="599" w:type="pct"/>
                  <w:noWrap w:val="0"/>
                  <w:vAlign w:val="center"/>
                </w:tcPr>
                <w:p w14:paraId="4D872E79">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7C7BA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428" w:type="pct"/>
                  <w:noWrap w:val="0"/>
                  <w:vAlign w:val="center"/>
                </w:tcPr>
                <w:p w14:paraId="10FC1F39">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w:t>
                  </w:r>
                </w:p>
              </w:tc>
              <w:tc>
                <w:tcPr>
                  <w:tcW w:w="344" w:type="pct"/>
                  <w:vMerge w:val="continue"/>
                  <w:noWrap w:val="0"/>
                  <w:vAlign w:val="center"/>
                </w:tcPr>
                <w:p w14:paraId="5F65F142">
                  <w:pPr>
                    <w:pStyle w:val="5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360" w:type="pct"/>
                  <w:noWrap w:val="0"/>
                  <w:vAlign w:val="center"/>
                </w:tcPr>
                <w:p w14:paraId="05BAE8AD">
                  <w:pPr>
                    <w:pStyle w:val="50"/>
                    <w:jc w:val="cente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2.提升环保治理水平。依法申领排污许可证，严格持证排污、按证排污并按排污许可证规定落实自行监测、台账记录、执行报告、信息公开等要求。综合考虑生产工艺、原辅材料使用、无组织排放控制、污染治理设施运行效果等，建设一批达到重污染天气应对绩效分级A级水平的环保标杆企业，带动行业环保水平提升。铸造企业严格执行《铸造工业大气污染物排放标准》（GB 39726）及地方排放标准，加强无组织排放控制，不能稳定达标排放的，限期完成设施升级改造，不具备改造条件及改造后仍不能达标的，依法依规进行淘汰。鼓励铸造用生铁企业参照钢铁行业超低排放改造要求开展有组织、无组织和清洁运输超低排放改造，支持行业协会公示进展情况。</w:t>
                  </w:r>
                </w:p>
              </w:tc>
              <w:tc>
                <w:tcPr>
                  <w:tcW w:w="1267" w:type="pct"/>
                  <w:noWrap w:val="0"/>
                  <w:vAlign w:val="center"/>
                </w:tcPr>
                <w:p w14:paraId="29374F92">
                  <w:pPr>
                    <w:pStyle w:val="50"/>
                    <w:jc w:val="center"/>
                    <w:rPr>
                      <w:rStyle w:val="44"/>
                      <w:rFonts w:hint="default" w:ascii="Times New Roman" w:hAnsi="Times New Roman" w:eastAsia="宋体" w:cs="Times New Roman"/>
                      <w:b w:val="0"/>
                      <w:bCs w:val="0"/>
                      <w:i w:val="0"/>
                      <w:iCs w:val="0"/>
                      <w:caps w:val="0"/>
                      <w:color w:val="000000" w:themeColor="text1"/>
                      <w:spacing w:val="0"/>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t>本项目</w:t>
                  </w:r>
                  <w:r>
                    <w:rPr>
                      <w:rStyle w:val="44"/>
                      <w:rFonts w:hint="default" w:ascii="Times New Roman" w:hAnsi="Times New Roman" w:cs="Times New Roman"/>
                      <w:b w:val="0"/>
                      <w:bCs w:val="0"/>
                      <w:i w:val="0"/>
                      <w:iCs w:val="0"/>
                      <w:caps w:val="0"/>
                      <w:color w:val="000000" w:themeColor="text1"/>
                      <w:spacing w:val="0"/>
                      <w:sz w:val="21"/>
                      <w:szCs w:val="21"/>
                      <w:lang w:val="en-US" w:eastAsia="zh-CN"/>
                      <w14:textFill>
                        <w14:solidFill>
                          <w14:schemeClr w14:val="tx1"/>
                        </w14:solidFill>
                      </w14:textFill>
                    </w:rPr>
                    <w:t>后续会依法申领排污许可证</w:t>
                  </w:r>
                </w:p>
              </w:tc>
              <w:tc>
                <w:tcPr>
                  <w:tcW w:w="599" w:type="pct"/>
                  <w:noWrap w:val="0"/>
                  <w:vAlign w:val="center"/>
                </w:tcPr>
                <w:p w14:paraId="1EDC6CC0">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499B84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28" w:type="pct"/>
                  <w:noWrap w:val="0"/>
                  <w:vAlign w:val="center"/>
                </w:tcPr>
                <w:p w14:paraId="2F9383B0">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c>
                <w:tcPr>
                  <w:tcW w:w="344" w:type="pct"/>
                  <w:noWrap w:val="0"/>
                  <w:vAlign w:val="center"/>
                </w:tcPr>
                <w:p w14:paraId="76F06CE3">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推进行业智能化改造</w:t>
                  </w:r>
                </w:p>
              </w:tc>
              <w:tc>
                <w:tcPr>
                  <w:tcW w:w="2360" w:type="pct"/>
                  <w:noWrap w:val="0"/>
                  <w:vAlign w:val="center"/>
                </w:tcPr>
                <w:p w14:paraId="701CF761">
                  <w:pPr>
                    <w:pStyle w:val="5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加快新一代信息技术与铸造和锻压生产全过程、全要素深度融合，支持企业利用数字化技术改造传统工艺装备及生产线，引导重点企业开展远程监测、故障诊断、预测性维护、产品质量控制等服务，加强数值模拟仿真技术在工艺优化中的应用，推动行业企业工艺革新、装备升级、管理优化和生产过程智能化。鼓励装备制造业龙头企业开放应用场景，加大国产工业软件应用创新，建设数字化协同平台，带动上下游企业同步实施智能制造，引导中小企业上云用平台，推进供应链协同制造和新技术新模式创新应用。大力开展智能制造示范推广，梳理遴选一批铸造和锻压领域智能制造典型场景，建设一批智能制造示范工厂，培育一批优质系统解决方案供应商。强化铸造和锻压行业智能制造标准体系建设，鼓励企业开展智能制造能力成熟度评估。</w:t>
                  </w:r>
                </w:p>
              </w:tc>
              <w:tc>
                <w:tcPr>
                  <w:tcW w:w="1267" w:type="pct"/>
                  <w:noWrap w:val="0"/>
                  <w:vAlign w:val="center"/>
                </w:tcPr>
                <w:p w14:paraId="3B25A2F6">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本项目部分生产线为自动化生产线</w:t>
                  </w:r>
                </w:p>
              </w:tc>
              <w:tc>
                <w:tcPr>
                  <w:tcW w:w="599" w:type="pct"/>
                  <w:noWrap w:val="0"/>
                  <w:vAlign w:val="center"/>
                </w:tcPr>
                <w:p w14:paraId="730AD6C2">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bl>
          <w:p w14:paraId="57344467">
            <w:pPr>
              <w:pStyle w:val="50"/>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420" w:leftChars="0"/>
              <w:jc w:val="both"/>
              <w:textAlignment w:val="auto"/>
              <w:rPr>
                <w:rFonts w:hint="default" w:ascii="Times New Roman" w:hAnsi="Times New Roman" w:cs="Times New Roman"/>
                <w:b/>
                <w:color w:val="000000" w:themeColor="text1"/>
                <w:sz w:val="21"/>
                <w:szCs w:val="21"/>
                <w:lang w:val="en-US" w:eastAsia="zh-CN"/>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5、</w:t>
            </w:r>
            <w:r>
              <w:rPr>
                <w:rFonts w:hint="default" w:ascii="Times New Roman" w:hAnsi="Times New Roman" w:cs="Times New Roman"/>
                <w:b/>
                <w:color w:val="000000" w:themeColor="text1"/>
                <w:sz w:val="21"/>
                <w:szCs w:val="21"/>
                <w:lang w:val="en-US" w:eastAsia="zh-CN"/>
                <w14:textFill>
                  <w14:solidFill>
                    <w14:schemeClr w14:val="tx1"/>
                  </w14:solidFill>
                </w14:textFill>
              </w:rPr>
              <w:t>与《关于推动全省铸造和锻压行业高质量发展的实施意见》（苏工信装备〔2023〕403号）的相符性分析</w:t>
            </w:r>
          </w:p>
          <w:p w14:paraId="0A5592A7">
            <w:pPr>
              <w:pStyle w:val="50"/>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表1-10 与《</w:t>
            </w:r>
            <w:r>
              <w:rPr>
                <w:rFonts w:hint="default" w:ascii="Times New Roman" w:hAnsi="Times New Roman" w:cs="Times New Roman"/>
                <w:b/>
                <w:color w:val="000000" w:themeColor="text1"/>
                <w:sz w:val="21"/>
                <w:szCs w:val="21"/>
                <w:lang w:val="en-US" w:eastAsia="zh-CN"/>
                <w14:textFill>
                  <w14:solidFill>
                    <w14:schemeClr w14:val="tx1"/>
                  </w14:solidFill>
                </w14:textFill>
              </w:rPr>
              <w:t>关于推动全省铸造和锻压行业高质量发展的实施意见</w:t>
            </w:r>
            <w:r>
              <w:rPr>
                <w:rFonts w:hint="default" w:ascii="Times New Roman" w:hAnsi="Times New Roman" w:cs="Times New Roman"/>
                <w:b/>
                <w:bCs/>
                <w:color w:val="000000" w:themeColor="text1"/>
                <w:sz w:val="21"/>
                <w:szCs w:val="21"/>
                <w:lang w:val="en-US" w:eastAsia="zh-CN"/>
                <w14:textFill>
                  <w14:solidFill>
                    <w14:schemeClr w14:val="tx1"/>
                  </w14:solidFill>
                </w14:textFill>
              </w:rPr>
              <w:t>》相符性分析表</w:t>
            </w:r>
          </w:p>
          <w:tbl>
            <w:tblPr>
              <w:tblStyle w:val="4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739"/>
              <w:gridCol w:w="3758"/>
              <w:gridCol w:w="1989"/>
              <w:gridCol w:w="914"/>
            </w:tblGrid>
            <w:tr w14:paraId="60B5A4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 w:type="pct"/>
                  <w:noWrap w:val="0"/>
                  <w:vAlign w:val="center"/>
                </w:tcPr>
                <w:p w14:paraId="029081DE">
                  <w:pPr>
                    <w:pStyle w:val="5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2794" w:type="pct"/>
                  <w:gridSpan w:val="2"/>
                  <w:noWrap w:val="0"/>
                  <w:vAlign w:val="center"/>
                </w:tcPr>
                <w:p w14:paraId="7FEACA4E">
                  <w:pPr>
                    <w:pStyle w:val="5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文件相关内容</w:t>
                  </w:r>
                </w:p>
              </w:tc>
              <w:tc>
                <w:tcPr>
                  <w:tcW w:w="1236" w:type="pct"/>
                  <w:noWrap w:val="0"/>
                  <w:vAlign w:val="center"/>
                </w:tcPr>
                <w:p w14:paraId="6A7D1FAD">
                  <w:pPr>
                    <w:pStyle w:val="5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本项目情况</w:t>
                  </w:r>
                </w:p>
              </w:tc>
              <w:tc>
                <w:tcPr>
                  <w:tcW w:w="568" w:type="pct"/>
                  <w:noWrap w:val="0"/>
                  <w:vAlign w:val="center"/>
                </w:tcPr>
                <w:p w14:paraId="3FF862E3">
                  <w:pPr>
                    <w:pStyle w:val="5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相符性</w:t>
                  </w:r>
                </w:p>
              </w:tc>
            </w:tr>
            <w:tr w14:paraId="4CA4F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01" w:type="pct"/>
                  <w:noWrap w:val="0"/>
                  <w:vAlign w:val="center"/>
                </w:tcPr>
                <w:p w14:paraId="7EB0AE2D">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59" w:type="pct"/>
                  <w:noWrap w:val="0"/>
                  <w:vAlign w:val="center"/>
                </w:tcPr>
                <w:p w14:paraId="74F3C29E">
                  <w:pPr>
                    <w:pStyle w:val="5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坚持创新驱动，提升自主可控能力</w:t>
                  </w:r>
                </w:p>
              </w:tc>
              <w:tc>
                <w:tcPr>
                  <w:tcW w:w="2334" w:type="pct"/>
                  <w:noWrap w:val="0"/>
                  <w:vAlign w:val="center"/>
                </w:tcPr>
                <w:p w14:paraId="76B4ADE7">
                  <w:pPr>
                    <w:pStyle w:val="5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发展先进工艺与装备。重点发展高紧实度粘土砂自动化造型、高效自硬砂铸造、精密组芯造型、壳型铸造、离心铸造、金属型铸造、铁模覆砂、消失模/V法/实型铸造，轻合金高压/挤压/差压/低压/半固态/调压铸造、硅溶胶熔模铸造、短流程铸造、砂型3D打印等先进铸造工艺与装备;重点发展精密结构件高速冲压、超高强板材深拉深、高强轻质合金板材冲击液压成形、复杂异型结构旋压、高速精密多工位锻造、冷热径向锻造、冲锻复合近净成形、短流程模锻及自由锻、精密锻造、粉末精密锻造、数字化钣金制作成形中心、数字化高效通用零件加工中心等先进锻压工艺与装备。</w:t>
                  </w:r>
                </w:p>
              </w:tc>
              <w:tc>
                <w:tcPr>
                  <w:tcW w:w="1236" w:type="pct"/>
                  <w:noWrap w:val="0"/>
                  <w:vAlign w:val="center"/>
                </w:tcPr>
                <w:p w14:paraId="46F8B7D1">
                  <w:pPr>
                    <w:pStyle w:val="5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本项目采用</w:t>
                  </w:r>
                  <w:r>
                    <w:rPr>
                      <w:rFonts w:hint="default" w:ascii="Times New Roman" w:hAnsi="Times New Roman" w:eastAsia="宋体" w:cs="Times New Roman"/>
                      <w:b w:val="0"/>
                      <w:bCs w:val="0"/>
                      <w:i w:val="0"/>
                      <w:iCs w:val="0"/>
                      <w:caps w:val="0"/>
                      <w:color w:val="000000" w:themeColor="text1"/>
                      <w:spacing w:val="0"/>
                      <w:sz w:val="21"/>
                      <w:szCs w:val="21"/>
                      <w14:textFill>
                        <w14:solidFill>
                          <w14:schemeClr w14:val="tx1"/>
                        </w14:solidFill>
                      </w14:textFill>
                    </w:rPr>
                    <w:t>先进</w:t>
                  </w:r>
                  <w:r>
                    <w:rPr>
                      <w:rFonts w:hint="default" w:ascii="Times New Roman" w:hAnsi="Times New Roman" w:cs="Times New Roman"/>
                      <w:color w:val="000000" w:themeColor="text1"/>
                      <w:sz w:val="21"/>
                      <w:szCs w:val="21"/>
                      <w:lang w:val="en-US" w:eastAsia="zh-CN"/>
                      <w14:textFill>
                        <w14:solidFill>
                          <w14:schemeClr w14:val="tx1"/>
                        </w14:solidFill>
                      </w14:textFill>
                    </w:rPr>
                    <w:t>精密锻造</w:t>
                  </w:r>
                </w:p>
              </w:tc>
              <w:tc>
                <w:tcPr>
                  <w:tcW w:w="914" w:type="dxa"/>
                  <w:noWrap w:val="0"/>
                  <w:vAlign w:val="center"/>
                </w:tcPr>
                <w:p w14:paraId="0ADF3D85">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1A258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401" w:type="pct"/>
                  <w:noWrap w:val="0"/>
                  <w:vAlign w:val="center"/>
                </w:tcPr>
                <w:p w14:paraId="06280693">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59" w:type="pct"/>
                  <w:noWrap w:val="0"/>
                  <w:vAlign w:val="center"/>
                </w:tcPr>
                <w:p w14:paraId="0815ECB0">
                  <w:pPr>
                    <w:pStyle w:val="5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坚持规范发展，推进产业结构优化</w:t>
                  </w:r>
                </w:p>
              </w:tc>
              <w:tc>
                <w:tcPr>
                  <w:tcW w:w="2334" w:type="pct"/>
                  <w:noWrap w:val="0"/>
                  <w:vAlign w:val="center"/>
                </w:tcPr>
                <w:p w14:paraId="7080EFAA">
                  <w:pPr>
                    <w:pStyle w:val="5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引导行业规范发展。各级发展改革、工业和信息化、生态环境、应急管理、市场监管部门要严格执行节能、环保、质量、安全技术等相关法律法规标准和《产业结构调整指导目录》中限制类、淘汰类目录，依法依规淘汰工艺装备落后、污染物排放不达标、生产安全无保障的落后产能。各级生态环境部门要严格落实主要污染物排放总量控制，依法依规制定污染防治方案，推动源头减排、过程控制和末端治理全过程深度治理。各级发展改革、工业和信息化部门要有效落实能源消耗总量和强度调控制度，以降碳为方向，加强能力建设，健全配套制度，推动能耗双控逐步转向碳排放总量和强度双控制度。各级工业和信息化部门要严格按照国家和省有关产业政策，依法依规淘汰无芯工频感应电炉、无磁轭(≥0.25吨)铝壳中频感应电炉等落后工艺装备。新建、改扩建项目单位产品的能耗、物耗、水耗、资源综合利用和污染物排放量等指标应符合相关法律法规标准要求。</w:t>
                  </w:r>
                </w:p>
              </w:tc>
              <w:tc>
                <w:tcPr>
                  <w:tcW w:w="1236" w:type="pct"/>
                  <w:noWrap w:val="0"/>
                  <w:vAlign w:val="center"/>
                </w:tcPr>
                <w:p w14:paraId="746ACEEE">
                  <w:pPr>
                    <w:pStyle w:val="50"/>
                    <w:jc w:val="cente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t xml:space="preserve">本项目严格执行节能、环保、质量、安全等相关法规要求和《产业结构调 </w:t>
                  </w:r>
                </w:p>
                <w:p w14:paraId="22FF3279">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Style w:val="44"/>
                      <w:rFonts w:hint="default" w:ascii="Times New Roman" w:hAnsi="Times New Roman" w:eastAsia="宋体" w:cs="Times New Roman"/>
                      <w:b w:val="0"/>
                      <w:bCs w:val="0"/>
                      <w:i w:val="0"/>
                      <w:iCs w:val="0"/>
                      <w:caps w:val="0"/>
                      <w:color w:val="000000" w:themeColor="text1"/>
                      <w:spacing w:val="0"/>
                      <w:sz w:val="21"/>
                      <w:szCs w:val="21"/>
                      <w:lang w:val="en-US" w:eastAsia="zh-CN"/>
                      <w14:textFill>
                        <w14:solidFill>
                          <w14:schemeClr w14:val="tx1"/>
                        </w14:solidFill>
                      </w14:textFill>
                    </w:rPr>
                    <w:t>整指导目录》等政策，本项目不采用淘汰类工艺和装备。</w:t>
                  </w:r>
                </w:p>
              </w:tc>
              <w:tc>
                <w:tcPr>
                  <w:tcW w:w="914" w:type="dxa"/>
                  <w:noWrap w:val="0"/>
                  <w:vAlign w:val="center"/>
                </w:tcPr>
                <w:p w14:paraId="4C23975E">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14:paraId="61B42B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01" w:type="pct"/>
                  <w:noWrap w:val="0"/>
                  <w:vAlign w:val="center"/>
                </w:tcPr>
                <w:p w14:paraId="38454546">
                  <w:pPr>
                    <w:pStyle w:val="5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59" w:type="pct"/>
                  <w:noWrap w:val="0"/>
                  <w:vAlign w:val="center"/>
                </w:tcPr>
                <w:p w14:paraId="02138794">
                  <w:pPr>
                    <w:pStyle w:val="5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强化企业主体责任，提升绿色安全发展水平</w:t>
                  </w:r>
                </w:p>
              </w:tc>
              <w:tc>
                <w:tcPr>
                  <w:tcW w:w="2334" w:type="pct"/>
                  <w:noWrap w:val="0"/>
                  <w:vAlign w:val="center"/>
                </w:tcPr>
                <w:p w14:paraId="530C7016">
                  <w:pPr>
                    <w:pStyle w:val="5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加大环保治理力度。铸造和锻压企业应当依法申领排污许可证，严格持证排污、按证排污并按排污许可证规定落实自行监测、记录报告、信息公开等要求。铸造企业应当严格执行《铸造工业大气污染物排放标准》(GB 39726-2020)及地方标准，加强无组织排放控制。不能稳定达标排放的，限期完成设施升级改造;不具备改造条件及改造后仍不能达标的，依法依规关停退出。</w:t>
                  </w:r>
                </w:p>
              </w:tc>
              <w:tc>
                <w:tcPr>
                  <w:tcW w:w="1236" w:type="pct"/>
                  <w:noWrap w:val="0"/>
                  <w:vAlign w:val="center"/>
                </w:tcPr>
                <w:p w14:paraId="2FAC73AA">
                  <w:pPr>
                    <w:keepNext w:val="0"/>
                    <w:keepLines w:val="0"/>
                    <w:widowControl/>
                    <w:suppressLineNumbers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Style w:val="44"/>
                      <w:rFonts w:hint="default" w:ascii="Times New Roman" w:hAnsi="Times New Roman" w:cs="Times New Roman"/>
                      <w:b w:val="0"/>
                      <w:bCs w:val="0"/>
                      <w:i w:val="0"/>
                      <w:iCs w:val="0"/>
                      <w:caps w:val="0"/>
                      <w:color w:val="000000" w:themeColor="text1"/>
                      <w:spacing w:val="0"/>
                      <w:sz w:val="21"/>
                      <w:szCs w:val="21"/>
                      <w:lang w:val="en-US" w:eastAsia="zh-CN"/>
                      <w14:textFill>
                        <w14:solidFill>
                          <w14:schemeClr w14:val="tx1"/>
                        </w14:solidFill>
                      </w14:textFill>
                    </w:rPr>
                    <w:t>本项目不涉及</w:t>
                  </w:r>
                </w:p>
              </w:tc>
              <w:tc>
                <w:tcPr>
                  <w:tcW w:w="914" w:type="dxa"/>
                  <w:noWrap w:val="0"/>
                  <w:vAlign w:val="center"/>
                </w:tcPr>
                <w:p w14:paraId="36751F25">
                  <w:pPr>
                    <w:pStyle w:val="5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bl>
          <w:p w14:paraId="378E1B6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与《江苏省挥发性有机物污染防治管理办法》相符性分析</w:t>
            </w:r>
          </w:p>
          <w:p w14:paraId="6922EB87">
            <w:pPr>
              <w:spacing w:line="36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表1-</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与《江苏省挥发性有机物污染防治管理办法》总体要求相符性分析</w:t>
            </w:r>
          </w:p>
          <w:tbl>
            <w:tblPr>
              <w:tblStyle w:val="4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2684"/>
              <w:gridCol w:w="1016"/>
            </w:tblGrid>
            <w:tr w14:paraId="675D20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0" w:type="pct"/>
                  <w:tcBorders>
                    <w:tl2br w:val="nil"/>
                    <w:tr2bl w:val="nil"/>
                  </w:tcBorders>
                  <w:noWrap w:val="0"/>
                  <w:vAlign w:val="center"/>
                </w:tcPr>
                <w:p w14:paraId="3268D6ED">
                  <w:pPr>
                    <w:spacing w:line="240" w:lineRule="auto"/>
                    <w:ind w:left="0" w:leftChars="0" w:right="0" w:rightChars="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t>内容</w:t>
                  </w:r>
                </w:p>
              </w:tc>
              <w:tc>
                <w:tcPr>
                  <w:tcW w:w="1668" w:type="pct"/>
                  <w:tcBorders>
                    <w:tl2br w:val="nil"/>
                    <w:tr2bl w:val="nil"/>
                  </w:tcBorders>
                  <w:noWrap w:val="0"/>
                  <w:vAlign w:val="center"/>
                </w:tcPr>
                <w:p w14:paraId="431E2466">
                  <w:pPr>
                    <w:spacing w:line="240" w:lineRule="auto"/>
                    <w:ind w:left="0" w:leftChars="0" w:right="0" w:rightChars="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t>相符性分析</w:t>
                  </w:r>
                </w:p>
              </w:tc>
              <w:tc>
                <w:tcPr>
                  <w:tcW w:w="631" w:type="pct"/>
                  <w:tcBorders>
                    <w:tl2br w:val="nil"/>
                    <w:tr2bl w:val="nil"/>
                  </w:tcBorders>
                  <w:noWrap w:val="0"/>
                  <w:vAlign w:val="center"/>
                </w:tcPr>
                <w:p w14:paraId="76E5A4FD">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vertAlign w:val="baseline"/>
                      <w:lang w:eastAsia="zh-CN"/>
                      <w14:textFill>
                        <w14:solidFill>
                          <w14:schemeClr w14:val="tx1"/>
                        </w14:solidFill>
                      </w14:textFill>
                    </w:rPr>
                    <w:t>是否相符</w:t>
                  </w:r>
                </w:p>
              </w:tc>
            </w:tr>
            <w:tr w14:paraId="7C729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0" w:type="pct"/>
                  <w:tcBorders>
                    <w:tl2br w:val="nil"/>
                    <w:tr2bl w:val="nil"/>
                  </w:tcBorders>
                  <w:noWrap w:val="0"/>
                  <w:vAlign w:val="center"/>
                </w:tcPr>
                <w:p w14:paraId="048E208E">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新建、改建、扩建排放挥发性有机物的建设项目，应当依法进行环境影响评价。新增挥发性有机物排放总量指标的不足部分，可以依照有关规定通过排污权交易取得。建设项目的环境影响评价文件未经审查或者审查后</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未</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批准的，建设单位不得开工建设。</w:t>
                  </w:r>
                </w:p>
              </w:tc>
              <w:tc>
                <w:tcPr>
                  <w:tcW w:w="1668" w:type="pct"/>
                  <w:tcBorders>
                    <w:tl2br w:val="nil"/>
                    <w:tr2bl w:val="nil"/>
                  </w:tcBorders>
                  <w:noWrap w:val="0"/>
                  <w:vAlign w:val="center"/>
                </w:tcPr>
                <w:p w14:paraId="46C3FFEB">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w:t>
                  </w:r>
                  <w:r>
                    <w:rPr>
                      <w:rFonts w:hint="default" w:ascii="Times New Roman" w:hAnsi="Times New Roman" w:cs="Times New Roman"/>
                      <w:color w:val="000000" w:themeColor="text1"/>
                      <w:sz w:val="21"/>
                      <w:szCs w:val="21"/>
                      <w:highlight w:val="none"/>
                      <w:lang w:eastAsia="zh-CN"/>
                      <w14:textFill>
                        <w14:solidFill>
                          <w14:schemeClr w14:val="tx1"/>
                        </w14:solidFill>
                      </w14:textFill>
                    </w:rPr>
                    <w:t>待环境影响评价文件审批后进行开工</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建设</w:t>
                  </w:r>
                </w:p>
              </w:tc>
              <w:tc>
                <w:tcPr>
                  <w:tcW w:w="631" w:type="pct"/>
                  <w:tcBorders>
                    <w:tl2br w:val="nil"/>
                    <w:tr2bl w:val="nil"/>
                  </w:tcBorders>
                  <w:noWrap w:val="0"/>
                  <w:vAlign w:val="center"/>
                </w:tcPr>
                <w:p w14:paraId="3431B30B">
                  <w:pPr>
                    <w:spacing w:line="240" w:lineRule="auto"/>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相符</w:t>
                  </w:r>
                </w:p>
              </w:tc>
            </w:tr>
            <w:tr w14:paraId="4638C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0" w:type="pct"/>
                  <w:tcBorders>
                    <w:tl2br w:val="nil"/>
                    <w:tr2bl w:val="nil"/>
                  </w:tcBorders>
                  <w:noWrap w:val="0"/>
                  <w:vAlign w:val="center"/>
                </w:tcPr>
                <w:p w14:paraId="71F62811">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p>
              </w:tc>
              <w:tc>
                <w:tcPr>
                  <w:tcW w:w="1668" w:type="pct"/>
                  <w:tcBorders>
                    <w:tl2br w:val="nil"/>
                    <w:tr2bl w:val="nil"/>
                  </w:tcBorders>
                  <w:noWrap w:val="0"/>
                  <w:vAlign w:val="center"/>
                </w:tcPr>
                <w:p w14:paraId="4EC5B3A0">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企业将履行防治挥发性有机物污染的义务，确保挥发性有机物符合</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相应的排放标准</w:t>
                  </w:r>
                </w:p>
              </w:tc>
              <w:tc>
                <w:tcPr>
                  <w:tcW w:w="631" w:type="pct"/>
                  <w:tcBorders>
                    <w:tl2br w:val="nil"/>
                    <w:tr2bl w:val="nil"/>
                  </w:tcBorders>
                  <w:noWrap w:val="0"/>
                  <w:vAlign w:val="center"/>
                </w:tcPr>
                <w:p w14:paraId="0A8D9EAB">
                  <w:pPr>
                    <w:spacing w:line="240" w:lineRule="auto"/>
                    <w:ind w:left="0" w:leftChars="0" w:right="0" w:right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相符</w:t>
                  </w:r>
                </w:p>
              </w:tc>
            </w:tr>
            <w:tr w14:paraId="34203A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0" w:type="pct"/>
                  <w:tcBorders>
                    <w:tl2br w:val="nil"/>
                    <w:tr2bl w:val="nil"/>
                  </w:tcBorders>
                  <w:noWrap w:val="0"/>
                  <w:vAlign w:val="center"/>
                </w:tcPr>
                <w:p w14:paraId="530EF226">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挥发性有机物排放应当在排污许可分类管理名录规定的时限内按照排污许可证载明的要求进行；禁止无证排污或者不按证排污。排污许可证核发机关应当根据挥发性有机物排放标准、总量控制指标、环境影响评价文件以及相关批复要求等，依法合理确定挥发性有机物的排放种类、浓度以及排放量。</w:t>
                  </w:r>
                </w:p>
              </w:tc>
              <w:tc>
                <w:tcPr>
                  <w:tcW w:w="1668" w:type="pct"/>
                  <w:tcBorders>
                    <w:tl2br w:val="nil"/>
                    <w:tr2bl w:val="nil"/>
                  </w:tcBorders>
                  <w:noWrap w:val="0"/>
                  <w:vAlign w:val="center"/>
                </w:tcPr>
                <w:p w14:paraId="0C91ABBA">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本项目建成后挥发性有机物排放将在排污许可分类管理名录规定的时限内按照排污许可要求进行。</w:t>
                  </w:r>
                </w:p>
              </w:tc>
              <w:tc>
                <w:tcPr>
                  <w:tcW w:w="631" w:type="pct"/>
                  <w:tcBorders>
                    <w:tl2br w:val="nil"/>
                    <w:tr2bl w:val="nil"/>
                  </w:tcBorders>
                  <w:noWrap w:val="0"/>
                  <w:vAlign w:val="center"/>
                </w:tcPr>
                <w:p w14:paraId="6F6D8F0E">
                  <w:pPr>
                    <w:spacing w:line="240" w:lineRule="auto"/>
                    <w:ind w:left="0" w:leftChars="0" w:right="0" w:right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相符</w:t>
                  </w:r>
                </w:p>
              </w:tc>
            </w:tr>
            <w:tr w14:paraId="47F4E5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0" w:type="pct"/>
                  <w:tcBorders>
                    <w:tl2br w:val="nil"/>
                    <w:tr2bl w:val="nil"/>
                  </w:tcBorders>
                  <w:noWrap w:val="0"/>
                  <w:vAlign w:val="center"/>
                </w:tcPr>
                <w:p w14:paraId="76B5078F">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挥发性有机物排放单位应当按照有关规定和监测规范自行或者委托有关监测机构对其排放的挥发性有机物进行监测，记录、保存监测数据，并按照规定向社会公开。监测数据应当真实、可靠，保存时间不得少于3年。</w:t>
                  </w:r>
                </w:p>
              </w:tc>
              <w:tc>
                <w:tcPr>
                  <w:tcW w:w="1668" w:type="pct"/>
                  <w:tcBorders>
                    <w:tl2br w:val="nil"/>
                    <w:tr2bl w:val="nil"/>
                  </w:tcBorders>
                  <w:noWrap w:val="0"/>
                  <w:vAlign w:val="center"/>
                </w:tcPr>
                <w:p w14:paraId="407C73EF">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本项目制定了运营期环境监测，委托监测机构进行例行监测，并会按照规定向社会公开。</w:t>
                  </w:r>
                </w:p>
              </w:tc>
              <w:tc>
                <w:tcPr>
                  <w:tcW w:w="631" w:type="pct"/>
                  <w:tcBorders>
                    <w:tl2br w:val="nil"/>
                    <w:tr2bl w:val="nil"/>
                  </w:tcBorders>
                  <w:noWrap w:val="0"/>
                  <w:vAlign w:val="center"/>
                </w:tcPr>
                <w:p w14:paraId="53D62A0E">
                  <w:pPr>
                    <w:spacing w:line="240" w:lineRule="auto"/>
                    <w:ind w:left="0" w:leftChars="0" w:right="0" w:right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相符</w:t>
                  </w:r>
                </w:p>
              </w:tc>
            </w:tr>
            <w:tr w14:paraId="157A60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0" w:type="pct"/>
                  <w:tcBorders>
                    <w:tl2br w:val="nil"/>
                    <w:tr2bl w:val="nil"/>
                  </w:tcBorders>
                  <w:noWrap w:val="0"/>
                  <w:vAlign w:val="center"/>
                </w:tcPr>
                <w:p w14:paraId="2B925E60">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挥发性有机物排放重点单位应当按照有关规定和监测规范安装挥发性有机物自动监测设备，与环境保护主管部门的监控系统联网，保证其正常运行和数据传输，并按照规定如实向社会公开相关数据和信息，接受社会监督。挥发性有机物排放重点单位名录由环境保护主管部门定期公布。</w:t>
                  </w:r>
                </w:p>
              </w:tc>
              <w:tc>
                <w:tcPr>
                  <w:tcW w:w="1668" w:type="pct"/>
                  <w:tcBorders>
                    <w:tl2br w:val="nil"/>
                    <w:tr2bl w:val="nil"/>
                  </w:tcBorders>
                  <w:noWrap w:val="0"/>
                  <w:vAlign w:val="center"/>
                </w:tcPr>
                <w:p w14:paraId="081457A4">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本企业不属于挥发性有机物排放重点单位。</w:t>
                  </w:r>
                </w:p>
              </w:tc>
              <w:tc>
                <w:tcPr>
                  <w:tcW w:w="631" w:type="pct"/>
                  <w:tcBorders>
                    <w:tl2br w:val="nil"/>
                    <w:tr2bl w:val="nil"/>
                  </w:tcBorders>
                  <w:noWrap w:val="0"/>
                  <w:vAlign w:val="center"/>
                </w:tcPr>
                <w:p w14:paraId="5A2E0859">
                  <w:pPr>
                    <w:spacing w:line="240" w:lineRule="auto"/>
                    <w:ind w:left="0" w:leftChars="0" w:right="0" w:right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相符</w:t>
                  </w:r>
                </w:p>
              </w:tc>
            </w:tr>
            <w:tr w14:paraId="2C7706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0" w:type="pct"/>
                  <w:tcBorders>
                    <w:tl2br w:val="nil"/>
                    <w:tr2bl w:val="nil"/>
                  </w:tcBorders>
                  <w:noWrap w:val="0"/>
                  <w:vAlign w:val="center"/>
                </w:tcPr>
                <w:p w14:paraId="6731E132">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1668" w:type="pct"/>
                  <w:tcBorders>
                    <w:tl2br w:val="nil"/>
                    <w:tr2bl w:val="nil"/>
                  </w:tcBorders>
                  <w:noWrap w:val="0"/>
                  <w:vAlign w:val="center"/>
                </w:tcPr>
                <w:p w14:paraId="7721BBDC">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本项目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天然气燃烧产生的颗粒物、二氧化硫、氮氧化物经低氮燃烧装置</w:t>
                  </w:r>
                  <w:r>
                    <w:rPr>
                      <w:rFonts w:hint="default" w:ascii="Times New Roman" w:hAnsi="Times New Roman" w:cs="Times New Roman"/>
                      <w:color w:val="000000" w:themeColor="text1"/>
                      <w:sz w:val="21"/>
                      <w:szCs w:val="21"/>
                      <w:highlight w:val="none"/>
                      <w:lang w:eastAsia="zh-CN"/>
                      <w14:textFill>
                        <w14:solidFill>
                          <w14:schemeClr w14:val="tx1"/>
                        </w14:solidFill>
                      </w14:textFill>
                    </w:rPr>
                    <w:t>处理后由</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15m排气筒排放</w:t>
                  </w:r>
                </w:p>
              </w:tc>
              <w:tc>
                <w:tcPr>
                  <w:tcW w:w="631" w:type="pct"/>
                  <w:tcBorders>
                    <w:tl2br w:val="nil"/>
                    <w:tr2bl w:val="nil"/>
                  </w:tcBorders>
                  <w:noWrap w:val="0"/>
                  <w:vAlign w:val="center"/>
                </w:tcPr>
                <w:p w14:paraId="49E87236">
                  <w:pPr>
                    <w:spacing w:line="240" w:lineRule="auto"/>
                    <w:ind w:left="0" w:leftChars="0" w:right="0" w:right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相符</w:t>
                  </w:r>
                </w:p>
              </w:tc>
            </w:tr>
          </w:tbl>
          <w:p w14:paraId="0ADF7B6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、与</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《产业结构调整指导目录（20</w:t>
            </w:r>
            <w:r>
              <w:rPr>
                <w:rFonts w:hint="default" w:ascii="Times New Roman" w:hAnsi="Times New Roman" w:cs="Times New Roman"/>
                <w:b/>
                <w:bCs/>
                <w:color w:val="000000" w:themeColor="text1"/>
                <w:kern w:val="2"/>
                <w:sz w:val="21"/>
                <w:szCs w:val="21"/>
                <w:lang w:val="en-US" w:eastAsia="zh-CN" w:bidi="ar-SA"/>
                <w14:textFill>
                  <w14:solidFill>
                    <w14:schemeClr w14:val="tx1"/>
                  </w14:solidFill>
                </w14:textFill>
              </w:rPr>
              <w:t>24</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年本）》</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相符性分析</w:t>
            </w:r>
          </w:p>
          <w:p w14:paraId="581A7FD3">
            <w:pPr>
              <w:snapToGrid w:val="0"/>
              <w:spacing w:line="360" w:lineRule="auto"/>
              <w:ind w:firstLine="420" w:firstLineChars="200"/>
              <w:jc w:val="both"/>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本项目产品为</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锻件</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，属于</w:t>
            </w:r>
            <w:r>
              <w:rPr>
                <w:rFonts w:hint="default" w:ascii="Times New Roman" w:hAnsi="Times New Roman" w:cs="Times New Roman"/>
                <w:color w:val="000000" w:themeColor="text1"/>
                <w:kern w:val="2"/>
                <w:sz w:val="21"/>
                <w:szCs w:val="21"/>
                <w:lang w:val="en-US" w:eastAsia="zh-CN"/>
                <w14:textFill>
                  <w14:solidFill>
                    <w14:schemeClr w14:val="tx1"/>
                  </w14:solidFill>
                </w14:textFill>
              </w:rPr>
              <w:t>C</w:t>
            </w:r>
            <w:r>
              <w:rPr>
                <w:rFonts w:hint="default" w:ascii="Times New Roman" w:hAnsi="Times New Roman" w:cs="Times New Roman"/>
                <w:color w:val="000000" w:themeColor="text1"/>
                <w:szCs w:val="21"/>
                <w:lang w:val="en-US" w:eastAsia="zh-CN"/>
                <w14:textFill>
                  <w14:solidFill>
                    <w14:schemeClr w14:val="tx1"/>
                  </w14:solidFill>
                </w14:textFill>
              </w:rPr>
              <w:t>3</w:t>
            </w:r>
            <w:r>
              <w:rPr>
                <w:rFonts w:hint="eastAsia" w:ascii="Times New Roman" w:hAnsi="Times New Roman" w:cs="Times New Roman"/>
                <w:color w:val="000000" w:themeColor="text1"/>
                <w:szCs w:val="21"/>
                <w:lang w:val="en-US" w:eastAsia="zh-CN"/>
                <w14:textFill>
                  <w14:solidFill>
                    <w14:schemeClr w14:val="tx1"/>
                  </w14:solidFill>
                </w14:textFill>
              </w:rPr>
              <w:t>393锻件及粉末冶金制品制造</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对照</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《产业结构调整指导目录（20</w:t>
            </w:r>
            <w:r>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t>24</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年本）》，不属于其中的禁止类、限制类，符合国家、地方产业政策要求。</w:t>
            </w:r>
          </w:p>
          <w:p w14:paraId="159EADE3">
            <w:pPr>
              <w:snapToGrid w:val="0"/>
              <w:spacing w:line="360" w:lineRule="auto"/>
              <w:ind w:firstLine="422" w:firstLineChars="200"/>
              <w:rPr>
                <w:rFonts w:hint="default" w:ascii="Times New Roman" w:hAnsi="Times New Roman" w:cs="Times New Roman"/>
                <w:b/>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bCs w:val="0"/>
                <w:color w:val="000000" w:themeColor="text1"/>
                <w:sz w:val="21"/>
                <w:szCs w:val="21"/>
                <w:lang w:val="en-US" w:eastAsia="zh-CN"/>
                <w14:textFill>
                  <w14:solidFill>
                    <w14:schemeClr w14:val="tx1"/>
                  </w14:solidFill>
                </w14:textFill>
              </w:rPr>
              <w:t>8</w:t>
            </w:r>
            <w:r>
              <w:rPr>
                <w:rFonts w:hint="default" w:ascii="Times New Roman" w:hAnsi="Times New Roman" w:cs="Times New Roman"/>
                <w:b/>
                <w:bCs w:val="0"/>
                <w:color w:val="000000" w:themeColor="text1"/>
                <w:sz w:val="21"/>
                <w:szCs w:val="21"/>
                <w:lang w:val="en-US" w:eastAsia="zh-CN"/>
                <w14:textFill>
                  <w14:solidFill>
                    <w14:schemeClr w14:val="tx1"/>
                  </w14:solidFill>
                </w14:textFill>
              </w:rPr>
              <w:t>、与《关于加强高耗能、高排放建设项目生态环境源头防控的指导意见》（环环评（2021）45号）相符性分析</w:t>
            </w:r>
          </w:p>
          <w:p w14:paraId="658B2CDB">
            <w:pPr>
              <w:snapToGrid w:val="0"/>
              <w:spacing w:line="360" w:lineRule="auto"/>
              <w:ind w:firstLine="420" w:firstLineChars="200"/>
              <w:rPr>
                <w:rFonts w:hint="default" w:ascii="Times New Roman" w:hAnsi="Times New Roman" w:cs="Times New Roman"/>
                <w:b/>
                <w:bCs w:val="0"/>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本项目属于</w:t>
            </w:r>
            <w:r>
              <w:rPr>
                <w:rFonts w:hint="default" w:ascii="Times New Roman" w:hAnsi="Times New Roman" w:cs="Times New Roman"/>
                <w:color w:val="000000" w:themeColor="text1"/>
                <w:kern w:val="2"/>
                <w:sz w:val="21"/>
                <w:szCs w:val="21"/>
                <w:lang w:val="en-US" w:eastAsia="zh-CN"/>
                <w14:textFill>
                  <w14:solidFill>
                    <w14:schemeClr w14:val="tx1"/>
                  </w14:solidFill>
                </w14:textFill>
              </w:rPr>
              <w:t>C</w:t>
            </w:r>
            <w:r>
              <w:rPr>
                <w:rFonts w:hint="default" w:ascii="Times New Roman" w:hAnsi="Times New Roman" w:cs="Times New Roman"/>
                <w:color w:val="000000" w:themeColor="text1"/>
                <w:szCs w:val="21"/>
                <w:lang w:val="en-US" w:eastAsia="zh-CN"/>
                <w14:textFill>
                  <w14:solidFill>
                    <w14:schemeClr w14:val="tx1"/>
                  </w14:solidFill>
                </w14:textFill>
              </w:rPr>
              <w:t>3</w:t>
            </w:r>
            <w:r>
              <w:rPr>
                <w:rFonts w:hint="eastAsia" w:ascii="Times New Roman" w:hAnsi="Times New Roman" w:cs="Times New Roman"/>
                <w:color w:val="000000" w:themeColor="text1"/>
                <w:szCs w:val="21"/>
                <w:lang w:val="en-US" w:eastAsia="zh-CN"/>
                <w14:textFill>
                  <w14:solidFill>
                    <w14:schemeClr w14:val="tx1"/>
                  </w14:solidFill>
                </w14:textFill>
              </w:rPr>
              <w:t>393锻件及粉末冶金制品制造</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不属于《关于加强高耗能、高排放建设项目生态环境源头防控的指导意见》（环环评[2021]45号）管控的两高行业，对照《省生态环境厅报送高耗能、高排放项目清单的通知》，本项目不属于其两高项目清单范畴。</w:t>
            </w:r>
          </w:p>
          <w:p w14:paraId="2EDF4F17">
            <w:pPr>
              <w:snapToGrid w:val="0"/>
              <w:spacing w:line="360" w:lineRule="auto"/>
              <w:ind w:firstLine="422" w:firstLineChars="200"/>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bCs w:val="0"/>
                <w:color w:val="000000" w:themeColor="text1"/>
                <w:sz w:val="21"/>
                <w:szCs w:val="21"/>
                <w:lang w:val="en-US" w:eastAsia="zh-CN"/>
                <w14:textFill>
                  <w14:solidFill>
                    <w14:schemeClr w14:val="tx1"/>
                  </w14:solidFill>
                </w14:textFill>
              </w:rPr>
              <w:t>9</w:t>
            </w:r>
            <w:r>
              <w:rPr>
                <w:rFonts w:hint="default" w:ascii="Times New Roman" w:hAnsi="Times New Roman" w:cs="Times New Roman"/>
                <w:b/>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与《南通市关于加强减污降碳协同推进重点行业绿色发展的指导意见》（通办（2024）6号）相符性分析</w:t>
            </w:r>
          </w:p>
          <w:p w14:paraId="45BB674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表1-</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与</w:t>
            </w: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《南通市关于加强减污降碳协同推进重点行业绿色发展的指导意见》（通办（2024）6号）</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相符性分析</w:t>
            </w:r>
          </w:p>
          <w:tbl>
            <w:tblPr>
              <w:tblStyle w:val="4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76"/>
              <w:gridCol w:w="3053"/>
              <w:gridCol w:w="1016"/>
            </w:tblGrid>
            <w:tr w14:paraId="432C24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71" w:type="pct"/>
                  <w:tcBorders>
                    <w:tl2br w:val="nil"/>
                    <w:tr2bl w:val="nil"/>
                  </w:tcBorders>
                  <w:noWrap w:val="0"/>
                  <w:vAlign w:val="center"/>
                </w:tcPr>
                <w:p w14:paraId="159D5F1E">
                  <w:pPr>
                    <w:spacing w:line="240" w:lineRule="auto"/>
                    <w:ind w:left="0" w:leftChars="0" w:right="0" w:rightChars="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t>内容</w:t>
                  </w:r>
                </w:p>
              </w:tc>
              <w:tc>
                <w:tcPr>
                  <w:tcW w:w="1897" w:type="pct"/>
                  <w:tcBorders>
                    <w:tl2br w:val="nil"/>
                    <w:tr2bl w:val="nil"/>
                  </w:tcBorders>
                  <w:noWrap w:val="0"/>
                  <w:vAlign w:val="center"/>
                </w:tcPr>
                <w:p w14:paraId="79D53BF9">
                  <w:pPr>
                    <w:spacing w:line="240" w:lineRule="auto"/>
                    <w:ind w:left="0" w:leftChars="0" w:right="0" w:rightChars="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t>相符性分析</w:t>
                  </w:r>
                </w:p>
              </w:tc>
              <w:tc>
                <w:tcPr>
                  <w:tcW w:w="631" w:type="pct"/>
                  <w:tcBorders>
                    <w:tl2br w:val="nil"/>
                    <w:tr2bl w:val="nil"/>
                  </w:tcBorders>
                  <w:noWrap w:val="0"/>
                  <w:vAlign w:val="center"/>
                </w:tcPr>
                <w:p w14:paraId="6F6552D4">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vertAlign w:val="baseline"/>
                      <w:lang w:eastAsia="zh-CN"/>
                      <w14:textFill>
                        <w14:solidFill>
                          <w14:schemeClr w14:val="tx1"/>
                        </w14:solidFill>
                      </w14:textFill>
                    </w:rPr>
                    <w:t>是否相符</w:t>
                  </w:r>
                </w:p>
              </w:tc>
            </w:tr>
            <w:tr w14:paraId="265E10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71" w:type="pct"/>
                  <w:tcBorders>
                    <w:tl2br w:val="nil"/>
                    <w:tr2bl w:val="nil"/>
                  </w:tcBorders>
                  <w:noWrap w:val="0"/>
                  <w:vAlign w:val="center"/>
                </w:tcPr>
                <w:p w14:paraId="619BF725">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传统行业绿色发展水平明显提升。进一步提升传统行业规范化水平，改进工艺技术，更新设备装置，提升污染防治能力，加大节能降碳力度，提高绿色电力（绿证）消费，腾退低效土地资源，树立一批行业转型标杆企业</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1897" w:type="pct"/>
                  <w:tcBorders>
                    <w:tl2br w:val="nil"/>
                    <w:tr2bl w:val="nil"/>
                  </w:tcBorders>
                  <w:noWrap w:val="0"/>
                  <w:vAlign w:val="center"/>
                </w:tcPr>
                <w:p w14:paraId="50202FF1">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本项目采取有效污染防治措施，废水、废气及噪声均可达标排放，排放总量在南通市海门区范围内平衡；本项目选址符合海门经济技术开发区的产业定位和规划选址要求</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w:t>
                  </w:r>
                </w:p>
              </w:tc>
              <w:tc>
                <w:tcPr>
                  <w:tcW w:w="631" w:type="pct"/>
                  <w:tcBorders>
                    <w:tl2br w:val="nil"/>
                    <w:tr2bl w:val="nil"/>
                  </w:tcBorders>
                  <w:noWrap w:val="0"/>
                  <w:vAlign w:val="center"/>
                </w:tcPr>
                <w:p w14:paraId="06EE6622">
                  <w:pPr>
                    <w:spacing w:line="240" w:lineRule="auto"/>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相符</w:t>
                  </w:r>
                </w:p>
              </w:tc>
            </w:tr>
            <w:tr w14:paraId="5731D0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71" w:type="pct"/>
                  <w:tcBorders>
                    <w:tl2br w:val="nil"/>
                    <w:tr2bl w:val="nil"/>
                  </w:tcBorders>
                  <w:noWrap w:val="0"/>
                  <w:vAlign w:val="center"/>
                </w:tcPr>
                <w:p w14:paraId="16F3769A">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新兴产业空间布局规划更加合理。引进一批清洁生产水平高、产业链耦合共生紧密的项目，形成产业绿色发展集群，实现沿江向沿海转移、主城区向郊区转移、由分散到集中的空间布局。</w:t>
                  </w:r>
                </w:p>
              </w:tc>
              <w:tc>
                <w:tcPr>
                  <w:tcW w:w="1897" w:type="pct"/>
                  <w:tcBorders>
                    <w:tl2br w:val="nil"/>
                    <w:tr2bl w:val="nil"/>
                  </w:tcBorders>
                  <w:noWrap w:val="0"/>
                  <w:vAlign w:val="center"/>
                </w:tcPr>
                <w:p w14:paraId="22110727">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本项目</w:t>
                  </w:r>
                  <w:r>
                    <w:rPr>
                      <w:rFonts w:hint="default" w:ascii="Times New Roman" w:hAnsi="Times New Roman" w:cs="Times New Roman"/>
                      <w:color w:val="000000" w:themeColor="text1"/>
                      <w:spacing w:val="0"/>
                      <w:kern w:val="11"/>
                      <w:sz w:val="21"/>
                      <w:szCs w:val="21"/>
                      <w:highlight w:val="none"/>
                      <w:lang w:val="en-US" w:eastAsia="zh-CN"/>
                      <w14:textFill>
                        <w14:solidFill>
                          <w14:schemeClr w14:val="tx1"/>
                        </w14:solidFill>
                      </w14:textFill>
                    </w:rPr>
                    <w:t>位于江苏省南通市海门经济技术开发区厦门路108号</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，用地性质为工业用地，不涉及煤等高污染燃料使用；废气、废水经处理后能满足排放标准</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631" w:type="pct"/>
                  <w:tcBorders>
                    <w:tl2br w:val="nil"/>
                    <w:tr2bl w:val="nil"/>
                  </w:tcBorders>
                  <w:noWrap w:val="0"/>
                  <w:vAlign w:val="center"/>
                </w:tcPr>
                <w:p w14:paraId="28C6B7B0">
                  <w:pPr>
                    <w:spacing w:line="240" w:lineRule="auto"/>
                    <w:ind w:left="0" w:leftChars="0" w:right="0" w:right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相符</w:t>
                  </w:r>
                </w:p>
              </w:tc>
            </w:tr>
            <w:tr w14:paraId="3C30E1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71" w:type="pct"/>
                  <w:tcBorders>
                    <w:tl2br w:val="nil"/>
                    <w:tr2bl w:val="nil"/>
                  </w:tcBorders>
                  <w:noWrap w:val="0"/>
                  <w:vAlign w:val="center"/>
                </w:tcPr>
                <w:p w14:paraId="39E2067F">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资源能源利用更加集约高效。重点行业单位产品能耗、水耗、物耗及污染物排放持续下降，单位产品二氧化碳排放强度合理优化。重点行业单位增加值能耗水平持续下降，主要高耗能行业单位产品能耗达到国内先进水平</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1897" w:type="pct"/>
                  <w:tcBorders>
                    <w:tl2br w:val="nil"/>
                    <w:tr2bl w:val="nil"/>
                  </w:tcBorders>
                  <w:noWrap w:val="0"/>
                  <w:vAlign w:val="center"/>
                </w:tcPr>
                <w:p w14:paraId="084404F2">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本项目不使用高污染燃料煤等，能源主要为电能、天然气，通过采取污染防治措施后，污染物均能达标排放</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631" w:type="pct"/>
                  <w:tcBorders>
                    <w:tl2br w:val="nil"/>
                    <w:tr2bl w:val="nil"/>
                  </w:tcBorders>
                  <w:noWrap w:val="0"/>
                  <w:vAlign w:val="center"/>
                </w:tcPr>
                <w:p w14:paraId="77BC7C18">
                  <w:pPr>
                    <w:spacing w:line="240" w:lineRule="auto"/>
                    <w:ind w:left="0" w:leftChars="0" w:right="0" w:right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相符</w:t>
                  </w:r>
                </w:p>
              </w:tc>
            </w:tr>
            <w:tr w14:paraId="270E4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71" w:type="pct"/>
                  <w:tcBorders>
                    <w:tl2br w:val="nil"/>
                    <w:tr2bl w:val="nil"/>
                  </w:tcBorders>
                  <w:noWrap w:val="0"/>
                  <w:vAlign w:val="center"/>
                </w:tcPr>
                <w:p w14:paraId="320F85EE">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绿色产业发展机制体制日益健全。排污权、用水权、碳排放权等市场化交易制度更加完善，生态环境治理体系和治理能力现代化迈上新台阶</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1897" w:type="pct"/>
                  <w:tcBorders>
                    <w:tl2br w:val="nil"/>
                    <w:tr2bl w:val="nil"/>
                  </w:tcBorders>
                  <w:noWrap w:val="0"/>
                  <w:vAlign w:val="center"/>
                </w:tcPr>
                <w:p w14:paraId="03494F2D">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本项目废气、废水排放将在南通市海门区范围内平衡</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631" w:type="pct"/>
                  <w:tcBorders>
                    <w:tl2br w:val="nil"/>
                    <w:tr2bl w:val="nil"/>
                  </w:tcBorders>
                  <w:noWrap w:val="0"/>
                  <w:vAlign w:val="center"/>
                </w:tcPr>
                <w:p w14:paraId="52267AFF">
                  <w:pPr>
                    <w:spacing w:line="240" w:lineRule="auto"/>
                    <w:ind w:left="0" w:leftChars="0" w:right="0" w:right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相符</w:t>
                  </w:r>
                </w:p>
              </w:tc>
            </w:tr>
            <w:tr w14:paraId="132DF1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71" w:type="pct"/>
                  <w:tcBorders>
                    <w:tl2br w:val="nil"/>
                    <w:tr2bl w:val="nil"/>
                  </w:tcBorders>
                  <w:noWrap w:val="0"/>
                  <w:vAlign w:val="center"/>
                </w:tcPr>
                <w:p w14:paraId="34B8794D">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装备制造。</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禁止引进纯电镀项目(为本地产业配套的“绿岛”类项目除外)；新建电镀“绿岛”项目废水回用率&gt;40%；工艺、装备、清洁生产水平基本达到国际先进水平。现有电镀企业废水回用率&gt;35%。工业涂装企业的涂料使用应符合《低挥发性有机化合物含量涂料产品技术要求》规定的VOCs含量限值要求，新建含涂装工序项目清洁生产和能效水平基本达到国际先进水平，单位涂装面积VOCs排放量&lt;60g/m</w:t>
                  </w:r>
                  <w:r>
                    <w:rPr>
                      <w:rFonts w:hint="default" w:ascii="Times New Roman" w:hAnsi="Times New Roman" w:eastAsia="宋体" w:cs="Times New Roman"/>
                      <w:b w:val="0"/>
                      <w:bCs/>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;现有含涂装工序企业以单位涂装面积VOCs排放量&lt;80g/m</w:t>
                  </w:r>
                  <w:r>
                    <w:rPr>
                      <w:rFonts w:hint="default" w:ascii="Times New Roman" w:hAnsi="Times New Roman" w:eastAsia="宋体" w:cs="Times New Roman"/>
                      <w:b w:val="0"/>
                      <w:bCs/>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为目标限期提标改造。到2025年，铸造企业颗粒物污染排放量较2020年减少30%以上。</w:t>
                  </w:r>
                </w:p>
              </w:tc>
              <w:tc>
                <w:tcPr>
                  <w:tcW w:w="1897" w:type="pct"/>
                  <w:tcBorders>
                    <w:tl2br w:val="nil"/>
                    <w:tr2bl w:val="nil"/>
                  </w:tcBorders>
                  <w:noWrap w:val="0"/>
                  <w:vAlign w:val="center"/>
                </w:tcPr>
                <w:p w14:paraId="52FA936A">
                  <w:pPr>
                    <w:spacing w:line="240" w:lineRule="auto"/>
                    <w:ind w:left="0" w:leftChars="0" w:right="0" w:rightChars="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本项目不属于电镀项目，无涂料使用，</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天然气燃烧产生的飞起</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均通过有效处理后高空排放，</w:t>
                  </w:r>
                  <w:r>
                    <w:rPr>
                      <w:rFonts w:hint="default" w:ascii="Times New Roman" w:hAnsi="Times New Roman" w:cs="Times New Roman"/>
                      <w:color w:val="000000" w:themeColor="text1"/>
                      <w:szCs w:val="21"/>
                      <w:highlight w:val="none"/>
                      <w14:textFill>
                        <w14:solidFill>
                          <w14:schemeClr w14:val="tx1"/>
                        </w14:solidFill>
                      </w14:textFill>
                    </w:rPr>
                    <w:t>通过对比同行业</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本项目的生产工艺、设备，以及单位产品水耗、能耗、污染物排放和资源利用效率等应达到同行业国际先进水平</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631" w:type="pct"/>
                  <w:tcBorders>
                    <w:tl2br w:val="nil"/>
                    <w:tr2bl w:val="nil"/>
                  </w:tcBorders>
                  <w:noWrap w:val="0"/>
                  <w:vAlign w:val="center"/>
                </w:tcPr>
                <w:p w14:paraId="45A860DC">
                  <w:pPr>
                    <w:spacing w:line="240" w:lineRule="auto"/>
                    <w:ind w:left="0" w:leftChars="0" w:right="0" w:right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相符</w:t>
                  </w:r>
                </w:p>
              </w:tc>
            </w:tr>
          </w:tbl>
          <w:p w14:paraId="2858E45E">
            <w:pPr>
              <w:spacing w:line="360" w:lineRule="auto"/>
              <w:ind w:firstLine="422" w:firstLineChars="200"/>
              <w:rPr>
                <w:rFonts w:hint="default"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1</w:t>
            </w:r>
            <w:r>
              <w:rPr>
                <w:rFonts w:hint="eastAsia" w:ascii="Times New Roman" w:hAnsi="Times New Roman" w:cs="Times New Roman"/>
                <w:b/>
                <w:bCs w:val="0"/>
                <w:color w:val="000000" w:themeColor="text1"/>
                <w:kern w:val="0"/>
                <w:sz w:val="21"/>
                <w:szCs w:val="21"/>
                <w:lang w:val="en-US" w:eastAsia="zh-CN" w:bidi="ar-SA"/>
                <w14:textFill>
                  <w14:solidFill>
                    <w14:schemeClr w14:val="tx1"/>
                  </w14:solidFill>
                </w14:textFill>
              </w:rPr>
              <w:t>0</w:t>
            </w:r>
            <w:r>
              <w:rPr>
                <w:rFonts w:hint="default"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、《南通市“十四五”生态环境保护规划》相符性分析</w:t>
            </w:r>
          </w:p>
          <w:p w14:paraId="0ABFAEF3">
            <w:pPr>
              <w:spacing w:line="360" w:lineRule="auto"/>
              <w:ind w:firstLine="42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本项目</w:t>
            </w:r>
            <w:r>
              <w:rPr>
                <w:rFonts w:hint="default" w:ascii="Times New Roman" w:hAnsi="Times New Roman" w:cs="Times New Roman"/>
                <w:color w:val="000000" w:themeColor="text1"/>
                <w:sz w:val="21"/>
                <w:szCs w:val="21"/>
                <w:lang w:val="en-US" w:eastAsia="zh-CN"/>
                <w14:textFill>
                  <w14:solidFill>
                    <w14:schemeClr w14:val="tx1"/>
                  </w14:solidFill>
                </w14:textFill>
              </w:rPr>
              <w:t>不占据生态空间、农业空间和城镇空间，不属于永久基本农田，不属于生态保护红线范围，位于城镇开发边界以内；本项目不属于管控的两高行业；本项目不使用锅炉，采用电能；本项目</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不属于电镀项目，无涂料使用，</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因此与《</w:t>
            </w:r>
            <w:r>
              <w:rPr>
                <w:rFonts w:hint="default" w:ascii="Times New Roman" w:hAnsi="Times New Roman" w:eastAsia="宋体" w:cs="Times New Roman"/>
                <w:b w:val="0"/>
                <w:bCs/>
                <w:color w:val="000000" w:themeColor="text1"/>
                <w:kern w:val="0"/>
                <w:sz w:val="21"/>
                <w:szCs w:val="21"/>
                <w:lang w:val="en-US" w:eastAsia="zh-CN" w:bidi="ar-SA"/>
                <w14:textFill>
                  <w14:solidFill>
                    <w14:schemeClr w14:val="tx1"/>
                  </w14:solidFill>
                </w14:textFill>
              </w:rPr>
              <w:t>南通市“十四五”生态环境保护规划</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》中推进的重点任务要求相符。</w:t>
            </w:r>
          </w:p>
        </w:tc>
      </w:tr>
    </w:tbl>
    <w:p w14:paraId="66B4E3FF">
      <w:pPr>
        <w:spacing w:line="360" w:lineRule="auto"/>
        <w:outlineLvl w:val="0"/>
        <w:rPr>
          <w:rFonts w:hint="default" w:ascii="Times New Roman" w:hAnsi="Times New Roman" w:eastAsia="黑体" w:cs="Times New Roman"/>
          <w:color w:val="auto"/>
          <w:sz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1FF570A4">
      <w:pPr>
        <w:pStyle w:val="36"/>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4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2"/>
        <w:gridCol w:w="8490"/>
      </w:tblGrid>
      <w:tr w14:paraId="60DA1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dxa"/>
            <w:tcBorders>
              <w:bottom w:val="single" w:color="000000" w:sz="12" w:space="0"/>
            </w:tcBorders>
            <w:noWrap w:val="0"/>
            <w:vAlign w:val="center"/>
          </w:tcPr>
          <w:p w14:paraId="5ADD0A4F">
            <w:pPr>
              <w:pStyle w:val="36"/>
              <w:adjustRightInd w:val="0"/>
              <w:snapToGrid w:val="0"/>
              <w:spacing w:before="0" w:beforeAutospacing="0" w:after="0" w:afterAutospacing="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建设内容</w:t>
            </w:r>
          </w:p>
        </w:tc>
        <w:tc>
          <w:tcPr>
            <w:tcW w:w="8490" w:type="dxa"/>
            <w:tcBorders>
              <w:bottom w:val="single" w:color="000000" w:sz="12" w:space="0"/>
            </w:tcBorders>
            <w:noWrap w:val="0"/>
            <w:vAlign w:val="top"/>
          </w:tcPr>
          <w:p w14:paraId="0AA0D3C3">
            <w:pPr>
              <w:spacing w:line="360" w:lineRule="auto"/>
              <w:ind w:left="434"/>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1、项目由来</w:t>
            </w:r>
          </w:p>
          <w:p w14:paraId="67865BF0">
            <w:pPr>
              <w:adjustRightInd w:val="0"/>
              <w:snapToGrid w:val="0"/>
              <w:spacing w:line="360" w:lineRule="auto"/>
              <w:ind w:firstLine="420" w:firstLineChars="200"/>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江苏一重锻造有限公司为提升公司产能规模，增加产品竞争力，投资3000万元，租赁</w:t>
            </w:r>
            <w:r>
              <w:rPr>
                <w:rFonts w:hint="default" w:ascii="Times New Roman" w:hAnsi="Times New Roman" w:cs="Times New Roman"/>
                <w:color w:val="auto"/>
                <w:kern w:val="0"/>
                <w:sz w:val="21"/>
                <w:szCs w:val="21"/>
                <w:highlight w:val="none"/>
                <w:lang w:val="en-US" w:eastAsia="zh-CN"/>
              </w:rPr>
              <w:t>海门市安得利环锻法兰厂</w:t>
            </w:r>
            <w:r>
              <w:rPr>
                <w:rFonts w:hint="default" w:ascii="Times New Roman" w:hAnsi="Times New Roman" w:cs="Times New Roman"/>
                <w:color w:val="auto"/>
                <w:sz w:val="21"/>
                <w:szCs w:val="21"/>
                <w:highlight w:val="none"/>
                <w:lang w:val="en-US" w:eastAsia="zh-CN"/>
              </w:rPr>
              <w:t>位于南通市</w:t>
            </w:r>
            <w:r>
              <w:rPr>
                <w:rFonts w:hint="default" w:ascii="Times New Roman" w:hAnsi="Times New Roman" w:cs="Times New Roman"/>
                <w:color w:val="auto"/>
                <w:szCs w:val="21"/>
                <w:highlight w:val="none"/>
                <w:lang w:eastAsia="zh-CN"/>
              </w:rPr>
              <w:t>海门经济技术开发区厦门路</w:t>
            </w:r>
            <w:r>
              <w:rPr>
                <w:rFonts w:hint="default"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lang w:eastAsia="zh-CN"/>
              </w:rPr>
              <w:t>8号</w:t>
            </w:r>
            <w:r>
              <w:rPr>
                <w:rFonts w:hint="default" w:ascii="Times New Roman" w:hAnsi="Times New Roman" w:cs="Times New Roman"/>
                <w:color w:val="auto"/>
                <w:szCs w:val="21"/>
                <w:highlight w:val="none"/>
                <w:lang w:val="en-US" w:eastAsia="zh-CN"/>
              </w:rPr>
              <w:t>的厂房，占地面积</w:t>
            </w:r>
            <w:r>
              <w:rPr>
                <w:rFonts w:hint="default" w:ascii="Times New Roman" w:hAnsi="Times New Roman" w:cs="Times New Roman"/>
                <w:color w:val="auto"/>
                <w:sz w:val="21"/>
                <w:szCs w:val="21"/>
                <w:highlight w:val="none"/>
                <w:lang w:val="en-US" w:eastAsia="zh-CN"/>
              </w:rPr>
              <w:t>18775平方米，购置相关设备进行年产8000吨模锻件、42000吨自由锻件、30000吨环锻件项目。项目已于海门经济技术开发区行政审批局备案，项目代码为2403-320657-89-01-773263。</w:t>
            </w:r>
          </w:p>
          <w:p w14:paraId="16993397">
            <w:pPr>
              <w:adjustRightInd w:val="0"/>
              <w:snapToGrid w:val="0"/>
              <w:spacing w:line="360" w:lineRule="auto"/>
              <w:ind w:firstLine="420" w:firstLineChars="200"/>
              <w:jc w:val="left"/>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lang w:val="en-US" w:eastAsia="zh-CN"/>
              </w:rPr>
              <w:t>根据《中华人民共和国环境保护法》、《中华人民共和国环境影响评价法》、《建设项目环境保护管理条例》等文件的规定，建设项目应当在开工建设前进行环境影响评价。对照《国民经济行业分类》（GB/T 4754-2017），项目属于</w:t>
            </w:r>
            <w:r>
              <w:rPr>
                <w:rFonts w:hint="default" w:ascii="Times New Roman" w:hAnsi="Times New Roman" w:cs="Times New Roman"/>
                <w:color w:val="auto"/>
                <w:kern w:val="2"/>
                <w:sz w:val="21"/>
                <w:szCs w:val="21"/>
                <w:lang w:val="en-US" w:eastAsia="zh-CN"/>
              </w:rPr>
              <w:t>C</w:t>
            </w: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393锻件及粉末冶金制品制造</w:t>
            </w:r>
            <w:r>
              <w:rPr>
                <w:rFonts w:hint="default" w:ascii="Times New Roman" w:hAnsi="Times New Roman" w:eastAsia="宋体" w:cs="Times New Roman"/>
                <w:color w:val="auto"/>
                <w:szCs w:val="24"/>
                <w:lang w:val="en-US" w:eastAsia="zh-CN"/>
              </w:rPr>
              <w:t>；对照《建设项目环境影响评价分类管理名录》，本项目属于</w:t>
            </w:r>
            <w:r>
              <w:rPr>
                <w:rFonts w:hint="eastAsia" w:ascii="Times New Roman" w:hAnsi="Times New Roman" w:cs="Times New Roman"/>
                <w:color w:val="auto"/>
                <w:szCs w:val="21"/>
                <w:lang w:val="en-US" w:eastAsia="zh-CN"/>
              </w:rPr>
              <w:t>三十</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金属制品业-33</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val="en-US" w:eastAsia="zh-CN"/>
              </w:rPr>
              <w:t>铸造及其他金属制品制造339</w:t>
            </w:r>
            <w:r>
              <w:rPr>
                <w:rFonts w:hint="default" w:ascii="Times New Roman" w:hAnsi="Times New Roman" w:eastAsia="宋体" w:cs="Times New Roman"/>
                <w:color w:val="auto"/>
                <w:szCs w:val="24"/>
                <w:lang w:val="en-US" w:eastAsia="zh-CN"/>
              </w:rPr>
              <w:t>”，因此本项目需编制环境影响报告表。我公司接受委托后，环评工作组进行了实地踏勘和资料收集，在工程分析的基础上，编制了本环境影响报告表。我单位接受委托后，认真研究了该项目的有关资料，在踏勘现场的社会、自然环境状况，调查、收集有关资料的基础上，根据项目所在区域的环境特征、结合工程污染特性等因素，编制了本项目环境影响报告表。通过环境影响评价，阐明本项目对周围环境影响的程度和范围，并提出环境污染控制措施，为项目的工程设计和环境管理提供科学依据，报请审批部门审批。</w:t>
            </w:r>
          </w:p>
          <w:p w14:paraId="5BCCC61F">
            <w:pPr>
              <w:spacing w:line="360" w:lineRule="auto"/>
              <w:ind w:left="434"/>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2、项目工程组成表</w:t>
            </w:r>
          </w:p>
          <w:p w14:paraId="0D3B8992">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bCs/>
                <w:color w:val="auto"/>
                <w:sz w:val="21"/>
                <w:szCs w:val="21"/>
              </w:rPr>
              <w:t xml:space="preserve">表2-1  </w:t>
            </w:r>
            <w:r>
              <w:rPr>
                <w:rFonts w:hint="default" w:ascii="Times New Roman" w:hAnsi="Times New Roman" w:cs="Times New Roman"/>
                <w:b/>
                <w:color w:val="auto"/>
                <w:sz w:val="21"/>
                <w:szCs w:val="21"/>
              </w:rPr>
              <w:t>项目主要工程建设内容</w:t>
            </w:r>
          </w:p>
          <w:tbl>
            <w:tblPr>
              <w:tblStyle w:val="41"/>
              <w:tblW w:w="86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
              <w:gridCol w:w="1100"/>
              <w:gridCol w:w="3"/>
              <w:gridCol w:w="1550"/>
              <w:gridCol w:w="2"/>
              <w:gridCol w:w="3309"/>
              <w:gridCol w:w="2"/>
              <w:gridCol w:w="12"/>
              <w:gridCol w:w="1924"/>
              <w:gridCol w:w="4"/>
              <w:gridCol w:w="194"/>
            </w:tblGrid>
            <w:tr w14:paraId="0E6376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359" w:hRule="atLeast"/>
                <w:jc w:val="center"/>
              </w:trPr>
              <w:tc>
                <w:tcPr>
                  <w:tcW w:w="289" w:type="pct"/>
                  <w:noWrap w:val="0"/>
                  <w:vAlign w:val="center"/>
                </w:tcPr>
                <w:p w14:paraId="4EA5BC20">
                  <w:pPr>
                    <w:jc w:val="center"/>
                    <w:outlineLvl w:val="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类别</w:t>
                  </w:r>
                </w:p>
              </w:tc>
              <w:tc>
                <w:tcPr>
                  <w:tcW w:w="1545" w:type="pct"/>
                  <w:gridSpan w:val="5"/>
                  <w:noWrap w:val="0"/>
                  <w:vAlign w:val="center"/>
                </w:tcPr>
                <w:p w14:paraId="24FEE3D1">
                  <w:pPr>
                    <w:jc w:val="center"/>
                    <w:outlineLvl w:val="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工程名称</w:t>
                  </w:r>
                </w:p>
              </w:tc>
              <w:tc>
                <w:tcPr>
                  <w:tcW w:w="1924" w:type="pct"/>
                  <w:gridSpan w:val="2"/>
                  <w:noWrap w:val="0"/>
                  <w:vAlign w:val="center"/>
                </w:tcPr>
                <w:p w14:paraId="7F35FC01">
                  <w:pPr>
                    <w:jc w:val="center"/>
                    <w:outlineLvl w:val="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建设内容及规模</w:t>
                  </w:r>
                </w:p>
              </w:tc>
              <w:tc>
                <w:tcPr>
                  <w:tcW w:w="1127" w:type="pct"/>
                  <w:gridSpan w:val="3"/>
                  <w:noWrap w:val="0"/>
                  <w:vAlign w:val="center"/>
                </w:tcPr>
                <w:p w14:paraId="2CC434B1">
                  <w:pPr>
                    <w:jc w:val="center"/>
                    <w:outlineLvl w:val="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备注</w:t>
                  </w:r>
                </w:p>
              </w:tc>
            </w:tr>
            <w:tr w14:paraId="249E6D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115" w:type="pct"/>
                <w:cantSplit/>
                <w:trHeight w:val="432" w:hRule="atLeast"/>
                <w:jc w:val="center"/>
              </w:trPr>
              <w:tc>
                <w:tcPr>
                  <w:tcW w:w="289" w:type="pct"/>
                  <w:vMerge w:val="restart"/>
                  <w:noWrap w:val="0"/>
                  <w:vAlign w:val="center"/>
                </w:tcPr>
                <w:p w14:paraId="0D1C9340">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主体工程</w:t>
                  </w:r>
                </w:p>
              </w:tc>
              <w:tc>
                <w:tcPr>
                  <w:tcW w:w="641" w:type="pct"/>
                  <w:gridSpan w:val="2"/>
                  <w:vMerge w:val="restart"/>
                  <w:noWrap w:val="0"/>
                  <w:vAlign w:val="center"/>
                </w:tcPr>
                <w:p w14:paraId="065CEB09">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车间</w:t>
                  </w:r>
                </w:p>
              </w:tc>
              <w:tc>
                <w:tcPr>
                  <w:tcW w:w="902" w:type="pct"/>
                  <w:gridSpan w:val="2"/>
                  <w:noWrap w:val="0"/>
                  <w:vAlign w:val="center"/>
                </w:tcPr>
                <w:p w14:paraId="7EBA94C4">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压机车间</w:t>
                  </w:r>
                </w:p>
              </w:tc>
              <w:tc>
                <w:tcPr>
                  <w:tcW w:w="1924" w:type="pct"/>
                  <w:gridSpan w:val="2"/>
                  <w:noWrap w:val="0"/>
                  <w:vAlign w:val="center"/>
                </w:tcPr>
                <w:p w14:paraId="36374D63">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占地面积：</w:t>
                  </w:r>
                  <w:r>
                    <w:rPr>
                      <w:rFonts w:hint="eastAsia" w:ascii="Times New Roman" w:hAnsi="Times New Roman" w:cs="Times New Roman"/>
                      <w:color w:val="auto"/>
                      <w:sz w:val="21"/>
                      <w:szCs w:val="21"/>
                      <w:highlight w:val="none"/>
                      <w:lang w:val="en-US" w:eastAsia="zh-CN"/>
                    </w:rPr>
                    <w:t>2200</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p>
              </w:tc>
              <w:tc>
                <w:tcPr>
                  <w:tcW w:w="1126" w:type="pct"/>
                  <w:gridSpan w:val="3"/>
                  <w:vMerge w:val="restart"/>
                  <w:noWrap w:val="0"/>
                  <w:vAlign w:val="center"/>
                </w:tcPr>
                <w:p w14:paraId="5D052244">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新建</w:t>
                  </w:r>
                </w:p>
              </w:tc>
            </w:tr>
            <w:tr w14:paraId="19578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115" w:type="pct"/>
                <w:cantSplit/>
                <w:trHeight w:val="472" w:hRule="atLeast"/>
                <w:jc w:val="center"/>
              </w:trPr>
              <w:tc>
                <w:tcPr>
                  <w:tcW w:w="289" w:type="pct"/>
                  <w:vMerge w:val="continue"/>
                  <w:noWrap w:val="0"/>
                  <w:vAlign w:val="center"/>
                </w:tcPr>
                <w:p w14:paraId="037A6245">
                  <w:pPr>
                    <w:adjustRightInd w:val="0"/>
                    <w:snapToGrid w:val="0"/>
                    <w:jc w:val="center"/>
                    <w:rPr>
                      <w:rFonts w:hint="default" w:ascii="Times New Roman" w:hAnsi="Times New Roman" w:cs="Times New Roman"/>
                      <w:color w:val="auto"/>
                    </w:rPr>
                  </w:pPr>
                </w:p>
              </w:tc>
              <w:tc>
                <w:tcPr>
                  <w:tcW w:w="641" w:type="pct"/>
                  <w:gridSpan w:val="2"/>
                  <w:vMerge w:val="continue"/>
                  <w:noWrap w:val="0"/>
                  <w:vAlign w:val="center"/>
                </w:tcPr>
                <w:p w14:paraId="7D124AFB">
                  <w:pPr>
                    <w:adjustRightInd w:val="0"/>
                    <w:snapToGrid w:val="0"/>
                    <w:jc w:val="center"/>
                    <w:rPr>
                      <w:rFonts w:hint="default" w:ascii="Times New Roman" w:hAnsi="Times New Roman" w:cs="Times New Roman"/>
                      <w:color w:val="auto"/>
                    </w:rPr>
                  </w:pPr>
                </w:p>
              </w:tc>
              <w:tc>
                <w:tcPr>
                  <w:tcW w:w="902" w:type="pct"/>
                  <w:gridSpan w:val="2"/>
                  <w:noWrap w:val="0"/>
                  <w:vAlign w:val="center"/>
                </w:tcPr>
                <w:p w14:paraId="1D800BD9">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热处理车间</w:t>
                  </w:r>
                </w:p>
              </w:tc>
              <w:tc>
                <w:tcPr>
                  <w:tcW w:w="1924" w:type="pct"/>
                  <w:gridSpan w:val="2"/>
                  <w:noWrap w:val="0"/>
                  <w:vAlign w:val="center"/>
                </w:tcPr>
                <w:p w14:paraId="22B2EF4E">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占地面积：</w:t>
                  </w:r>
                  <w:r>
                    <w:rPr>
                      <w:rFonts w:hint="eastAsia" w:ascii="Times New Roman" w:hAnsi="Times New Roman" w:cs="Times New Roman"/>
                      <w:color w:val="auto"/>
                      <w:sz w:val="21"/>
                      <w:szCs w:val="21"/>
                      <w:highlight w:val="none"/>
                      <w:lang w:val="en-US" w:eastAsia="zh-CN"/>
                    </w:rPr>
                    <w:t>2200</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p>
              </w:tc>
              <w:tc>
                <w:tcPr>
                  <w:tcW w:w="1126" w:type="pct"/>
                  <w:gridSpan w:val="3"/>
                  <w:vMerge w:val="continue"/>
                  <w:noWrap w:val="0"/>
                  <w:vAlign w:val="center"/>
                </w:tcPr>
                <w:p w14:paraId="39377080">
                  <w:pPr>
                    <w:adjustRightInd w:val="0"/>
                    <w:snapToGrid w:val="0"/>
                    <w:jc w:val="center"/>
                    <w:rPr>
                      <w:rFonts w:hint="default" w:ascii="Times New Roman" w:hAnsi="Times New Roman" w:cs="Times New Roman"/>
                      <w:color w:val="auto"/>
                      <w:sz w:val="21"/>
                      <w:szCs w:val="21"/>
                      <w:highlight w:val="none"/>
                      <w:lang w:val="en-US" w:eastAsia="zh-CN"/>
                    </w:rPr>
                  </w:pPr>
                </w:p>
              </w:tc>
            </w:tr>
            <w:tr w14:paraId="6F7BC2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115" w:type="pct"/>
                <w:cantSplit/>
                <w:trHeight w:val="337" w:hRule="atLeast"/>
                <w:jc w:val="center"/>
              </w:trPr>
              <w:tc>
                <w:tcPr>
                  <w:tcW w:w="289" w:type="pct"/>
                  <w:vMerge w:val="continue"/>
                  <w:noWrap w:val="0"/>
                  <w:vAlign w:val="center"/>
                </w:tcPr>
                <w:p w14:paraId="2BE7D925">
                  <w:pPr>
                    <w:adjustRightInd w:val="0"/>
                    <w:snapToGrid w:val="0"/>
                    <w:jc w:val="center"/>
                    <w:rPr>
                      <w:rFonts w:hint="default" w:ascii="Times New Roman" w:hAnsi="Times New Roman" w:cs="Times New Roman"/>
                      <w:color w:val="auto"/>
                      <w:sz w:val="21"/>
                      <w:szCs w:val="21"/>
                      <w:highlight w:val="none"/>
                      <w:lang w:val="en-US" w:eastAsia="zh-CN"/>
                    </w:rPr>
                  </w:pPr>
                </w:p>
              </w:tc>
              <w:tc>
                <w:tcPr>
                  <w:tcW w:w="641" w:type="pct"/>
                  <w:gridSpan w:val="2"/>
                  <w:vMerge w:val="continue"/>
                  <w:noWrap w:val="0"/>
                  <w:vAlign w:val="center"/>
                </w:tcPr>
                <w:p w14:paraId="6351F7BB">
                  <w:pPr>
                    <w:adjustRightInd w:val="0"/>
                    <w:snapToGrid w:val="0"/>
                    <w:jc w:val="center"/>
                    <w:rPr>
                      <w:rFonts w:hint="default" w:ascii="Times New Roman" w:hAnsi="Times New Roman" w:cs="Times New Roman"/>
                      <w:color w:val="auto"/>
                      <w:sz w:val="21"/>
                      <w:szCs w:val="21"/>
                      <w:highlight w:val="none"/>
                      <w:lang w:val="en-US" w:eastAsia="zh-CN"/>
                    </w:rPr>
                  </w:pPr>
                </w:p>
              </w:tc>
              <w:tc>
                <w:tcPr>
                  <w:tcW w:w="902" w:type="pct"/>
                  <w:gridSpan w:val="2"/>
                  <w:noWrap w:val="0"/>
                  <w:vAlign w:val="center"/>
                </w:tcPr>
                <w:p w14:paraId="7D9E9870">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精加工东车间</w:t>
                  </w:r>
                </w:p>
              </w:tc>
              <w:tc>
                <w:tcPr>
                  <w:tcW w:w="1924" w:type="pct"/>
                  <w:gridSpan w:val="2"/>
                  <w:noWrap w:val="0"/>
                  <w:vAlign w:val="center"/>
                </w:tcPr>
                <w:p w14:paraId="764130C0">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占地面积：</w:t>
                  </w:r>
                  <w:r>
                    <w:rPr>
                      <w:rFonts w:hint="eastAsia" w:ascii="Times New Roman" w:hAnsi="Times New Roman" w:cs="Times New Roman"/>
                      <w:color w:val="auto"/>
                      <w:sz w:val="21"/>
                      <w:szCs w:val="21"/>
                      <w:highlight w:val="none"/>
                      <w:lang w:val="en-US" w:eastAsia="zh-CN"/>
                    </w:rPr>
                    <w:t>12</w:t>
                  </w:r>
                  <w:r>
                    <w:rPr>
                      <w:rFonts w:hint="default" w:ascii="Times New Roman" w:hAnsi="Times New Roman" w:cs="Times New Roman"/>
                      <w:color w:val="auto"/>
                      <w:sz w:val="21"/>
                      <w:szCs w:val="21"/>
                      <w:highlight w:val="none"/>
                      <w:lang w:val="en-US" w:eastAsia="zh-CN"/>
                    </w:rPr>
                    <w:t>00m</w:t>
                  </w:r>
                  <w:r>
                    <w:rPr>
                      <w:rFonts w:hint="default" w:ascii="Times New Roman" w:hAnsi="Times New Roman" w:cs="Times New Roman"/>
                      <w:color w:val="auto"/>
                      <w:sz w:val="21"/>
                      <w:szCs w:val="21"/>
                      <w:highlight w:val="none"/>
                      <w:vertAlign w:val="superscript"/>
                      <w:lang w:val="en-US" w:eastAsia="zh-CN"/>
                    </w:rPr>
                    <w:t>2</w:t>
                  </w:r>
                </w:p>
              </w:tc>
              <w:tc>
                <w:tcPr>
                  <w:tcW w:w="1126" w:type="pct"/>
                  <w:gridSpan w:val="3"/>
                  <w:vMerge w:val="continue"/>
                  <w:noWrap w:val="0"/>
                  <w:vAlign w:val="center"/>
                </w:tcPr>
                <w:p w14:paraId="3191CB57">
                  <w:pPr>
                    <w:adjustRightInd w:val="0"/>
                    <w:snapToGrid w:val="0"/>
                    <w:jc w:val="center"/>
                    <w:rPr>
                      <w:rFonts w:hint="default" w:ascii="Times New Roman" w:hAnsi="Times New Roman" w:cs="Times New Roman"/>
                      <w:color w:val="auto"/>
                      <w:sz w:val="21"/>
                      <w:szCs w:val="21"/>
                      <w:highlight w:val="none"/>
                      <w:lang w:val="en-US" w:eastAsia="zh-CN"/>
                    </w:rPr>
                  </w:pPr>
                </w:p>
              </w:tc>
            </w:tr>
            <w:tr w14:paraId="32100E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115" w:type="pct"/>
                <w:cantSplit/>
                <w:trHeight w:val="442" w:hRule="atLeast"/>
                <w:jc w:val="center"/>
              </w:trPr>
              <w:tc>
                <w:tcPr>
                  <w:tcW w:w="289" w:type="pct"/>
                  <w:vMerge w:val="continue"/>
                  <w:noWrap w:val="0"/>
                  <w:vAlign w:val="center"/>
                </w:tcPr>
                <w:p w14:paraId="591BFAD8">
                  <w:pPr>
                    <w:adjustRightInd w:val="0"/>
                    <w:snapToGrid w:val="0"/>
                    <w:jc w:val="center"/>
                    <w:rPr>
                      <w:rFonts w:hint="default" w:ascii="Times New Roman" w:hAnsi="Times New Roman" w:cs="Times New Roman"/>
                      <w:color w:val="auto"/>
                    </w:rPr>
                  </w:pPr>
                </w:p>
              </w:tc>
              <w:tc>
                <w:tcPr>
                  <w:tcW w:w="641" w:type="pct"/>
                  <w:gridSpan w:val="2"/>
                  <w:vMerge w:val="continue"/>
                  <w:noWrap w:val="0"/>
                  <w:vAlign w:val="center"/>
                </w:tcPr>
                <w:p w14:paraId="01DE6549">
                  <w:pPr>
                    <w:adjustRightInd w:val="0"/>
                    <w:snapToGrid w:val="0"/>
                    <w:jc w:val="center"/>
                    <w:rPr>
                      <w:rFonts w:hint="default" w:ascii="Times New Roman" w:hAnsi="Times New Roman" w:cs="Times New Roman"/>
                      <w:color w:val="auto"/>
                    </w:rPr>
                  </w:pPr>
                </w:p>
              </w:tc>
              <w:tc>
                <w:tcPr>
                  <w:tcW w:w="902" w:type="pct"/>
                  <w:gridSpan w:val="2"/>
                  <w:noWrap w:val="0"/>
                  <w:vAlign w:val="center"/>
                </w:tcPr>
                <w:p w14:paraId="3FBFC027">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精加工西车间</w:t>
                  </w:r>
                </w:p>
              </w:tc>
              <w:tc>
                <w:tcPr>
                  <w:tcW w:w="1924" w:type="pct"/>
                  <w:gridSpan w:val="2"/>
                  <w:noWrap w:val="0"/>
                  <w:vAlign w:val="center"/>
                </w:tcPr>
                <w:p w14:paraId="09E4C35A">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占地面积：</w:t>
                  </w:r>
                  <w:r>
                    <w:rPr>
                      <w:rFonts w:hint="eastAsia" w:ascii="Times New Roman" w:hAnsi="Times New Roman" w:cs="Times New Roman"/>
                      <w:color w:val="auto"/>
                      <w:sz w:val="21"/>
                      <w:szCs w:val="21"/>
                      <w:highlight w:val="none"/>
                      <w:lang w:val="en-US" w:eastAsia="zh-CN"/>
                    </w:rPr>
                    <w:t>14</w:t>
                  </w:r>
                  <w:r>
                    <w:rPr>
                      <w:rFonts w:hint="default" w:ascii="Times New Roman" w:hAnsi="Times New Roman" w:cs="Times New Roman"/>
                      <w:color w:val="auto"/>
                      <w:sz w:val="21"/>
                      <w:szCs w:val="21"/>
                      <w:highlight w:val="none"/>
                      <w:lang w:val="en-US" w:eastAsia="zh-CN"/>
                    </w:rPr>
                    <w:t>00m</w:t>
                  </w:r>
                  <w:r>
                    <w:rPr>
                      <w:rFonts w:hint="default" w:ascii="Times New Roman" w:hAnsi="Times New Roman" w:cs="Times New Roman"/>
                      <w:color w:val="auto"/>
                      <w:sz w:val="21"/>
                      <w:szCs w:val="21"/>
                      <w:highlight w:val="none"/>
                      <w:vertAlign w:val="superscript"/>
                      <w:lang w:val="en-US" w:eastAsia="zh-CN"/>
                    </w:rPr>
                    <w:t>2</w:t>
                  </w:r>
                </w:p>
              </w:tc>
              <w:tc>
                <w:tcPr>
                  <w:tcW w:w="1126" w:type="pct"/>
                  <w:gridSpan w:val="3"/>
                  <w:vMerge w:val="continue"/>
                  <w:noWrap w:val="0"/>
                  <w:vAlign w:val="center"/>
                </w:tcPr>
                <w:p w14:paraId="23403E97">
                  <w:pPr>
                    <w:adjustRightInd w:val="0"/>
                    <w:snapToGrid w:val="0"/>
                    <w:jc w:val="center"/>
                    <w:rPr>
                      <w:rFonts w:hint="default" w:ascii="Times New Roman" w:hAnsi="Times New Roman" w:cs="Times New Roman"/>
                      <w:color w:val="auto"/>
                      <w:sz w:val="21"/>
                      <w:szCs w:val="21"/>
                      <w:highlight w:val="none"/>
                      <w:lang w:val="en-US" w:eastAsia="zh-CN"/>
                    </w:rPr>
                  </w:pPr>
                </w:p>
              </w:tc>
            </w:tr>
            <w:tr w14:paraId="6BA3B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115" w:type="pct"/>
                <w:cantSplit/>
                <w:trHeight w:val="472" w:hRule="atLeast"/>
                <w:jc w:val="center"/>
              </w:trPr>
              <w:tc>
                <w:tcPr>
                  <w:tcW w:w="289" w:type="pct"/>
                  <w:vMerge w:val="continue"/>
                  <w:noWrap w:val="0"/>
                  <w:vAlign w:val="center"/>
                </w:tcPr>
                <w:p w14:paraId="753003FD">
                  <w:pPr>
                    <w:adjustRightInd w:val="0"/>
                    <w:snapToGrid w:val="0"/>
                    <w:jc w:val="center"/>
                    <w:rPr>
                      <w:color w:val="auto"/>
                    </w:rPr>
                  </w:pPr>
                </w:p>
              </w:tc>
              <w:tc>
                <w:tcPr>
                  <w:tcW w:w="641" w:type="pct"/>
                  <w:gridSpan w:val="2"/>
                  <w:noWrap w:val="0"/>
                  <w:vAlign w:val="center"/>
                </w:tcPr>
                <w:p w14:paraId="6324A292">
                  <w:pPr>
                    <w:adjustRightInd w:val="0"/>
                    <w:snapToGrid w:val="0"/>
                    <w:jc w:val="center"/>
                    <w:rPr>
                      <w:rFonts w:hint="default" w:eastAsia="宋体"/>
                      <w:color w:val="auto"/>
                      <w:lang w:val="en-US" w:eastAsia="zh-CN"/>
                    </w:rPr>
                  </w:pPr>
                  <w:r>
                    <w:rPr>
                      <w:rFonts w:hint="eastAsia"/>
                      <w:color w:val="auto"/>
                      <w:lang w:val="en-US" w:eastAsia="zh-CN"/>
                    </w:rPr>
                    <w:t>办公</w:t>
                  </w:r>
                </w:p>
              </w:tc>
              <w:tc>
                <w:tcPr>
                  <w:tcW w:w="902" w:type="pct"/>
                  <w:gridSpan w:val="2"/>
                  <w:noWrap w:val="0"/>
                  <w:vAlign w:val="center"/>
                </w:tcPr>
                <w:p w14:paraId="35E9139C">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办公楼</w:t>
                  </w:r>
                </w:p>
              </w:tc>
              <w:tc>
                <w:tcPr>
                  <w:tcW w:w="1924" w:type="pct"/>
                  <w:gridSpan w:val="2"/>
                  <w:noWrap w:val="0"/>
                  <w:vAlign w:val="center"/>
                </w:tcPr>
                <w:p w14:paraId="712436A2">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占地面积：3000m</w:t>
                  </w:r>
                  <w:r>
                    <w:rPr>
                      <w:rFonts w:hint="eastAsia" w:ascii="Times New Roman" w:hAnsi="Times New Roman" w:cs="Times New Roman"/>
                      <w:color w:val="auto"/>
                      <w:sz w:val="21"/>
                      <w:szCs w:val="21"/>
                      <w:highlight w:val="none"/>
                      <w:vertAlign w:val="superscript"/>
                      <w:lang w:val="en-US" w:eastAsia="zh-CN"/>
                    </w:rPr>
                    <w:t>2</w:t>
                  </w:r>
                </w:p>
              </w:tc>
              <w:tc>
                <w:tcPr>
                  <w:tcW w:w="1126" w:type="pct"/>
                  <w:gridSpan w:val="3"/>
                  <w:vMerge w:val="continue"/>
                  <w:noWrap w:val="0"/>
                  <w:vAlign w:val="center"/>
                </w:tcPr>
                <w:p w14:paraId="3C7F755E">
                  <w:pPr>
                    <w:adjustRightInd w:val="0"/>
                    <w:snapToGrid w:val="0"/>
                    <w:jc w:val="center"/>
                    <w:rPr>
                      <w:rFonts w:hint="default" w:ascii="Times New Roman" w:hAnsi="Times New Roman" w:cs="Times New Roman"/>
                      <w:color w:val="auto"/>
                      <w:sz w:val="21"/>
                      <w:szCs w:val="21"/>
                      <w:highlight w:val="none"/>
                      <w:lang w:val="en-US" w:eastAsia="zh-CN"/>
                    </w:rPr>
                  </w:pPr>
                </w:p>
              </w:tc>
            </w:tr>
            <w:tr w14:paraId="72974E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115" w:type="pct"/>
                <w:cantSplit/>
                <w:trHeight w:val="671" w:hRule="atLeast"/>
                <w:jc w:val="center"/>
              </w:trPr>
              <w:tc>
                <w:tcPr>
                  <w:tcW w:w="289" w:type="pct"/>
                  <w:vMerge w:val="restart"/>
                  <w:noWrap w:val="0"/>
                  <w:vAlign w:val="center"/>
                </w:tcPr>
                <w:p w14:paraId="78FE0EEC">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储运</w:t>
                  </w:r>
                </w:p>
                <w:p w14:paraId="4A60FD58">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w:t>
                  </w:r>
                </w:p>
              </w:tc>
              <w:tc>
                <w:tcPr>
                  <w:tcW w:w="641" w:type="pct"/>
                  <w:gridSpan w:val="2"/>
                  <w:noWrap w:val="0"/>
                  <w:vAlign w:val="center"/>
                </w:tcPr>
                <w:p w14:paraId="3099A00E">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贮存</w:t>
                  </w:r>
                </w:p>
              </w:tc>
              <w:tc>
                <w:tcPr>
                  <w:tcW w:w="902" w:type="pct"/>
                  <w:gridSpan w:val="2"/>
                  <w:noWrap w:val="0"/>
                  <w:vAlign w:val="center"/>
                </w:tcPr>
                <w:p w14:paraId="30CE38FA">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仓库</w:t>
                  </w:r>
                </w:p>
              </w:tc>
              <w:tc>
                <w:tcPr>
                  <w:tcW w:w="1924" w:type="pct"/>
                  <w:gridSpan w:val="2"/>
                  <w:noWrap w:val="0"/>
                  <w:vAlign w:val="center"/>
                </w:tcPr>
                <w:p w14:paraId="162D6432">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占地面积：</w:t>
                  </w:r>
                  <w:r>
                    <w:rPr>
                      <w:rFonts w:hint="eastAsia" w:ascii="Times New Roman" w:hAnsi="Times New Roman" w:cs="Times New Roman"/>
                      <w:color w:val="auto"/>
                      <w:sz w:val="21"/>
                      <w:szCs w:val="21"/>
                      <w:highlight w:val="none"/>
                      <w:lang w:val="en-US" w:eastAsia="zh-CN"/>
                    </w:rPr>
                    <w:t>15</w:t>
                  </w:r>
                  <w:r>
                    <w:rPr>
                      <w:rFonts w:hint="default" w:ascii="Times New Roman" w:hAnsi="Times New Roman" w:cs="Times New Roman"/>
                      <w:color w:val="auto"/>
                      <w:sz w:val="21"/>
                      <w:szCs w:val="21"/>
                      <w:highlight w:val="none"/>
                      <w:lang w:val="en-US" w:eastAsia="zh-CN"/>
                    </w:rPr>
                    <w:t>00m</w:t>
                  </w:r>
                  <w:r>
                    <w:rPr>
                      <w:rFonts w:hint="default" w:ascii="Times New Roman" w:hAnsi="Times New Roman" w:cs="Times New Roman"/>
                      <w:color w:val="auto"/>
                      <w:sz w:val="21"/>
                      <w:szCs w:val="21"/>
                      <w:highlight w:val="none"/>
                      <w:vertAlign w:val="superscript"/>
                      <w:lang w:val="en-US" w:eastAsia="zh-CN"/>
                    </w:rPr>
                    <w:t>2</w:t>
                  </w:r>
                </w:p>
              </w:tc>
              <w:tc>
                <w:tcPr>
                  <w:tcW w:w="1126" w:type="pct"/>
                  <w:gridSpan w:val="3"/>
                  <w:noWrap w:val="0"/>
                  <w:vAlign w:val="center"/>
                </w:tcPr>
                <w:p w14:paraId="3ED15643">
                  <w:pPr>
                    <w:jc w:val="center"/>
                    <w:outlineLvl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用于仓储</w:t>
                  </w:r>
                </w:p>
              </w:tc>
            </w:tr>
            <w:tr w14:paraId="05E338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496" w:hRule="atLeast"/>
                <w:jc w:val="center"/>
              </w:trPr>
              <w:tc>
                <w:tcPr>
                  <w:tcW w:w="289" w:type="pct"/>
                  <w:vMerge w:val="continue"/>
                  <w:noWrap w:val="0"/>
                  <w:vAlign w:val="center"/>
                </w:tcPr>
                <w:p w14:paraId="670044AB">
                  <w:pPr>
                    <w:jc w:val="center"/>
                    <w:outlineLvl w:val="0"/>
                    <w:rPr>
                      <w:rFonts w:hint="default" w:ascii="Times New Roman" w:hAnsi="Times New Roman" w:cs="Times New Roman"/>
                      <w:color w:val="auto"/>
                      <w:sz w:val="21"/>
                      <w:szCs w:val="21"/>
                      <w:highlight w:val="none"/>
                    </w:rPr>
                  </w:pPr>
                </w:p>
              </w:tc>
              <w:tc>
                <w:tcPr>
                  <w:tcW w:w="1545" w:type="pct"/>
                  <w:gridSpan w:val="5"/>
                  <w:noWrap w:val="0"/>
                  <w:vAlign w:val="center"/>
                </w:tcPr>
                <w:p w14:paraId="4B59771D">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运输</w:t>
                  </w:r>
                </w:p>
              </w:tc>
              <w:tc>
                <w:tcPr>
                  <w:tcW w:w="1924" w:type="pct"/>
                  <w:gridSpan w:val="2"/>
                  <w:noWrap w:val="0"/>
                  <w:vAlign w:val="center"/>
                </w:tcPr>
                <w:p w14:paraId="6296FF5E">
                  <w:pPr>
                    <w:jc w:val="center"/>
                    <w:outlineLvl w:val="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厂内行车运输，厂外公路运输</w:t>
                  </w:r>
                </w:p>
              </w:tc>
              <w:tc>
                <w:tcPr>
                  <w:tcW w:w="1127" w:type="pct"/>
                  <w:gridSpan w:val="3"/>
                  <w:noWrap w:val="0"/>
                  <w:vAlign w:val="center"/>
                </w:tcPr>
                <w:p w14:paraId="121AB64E">
                  <w:pPr>
                    <w:jc w:val="center"/>
                    <w:outlineLvl w:val="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14:paraId="2A0BA9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306" w:hRule="atLeast"/>
                <w:jc w:val="center"/>
              </w:trPr>
              <w:tc>
                <w:tcPr>
                  <w:tcW w:w="289" w:type="pct"/>
                  <w:vMerge w:val="restart"/>
                  <w:noWrap w:val="0"/>
                  <w:vAlign w:val="center"/>
                </w:tcPr>
                <w:p w14:paraId="2FBD9DE7">
                  <w:pPr>
                    <w:pStyle w:val="26"/>
                    <w:pBdr>
                      <w:bottom w:val="none" w:color="auto" w:sz="0" w:space="0"/>
                    </w:pBdr>
                    <w:tabs>
                      <w:tab w:val="clear" w:pos="4153"/>
                      <w:tab w:val="clear" w:pos="8306"/>
                    </w:tabs>
                    <w:snapToGrid/>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公用</w:t>
                  </w:r>
                </w:p>
                <w:p w14:paraId="346BC3A5">
                  <w:pPr>
                    <w:pStyle w:val="26"/>
                    <w:pBdr>
                      <w:bottom w:val="none" w:color="auto" w:sz="0" w:space="0"/>
                    </w:pBdr>
                    <w:tabs>
                      <w:tab w:val="clear" w:pos="4153"/>
                      <w:tab w:val="clear" w:pos="8306"/>
                    </w:tabs>
                    <w:snapToGrid/>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w:t>
                  </w:r>
                </w:p>
              </w:tc>
              <w:tc>
                <w:tcPr>
                  <w:tcW w:w="1545" w:type="pct"/>
                  <w:gridSpan w:val="5"/>
                  <w:noWrap w:val="0"/>
                  <w:vAlign w:val="center"/>
                </w:tcPr>
                <w:p w14:paraId="370FA3DE">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供电</w:t>
                  </w:r>
                  <w:r>
                    <w:rPr>
                      <w:rFonts w:hint="default" w:ascii="Times New Roman" w:hAnsi="Times New Roman" w:cs="Times New Roman"/>
                      <w:color w:val="auto"/>
                      <w:sz w:val="21"/>
                      <w:szCs w:val="21"/>
                      <w:highlight w:val="none"/>
                      <w:lang w:eastAsia="zh-CN"/>
                    </w:rPr>
                    <w:t>系统</w:t>
                  </w:r>
                </w:p>
              </w:tc>
              <w:tc>
                <w:tcPr>
                  <w:tcW w:w="1924" w:type="pct"/>
                  <w:gridSpan w:val="2"/>
                  <w:noWrap w:val="0"/>
                  <w:vAlign w:val="center"/>
                </w:tcPr>
                <w:p w14:paraId="43F84707">
                  <w:pPr>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4500万KWh/a</w:t>
                  </w:r>
                </w:p>
              </w:tc>
              <w:tc>
                <w:tcPr>
                  <w:tcW w:w="1127" w:type="pct"/>
                  <w:gridSpan w:val="3"/>
                  <w:noWrap w:val="0"/>
                  <w:vAlign w:val="center"/>
                </w:tcPr>
                <w:p w14:paraId="142FC3FC">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依托</w:t>
                  </w:r>
                  <w:r>
                    <w:rPr>
                      <w:rFonts w:hint="default" w:ascii="Times New Roman" w:hAnsi="Times New Roman" w:eastAsia="宋体" w:cs="Times New Roman"/>
                      <w:color w:val="auto"/>
                      <w:sz w:val="21"/>
                      <w:szCs w:val="21"/>
                      <w:highlight w:val="none"/>
                    </w:rPr>
                    <w:t>当地电网集中供电</w:t>
                  </w:r>
                </w:p>
              </w:tc>
            </w:tr>
            <w:tr w14:paraId="6510E1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306" w:hRule="atLeast"/>
                <w:jc w:val="center"/>
              </w:trPr>
              <w:tc>
                <w:tcPr>
                  <w:tcW w:w="289" w:type="pct"/>
                  <w:vMerge w:val="continue"/>
                  <w:noWrap w:val="0"/>
                  <w:vAlign w:val="center"/>
                </w:tcPr>
                <w:p w14:paraId="2DFB0983">
                  <w:pPr>
                    <w:jc w:val="center"/>
                    <w:outlineLvl w:val="0"/>
                    <w:rPr>
                      <w:rFonts w:hint="default" w:ascii="Times New Roman" w:hAnsi="Times New Roman" w:cs="Times New Roman"/>
                      <w:color w:val="auto"/>
                      <w:sz w:val="21"/>
                      <w:szCs w:val="21"/>
                      <w:highlight w:val="none"/>
                    </w:rPr>
                  </w:pPr>
                </w:p>
              </w:tc>
              <w:tc>
                <w:tcPr>
                  <w:tcW w:w="1545" w:type="pct"/>
                  <w:gridSpan w:val="5"/>
                  <w:noWrap w:val="0"/>
                  <w:vAlign w:val="center"/>
                </w:tcPr>
                <w:p w14:paraId="3BD842D1">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给水</w:t>
                  </w:r>
                  <w:r>
                    <w:rPr>
                      <w:rFonts w:hint="default" w:ascii="Times New Roman" w:hAnsi="Times New Roman" w:cs="Times New Roman"/>
                      <w:color w:val="auto"/>
                      <w:sz w:val="21"/>
                      <w:szCs w:val="21"/>
                      <w:highlight w:val="none"/>
                      <w:lang w:eastAsia="zh-CN"/>
                    </w:rPr>
                    <w:t>系统</w:t>
                  </w:r>
                </w:p>
              </w:tc>
              <w:tc>
                <w:tcPr>
                  <w:tcW w:w="1924" w:type="pct"/>
                  <w:gridSpan w:val="2"/>
                  <w:noWrap w:val="0"/>
                  <w:vAlign w:val="center"/>
                </w:tcPr>
                <w:p w14:paraId="075BE4C0">
                  <w:pPr>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138</w:t>
                  </w:r>
                  <w:r>
                    <w:rPr>
                      <w:rFonts w:hint="eastAsia"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lang w:val="en-US" w:eastAsia="zh-CN"/>
                    </w:rPr>
                    <w:t>5t/a</w:t>
                  </w:r>
                </w:p>
              </w:tc>
              <w:tc>
                <w:tcPr>
                  <w:tcW w:w="1127" w:type="pct"/>
                  <w:gridSpan w:val="3"/>
                  <w:noWrap w:val="0"/>
                  <w:vAlign w:val="center"/>
                </w:tcPr>
                <w:p w14:paraId="71A64F4D">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依托</w:t>
                  </w:r>
                  <w:r>
                    <w:rPr>
                      <w:rFonts w:hint="default" w:ascii="Times New Roman" w:hAnsi="Times New Roman" w:eastAsia="宋体" w:cs="Times New Roman"/>
                      <w:color w:val="auto"/>
                      <w:sz w:val="21"/>
                      <w:szCs w:val="21"/>
                      <w:highlight w:val="none"/>
                    </w:rPr>
                    <w:t>当地自来水管网供给</w:t>
                  </w:r>
                </w:p>
              </w:tc>
            </w:tr>
            <w:tr w14:paraId="4B4642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403" w:hRule="atLeast"/>
                <w:jc w:val="center"/>
              </w:trPr>
              <w:tc>
                <w:tcPr>
                  <w:tcW w:w="289" w:type="pct"/>
                  <w:vMerge w:val="continue"/>
                  <w:noWrap w:val="0"/>
                  <w:vAlign w:val="center"/>
                </w:tcPr>
                <w:p w14:paraId="1259F7BC">
                  <w:pPr>
                    <w:jc w:val="center"/>
                    <w:outlineLvl w:val="0"/>
                    <w:rPr>
                      <w:rFonts w:hint="default" w:ascii="Times New Roman" w:hAnsi="Times New Roman" w:cs="Times New Roman"/>
                      <w:color w:val="auto"/>
                      <w:sz w:val="21"/>
                      <w:szCs w:val="21"/>
                      <w:highlight w:val="none"/>
                    </w:rPr>
                  </w:pPr>
                </w:p>
              </w:tc>
              <w:tc>
                <w:tcPr>
                  <w:tcW w:w="1545" w:type="pct"/>
                  <w:gridSpan w:val="5"/>
                  <w:vMerge w:val="restart"/>
                  <w:noWrap w:val="0"/>
                  <w:vAlign w:val="center"/>
                </w:tcPr>
                <w:p w14:paraId="028745C4">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排水</w:t>
                  </w:r>
                  <w:r>
                    <w:rPr>
                      <w:rFonts w:hint="default" w:ascii="Times New Roman" w:hAnsi="Times New Roman" w:cs="Times New Roman"/>
                      <w:color w:val="auto"/>
                      <w:sz w:val="21"/>
                      <w:szCs w:val="21"/>
                      <w:highlight w:val="none"/>
                      <w:lang w:eastAsia="zh-CN"/>
                    </w:rPr>
                    <w:t>系统</w:t>
                  </w:r>
                </w:p>
              </w:tc>
              <w:tc>
                <w:tcPr>
                  <w:tcW w:w="1924" w:type="pct"/>
                  <w:gridSpan w:val="2"/>
                  <w:noWrap w:val="0"/>
                  <w:vAlign w:val="center"/>
                </w:tcPr>
                <w:p w14:paraId="576DCA26">
                  <w:pPr>
                    <w:jc w:val="center"/>
                    <w:outlineLvl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生活污水：</w:t>
                  </w:r>
                  <w:r>
                    <w:rPr>
                      <w:rFonts w:hint="default" w:ascii="Times New Roman" w:hAnsi="Times New Roman" w:cs="Times New Roman"/>
                      <w:color w:val="auto"/>
                      <w:sz w:val="21"/>
                      <w:szCs w:val="21"/>
                      <w:highlight w:val="none"/>
                      <w:lang w:val="en-US" w:eastAsia="zh-CN"/>
                    </w:rPr>
                    <w:t>1460t/a</w:t>
                  </w:r>
                </w:p>
              </w:tc>
              <w:tc>
                <w:tcPr>
                  <w:tcW w:w="1127" w:type="pct"/>
                  <w:gridSpan w:val="3"/>
                  <w:noWrap w:val="0"/>
                  <w:vAlign w:val="center"/>
                </w:tcPr>
                <w:p w14:paraId="1E65015A">
                  <w:pPr>
                    <w:jc w:val="center"/>
                    <w:outlineLvl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生活污水</w:t>
                  </w:r>
                  <w:r>
                    <w:rPr>
                      <w:rFonts w:hint="default" w:ascii="Times New Roman" w:hAnsi="Times New Roman" w:eastAsia="宋体" w:cs="Times New Roman"/>
                      <w:color w:val="auto"/>
                      <w:sz w:val="21"/>
                      <w:szCs w:val="21"/>
                      <w:highlight w:val="none"/>
                    </w:rPr>
                    <w:t>接管至</w:t>
                  </w:r>
                  <w:r>
                    <w:rPr>
                      <w:rFonts w:hint="default" w:ascii="Times New Roman" w:hAnsi="Times New Roman" w:eastAsia="宋体" w:cs="Times New Roman"/>
                      <w:color w:val="auto"/>
                      <w:sz w:val="21"/>
                      <w:szCs w:val="21"/>
                      <w:highlight w:val="none"/>
                      <w:lang w:eastAsia="zh-CN"/>
                    </w:rPr>
                    <w:t>海门经济技术开发区污水处理厂处理</w:t>
                  </w:r>
                </w:p>
              </w:tc>
            </w:tr>
            <w:tr w14:paraId="0AFE4A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403" w:hRule="atLeast"/>
                <w:jc w:val="center"/>
              </w:trPr>
              <w:tc>
                <w:tcPr>
                  <w:tcW w:w="289" w:type="pct"/>
                  <w:vMerge w:val="continue"/>
                  <w:noWrap w:val="0"/>
                  <w:vAlign w:val="center"/>
                </w:tcPr>
                <w:p w14:paraId="449E1726">
                  <w:pPr>
                    <w:jc w:val="center"/>
                    <w:outlineLvl w:val="0"/>
                    <w:rPr>
                      <w:color w:val="auto"/>
                    </w:rPr>
                  </w:pPr>
                </w:p>
              </w:tc>
              <w:tc>
                <w:tcPr>
                  <w:tcW w:w="1545" w:type="pct"/>
                  <w:gridSpan w:val="5"/>
                  <w:vMerge w:val="continue"/>
                  <w:noWrap w:val="0"/>
                  <w:vAlign w:val="center"/>
                </w:tcPr>
                <w:p w14:paraId="75334A0F">
                  <w:pPr>
                    <w:jc w:val="center"/>
                    <w:outlineLvl w:val="0"/>
                    <w:rPr>
                      <w:color w:val="auto"/>
                    </w:rPr>
                  </w:pPr>
                </w:p>
              </w:tc>
              <w:tc>
                <w:tcPr>
                  <w:tcW w:w="1924" w:type="pct"/>
                  <w:gridSpan w:val="2"/>
                  <w:noWrap w:val="0"/>
                  <w:vAlign w:val="center"/>
                </w:tcPr>
                <w:p w14:paraId="1C970556">
                  <w:pPr>
                    <w:jc w:val="center"/>
                    <w:outlineLvl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雨水</w:t>
                  </w:r>
                </w:p>
              </w:tc>
              <w:tc>
                <w:tcPr>
                  <w:tcW w:w="1127" w:type="pct"/>
                  <w:gridSpan w:val="3"/>
                  <w:noWrap w:val="0"/>
                  <w:vAlign w:val="center"/>
                </w:tcPr>
                <w:p w14:paraId="5BD50A25">
                  <w:pPr>
                    <w:jc w:val="center"/>
                    <w:outlineLvl w:val="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雨水经雨水管网收集后排入项目东侧488米的浒通河</w:t>
                  </w:r>
                </w:p>
              </w:tc>
            </w:tr>
            <w:tr w14:paraId="7A1321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539" w:hRule="atLeast"/>
                <w:jc w:val="center"/>
              </w:trPr>
              <w:tc>
                <w:tcPr>
                  <w:tcW w:w="289" w:type="pct"/>
                  <w:vMerge w:val="continue"/>
                  <w:noWrap w:val="0"/>
                  <w:vAlign w:val="center"/>
                </w:tcPr>
                <w:p w14:paraId="29FBAECE">
                  <w:pPr>
                    <w:jc w:val="center"/>
                    <w:outlineLvl w:val="0"/>
                    <w:rPr>
                      <w:color w:val="auto"/>
                    </w:rPr>
                  </w:pPr>
                </w:p>
              </w:tc>
              <w:tc>
                <w:tcPr>
                  <w:tcW w:w="1545" w:type="pct"/>
                  <w:gridSpan w:val="5"/>
                  <w:noWrap w:val="0"/>
                  <w:vAlign w:val="center"/>
                </w:tcPr>
                <w:p w14:paraId="18E2A2EA">
                  <w:pPr>
                    <w:jc w:val="center"/>
                    <w:outlineLvl w:val="0"/>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冷却系统</w:t>
                  </w:r>
                </w:p>
              </w:tc>
              <w:tc>
                <w:tcPr>
                  <w:tcW w:w="1924" w:type="pct"/>
                  <w:gridSpan w:val="2"/>
                  <w:noWrap w:val="0"/>
                  <w:vAlign w:val="center"/>
                </w:tcPr>
                <w:p w14:paraId="7BB7946F">
                  <w:pPr>
                    <w:jc w:val="center"/>
                    <w:outlineLvl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冷却池：</w:t>
                  </w:r>
                  <w:r>
                    <w:rPr>
                      <w:rFonts w:hint="eastAsia" w:ascii="Times New Roman" w:hAnsi="Times New Roman" w:cs="Times New Roman"/>
                      <w:color w:val="auto"/>
                      <w:sz w:val="21"/>
                      <w:szCs w:val="21"/>
                      <w:highlight w:val="none"/>
                      <w:lang w:val="en-US" w:eastAsia="zh-CN"/>
                    </w:rPr>
                    <w:t>30m</w:t>
                  </w:r>
                  <w:r>
                    <w:rPr>
                      <w:rFonts w:hint="eastAsia" w:ascii="Times New Roman" w:hAnsi="Times New Roman" w:cs="Times New Roman"/>
                      <w:color w:val="auto"/>
                      <w:sz w:val="21"/>
                      <w:szCs w:val="21"/>
                      <w:highlight w:val="none"/>
                      <w:vertAlign w:val="superscript"/>
                      <w:lang w:val="en-US" w:eastAsia="zh-CN"/>
                    </w:rPr>
                    <w:t>2</w:t>
                  </w:r>
                </w:p>
              </w:tc>
              <w:tc>
                <w:tcPr>
                  <w:tcW w:w="1127" w:type="pct"/>
                  <w:gridSpan w:val="3"/>
                  <w:noWrap w:val="0"/>
                  <w:vAlign w:val="center"/>
                </w:tcPr>
                <w:p w14:paraId="403A9EB6">
                  <w:pPr>
                    <w:jc w:val="center"/>
                    <w:outlineLvl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依托现有冷却池</w:t>
                  </w:r>
                </w:p>
              </w:tc>
            </w:tr>
            <w:tr w14:paraId="170FF1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91" w:type="pct"/>
                  <w:gridSpan w:val="2"/>
                  <w:noWrap w:val="0"/>
                  <w:vAlign w:val="center"/>
                </w:tcPr>
                <w:p w14:paraId="6BF69363">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环保工程</w:t>
                  </w:r>
                </w:p>
              </w:tc>
              <w:tc>
                <w:tcPr>
                  <w:tcW w:w="641" w:type="pct"/>
                  <w:gridSpan w:val="2"/>
                  <w:noWrap w:val="0"/>
                  <w:vAlign w:val="center"/>
                </w:tcPr>
                <w:p w14:paraId="259AFF3D">
                  <w:pPr>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废气处理</w:t>
                  </w:r>
                </w:p>
              </w:tc>
              <w:tc>
                <w:tcPr>
                  <w:tcW w:w="2833" w:type="pct"/>
                  <w:gridSpan w:val="5"/>
                  <w:noWrap w:val="0"/>
                  <w:vAlign w:val="center"/>
                </w:tcPr>
                <w:p w14:paraId="47AB06EB">
                  <w:pPr>
                    <w:jc w:val="center"/>
                    <w:outlineLvl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天然气</w:t>
                  </w:r>
                  <w:r>
                    <w:rPr>
                      <w:rFonts w:hint="eastAsia" w:ascii="Times New Roman" w:hAnsi="Times New Roman" w:cs="Times New Roman"/>
                      <w:color w:val="auto"/>
                      <w:sz w:val="21"/>
                      <w:szCs w:val="21"/>
                      <w:highlight w:val="none"/>
                      <w:lang w:val="en-US" w:eastAsia="zh-CN"/>
                    </w:rPr>
                    <w:t>加热炉</w:t>
                  </w:r>
                  <w:r>
                    <w:rPr>
                      <w:rFonts w:hint="default" w:ascii="Times New Roman" w:hAnsi="Times New Roman" w:cs="Times New Roman"/>
                      <w:color w:val="auto"/>
                      <w:sz w:val="21"/>
                      <w:szCs w:val="21"/>
                      <w:highlight w:val="none"/>
                      <w:lang w:val="en-US" w:eastAsia="zh-CN"/>
                    </w:rPr>
                    <w:t>燃烧</w:t>
                  </w:r>
                  <w:r>
                    <w:rPr>
                      <w:rFonts w:hint="default" w:ascii="Times New Roman" w:hAnsi="Times New Roman" w:cs="Times New Roman"/>
                      <w:color w:val="auto"/>
                      <w:sz w:val="21"/>
                      <w:szCs w:val="21"/>
                      <w:highlight w:val="none"/>
                      <w:lang w:eastAsia="zh-CN"/>
                    </w:rPr>
                    <w:t>废气：</w:t>
                  </w:r>
                  <w:r>
                    <w:rPr>
                      <w:rFonts w:hint="default" w:ascii="Times New Roman" w:hAnsi="Times New Roman" w:cs="Times New Roman"/>
                      <w:color w:val="auto"/>
                      <w:sz w:val="21"/>
                      <w:szCs w:val="21"/>
                      <w:highlight w:val="none"/>
                      <w:lang w:val="en-US" w:eastAsia="zh-CN"/>
                    </w:rPr>
                    <w:t>低氮燃烧+15m排气筒1#</w:t>
                  </w:r>
                </w:p>
              </w:tc>
              <w:tc>
                <w:tcPr>
                  <w:tcW w:w="1233" w:type="pct"/>
                  <w:gridSpan w:val="3"/>
                  <w:noWrap w:val="0"/>
                  <w:vAlign w:val="center"/>
                </w:tcPr>
                <w:p w14:paraId="3A481477">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新建</w:t>
                  </w:r>
                </w:p>
              </w:tc>
            </w:tr>
            <w:tr w14:paraId="533F52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115" w:type="pct"/>
                <w:cantSplit/>
                <w:trHeight w:val="403" w:hRule="atLeast"/>
                <w:jc w:val="center"/>
              </w:trPr>
              <w:tc>
                <w:tcPr>
                  <w:tcW w:w="289" w:type="pct"/>
                  <w:vMerge w:val="restart"/>
                  <w:noWrap w:val="0"/>
                  <w:vAlign w:val="center"/>
                </w:tcPr>
                <w:p w14:paraId="6B9E5976">
                  <w:pPr>
                    <w:jc w:val="center"/>
                    <w:outlineLvl w:val="0"/>
                    <w:rPr>
                      <w:rFonts w:hint="default" w:ascii="Times New Roman" w:hAnsi="Times New Roman" w:cs="Times New Roman"/>
                      <w:color w:val="auto"/>
                      <w:sz w:val="21"/>
                      <w:szCs w:val="21"/>
                      <w:highlight w:val="none"/>
                    </w:rPr>
                  </w:pPr>
                </w:p>
              </w:tc>
              <w:tc>
                <w:tcPr>
                  <w:tcW w:w="641" w:type="pct"/>
                  <w:gridSpan w:val="2"/>
                  <w:noWrap w:val="0"/>
                  <w:vAlign w:val="center"/>
                </w:tcPr>
                <w:p w14:paraId="725E3EAB">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废水处理</w:t>
                  </w:r>
                </w:p>
              </w:tc>
              <w:tc>
                <w:tcPr>
                  <w:tcW w:w="902" w:type="pct"/>
                  <w:gridSpan w:val="2"/>
                  <w:noWrap w:val="0"/>
                  <w:vAlign w:val="center"/>
                </w:tcPr>
                <w:p w14:paraId="23992D9B">
                  <w:pPr>
                    <w:jc w:val="center"/>
                    <w:outlineLvl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生活污水</w:t>
                  </w:r>
                </w:p>
              </w:tc>
              <w:tc>
                <w:tcPr>
                  <w:tcW w:w="1924" w:type="pct"/>
                  <w:gridSpan w:val="2"/>
                  <w:noWrap w:val="0"/>
                  <w:vAlign w:val="center"/>
                </w:tcPr>
                <w:p w14:paraId="36343D6B">
                  <w:pPr>
                    <w:jc w:val="center"/>
                    <w:outlineLvl w:val="0"/>
                    <w:rPr>
                      <w:rFonts w:hint="default"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化粪池：5m</w:t>
                  </w:r>
                  <w:r>
                    <w:rPr>
                      <w:rFonts w:hint="eastAsia" w:ascii="Times New Roman" w:hAnsi="Times New Roman" w:cs="Times New Roman"/>
                      <w:color w:val="auto"/>
                      <w:sz w:val="21"/>
                      <w:szCs w:val="21"/>
                      <w:highlight w:val="none"/>
                      <w:vertAlign w:val="superscript"/>
                      <w:lang w:val="en-US" w:eastAsia="zh-CN"/>
                    </w:rPr>
                    <w:t>2</w:t>
                  </w:r>
                </w:p>
              </w:tc>
              <w:tc>
                <w:tcPr>
                  <w:tcW w:w="1126" w:type="pct"/>
                  <w:gridSpan w:val="3"/>
                  <w:noWrap w:val="0"/>
                  <w:vAlign w:val="center"/>
                </w:tcPr>
                <w:p w14:paraId="2C6EFDE5">
                  <w:pPr>
                    <w:jc w:val="center"/>
                    <w:outlineLvl w:val="0"/>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依托现有，</w:t>
                  </w:r>
                  <w:r>
                    <w:rPr>
                      <w:rFonts w:hint="default" w:ascii="Times New Roman" w:hAnsi="Times New Roman" w:eastAsia="宋体" w:cs="Times New Roman"/>
                      <w:color w:val="auto"/>
                      <w:sz w:val="21"/>
                      <w:szCs w:val="21"/>
                      <w:highlight w:val="none"/>
                      <w:lang w:eastAsia="zh-CN"/>
                    </w:rPr>
                    <w:t>接管至海门经济技术开发区污水处理厂处理</w:t>
                  </w:r>
                </w:p>
              </w:tc>
            </w:tr>
            <w:tr w14:paraId="52879B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388" w:hRule="atLeast"/>
                <w:jc w:val="center"/>
              </w:trPr>
              <w:tc>
                <w:tcPr>
                  <w:tcW w:w="289" w:type="pct"/>
                  <w:vMerge w:val="continue"/>
                  <w:noWrap w:val="0"/>
                  <w:vAlign w:val="center"/>
                </w:tcPr>
                <w:p w14:paraId="544C72F0">
                  <w:pPr>
                    <w:jc w:val="center"/>
                    <w:outlineLvl w:val="0"/>
                    <w:rPr>
                      <w:rFonts w:hint="default" w:ascii="Times New Roman" w:hAnsi="Times New Roman" w:cs="Times New Roman"/>
                      <w:color w:val="auto"/>
                      <w:sz w:val="21"/>
                      <w:szCs w:val="21"/>
                      <w:highlight w:val="none"/>
                    </w:rPr>
                  </w:pPr>
                </w:p>
              </w:tc>
              <w:tc>
                <w:tcPr>
                  <w:tcW w:w="1545" w:type="pct"/>
                  <w:gridSpan w:val="5"/>
                  <w:vMerge w:val="restart"/>
                  <w:noWrap w:val="0"/>
                  <w:vAlign w:val="center"/>
                </w:tcPr>
                <w:p w14:paraId="51773B67">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固废处理</w:t>
                  </w:r>
                </w:p>
              </w:tc>
              <w:tc>
                <w:tcPr>
                  <w:tcW w:w="1924" w:type="pct"/>
                  <w:gridSpan w:val="2"/>
                  <w:noWrap w:val="0"/>
                  <w:vAlign w:val="center"/>
                </w:tcPr>
                <w:p w14:paraId="0A623267">
                  <w:pPr>
                    <w:jc w:val="center"/>
                    <w:outlineLvl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一般固废堆场：150 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127" w:type="pct"/>
                  <w:gridSpan w:val="3"/>
                  <w:noWrap w:val="0"/>
                  <w:vAlign w:val="center"/>
                </w:tcPr>
                <w:p w14:paraId="5E44F680">
                  <w:pPr>
                    <w:jc w:val="center"/>
                    <w:outlineLvl w:val="0"/>
                    <w:rPr>
                      <w:rFonts w:hint="default" w:ascii="Times New Roman" w:hAnsi="Times New Roman" w:cs="Times New Roman"/>
                      <w:color w:val="auto"/>
                      <w:sz w:val="21"/>
                      <w:szCs w:val="21"/>
                      <w:highlight w:val="none"/>
                    </w:rPr>
                  </w:pPr>
                  <w:r>
                    <w:rPr>
                      <w:rFonts w:hint="eastAsia"/>
                      <w:color w:val="auto"/>
                      <w:sz w:val="21"/>
                      <w:szCs w:val="21"/>
                    </w:rPr>
                    <w:t>存放</w:t>
                  </w:r>
                  <w:r>
                    <w:rPr>
                      <w:color w:val="auto"/>
                      <w:sz w:val="21"/>
                      <w:szCs w:val="21"/>
                    </w:rPr>
                    <w:t>一般固废</w:t>
                  </w:r>
                </w:p>
              </w:tc>
            </w:tr>
            <w:tr w14:paraId="7D323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527" w:hRule="atLeast"/>
                <w:jc w:val="center"/>
              </w:trPr>
              <w:tc>
                <w:tcPr>
                  <w:tcW w:w="289" w:type="pct"/>
                  <w:vMerge w:val="continue"/>
                  <w:noWrap w:val="0"/>
                  <w:vAlign w:val="center"/>
                </w:tcPr>
                <w:p w14:paraId="4169D3F6">
                  <w:pPr>
                    <w:jc w:val="center"/>
                    <w:outlineLvl w:val="0"/>
                    <w:rPr>
                      <w:rFonts w:hint="default" w:ascii="Times New Roman" w:hAnsi="Times New Roman" w:cs="Times New Roman"/>
                      <w:color w:val="auto"/>
                      <w:sz w:val="21"/>
                      <w:szCs w:val="21"/>
                      <w:highlight w:val="none"/>
                    </w:rPr>
                  </w:pPr>
                </w:p>
              </w:tc>
              <w:tc>
                <w:tcPr>
                  <w:tcW w:w="1545" w:type="pct"/>
                  <w:gridSpan w:val="5"/>
                  <w:vMerge w:val="continue"/>
                  <w:noWrap w:val="0"/>
                  <w:vAlign w:val="center"/>
                </w:tcPr>
                <w:p w14:paraId="0C1321FF">
                  <w:pPr>
                    <w:jc w:val="center"/>
                    <w:outlineLvl w:val="0"/>
                    <w:rPr>
                      <w:rFonts w:hint="default" w:ascii="Times New Roman" w:hAnsi="Times New Roman" w:cs="Times New Roman"/>
                      <w:color w:val="auto"/>
                      <w:sz w:val="21"/>
                      <w:szCs w:val="21"/>
                      <w:highlight w:val="none"/>
                    </w:rPr>
                  </w:pPr>
                </w:p>
              </w:tc>
              <w:tc>
                <w:tcPr>
                  <w:tcW w:w="1924" w:type="pct"/>
                  <w:gridSpan w:val="2"/>
                  <w:noWrap w:val="0"/>
                  <w:vAlign w:val="center"/>
                </w:tcPr>
                <w:p w14:paraId="0D6B1FEE">
                  <w:pPr>
                    <w:jc w:val="center"/>
                    <w:outlineLvl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危废</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仓库</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127" w:type="pct"/>
                  <w:gridSpan w:val="3"/>
                  <w:noWrap w:val="0"/>
                  <w:vAlign w:val="center"/>
                </w:tcPr>
                <w:p w14:paraId="45FF5F7B">
                  <w:pPr>
                    <w:jc w:val="center"/>
                    <w:outlineLvl w:val="0"/>
                    <w:rPr>
                      <w:rFonts w:hint="eastAsia" w:ascii="Times New Roman" w:hAnsi="Times New Roman" w:eastAsia="宋体" w:cs="Times New Roman"/>
                      <w:color w:val="auto"/>
                      <w:sz w:val="21"/>
                      <w:szCs w:val="21"/>
                      <w:highlight w:val="none"/>
                      <w:lang w:eastAsia="zh-CN"/>
                    </w:rPr>
                  </w:pPr>
                  <w:r>
                    <w:rPr>
                      <w:rFonts w:hint="eastAsia"/>
                      <w:color w:val="auto"/>
                      <w:sz w:val="21"/>
                      <w:szCs w:val="21"/>
                    </w:rPr>
                    <w:t>存放</w:t>
                  </w:r>
                  <w:r>
                    <w:rPr>
                      <w:rFonts w:hint="eastAsia"/>
                      <w:color w:val="auto"/>
                      <w:sz w:val="21"/>
                      <w:szCs w:val="21"/>
                      <w:lang w:eastAsia="zh-CN"/>
                    </w:rPr>
                    <w:t>危险废物</w:t>
                  </w:r>
                </w:p>
              </w:tc>
            </w:tr>
            <w:tr w14:paraId="715D3B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892" w:hRule="atLeast"/>
                <w:jc w:val="center"/>
              </w:trPr>
              <w:tc>
                <w:tcPr>
                  <w:tcW w:w="289" w:type="pct"/>
                  <w:vMerge w:val="continue"/>
                  <w:noWrap w:val="0"/>
                  <w:vAlign w:val="center"/>
                </w:tcPr>
                <w:p w14:paraId="39178E75">
                  <w:pPr>
                    <w:jc w:val="center"/>
                    <w:outlineLvl w:val="0"/>
                    <w:rPr>
                      <w:rFonts w:hint="default" w:ascii="Times New Roman" w:hAnsi="Times New Roman" w:cs="Times New Roman"/>
                      <w:color w:val="auto"/>
                      <w:sz w:val="21"/>
                      <w:szCs w:val="21"/>
                      <w:highlight w:val="none"/>
                    </w:rPr>
                  </w:pPr>
                </w:p>
              </w:tc>
              <w:tc>
                <w:tcPr>
                  <w:tcW w:w="1545" w:type="pct"/>
                  <w:gridSpan w:val="5"/>
                  <w:noWrap w:val="0"/>
                  <w:vAlign w:val="center"/>
                </w:tcPr>
                <w:p w14:paraId="16C5F731">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噪声防治</w:t>
                  </w:r>
                </w:p>
              </w:tc>
              <w:tc>
                <w:tcPr>
                  <w:tcW w:w="1924" w:type="pct"/>
                  <w:gridSpan w:val="2"/>
                  <w:noWrap w:val="0"/>
                  <w:vAlign w:val="center"/>
                </w:tcPr>
                <w:p w14:paraId="5FD04FBE">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厂房隔声、选用低噪声设备，高噪声设备应采取隔声、消声、减振和基础固定等措施</w:t>
                  </w:r>
                </w:p>
              </w:tc>
              <w:tc>
                <w:tcPr>
                  <w:tcW w:w="1127" w:type="pct"/>
                  <w:gridSpan w:val="3"/>
                  <w:noWrap w:val="0"/>
                  <w:vAlign w:val="center"/>
                </w:tcPr>
                <w:p w14:paraId="2FEF4BA3">
                  <w:pPr>
                    <w:jc w:val="center"/>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厂界达标</w:t>
                  </w:r>
                </w:p>
              </w:tc>
            </w:tr>
            <w:tr w14:paraId="59E743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281" w:hRule="atLeast"/>
                <w:jc w:val="center"/>
              </w:trPr>
              <w:tc>
                <w:tcPr>
                  <w:tcW w:w="289" w:type="pct"/>
                  <w:vMerge w:val="continue"/>
                  <w:noWrap w:val="0"/>
                  <w:vAlign w:val="center"/>
                </w:tcPr>
                <w:p w14:paraId="68E17E7B">
                  <w:pPr>
                    <w:jc w:val="center"/>
                    <w:outlineLvl w:val="0"/>
                    <w:rPr>
                      <w:rFonts w:hint="default" w:ascii="Times New Roman" w:hAnsi="Times New Roman" w:cs="Times New Roman"/>
                      <w:color w:val="auto"/>
                      <w:sz w:val="21"/>
                      <w:szCs w:val="21"/>
                      <w:highlight w:val="none"/>
                    </w:rPr>
                  </w:pPr>
                </w:p>
              </w:tc>
              <w:tc>
                <w:tcPr>
                  <w:tcW w:w="1545" w:type="pct"/>
                  <w:gridSpan w:val="5"/>
                  <w:noWrap w:val="0"/>
                  <w:vAlign w:val="center"/>
                </w:tcPr>
                <w:p w14:paraId="56D2829D">
                  <w:pPr>
                    <w:jc w:val="center"/>
                    <w:outlineLvl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事故应急池</w:t>
                  </w:r>
                </w:p>
              </w:tc>
              <w:tc>
                <w:tcPr>
                  <w:tcW w:w="1924" w:type="pct"/>
                  <w:gridSpan w:val="2"/>
                  <w:noWrap w:val="0"/>
                  <w:vAlign w:val="center"/>
                </w:tcPr>
                <w:p w14:paraId="5216B326">
                  <w:pPr>
                    <w:jc w:val="center"/>
                    <w:outlineLvl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110m</w:t>
                  </w:r>
                  <w:r>
                    <w:rPr>
                      <w:rFonts w:hint="eastAsia" w:ascii="Times New Roman" w:hAnsi="Times New Roman" w:cs="Times New Roman"/>
                      <w:color w:val="auto"/>
                      <w:sz w:val="21"/>
                      <w:szCs w:val="21"/>
                      <w:highlight w:val="none"/>
                      <w:vertAlign w:val="superscript"/>
                      <w:lang w:val="en-US" w:eastAsia="zh-CN"/>
                    </w:rPr>
                    <w:t>3</w:t>
                  </w:r>
                </w:p>
              </w:tc>
              <w:tc>
                <w:tcPr>
                  <w:tcW w:w="1127" w:type="pct"/>
                  <w:gridSpan w:val="3"/>
                  <w:vMerge w:val="restart"/>
                  <w:noWrap w:val="0"/>
                  <w:vAlign w:val="center"/>
                </w:tcPr>
                <w:p w14:paraId="3F1A2CFD">
                  <w:pPr>
                    <w:jc w:val="center"/>
                    <w:outlineLvl w:val="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依托现有</w:t>
                  </w:r>
                </w:p>
              </w:tc>
            </w:tr>
            <w:tr w14:paraId="04A5F7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2" w:type="pct"/>
                <w:cantSplit/>
                <w:trHeight w:val="281" w:hRule="atLeast"/>
                <w:jc w:val="center"/>
              </w:trPr>
              <w:tc>
                <w:tcPr>
                  <w:tcW w:w="289" w:type="pct"/>
                  <w:vMerge w:val="continue"/>
                  <w:noWrap w:val="0"/>
                  <w:vAlign w:val="center"/>
                </w:tcPr>
                <w:p w14:paraId="64921B9E">
                  <w:pPr>
                    <w:jc w:val="center"/>
                    <w:outlineLvl w:val="0"/>
                  </w:pPr>
                </w:p>
              </w:tc>
              <w:tc>
                <w:tcPr>
                  <w:tcW w:w="1545" w:type="pct"/>
                  <w:gridSpan w:val="5"/>
                  <w:noWrap w:val="0"/>
                  <w:vAlign w:val="center"/>
                </w:tcPr>
                <w:p w14:paraId="066FD68F">
                  <w:pPr>
                    <w:jc w:val="center"/>
                    <w:outlineLvl w:val="0"/>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初期雨水池</w:t>
                  </w:r>
                </w:p>
              </w:tc>
              <w:tc>
                <w:tcPr>
                  <w:tcW w:w="1924" w:type="pct"/>
                  <w:gridSpan w:val="2"/>
                  <w:noWrap w:val="0"/>
                  <w:vAlign w:val="center"/>
                </w:tcPr>
                <w:p w14:paraId="5AFBEC7B">
                  <w:pPr>
                    <w:jc w:val="center"/>
                    <w:outlineLvl w:val="0"/>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72m</w:t>
                  </w:r>
                  <w:r>
                    <w:rPr>
                      <w:rFonts w:hint="eastAsia" w:ascii="Times New Roman" w:hAnsi="Times New Roman" w:cs="Times New Roman"/>
                      <w:color w:val="FF0000"/>
                      <w:sz w:val="21"/>
                      <w:szCs w:val="21"/>
                      <w:highlight w:val="none"/>
                      <w:vertAlign w:val="superscript"/>
                      <w:lang w:val="en-US" w:eastAsia="zh-CN"/>
                    </w:rPr>
                    <w:t>3</w:t>
                  </w:r>
                </w:p>
              </w:tc>
              <w:tc>
                <w:tcPr>
                  <w:tcW w:w="1127" w:type="pct"/>
                  <w:gridSpan w:val="3"/>
                  <w:vMerge w:val="continue"/>
                  <w:noWrap w:val="0"/>
                  <w:vAlign w:val="center"/>
                </w:tcPr>
                <w:p w14:paraId="04DA9AD5">
                  <w:pPr>
                    <w:jc w:val="center"/>
                    <w:outlineLvl w:val="0"/>
                    <w:rPr>
                      <w:rFonts w:hint="eastAsia" w:ascii="Times New Roman" w:hAnsi="Times New Roman" w:cs="Times New Roman"/>
                      <w:color w:val="auto"/>
                      <w:sz w:val="21"/>
                      <w:szCs w:val="21"/>
                      <w:highlight w:val="none"/>
                      <w:lang w:eastAsia="zh-CN"/>
                    </w:rPr>
                  </w:pPr>
                </w:p>
              </w:tc>
            </w:tr>
          </w:tbl>
          <w:p w14:paraId="7215A473">
            <w:pPr>
              <w:adjustRightInd w:val="0"/>
              <w:snapToGrid w:val="0"/>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rPr>
              <w:t>本项目租赁</w:t>
            </w:r>
            <w:r>
              <w:rPr>
                <w:rFonts w:hint="default" w:ascii="Times New Roman" w:hAnsi="Times New Roman" w:cs="Times New Roman"/>
                <w:color w:val="auto"/>
                <w:kern w:val="0"/>
                <w:sz w:val="21"/>
                <w:szCs w:val="21"/>
                <w:highlight w:val="none"/>
                <w:lang w:val="en-US" w:eastAsia="zh-CN"/>
              </w:rPr>
              <w:t>海门市安得利环锻法兰厂</w:t>
            </w:r>
            <w:r>
              <w:rPr>
                <w:rFonts w:hint="eastAsia" w:ascii="Times New Roman" w:hAnsi="Times New Roman" w:cs="Times New Roman"/>
                <w:color w:val="auto"/>
                <w:kern w:val="0"/>
                <w:sz w:val="21"/>
                <w:szCs w:val="21"/>
                <w:highlight w:val="none"/>
                <w:lang w:val="en-US" w:eastAsia="zh-CN"/>
              </w:rPr>
              <w:t>全厂的</w:t>
            </w:r>
            <w:r>
              <w:rPr>
                <w:rFonts w:hint="default" w:ascii="Times New Roman" w:hAnsi="Times New Roman" w:cs="Times New Roman"/>
                <w:b w:val="0"/>
                <w:bCs w:val="0"/>
                <w:color w:val="auto"/>
                <w:sz w:val="21"/>
                <w:szCs w:val="21"/>
              </w:rPr>
              <w:t>厂房</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rPr>
              <w:t>本项目用水、用电等依托厂区现有供水、供电设施，</w:t>
            </w:r>
            <w:r>
              <w:rPr>
                <w:rFonts w:hint="eastAsia" w:ascii="Times New Roman" w:hAnsi="Times New Roman" w:cs="Times New Roman"/>
                <w:b w:val="0"/>
                <w:bCs w:val="0"/>
                <w:color w:val="auto"/>
                <w:sz w:val="21"/>
                <w:szCs w:val="21"/>
                <w:lang w:eastAsia="zh-CN"/>
              </w:rPr>
              <w:t>本项目</w:t>
            </w:r>
            <w:r>
              <w:rPr>
                <w:rFonts w:hint="eastAsia" w:ascii="Times New Roman" w:hAnsi="Times New Roman" w:cs="Times New Roman"/>
                <w:b w:val="0"/>
                <w:bCs w:val="0"/>
                <w:color w:val="auto"/>
                <w:sz w:val="21"/>
                <w:szCs w:val="21"/>
                <w:lang w:val="en-US" w:eastAsia="zh-CN"/>
              </w:rPr>
              <w:t>1个雨水排口、1个污水排口</w:t>
            </w:r>
            <w:r>
              <w:rPr>
                <w:rFonts w:hint="default" w:ascii="Times New Roman" w:hAnsi="Times New Roman" w:cs="Times New Roman"/>
                <w:b w:val="0"/>
                <w:bCs w:val="0"/>
                <w:color w:val="auto"/>
                <w:lang w:val="en-US" w:eastAsia="zh-CN"/>
              </w:rPr>
              <w:t>均依托租赁方，责任主体为</w:t>
            </w:r>
            <w:r>
              <w:rPr>
                <w:rFonts w:hint="default" w:ascii="Times New Roman" w:hAnsi="Times New Roman" w:cs="Times New Roman"/>
                <w:b w:val="0"/>
                <w:bCs w:val="0"/>
                <w:color w:val="auto"/>
                <w:sz w:val="21"/>
                <w:szCs w:val="21"/>
                <w:lang w:eastAsia="zh-CN"/>
              </w:rPr>
              <w:t>江苏一重锻造有限公司</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sz w:val="21"/>
                <w:szCs w:val="21"/>
              </w:rPr>
              <w:t>本项目废气、</w:t>
            </w:r>
            <w:r>
              <w:rPr>
                <w:rFonts w:hint="eastAsia" w:ascii="Times New Roman" w:hAnsi="Times New Roman" w:cs="Times New Roman"/>
                <w:b w:val="0"/>
                <w:bCs w:val="0"/>
                <w:color w:val="auto"/>
                <w:sz w:val="21"/>
                <w:szCs w:val="21"/>
                <w:lang w:eastAsia="zh-CN"/>
              </w:rPr>
              <w:t>废水、</w:t>
            </w:r>
            <w:r>
              <w:rPr>
                <w:rFonts w:hint="default" w:ascii="Times New Roman" w:hAnsi="Times New Roman" w:cs="Times New Roman"/>
                <w:b w:val="0"/>
                <w:bCs w:val="0"/>
                <w:color w:val="auto"/>
                <w:sz w:val="21"/>
                <w:szCs w:val="21"/>
              </w:rPr>
              <w:t>噪声责任主体为</w:t>
            </w:r>
            <w:r>
              <w:rPr>
                <w:rFonts w:hint="default" w:ascii="Times New Roman" w:hAnsi="Times New Roman" w:cs="Times New Roman"/>
                <w:b w:val="0"/>
                <w:bCs w:val="0"/>
                <w:color w:val="auto"/>
                <w:sz w:val="21"/>
                <w:szCs w:val="21"/>
                <w:lang w:eastAsia="zh-CN"/>
              </w:rPr>
              <w:t>江苏一重锻造有限公司</w:t>
            </w:r>
            <w:r>
              <w:rPr>
                <w:rFonts w:hint="default" w:ascii="Times New Roman" w:hAnsi="Times New Roman" w:cs="Times New Roman"/>
                <w:b w:val="0"/>
                <w:bCs w:val="0"/>
                <w:color w:val="auto"/>
                <w:sz w:val="21"/>
                <w:szCs w:val="21"/>
                <w:lang w:val="en-US" w:eastAsia="zh-CN"/>
              </w:rPr>
              <w:t>。</w:t>
            </w:r>
          </w:p>
          <w:p w14:paraId="57555122">
            <w:pPr>
              <w:adjustRightInd w:val="0"/>
              <w:snapToGrid w:val="0"/>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3、主要产品及产能</w:t>
            </w:r>
          </w:p>
          <w:p w14:paraId="37AFCD64">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rPr>
              <w:t>表2-2 项目主体工程及产品方案表</w:t>
            </w:r>
          </w:p>
          <w:tbl>
            <w:tblPr>
              <w:tblStyle w:val="41"/>
              <w:tblW w:w="466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249"/>
              <w:gridCol w:w="1747"/>
              <w:gridCol w:w="1353"/>
              <w:gridCol w:w="2135"/>
              <w:gridCol w:w="735"/>
            </w:tblGrid>
            <w:tr w14:paraId="4952FD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 w:type="pct"/>
                  <w:noWrap w:val="0"/>
                  <w:vAlign w:val="center"/>
                </w:tcPr>
                <w:p w14:paraId="76FA9029">
                  <w:pPr>
                    <w:jc w:val="center"/>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808" w:type="pct"/>
                  <w:noWrap w:val="0"/>
                  <w:vAlign w:val="center"/>
                </w:tcPr>
                <w:p w14:paraId="25FA1591">
                  <w:pPr>
                    <w:jc w:val="center"/>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工程名称</w:t>
                  </w:r>
                </w:p>
              </w:tc>
              <w:tc>
                <w:tcPr>
                  <w:tcW w:w="1131" w:type="pct"/>
                  <w:noWrap w:val="0"/>
                  <w:vAlign w:val="center"/>
                </w:tcPr>
                <w:p w14:paraId="3D96B0C1">
                  <w:pPr>
                    <w:jc w:val="center"/>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产品名称</w:t>
                  </w:r>
                </w:p>
              </w:tc>
              <w:tc>
                <w:tcPr>
                  <w:tcW w:w="876" w:type="pct"/>
                  <w:noWrap w:val="0"/>
                  <w:vAlign w:val="center"/>
                </w:tcPr>
                <w:p w14:paraId="4F6AD00D">
                  <w:pPr>
                    <w:jc w:val="center"/>
                    <w:outlineLvl w:val="0"/>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规格/型号</w:t>
                  </w:r>
                </w:p>
              </w:tc>
              <w:tc>
                <w:tcPr>
                  <w:tcW w:w="1382" w:type="pct"/>
                  <w:noWrap w:val="0"/>
                  <w:vAlign w:val="center"/>
                </w:tcPr>
                <w:p w14:paraId="10FBEA4C">
                  <w:pPr>
                    <w:jc w:val="center"/>
                    <w:outlineLvl w:val="0"/>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rPr>
                    <w:t>设计能力</w:t>
                  </w:r>
                  <w:r>
                    <w:rPr>
                      <w:rFonts w:hint="default"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吨/</w:t>
                  </w:r>
                  <w:r>
                    <w:rPr>
                      <w:rFonts w:hint="default" w:ascii="Times New Roman" w:hAnsi="Times New Roman" w:cs="Times New Roman"/>
                      <w:b/>
                      <w:bCs/>
                      <w:color w:val="auto"/>
                      <w:sz w:val="21"/>
                      <w:szCs w:val="21"/>
                      <w:lang w:val="en-US" w:eastAsia="zh-CN"/>
                    </w:rPr>
                    <w:t>年</w:t>
                  </w:r>
                  <w:r>
                    <w:rPr>
                      <w:rFonts w:hint="default" w:ascii="Times New Roman" w:hAnsi="Times New Roman" w:cs="Times New Roman"/>
                      <w:b/>
                      <w:bCs/>
                      <w:color w:val="auto"/>
                      <w:sz w:val="21"/>
                      <w:szCs w:val="21"/>
                      <w:lang w:eastAsia="zh-CN"/>
                    </w:rPr>
                    <w:t>）</w:t>
                  </w:r>
                </w:p>
              </w:tc>
              <w:tc>
                <w:tcPr>
                  <w:tcW w:w="475" w:type="pct"/>
                  <w:noWrap w:val="0"/>
                  <w:vAlign w:val="center"/>
                </w:tcPr>
                <w:p w14:paraId="438A3625">
                  <w:pPr>
                    <w:jc w:val="center"/>
                    <w:outlineLvl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年运行时间</w:t>
                  </w:r>
                </w:p>
              </w:tc>
            </w:tr>
            <w:tr w14:paraId="611D8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325" w:type="pct"/>
                  <w:vMerge w:val="restart"/>
                  <w:noWrap w:val="0"/>
                  <w:vAlign w:val="center"/>
                </w:tcPr>
                <w:p w14:paraId="3C6B3258">
                  <w:pPr>
                    <w:jc w:val="center"/>
                    <w:outlineLvl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808" w:type="pct"/>
                  <w:vMerge w:val="restart"/>
                  <w:noWrap w:val="0"/>
                  <w:vAlign w:val="center"/>
                </w:tcPr>
                <w:p w14:paraId="6D5B138A">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Cs w:val="21"/>
                      <w:lang w:val="en-US" w:eastAsia="zh-CN"/>
                    </w:rPr>
                    <w:t>油压机锻造线</w:t>
                  </w:r>
                </w:p>
              </w:tc>
              <w:tc>
                <w:tcPr>
                  <w:tcW w:w="1131" w:type="pct"/>
                  <w:noWrap w:val="0"/>
                  <w:vAlign w:val="center"/>
                </w:tcPr>
                <w:p w14:paraId="0457C56F">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模锻方块</w:t>
                  </w:r>
                </w:p>
              </w:tc>
              <w:tc>
                <w:tcPr>
                  <w:tcW w:w="876" w:type="pct"/>
                  <w:noWrap w:val="0"/>
                  <w:vAlign w:val="center"/>
                </w:tcPr>
                <w:p w14:paraId="0BFFECD8">
                  <w:pPr>
                    <w:jc w:val="center"/>
                    <w:outlineLvl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定制</w:t>
                  </w:r>
                </w:p>
              </w:tc>
              <w:tc>
                <w:tcPr>
                  <w:tcW w:w="1382" w:type="pct"/>
                  <w:noWrap w:val="0"/>
                  <w:vAlign w:val="center"/>
                </w:tcPr>
                <w:p w14:paraId="13308DA7">
                  <w:pPr>
                    <w:jc w:val="center"/>
                    <w:outlineLvl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3000</w:t>
                  </w:r>
                </w:p>
              </w:tc>
              <w:tc>
                <w:tcPr>
                  <w:tcW w:w="475" w:type="pct"/>
                  <w:vMerge w:val="restart"/>
                  <w:noWrap w:val="0"/>
                  <w:vAlign w:val="center"/>
                </w:tcPr>
                <w:p w14:paraId="2F632147">
                  <w:pPr>
                    <w:jc w:val="center"/>
                    <w:outlineLvl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2000h</w:t>
                  </w:r>
                </w:p>
              </w:tc>
            </w:tr>
            <w:tr w14:paraId="1B1C80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325" w:type="pct"/>
                  <w:vMerge w:val="continue"/>
                  <w:noWrap w:val="0"/>
                  <w:vAlign w:val="center"/>
                </w:tcPr>
                <w:p w14:paraId="0A8601DF">
                  <w:pPr>
                    <w:jc w:val="center"/>
                    <w:outlineLvl w:val="0"/>
                    <w:rPr>
                      <w:color w:val="auto"/>
                    </w:rPr>
                  </w:pPr>
                </w:p>
              </w:tc>
              <w:tc>
                <w:tcPr>
                  <w:tcW w:w="808" w:type="pct"/>
                  <w:vMerge w:val="continue"/>
                  <w:noWrap w:val="0"/>
                  <w:vAlign w:val="center"/>
                </w:tcPr>
                <w:p w14:paraId="66274565">
                  <w:pPr>
                    <w:jc w:val="center"/>
                    <w:outlineLvl w:val="0"/>
                    <w:rPr>
                      <w:color w:val="auto"/>
                    </w:rPr>
                  </w:pPr>
                </w:p>
              </w:tc>
              <w:tc>
                <w:tcPr>
                  <w:tcW w:w="1131" w:type="pct"/>
                  <w:noWrap w:val="0"/>
                  <w:vAlign w:val="center"/>
                </w:tcPr>
                <w:p w14:paraId="53AC5B60">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模锻管板</w:t>
                  </w:r>
                </w:p>
              </w:tc>
              <w:tc>
                <w:tcPr>
                  <w:tcW w:w="876" w:type="pct"/>
                  <w:noWrap w:val="0"/>
                  <w:vAlign w:val="center"/>
                </w:tcPr>
                <w:p w14:paraId="32DDC838">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定制</w:t>
                  </w:r>
                </w:p>
              </w:tc>
              <w:tc>
                <w:tcPr>
                  <w:tcW w:w="1382" w:type="pct"/>
                  <w:noWrap w:val="0"/>
                  <w:vAlign w:val="center"/>
                </w:tcPr>
                <w:p w14:paraId="1BC5E2C4">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5000</w:t>
                  </w:r>
                </w:p>
              </w:tc>
              <w:tc>
                <w:tcPr>
                  <w:tcW w:w="475" w:type="pct"/>
                  <w:vMerge w:val="continue"/>
                  <w:noWrap w:val="0"/>
                  <w:vAlign w:val="center"/>
                </w:tcPr>
                <w:p w14:paraId="01C34DF0">
                  <w:pPr>
                    <w:jc w:val="center"/>
                    <w:outlineLvl w:val="0"/>
                    <w:rPr>
                      <w:rFonts w:hint="default" w:ascii="Times New Roman" w:hAnsi="Times New Roman" w:cs="Times New Roman"/>
                      <w:color w:val="auto"/>
                      <w:szCs w:val="21"/>
                      <w:lang w:val="en-US" w:eastAsia="zh-CN"/>
                    </w:rPr>
                  </w:pPr>
                </w:p>
              </w:tc>
            </w:tr>
            <w:tr w14:paraId="13901B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325" w:type="pct"/>
                  <w:vMerge w:val="continue"/>
                  <w:noWrap w:val="0"/>
                  <w:vAlign w:val="center"/>
                </w:tcPr>
                <w:p w14:paraId="70E4E435">
                  <w:pPr>
                    <w:jc w:val="center"/>
                    <w:outlineLvl w:val="0"/>
                    <w:rPr>
                      <w:rFonts w:hint="default" w:ascii="Times New Roman" w:hAnsi="Times New Roman" w:cs="Times New Roman"/>
                      <w:color w:val="auto"/>
                      <w:szCs w:val="21"/>
                      <w:lang w:val="en-US" w:eastAsia="zh-CN"/>
                    </w:rPr>
                  </w:pPr>
                </w:p>
              </w:tc>
              <w:tc>
                <w:tcPr>
                  <w:tcW w:w="808" w:type="pct"/>
                  <w:vMerge w:val="continue"/>
                  <w:noWrap w:val="0"/>
                  <w:vAlign w:val="center"/>
                </w:tcPr>
                <w:p w14:paraId="6AEFE1F3">
                  <w:pPr>
                    <w:jc w:val="center"/>
                    <w:outlineLvl w:val="0"/>
                    <w:rPr>
                      <w:rFonts w:hint="default" w:ascii="Times New Roman" w:hAnsi="Times New Roman" w:cs="Times New Roman"/>
                      <w:color w:val="auto"/>
                      <w:szCs w:val="21"/>
                      <w:lang w:val="en-US" w:eastAsia="zh-CN"/>
                    </w:rPr>
                  </w:pPr>
                </w:p>
              </w:tc>
              <w:tc>
                <w:tcPr>
                  <w:tcW w:w="1131" w:type="pct"/>
                  <w:noWrap w:val="0"/>
                  <w:vAlign w:val="center"/>
                </w:tcPr>
                <w:p w14:paraId="0E133A05">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自由锻台阶轴</w:t>
                  </w:r>
                </w:p>
              </w:tc>
              <w:tc>
                <w:tcPr>
                  <w:tcW w:w="876" w:type="pct"/>
                  <w:noWrap w:val="0"/>
                  <w:vAlign w:val="center"/>
                </w:tcPr>
                <w:p w14:paraId="55DDE5B7">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定制</w:t>
                  </w:r>
                </w:p>
              </w:tc>
              <w:tc>
                <w:tcPr>
                  <w:tcW w:w="1382" w:type="pct"/>
                  <w:noWrap w:val="0"/>
                  <w:vAlign w:val="center"/>
                </w:tcPr>
                <w:p w14:paraId="0F661497">
                  <w:pPr>
                    <w:jc w:val="center"/>
                    <w:outlineLvl w:val="0"/>
                    <w:rPr>
                      <w:rFonts w:hint="default" w:ascii="Times New Roman" w:hAnsi="Times New Roman" w:cs="Times New Roman"/>
                      <w:color w:val="auto"/>
                      <w:szCs w:val="21"/>
                      <w:lang w:val="en-US" w:eastAsia="zh-CN"/>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2000</w:t>
                  </w:r>
                </w:p>
              </w:tc>
              <w:tc>
                <w:tcPr>
                  <w:tcW w:w="475" w:type="pct"/>
                  <w:vMerge w:val="continue"/>
                  <w:noWrap w:val="0"/>
                  <w:vAlign w:val="center"/>
                </w:tcPr>
                <w:p w14:paraId="1260ECB8">
                  <w:pPr>
                    <w:jc w:val="center"/>
                    <w:outlineLvl w:val="0"/>
                    <w:rPr>
                      <w:rFonts w:hint="default" w:ascii="Times New Roman" w:hAnsi="Times New Roman" w:cs="Times New Roman"/>
                      <w:color w:val="auto"/>
                      <w:szCs w:val="21"/>
                      <w:lang w:val="en-US" w:eastAsia="zh-CN"/>
                    </w:rPr>
                  </w:pPr>
                </w:p>
              </w:tc>
            </w:tr>
            <w:tr w14:paraId="7E7A12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325" w:type="pct"/>
                  <w:vMerge w:val="continue"/>
                  <w:noWrap w:val="0"/>
                  <w:vAlign w:val="center"/>
                </w:tcPr>
                <w:p w14:paraId="4DED0040">
                  <w:pPr>
                    <w:jc w:val="center"/>
                    <w:outlineLvl w:val="0"/>
                    <w:rPr>
                      <w:rFonts w:hint="default" w:ascii="Times New Roman" w:hAnsi="Times New Roman" w:cs="Times New Roman"/>
                      <w:color w:val="auto"/>
                      <w:szCs w:val="21"/>
                      <w:lang w:val="en-US" w:eastAsia="zh-CN"/>
                    </w:rPr>
                  </w:pPr>
                </w:p>
              </w:tc>
              <w:tc>
                <w:tcPr>
                  <w:tcW w:w="808" w:type="pct"/>
                  <w:vMerge w:val="continue"/>
                  <w:noWrap w:val="0"/>
                  <w:vAlign w:val="center"/>
                </w:tcPr>
                <w:p w14:paraId="567A0C60">
                  <w:pPr>
                    <w:jc w:val="center"/>
                    <w:outlineLvl w:val="0"/>
                    <w:rPr>
                      <w:rFonts w:hint="default" w:ascii="Times New Roman" w:hAnsi="Times New Roman" w:cs="Times New Roman"/>
                      <w:color w:val="auto"/>
                      <w:szCs w:val="21"/>
                      <w:lang w:val="en-US" w:eastAsia="zh-CN"/>
                    </w:rPr>
                  </w:pPr>
                </w:p>
              </w:tc>
              <w:tc>
                <w:tcPr>
                  <w:tcW w:w="1131" w:type="pct"/>
                  <w:noWrap w:val="0"/>
                  <w:vAlign w:val="center"/>
                </w:tcPr>
                <w:p w14:paraId="2C845056">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自由锻齿轮坯</w:t>
                  </w:r>
                </w:p>
              </w:tc>
              <w:tc>
                <w:tcPr>
                  <w:tcW w:w="876" w:type="pct"/>
                  <w:noWrap w:val="0"/>
                  <w:vAlign w:val="center"/>
                </w:tcPr>
                <w:p w14:paraId="26573378">
                  <w:pPr>
                    <w:jc w:val="center"/>
                    <w:outlineLvl w:val="0"/>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定制</w:t>
                  </w:r>
                </w:p>
              </w:tc>
              <w:tc>
                <w:tcPr>
                  <w:tcW w:w="1382" w:type="pct"/>
                  <w:noWrap w:val="0"/>
                  <w:vAlign w:val="center"/>
                </w:tcPr>
                <w:p w14:paraId="47CBED01">
                  <w:pPr>
                    <w:jc w:val="center"/>
                    <w:outlineLvl w:val="0"/>
                    <w:rPr>
                      <w:rFonts w:hint="default" w:ascii="Times New Roman" w:hAnsi="Times New Roman" w:cs="Times New Roman"/>
                      <w:color w:val="auto"/>
                      <w:szCs w:val="21"/>
                      <w:lang w:val="en-US" w:eastAsia="zh-CN"/>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0000</w:t>
                  </w:r>
                </w:p>
              </w:tc>
              <w:tc>
                <w:tcPr>
                  <w:tcW w:w="475" w:type="pct"/>
                  <w:vMerge w:val="continue"/>
                  <w:noWrap w:val="0"/>
                  <w:vAlign w:val="center"/>
                </w:tcPr>
                <w:p w14:paraId="631891E5">
                  <w:pPr>
                    <w:jc w:val="center"/>
                    <w:outlineLvl w:val="0"/>
                    <w:rPr>
                      <w:rFonts w:hint="default" w:ascii="Times New Roman" w:hAnsi="Times New Roman" w:cs="Times New Roman"/>
                      <w:color w:val="auto"/>
                      <w:szCs w:val="21"/>
                      <w:lang w:val="en-US" w:eastAsia="zh-CN"/>
                    </w:rPr>
                  </w:pPr>
                </w:p>
              </w:tc>
            </w:tr>
            <w:tr w14:paraId="36292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25" w:type="pct"/>
                  <w:noWrap w:val="0"/>
                  <w:vAlign w:val="center"/>
                </w:tcPr>
                <w:p w14:paraId="0D6AAA41">
                  <w:pPr>
                    <w:jc w:val="center"/>
                    <w:outlineLvl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808" w:type="pct"/>
                  <w:noWrap w:val="0"/>
                  <w:vAlign w:val="center"/>
                </w:tcPr>
                <w:p w14:paraId="5282CD39">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碾环机生产线</w:t>
                  </w:r>
                </w:p>
              </w:tc>
              <w:tc>
                <w:tcPr>
                  <w:tcW w:w="1131" w:type="pct"/>
                  <w:noWrap w:val="0"/>
                  <w:vAlign w:val="center"/>
                </w:tcPr>
                <w:p w14:paraId="70F464EF">
                  <w:pPr>
                    <w:jc w:val="center"/>
                    <w:outlineLvl w:val="0"/>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环锻件</w:t>
                  </w:r>
                </w:p>
              </w:tc>
              <w:tc>
                <w:tcPr>
                  <w:tcW w:w="876" w:type="pct"/>
                  <w:noWrap w:val="0"/>
                  <w:vAlign w:val="center"/>
                </w:tcPr>
                <w:p w14:paraId="195576EC">
                  <w:pPr>
                    <w:jc w:val="center"/>
                    <w:outlineLvl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定制</w:t>
                  </w:r>
                </w:p>
              </w:tc>
              <w:tc>
                <w:tcPr>
                  <w:tcW w:w="1382" w:type="pct"/>
                  <w:noWrap w:val="0"/>
                  <w:vAlign w:val="center"/>
                </w:tcPr>
                <w:p w14:paraId="074B39DC">
                  <w:pPr>
                    <w:jc w:val="center"/>
                    <w:outlineLvl w:val="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30000</w:t>
                  </w:r>
                </w:p>
              </w:tc>
              <w:tc>
                <w:tcPr>
                  <w:tcW w:w="475" w:type="pct"/>
                  <w:vMerge w:val="continue"/>
                  <w:noWrap w:val="0"/>
                  <w:vAlign w:val="center"/>
                </w:tcPr>
                <w:p w14:paraId="3AB9FC7B">
                  <w:pPr>
                    <w:jc w:val="center"/>
                    <w:outlineLvl w:val="0"/>
                    <w:rPr>
                      <w:rFonts w:hint="default" w:ascii="Times New Roman" w:hAnsi="Times New Roman" w:cs="Times New Roman"/>
                      <w:color w:val="auto"/>
                      <w:sz w:val="21"/>
                      <w:szCs w:val="21"/>
                      <w:lang w:val="en-US" w:eastAsia="zh-CN"/>
                    </w:rPr>
                  </w:pPr>
                </w:p>
              </w:tc>
            </w:tr>
            <w:tr w14:paraId="068A98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000" w:type="pct"/>
                  <w:gridSpan w:val="6"/>
                  <w:noWrap w:val="0"/>
                  <w:vAlign w:val="center"/>
                </w:tcPr>
                <w:p w14:paraId="332E6DEF">
                  <w:pPr>
                    <w:jc w:val="both"/>
                    <w:outlineLvl w:val="0"/>
                    <w:rPr>
                      <w:rFonts w:hint="default" w:ascii="Calibri" w:hAnsi="Calibri" w:eastAsia="宋体" w:cs="Calibri"/>
                      <w:color w:val="auto"/>
                      <w:kern w:val="2"/>
                      <w:sz w:val="21"/>
                      <w:szCs w:val="21"/>
                      <w:lang w:val="en-US" w:eastAsia="zh-CN" w:bidi="ar-SA"/>
                    </w:rPr>
                  </w:pPr>
                  <w:r>
                    <w:rPr>
                      <w:rFonts w:hint="eastAsia"/>
                      <w:color w:val="auto"/>
                      <w:sz w:val="21"/>
                      <w:szCs w:val="21"/>
                      <w:lang w:val="en-US" w:eastAsia="zh-CN"/>
                    </w:rPr>
                    <w:t>备注：企业的产品规格及加工参数均由客户提供，无固定规格，为客户定制。</w:t>
                  </w:r>
                </w:p>
              </w:tc>
            </w:tr>
          </w:tbl>
          <w:p w14:paraId="42152A44">
            <w:pPr>
              <w:snapToGrid w:val="0"/>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4、主要生产设施</w:t>
            </w:r>
          </w:p>
          <w:p w14:paraId="2EB79E63">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表2-</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eastAsia="zh-CN"/>
              </w:rPr>
              <w:t>本</w:t>
            </w:r>
            <w:r>
              <w:rPr>
                <w:rFonts w:hint="default" w:ascii="Times New Roman" w:hAnsi="Times New Roman" w:cs="Times New Roman"/>
                <w:b/>
                <w:bCs/>
                <w:color w:val="auto"/>
                <w:sz w:val="21"/>
                <w:szCs w:val="21"/>
              </w:rPr>
              <w:t>项目主要生产设施一览表</w:t>
            </w:r>
          </w:p>
          <w:tbl>
            <w:tblPr>
              <w:tblStyle w:val="41"/>
              <w:tblW w:w="4946" w:type="pct"/>
              <w:tblInd w:w="1" w:type="dxa"/>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763"/>
              <w:gridCol w:w="1310"/>
              <w:gridCol w:w="1516"/>
              <w:gridCol w:w="2365"/>
              <w:gridCol w:w="1387"/>
              <w:gridCol w:w="845"/>
            </w:tblGrid>
            <w:tr w14:paraId="0366E5A7">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66" w:type="pct"/>
                  <w:tcBorders>
                    <w:right w:val="single" w:color="000000" w:sz="6" w:space="0"/>
                  </w:tcBorders>
                  <w:noWrap w:val="0"/>
                  <w:vAlign w:val="center"/>
                </w:tcPr>
                <w:p w14:paraId="0CD754E4">
                  <w:pPr>
                    <w:pStyle w:val="238"/>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主要生产单元</w:t>
                  </w:r>
                </w:p>
              </w:tc>
              <w:tc>
                <w:tcPr>
                  <w:tcW w:w="800" w:type="pct"/>
                  <w:tcBorders>
                    <w:left w:val="single" w:color="000000" w:sz="6" w:space="0"/>
                  </w:tcBorders>
                  <w:noWrap w:val="0"/>
                  <w:vAlign w:val="center"/>
                </w:tcPr>
                <w:p w14:paraId="46D46999">
                  <w:pPr>
                    <w:pStyle w:val="238"/>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主要工艺</w:t>
                  </w:r>
                </w:p>
              </w:tc>
              <w:tc>
                <w:tcPr>
                  <w:tcW w:w="925" w:type="pct"/>
                  <w:noWrap w:val="0"/>
                  <w:vAlign w:val="center"/>
                </w:tcPr>
                <w:p w14:paraId="1DA717D9">
                  <w:pPr>
                    <w:pStyle w:val="238"/>
                    <w:spacing w:line="240" w:lineRule="auto"/>
                    <w:jc w:val="center"/>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 w:val="21"/>
                      <w:szCs w:val="21"/>
                      <w:lang w:val="en-US"/>
                    </w:rPr>
                    <w:t>生产设施</w:t>
                  </w:r>
                </w:p>
              </w:tc>
              <w:tc>
                <w:tcPr>
                  <w:tcW w:w="1444" w:type="pct"/>
                  <w:tcBorders>
                    <w:right w:val="single" w:color="000000" w:sz="6" w:space="0"/>
                  </w:tcBorders>
                  <w:noWrap w:val="0"/>
                  <w:vAlign w:val="center"/>
                </w:tcPr>
                <w:p w14:paraId="01A1CF91">
                  <w:pPr>
                    <w:pStyle w:val="238"/>
                    <w:spacing w:line="240" w:lineRule="auto"/>
                    <w:jc w:val="center"/>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 w:val="21"/>
                      <w:szCs w:val="21"/>
                      <w:lang w:val="en-US"/>
                    </w:rPr>
                    <w:t>设施参数</w:t>
                  </w:r>
                </w:p>
              </w:tc>
              <w:tc>
                <w:tcPr>
                  <w:tcW w:w="847" w:type="pct"/>
                  <w:tcBorders>
                    <w:left w:val="single" w:color="000000" w:sz="6" w:space="0"/>
                    <w:bottom w:val="single" w:color="auto" w:sz="4" w:space="0"/>
                  </w:tcBorders>
                  <w:noWrap w:val="0"/>
                  <w:vAlign w:val="center"/>
                </w:tcPr>
                <w:p w14:paraId="61633079">
                  <w:pPr>
                    <w:pStyle w:val="238"/>
                    <w:spacing w:line="240" w:lineRule="auto"/>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rPr>
                    <w:t>数量</w:t>
                  </w:r>
                  <w:r>
                    <w:rPr>
                      <w:rFonts w:hint="default" w:ascii="Times New Roman" w:hAnsi="Times New Roman" w:cs="Times New Roman"/>
                      <w:b/>
                      <w:color w:val="auto"/>
                      <w:sz w:val="21"/>
                      <w:szCs w:val="21"/>
                      <w:lang w:val="en-US" w:eastAsia="zh-CN"/>
                    </w:rPr>
                    <w:t>（台/条）</w:t>
                  </w:r>
                </w:p>
              </w:tc>
              <w:tc>
                <w:tcPr>
                  <w:tcW w:w="516" w:type="pct"/>
                  <w:tcBorders>
                    <w:left w:val="single" w:color="000000" w:sz="6" w:space="0"/>
                  </w:tcBorders>
                  <w:noWrap w:val="0"/>
                  <w:vAlign w:val="center"/>
                </w:tcPr>
                <w:p w14:paraId="772E341A">
                  <w:pPr>
                    <w:pStyle w:val="238"/>
                    <w:spacing w:line="240" w:lineRule="auto"/>
                    <w:jc w:val="center"/>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 w:val="21"/>
                      <w:szCs w:val="21"/>
                      <w:lang w:val="en-US"/>
                    </w:rPr>
                    <w:t>备注</w:t>
                  </w:r>
                </w:p>
              </w:tc>
            </w:tr>
            <w:tr w14:paraId="57C4A0CF">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66" w:type="pct"/>
                  <w:vMerge w:val="restart"/>
                  <w:tcBorders>
                    <w:right w:val="single" w:color="000000" w:sz="6" w:space="0"/>
                  </w:tcBorders>
                  <w:noWrap w:val="0"/>
                  <w:vAlign w:val="center"/>
                </w:tcPr>
                <w:p w14:paraId="68085449">
                  <w:pPr>
                    <w:pStyle w:val="238"/>
                    <w:spacing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生产车间</w:t>
                  </w:r>
                </w:p>
              </w:tc>
              <w:tc>
                <w:tcPr>
                  <w:tcW w:w="800" w:type="pct"/>
                  <w:tcBorders>
                    <w:left w:val="single" w:color="000000" w:sz="6" w:space="0"/>
                    <w:bottom w:val="single" w:color="auto" w:sz="4" w:space="0"/>
                  </w:tcBorders>
                  <w:noWrap w:val="0"/>
                  <w:vAlign w:val="center"/>
                </w:tcPr>
                <w:p w14:paraId="53A9414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加热</w:t>
                  </w:r>
                </w:p>
              </w:tc>
              <w:tc>
                <w:tcPr>
                  <w:tcW w:w="925" w:type="pct"/>
                  <w:noWrap w:val="0"/>
                  <w:vAlign w:val="center"/>
                </w:tcPr>
                <w:p w14:paraId="04B9A099">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天然气加热炉</w:t>
                  </w:r>
                </w:p>
              </w:tc>
              <w:tc>
                <w:tcPr>
                  <w:tcW w:w="1444" w:type="pct"/>
                  <w:noWrap w:val="0"/>
                  <w:vAlign w:val="center"/>
                </w:tcPr>
                <w:p w14:paraId="70640147">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室式</w:t>
                  </w:r>
                </w:p>
              </w:tc>
              <w:tc>
                <w:tcPr>
                  <w:tcW w:w="847" w:type="pct"/>
                  <w:noWrap w:val="0"/>
                  <w:vAlign w:val="center"/>
                </w:tcPr>
                <w:p w14:paraId="3EE04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w:t>
                  </w:r>
                </w:p>
              </w:tc>
              <w:tc>
                <w:tcPr>
                  <w:tcW w:w="516" w:type="pct"/>
                  <w:vMerge w:val="restart"/>
                  <w:noWrap w:val="0"/>
                  <w:vAlign w:val="center"/>
                </w:tcPr>
                <w:p w14:paraId="1CECCFA1">
                  <w:pPr>
                    <w:pStyle w:val="238"/>
                    <w:spacing w:line="240" w:lineRule="auto"/>
                    <w:jc w:val="center"/>
                    <w:rPr>
                      <w:rFonts w:hint="default" w:ascii="Times New Roman" w:hAnsi="Times New Roman" w:eastAsia="宋体" w:cs="Times New Roman"/>
                      <w:color w:val="auto"/>
                      <w:sz w:val="21"/>
                      <w:szCs w:val="21"/>
                      <w:lang w:val="en-US" w:eastAsia="zh-CN"/>
                    </w:rPr>
                  </w:pPr>
                </w:p>
              </w:tc>
            </w:tr>
            <w:tr w14:paraId="58DC86DB">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466" w:type="pct"/>
                  <w:vMerge w:val="continue"/>
                  <w:tcBorders>
                    <w:right w:val="single" w:color="000000" w:sz="6" w:space="0"/>
                  </w:tcBorders>
                  <w:noWrap w:val="0"/>
                  <w:vAlign w:val="center"/>
                </w:tcPr>
                <w:p w14:paraId="2654DC98">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restart"/>
                  <w:tcBorders>
                    <w:top w:val="single" w:color="auto" w:sz="4" w:space="0"/>
                    <w:left w:val="single" w:color="000000" w:sz="6" w:space="0"/>
                  </w:tcBorders>
                  <w:noWrap w:val="0"/>
                  <w:vAlign w:val="center"/>
                </w:tcPr>
                <w:p w14:paraId="17CD9F0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下料</w:t>
                  </w:r>
                </w:p>
              </w:tc>
              <w:tc>
                <w:tcPr>
                  <w:tcW w:w="925" w:type="pct"/>
                  <w:tcBorders>
                    <w:bottom w:val="single" w:color="auto" w:sz="4" w:space="0"/>
                  </w:tcBorders>
                  <w:noWrap w:val="0"/>
                  <w:vAlign w:val="center"/>
                </w:tcPr>
                <w:p w14:paraId="275CDB25">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自动带锯</w:t>
                  </w:r>
                </w:p>
              </w:tc>
              <w:tc>
                <w:tcPr>
                  <w:tcW w:w="1444" w:type="pct"/>
                  <w:noWrap w:val="0"/>
                  <w:vAlign w:val="center"/>
                </w:tcPr>
                <w:p w14:paraId="515B93E9">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highlight w:val="none"/>
                      <w:lang w:val="en-US" w:eastAsia="zh-CN"/>
                    </w:rPr>
                    <w:t>GB42</w:t>
                  </w:r>
                  <w:r>
                    <w:rPr>
                      <w:rFonts w:hint="eastAsia" w:ascii="Times New Roman" w:hAnsi="Times New Roman" w:cs="Times New Roman"/>
                      <w:color w:val="auto"/>
                      <w:szCs w:val="21"/>
                      <w:highlight w:val="none"/>
                      <w:lang w:val="en-US" w:eastAsia="zh-CN"/>
                    </w:rPr>
                    <w:t>100/GD42150/G5380</w:t>
                  </w:r>
                </w:p>
              </w:tc>
              <w:tc>
                <w:tcPr>
                  <w:tcW w:w="847" w:type="pct"/>
                  <w:noWrap w:val="0"/>
                  <w:vAlign w:val="center"/>
                </w:tcPr>
                <w:p w14:paraId="1CF63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p>
              </w:tc>
              <w:tc>
                <w:tcPr>
                  <w:tcW w:w="516" w:type="pct"/>
                  <w:vMerge w:val="continue"/>
                  <w:noWrap w:val="0"/>
                  <w:vAlign w:val="center"/>
                </w:tcPr>
                <w:p w14:paraId="06F118ED">
                  <w:pPr>
                    <w:pStyle w:val="238"/>
                    <w:spacing w:line="240" w:lineRule="auto"/>
                    <w:jc w:val="center"/>
                    <w:rPr>
                      <w:rFonts w:hint="default" w:ascii="Times New Roman" w:hAnsi="Times New Roman" w:eastAsia="宋体" w:cs="Times New Roman"/>
                      <w:color w:val="auto"/>
                      <w:sz w:val="21"/>
                      <w:szCs w:val="21"/>
                      <w:lang w:val="en-US"/>
                    </w:rPr>
                  </w:pPr>
                </w:p>
              </w:tc>
            </w:tr>
            <w:tr w14:paraId="7BFA4F1F">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466" w:type="pct"/>
                  <w:vMerge w:val="continue"/>
                  <w:tcBorders>
                    <w:right w:val="single" w:color="000000" w:sz="6" w:space="0"/>
                  </w:tcBorders>
                  <w:noWrap w:val="0"/>
                  <w:vAlign w:val="center"/>
                </w:tcPr>
                <w:p w14:paraId="3CF07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00" w:type="pct"/>
                  <w:vMerge w:val="continue"/>
                  <w:tcBorders>
                    <w:left w:val="single" w:color="000000" w:sz="6" w:space="0"/>
                  </w:tcBorders>
                  <w:noWrap w:val="0"/>
                  <w:vAlign w:val="center"/>
                </w:tcPr>
                <w:p w14:paraId="35FA5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925" w:type="pct"/>
                  <w:tcBorders>
                    <w:bottom w:val="single" w:color="auto" w:sz="4" w:space="0"/>
                  </w:tcBorders>
                  <w:noWrap w:val="0"/>
                  <w:vAlign w:val="center"/>
                </w:tcPr>
                <w:p w14:paraId="71C1569A">
                  <w:pPr>
                    <w:spacing w:line="440" w:lineRule="exac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出料机</w:t>
                  </w:r>
                </w:p>
              </w:tc>
              <w:tc>
                <w:tcPr>
                  <w:tcW w:w="1444" w:type="pct"/>
                  <w:noWrap w:val="0"/>
                  <w:vAlign w:val="center"/>
                </w:tcPr>
                <w:p w14:paraId="0A0A5816">
                  <w:pPr>
                    <w:spacing w:line="440" w:lineRule="exact"/>
                    <w:jc w:val="center"/>
                    <w:rPr>
                      <w:rFonts w:hint="default" w:ascii="Times New Roman" w:hAnsi="Times New Roman" w:cs="Times New Roman"/>
                      <w:color w:val="auto"/>
                      <w:szCs w:val="21"/>
                      <w:lang w:eastAsia="zh-CN"/>
                    </w:rPr>
                  </w:pP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lang w:val="en-US" w:eastAsia="zh-CN"/>
                    </w:rPr>
                    <w:t>吨</w:t>
                  </w:r>
                </w:p>
              </w:tc>
              <w:tc>
                <w:tcPr>
                  <w:tcW w:w="847" w:type="pct"/>
                  <w:noWrap w:val="0"/>
                  <w:vAlign w:val="center"/>
                </w:tcPr>
                <w:p w14:paraId="4EA2C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lang w:val="en-US" w:eastAsia="zh-CN"/>
                    </w:rPr>
                    <w:t>1</w:t>
                  </w:r>
                </w:p>
              </w:tc>
              <w:tc>
                <w:tcPr>
                  <w:tcW w:w="516" w:type="pct"/>
                  <w:vMerge w:val="continue"/>
                  <w:noWrap w:val="0"/>
                  <w:vAlign w:val="center"/>
                </w:tcPr>
                <w:p w14:paraId="29296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lang w:eastAsia="zh-CN"/>
                    </w:rPr>
                  </w:pPr>
                </w:p>
              </w:tc>
            </w:tr>
            <w:tr w14:paraId="4C17E3FE">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466" w:type="pct"/>
                  <w:vMerge w:val="continue"/>
                  <w:tcBorders>
                    <w:right w:val="single" w:color="000000" w:sz="6" w:space="0"/>
                  </w:tcBorders>
                  <w:noWrap w:val="0"/>
                  <w:vAlign w:val="center"/>
                </w:tcPr>
                <w:p w14:paraId="129F5E73">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continue"/>
                  <w:tcBorders>
                    <w:left w:val="single" w:color="000000" w:sz="6" w:space="0"/>
                    <w:bottom w:val="single" w:color="auto" w:sz="4" w:space="0"/>
                  </w:tcBorders>
                  <w:noWrap w:val="0"/>
                  <w:vAlign w:val="center"/>
                </w:tcPr>
                <w:p w14:paraId="57242DCB">
                  <w:pPr>
                    <w:jc w:val="center"/>
                    <w:rPr>
                      <w:rFonts w:hint="default" w:ascii="Times New Roman" w:hAnsi="Times New Roman" w:eastAsia="宋体" w:cs="Times New Roman"/>
                      <w:color w:val="auto"/>
                      <w:kern w:val="2"/>
                      <w:sz w:val="21"/>
                      <w:szCs w:val="21"/>
                      <w:lang w:val="en-US" w:eastAsia="zh-CN" w:bidi="ar-SA"/>
                    </w:rPr>
                  </w:pPr>
                </w:p>
              </w:tc>
              <w:tc>
                <w:tcPr>
                  <w:tcW w:w="925" w:type="pct"/>
                  <w:tcBorders>
                    <w:bottom w:val="single" w:color="auto" w:sz="4" w:space="0"/>
                  </w:tcBorders>
                  <w:noWrap w:val="0"/>
                  <w:vAlign w:val="center"/>
                </w:tcPr>
                <w:p w14:paraId="0E30CA50">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操作机</w:t>
                  </w:r>
                </w:p>
              </w:tc>
              <w:tc>
                <w:tcPr>
                  <w:tcW w:w="1444" w:type="pct"/>
                  <w:noWrap w:val="0"/>
                  <w:vAlign w:val="center"/>
                </w:tcPr>
                <w:p w14:paraId="14A54700">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lang w:val="en-US" w:eastAsia="zh-CN"/>
                    </w:rPr>
                    <w:t>5吨</w:t>
                  </w:r>
                </w:p>
              </w:tc>
              <w:tc>
                <w:tcPr>
                  <w:tcW w:w="847" w:type="pct"/>
                  <w:noWrap w:val="0"/>
                  <w:vAlign w:val="center"/>
                </w:tcPr>
                <w:p w14:paraId="4E834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516" w:type="pct"/>
                  <w:vMerge w:val="continue"/>
                  <w:noWrap w:val="0"/>
                  <w:vAlign w:val="center"/>
                </w:tcPr>
                <w:p w14:paraId="22D423C8">
                  <w:pPr>
                    <w:pStyle w:val="238"/>
                    <w:spacing w:line="240" w:lineRule="auto"/>
                    <w:jc w:val="center"/>
                    <w:rPr>
                      <w:rFonts w:hint="default" w:ascii="Times New Roman" w:hAnsi="Times New Roman" w:eastAsia="宋体" w:cs="Times New Roman"/>
                      <w:color w:val="auto"/>
                      <w:sz w:val="21"/>
                      <w:szCs w:val="21"/>
                      <w:lang w:val="en-US"/>
                    </w:rPr>
                  </w:pPr>
                </w:p>
              </w:tc>
            </w:tr>
            <w:tr w14:paraId="56598936">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466" w:type="pct"/>
                  <w:vMerge w:val="continue"/>
                  <w:tcBorders>
                    <w:right w:val="single" w:color="000000" w:sz="6" w:space="0"/>
                  </w:tcBorders>
                  <w:noWrap w:val="0"/>
                  <w:vAlign w:val="center"/>
                </w:tcPr>
                <w:p w14:paraId="1F9C2AD6">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restart"/>
                  <w:tcBorders>
                    <w:top w:val="single" w:color="auto" w:sz="4" w:space="0"/>
                    <w:left w:val="single" w:color="000000" w:sz="6" w:space="0"/>
                  </w:tcBorders>
                  <w:noWrap w:val="0"/>
                  <w:vAlign w:val="center"/>
                </w:tcPr>
                <w:p w14:paraId="456C4EF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锻压</w:t>
                  </w:r>
                </w:p>
              </w:tc>
              <w:tc>
                <w:tcPr>
                  <w:tcW w:w="925" w:type="pct"/>
                  <w:tcBorders>
                    <w:top w:val="single" w:color="auto" w:sz="4" w:space="0"/>
                    <w:bottom w:val="single" w:color="auto" w:sz="4" w:space="0"/>
                  </w:tcBorders>
                  <w:noWrap w:val="0"/>
                  <w:vAlign w:val="center"/>
                </w:tcPr>
                <w:p w14:paraId="4D271CFA">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压机</w:t>
                  </w:r>
                </w:p>
              </w:tc>
              <w:tc>
                <w:tcPr>
                  <w:tcW w:w="1444" w:type="pct"/>
                  <w:noWrap w:val="0"/>
                  <w:vAlign w:val="center"/>
                </w:tcPr>
                <w:p w14:paraId="6B67A63A">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4500吨</w:t>
                  </w:r>
                </w:p>
              </w:tc>
              <w:tc>
                <w:tcPr>
                  <w:tcW w:w="847" w:type="pct"/>
                  <w:noWrap w:val="0"/>
                  <w:vAlign w:val="center"/>
                </w:tcPr>
                <w:p w14:paraId="4D877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516" w:type="pct"/>
                  <w:vMerge w:val="continue"/>
                  <w:noWrap w:val="0"/>
                  <w:vAlign w:val="center"/>
                </w:tcPr>
                <w:p w14:paraId="7153E4CA">
                  <w:pPr>
                    <w:pStyle w:val="238"/>
                    <w:spacing w:line="240" w:lineRule="auto"/>
                    <w:rPr>
                      <w:rFonts w:hint="default" w:ascii="Times New Roman" w:hAnsi="Times New Roman" w:eastAsia="宋体" w:cs="Times New Roman"/>
                      <w:color w:val="auto"/>
                      <w:sz w:val="21"/>
                      <w:szCs w:val="21"/>
                      <w:lang w:val="en-US" w:eastAsia="zh-CN"/>
                    </w:rPr>
                  </w:pPr>
                </w:p>
              </w:tc>
            </w:tr>
            <w:tr w14:paraId="1D6828DF">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66" w:type="pct"/>
                  <w:vMerge w:val="continue"/>
                  <w:tcBorders>
                    <w:right w:val="single" w:color="000000" w:sz="6" w:space="0"/>
                  </w:tcBorders>
                  <w:noWrap w:val="0"/>
                  <w:vAlign w:val="center"/>
                </w:tcPr>
                <w:p w14:paraId="1040B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00" w:type="pct"/>
                  <w:vMerge w:val="continue"/>
                  <w:tcBorders>
                    <w:left w:val="single" w:color="000000" w:sz="6" w:space="0"/>
                    <w:bottom w:val="single" w:color="auto" w:sz="4" w:space="0"/>
                  </w:tcBorders>
                  <w:noWrap w:val="0"/>
                  <w:vAlign w:val="center"/>
                </w:tcPr>
                <w:p w14:paraId="793B1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925" w:type="pct"/>
                  <w:tcBorders>
                    <w:top w:val="single" w:color="auto" w:sz="4" w:space="0"/>
                    <w:bottom w:val="single" w:color="auto" w:sz="4" w:space="0"/>
                  </w:tcBorders>
                  <w:noWrap w:val="0"/>
                  <w:vAlign w:val="center"/>
                </w:tcPr>
                <w:p w14:paraId="03DE3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电液锤</w:t>
                  </w:r>
                </w:p>
              </w:tc>
              <w:tc>
                <w:tcPr>
                  <w:tcW w:w="1444" w:type="pct"/>
                  <w:noWrap w:val="0"/>
                  <w:vAlign w:val="center"/>
                </w:tcPr>
                <w:p w14:paraId="69310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8吨</w:t>
                  </w:r>
                </w:p>
              </w:tc>
              <w:tc>
                <w:tcPr>
                  <w:tcW w:w="847" w:type="pct"/>
                  <w:noWrap w:val="0"/>
                  <w:vAlign w:val="center"/>
                </w:tcPr>
                <w:p w14:paraId="063ED5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w:t>
                  </w:r>
                </w:p>
              </w:tc>
              <w:tc>
                <w:tcPr>
                  <w:tcW w:w="516" w:type="pct"/>
                  <w:vMerge w:val="continue"/>
                  <w:noWrap w:val="0"/>
                  <w:vAlign w:val="center"/>
                </w:tcPr>
                <w:p w14:paraId="37A2D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lang w:eastAsia="zh-CN"/>
                    </w:rPr>
                  </w:pPr>
                </w:p>
              </w:tc>
            </w:tr>
            <w:tr w14:paraId="46847B84">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6" w:type="pct"/>
                  <w:vMerge w:val="continue"/>
                  <w:tcBorders>
                    <w:right w:val="single" w:color="000000" w:sz="6" w:space="0"/>
                  </w:tcBorders>
                  <w:noWrap w:val="0"/>
                  <w:vAlign w:val="center"/>
                </w:tcPr>
                <w:p w14:paraId="12B66CF5">
                  <w:pPr>
                    <w:pStyle w:val="238"/>
                    <w:spacing w:line="240" w:lineRule="auto"/>
                    <w:jc w:val="center"/>
                    <w:rPr>
                      <w:rFonts w:hint="default" w:ascii="Times New Roman" w:hAnsi="Times New Roman" w:eastAsia="宋体" w:cs="Times New Roman"/>
                      <w:color w:val="auto"/>
                      <w:sz w:val="21"/>
                      <w:szCs w:val="21"/>
                      <w:lang w:val="en-US"/>
                    </w:rPr>
                  </w:pPr>
                </w:p>
              </w:tc>
              <w:tc>
                <w:tcPr>
                  <w:tcW w:w="800" w:type="pct"/>
                  <w:tcBorders>
                    <w:top w:val="single" w:color="auto" w:sz="4" w:space="0"/>
                    <w:left w:val="single" w:color="000000" w:sz="6" w:space="0"/>
                  </w:tcBorders>
                  <w:noWrap w:val="0"/>
                  <w:vAlign w:val="center"/>
                </w:tcPr>
                <w:p w14:paraId="2F518F5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碾环</w:t>
                  </w:r>
                </w:p>
              </w:tc>
              <w:tc>
                <w:tcPr>
                  <w:tcW w:w="925" w:type="pct"/>
                  <w:tcBorders>
                    <w:top w:val="single" w:color="auto" w:sz="4" w:space="0"/>
                  </w:tcBorders>
                  <w:noWrap w:val="0"/>
                  <w:vAlign w:val="center"/>
                </w:tcPr>
                <w:p w14:paraId="1DAA7BF2">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碾环机</w:t>
                  </w:r>
                </w:p>
              </w:tc>
              <w:tc>
                <w:tcPr>
                  <w:tcW w:w="1444" w:type="pct"/>
                  <w:noWrap w:val="0"/>
                  <w:vAlign w:val="center"/>
                </w:tcPr>
                <w:p w14:paraId="69ACC7D7">
                  <w:pPr>
                    <w:spacing w:line="4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6米</w:t>
                  </w:r>
                </w:p>
              </w:tc>
              <w:tc>
                <w:tcPr>
                  <w:tcW w:w="847" w:type="pct"/>
                  <w:noWrap w:val="0"/>
                  <w:vAlign w:val="center"/>
                </w:tcPr>
                <w:p w14:paraId="3E424828">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516" w:type="pct"/>
                  <w:vMerge w:val="continue"/>
                  <w:noWrap w:val="0"/>
                  <w:vAlign w:val="center"/>
                </w:tcPr>
                <w:p w14:paraId="12B04CFC">
                  <w:pPr>
                    <w:pStyle w:val="238"/>
                    <w:spacing w:line="240" w:lineRule="auto"/>
                    <w:jc w:val="center"/>
                    <w:rPr>
                      <w:rFonts w:hint="default" w:ascii="Times New Roman" w:hAnsi="Times New Roman" w:eastAsia="宋体" w:cs="Times New Roman"/>
                      <w:color w:val="auto"/>
                      <w:sz w:val="21"/>
                      <w:szCs w:val="21"/>
                      <w:lang w:val="en-US"/>
                    </w:rPr>
                  </w:pPr>
                </w:p>
              </w:tc>
            </w:tr>
            <w:tr w14:paraId="4FD3F731">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6" w:type="pct"/>
                  <w:vMerge w:val="continue"/>
                  <w:tcBorders>
                    <w:right w:val="single" w:color="000000" w:sz="6" w:space="0"/>
                  </w:tcBorders>
                  <w:noWrap w:val="0"/>
                  <w:vAlign w:val="center"/>
                </w:tcPr>
                <w:p w14:paraId="24285D0E">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restart"/>
                  <w:tcBorders>
                    <w:top w:val="single" w:color="auto" w:sz="4" w:space="0"/>
                    <w:left w:val="single" w:color="000000" w:sz="6" w:space="0"/>
                  </w:tcBorders>
                  <w:noWrap w:val="0"/>
                  <w:vAlign w:val="center"/>
                </w:tcPr>
                <w:p w14:paraId="14CA2EA8">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热处理</w:t>
                  </w:r>
                </w:p>
              </w:tc>
              <w:tc>
                <w:tcPr>
                  <w:tcW w:w="925" w:type="pct"/>
                  <w:tcBorders>
                    <w:top w:val="single" w:color="auto" w:sz="4" w:space="0"/>
                  </w:tcBorders>
                  <w:noWrap w:val="0"/>
                  <w:vAlign w:val="center"/>
                </w:tcPr>
                <w:p w14:paraId="7B8F96B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电炉</w:t>
                  </w:r>
                </w:p>
              </w:tc>
              <w:tc>
                <w:tcPr>
                  <w:tcW w:w="1444" w:type="pct"/>
                  <w:noWrap w:val="0"/>
                  <w:vAlign w:val="center"/>
                </w:tcPr>
                <w:p w14:paraId="15DE6412">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highlight w:val="none"/>
                      <w:lang w:val="en-US" w:eastAsia="zh-CN"/>
                    </w:rPr>
                    <w:t>1.8*2.8*4/1.6*2.2*9.6/</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3</w:t>
                  </w:r>
                  <w:r>
                    <w:rPr>
                      <w:rFonts w:hint="default" w:ascii="Times New Roman" w:hAnsi="Times New Roman" w:eastAsia="宋体"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4/1*3*4.5/2*2.2*7/1*1.2*3.6</w:t>
                  </w:r>
                </w:p>
              </w:tc>
              <w:tc>
                <w:tcPr>
                  <w:tcW w:w="847" w:type="pct"/>
                  <w:noWrap w:val="0"/>
                  <w:vAlign w:val="center"/>
                </w:tcPr>
                <w:p w14:paraId="1BFD3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w:t>
                  </w:r>
                </w:p>
              </w:tc>
              <w:tc>
                <w:tcPr>
                  <w:tcW w:w="516" w:type="pct"/>
                  <w:vMerge w:val="continue"/>
                  <w:noWrap w:val="0"/>
                  <w:vAlign w:val="center"/>
                </w:tcPr>
                <w:p w14:paraId="3B78488A">
                  <w:pPr>
                    <w:pStyle w:val="238"/>
                    <w:spacing w:line="240" w:lineRule="auto"/>
                    <w:jc w:val="center"/>
                    <w:rPr>
                      <w:rFonts w:hint="default" w:ascii="Times New Roman" w:hAnsi="Times New Roman" w:eastAsia="宋体" w:cs="Times New Roman"/>
                      <w:color w:val="auto"/>
                      <w:sz w:val="21"/>
                      <w:szCs w:val="21"/>
                      <w:lang w:val="en-US"/>
                    </w:rPr>
                  </w:pPr>
                </w:p>
              </w:tc>
            </w:tr>
            <w:tr w14:paraId="637C5C2F">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466" w:type="pct"/>
                  <w:vMerge w:val="continue"/>
                  <w:tcBorders>
                    <w:right w:val="single" w:color="000000" w:sz="6" w:space="0"/>
                  </w:tcBorders>
                  <w:noWrap w:val="0"/>
                  <w:vAlign w:val="center"/>
                </w:tcPr>
                <w:p w14:paraId="51F2FB27">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continue"/>
                  <w:tcBorders>
                    <w:left w:val="single" w:color="000000" w:sz="6" w:space="0"/>
                  </w:tcBorders>
                  <w:noWrap w:val="0"/>
                  <w:vAlign w:val="center"/>
                </w:tcPr>
                <w:p w14:paraId="32DF62A4">
                  <w:pPr>
                    <w:jc w:val="center"/>
                    <w:rPr>
                      <w:rFonts w:hint="default" w:ascii="Times New Roman" w:hAnsi="Times New Roman" w:eastAsia="宋体" w:cs="Times New Roman"/>
                      <w:color w:val="auto"/>
                      <w:kern w:val="2"/>
                      <w:sz w:val="21"/>
                      <w:szCs w:val="21"/>
                      <w:lang w:val="en-US" w:eastAsia="zh-CN" w:bidi="ar-SA"/>
                    </w:rPr>
                  </w:pPr>
                </w:p>
              </w:tc>
              <w:tc>
                <w:tcPr>
                  <w:tcW w:w="925" w:type="pct"/>
                  <w:tcBorders>
                    <w:top w:val="single" w:color="auto" w:sz="4" w:space="0"/>
                  </w:tcBorders>
                  <w:noWrap w:val="0"/>
                  <w:vAlign w:val="center"/>
                </w:tcPr>
                <w:p w14:paraId="0C895E1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地坑电炉</w:t>
                  </w:r>
                </w:p>
              </w:tc>
              <w:tc>
                <w:tcPr>
                  <w:tcW w:w="1444" w:type="pct"/>
                  <w:noWrap w:val="0"/>
                  <w:vAlign w:val="center"/>
                </w:tcPr>
                <w:p w14:paraId="0978FCE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highlight w:val="none"/>
                      <w:lang w:val="en-US" w:eastAsia="zh-CN"/>
                    </w:rPr>
                    <w:t>6.0*6.0*1.</w:t>
                  </w:r>
                  <w:r>
                    <w:rPr>
                      <w:rFonts w:hint="eastAsia" w:ascii="Times New Roman" w:hAnsi="Times New Roman" w:cs="Times New Roman"/>
                      <w:color w:val="auto"/>
                      <w:szCs w:val="21"/>
                      <w:highlight w:val="none"/>
                      <w:lang w:val="en-US" w:eastAsia="zh-CN"/>
                    </w:rPr>
                    <w:t>4/7.2*7.2*1.4/5*5*1.4</w:t>
                  </w:r>
                </w:p>
              </w:tc>
              <w:tc>
                <w:tcPr>
                  <w:tcW w:w="847" w:type="pct"/>
                  <w:noWrap w:val="0"/>
                  <w:vAlign w:val="center"/>
                </w:tcPr>
                <w:p w14:paraId="37C9F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516" w:type="pct"/>
                  <w:vMerge w:val="continue"/>
                  <w:noWrap w:val="0"/>
                  <w:vAlign w:val="center"/>
                </w:tcPr>
                <w:p w14:paraId="2478E86D">
                  <w:pPr>
                    <w:pStyle w:val="238"/>
                    <w:spacing w:line="240" w:lineRule="auto"/>
                    <w:jc w:val="center"/>
                    <w:rPr>
                      <w:rFonts w:hint="default" w:ascii="Times New Roman" w:hAnsi="Times New Roman" w:eastAsia="宋体" w:cs="Times New Roman"/>
                      <w:color w:val="auto"/>
                      <w:sz w:val="21"/>
                      <w:szCs w:val="21"/>
                      <w:lang w:val="en-US"/>
                    </w:rPr>
                  </w:pPr>
                </w:p>
              </w:tc>
            </w:tr>
            <w:tr w14:paraId="20F2901D">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6" w:type="pct"/>
                  <w:vMerge w:val="continue"/>
                  <w:tcBorders>
                    <w:right w:val="single" w:color="000000" w:sz="6" w:space="0"/>
                  </w:tcBorders>
                  <w:noWrap w:val="0"/>
                  <w:vAlign w:val="center"/>
                </w:tcPr>
                <w:p w14:paraId="02FC7E1A">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restart"/>
                  <w:tcBorders>
                    <w:left w:val="single" w:color="000000" w:sz="6" w:space="0"/>
                  </w:tcBorders>
                  <w:noWrap w:val="0"/>
                  <w:vAlign w:val="center"/>
                </w:tcPr>
                <w:p w14:paraId="15161A9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机加工</w:t>
                  </w:r>
                </w:p>
              </w:tc>
              <w:tc>
                <w:tcPr>
                  <w:tcW w:w="925" w:type="pct"/>
                  <w:tcBorders>
                    <w:top w:val="single" w:color="auto" w:sz="4" w:space="0"/>
                  </w:tcBorders>
                  <w:noWrap w:val="0"/>
                  <w:vAlign w:val="center"/>
                </w:tcPr>
                <w:p w14:paraId="73B7CEE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锯床</w:t>
                  </w:r>
                </w:p>
              </w:tc>
              <w:tc>
                <w:tcPr>
                  <w:tcW w:w="1444" w:type="pct"/>
                  <w:noWrap w:val="0"/>
                  <w:vAlign w:val="center"/>
                </w:tcPr>
                <w:p w14:paraId="549437E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GB4265/</w:t>
                  </w:r>
                  <w:r>
                    <w:rPr>
                      <w:rFonts w:hint="default" w:ascii="Times New Roman" w:hAnsi="Times New Roman" w:cs="Times New Roman"/>
                      <w:color w:val="auto"/>
                      <w:szCs w:val="21"/>
                      <w:lang w:val="en-US" w:eastAsia="zh-CN"/>
                    </w:rPr>
                    <w:t>G5380/GD42100/GD42150</w:t>
                  </w:r>
                </w:p>
              </w:tc>
              <w:tc>
                <w:tcPr>
                  <w:tcW w:w="847" w:type="pct"/>
                  <w:noWrap w:val="0"/>
                  <w:vAlign w:val="center"/>
                </w:tcPr>
                <w:p w14:paraId="704BF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516" w:type="pct"/>
                  <w:vMerge w:val="continue"/>
                  <w:noWrap w:val="0"/>
                  <w:vAlign w:val="center"/>
                </w:tcPr>
                <w:p w14:paraId="700E1A8A">
                  <w:pPr>
                    <w:pStyle w:val="238"/>
                    <w:spacing w:line="240" w:lineRule="auto"/>
                    <w:jc w:val="center"/>
                    <w:rPr>
                      <w:rFonts w:hint="default" w:ascii="Times New Roman" w:hAnsi="Times New Roman" w:eastAsia="宋体" w:cs="Times New Roman"/>
                      <w:color w:val="auto"/>
                      <w:sz w:val="21"/>
                      <w:szCs w:val="21"/>
                      <w:lang w:val="en-US"/>
                    </w:rPr>
                  </w:pPr>
                </w:p>
              </w:tc>
            </w:tr>
            <w:tr w14:paraId="1CC8834C">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6" w:type="pct"/>
                  <w:vMerge w:val="continue"/>
                  <w:tcBorders>
                    <w:right w:val="single" w:color="000000" w:sz="6" w:space="0"/>
                  </w:tcBorders>
                  <w:noWrap w:val="0"/>
                  <w:vAlign w:val="center"/>
                </w:tcPr>
                <w:p w14:paraId="422EA4F9">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continue"/>
                  <w:tcBorders>
                    <w:left w:val="single" w:color="000000" w:sz="6" w:space="0"/>
                  </w:tcBorders>
                  <w:noWrap w:val="0"/>
                  <w:vAlign w:val="center"/>
                </w:tcPr>
                <w:p w14:paraId="46812C67">
                  <w:pPr>
                    <w:jc w:val="center"/>
                    <w:rPr>
                      <w:rFonts w:hint="default" w:ascii="Times New Roman" w:hAnsi="Times New Roman" w:eastAsia="宋体" w:cs="Times New Roman"/>
                      <w:color w:val="auto"/>
                      <w:lang w:val="en-US" w:eastAsia="zh-CN"/>
                    </w:rPr>
                  </w:pPr>
                </w:p>
              </w:tc>
              <w:tc>
                <w:tcPr>
                  <w:tcW w:w="925" w:type="pct"/>
                  <w:tcBorders>
                    <w:top w:val="single" w:color="auto" w:sz="4" w:space="0"/>
                  </w:tcBorders>
                  <w:noWrap w:val="0"/>
                  <w:vAlign w:val="center"/>
                </w:tcPr>
                <w:p w14:paraId="5724D03B">
                  <w:pPr>
                    <w:jc w:val="center"/>
                    <w:rPr>
                      <w:rFonts w:hint="default" w:ascii="Times New Roman" w:hAnsi="Times New Roman" w:cs="Times New Roman"/>
                      <w:color w:val="auto"/>
                      <w:lang w:val="en-US" w:eastAsia="zh-CN"/>
                    </w:rPr>
                  </w:pPr>
                  <w:r>
                    <w:rPr>
                      <w:rFonts w:hint="default" w:ascii="Times New Roman" w:hAnsi="Times New Roman" w:eastAsia="宋体" w:cs="Times New Roman"/>
                      <w:color w:val="auto"/>
                      <w:szCs w:val="21"/>
                      <w:lang w:val="en-US" w:eastAsia="zh-CN"/>
                    </w:rPr>
                    <w:t>龙门铣</w:t>
                  </w:r>
                </w:p>
              </w:tc>
              <w:tc>
                <w:tcPr>
                  <w:tcW w:w="1444" w:type="pct"/>
                  <w:noWrap w:val="0"/>
                  <w:vAlign w:val="center"/>
                </w:tcPr>
                <w:p w14:paraId="1F7E1250">
                  <w:pPr>
                    <w:jc w:val="center"/>
                    <w:rPr>
                      <w:rFonts w:hint="default" w:ascii="Times New Roman" w:hAnsi="Times New Roman" w:cs="Times New Roman"/>
                      <w:color w:val="auto"/>
                      <w:lang w:val="en-US" w:eastAsia="zh-CN"/>
                    </w:rPr>
                  </w:pPr>
                  <w:r>
                    <w:rPr>
                      <w:rFonts w:hint="default" w:ascii="Times New Roman" w:hAnsi="Times New Roman" w:eastAsia="宋体" w:cs="Times New Roman"/>
                      <w:color w:val="auto"/>
                      <w:szCs w:val="21"/>
                      <w:lang w:val="en-US" w:eastAsia="zh-CN"/>
                    </w:rPr>
                    <w:t>XH-X3020</w:t>
                  </w:r>
                </w:p>
              </w:tc>
              <w:tc>
                <w:tcPr>
                  <w:tcW w:w="847" w:type="pct"/>
                  <w:noWrap w:val="0"/>
                  <w:vAlign w:val="center"/>
                </w:tcPr>
                <w:p w14:paraId="2D89B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516" w:type="pct"/>
                  <w:vMerge w:val="continue"/>
                  <w:noWrap w:val="0"/>
                  <w:vAlign w:val="center"/>
                </w:tcPr>
                <w:p w14:paraId="511A4808">
                  <w:pPr>
                    <w:pStyle w:val="238"/>
                    <w:spacing w:line="240" w:lineRule="auto"/>
                    <w:jc w:val="center"/>
                    <w:rPr>
                      <w:rFonts w:hint="default" w:ascii="Times New Roman" w:hAnsi="Times New Roman" w:eastAsia="宋体" w:cs="Times New Roman"/>
                      <w:color w:val="auto"/>
                      <w:sz w:val="21"/>
                      <w:szCs w:val="21"/>
                      <w:lang w:val="en-US"/>
                    </w:rPr>
                  </w:pPr>
                </w:p>
              </w:tc>
            </w:tr>
            <w:tr w14:paraId="1A5921CE">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6" w:type="pct"/>
                  <w:vMerge w:val="continue"/>
                  <w:tcBorders>
                    <w:right w:val="single" w:color="000000" w:sz="6" w:space="0"/>
                  </w:tcBorders>
                  <w:noWrap w:val="0"/>
                  <w:vAlign w:val="center"/>
                </w:tcPr>
                <w:p w14:paraId="25012F76">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continue"/>
                  <w:tcBorders>
                    <w:left w:val="single" w:color="000000" w:sz="6" w:space="0"/>
                  </w:tcBorders>
                  <w:noWrap w:val="0"/>
                  <w:vAlign w:val="center"/>
                </w:tcPr>
                <w:p w14:paraId="5B369741">
                  <w:pPr>
                    <w:jc w:val="center"/>
                    <w:rPr>
                      <w:rFonts w:hint="default" w:ascii="Times New Roman" w:hAnsi="Times New Roman" w:eastAsia="宋体" w:cs="Times New Roman"/>
                      <w:color w:val="auto"/>
                      <w:kern w:val="2"/>
                      <w:sz w:val="21"/>
                      <w:szCs w:val="21"/>
                      <w:lang w:val="en-US" w:eastAsia="zh-CN" w:bidi="ar-SA"/>
                    </w:rPr>
                  </w:pPr>
                </w:p>
              </w:tc>
              <w:tc>
                <w:tcPr>
                  <w:tcW w:w="925" w:type="pct"/>
                  <w:tcBorders>
                    <w:top w:val="single" w:color="auto" w:sz="4" w:space="0"/>
                  </w:tcBorders>
                  <w:noWrap w:val="0"/>
                  <w:vAlign w:val="center"/>
                </w:tcPr>
                <w:p w14:paraId="6781BD2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立车</w:t>
                  </w:r>
                </w:p>
              </w:tc>
              <w:tc>
                <w:tcPr>
                  <w:tcW w:w="1444" w:type="pct"/>
                  <w:noWrap w:val="0"/>
                  <w:vAlign w:val="center"/>
                </w:tcPr>
                <w:p w14:paraId="33CF56A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highlight w:val="none"/>
                      <w:lang w:val="en-US" w:eastAsia="zh-CN"/>
                    </w:rPr>
                    <w:t>1.2米</w:t>
                  </w:r>
                  <w:r>
                    <w:rPr>
                      <w:rFonts w:hint="eastAsia" w:ascii="Times New Roman" w:hAnsi="Times New Roman" w:cs="Times New Roman"/>
                      <w:color w:val="auto"/>
                      <w:szCs w:val="21"/>
                      <w:highlight w:val="none"/>
                      <w:lang w:val="en-US" w:eastAsia="zh-CN"/>
                    </w:rPr>
                    <w:t>/2.3米/2.5米/5米</w:t>
                  </w:r>
                </w:p>
              </w:tc>
              <w:tc>
                <w:tcPr>
                  <w:tcW w:w="847" w:type="pct"/>
                  <w:noWrap w:val="0"/>
                  <w:vAlign w:val="center"/>
                </w:tcPr>
                <w:p w14:paraId="7161D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w:t>
                  </w:r>
                </w:p>
              </w:tc>
              <w:tc>
                <w:tcPr>
                  <w:tcW w:w="516" w:type="pct"/>
                  <w:vMerge w:val="continue"/>
                  <w:noWrap w:val="0"/>
                  <w:vAlign w:val="center"/>
                </w:tcPr>
                <w:p w14:paraId="4858882A">
                  <w:pPr>
                    <w:pStyle w:val="238"/>
                    <w:spacing w:line="240" w:lineRule="auto"/>
                    <w:jc w:val="center"/>
                    <w:rPr>
                      <w:rFonts w:hint="default" w:ascii="Times New Roman" w:hAnsi="Times New Roman" w:eastAsia="宋体" w:cs="Times New Roman"/>
                      <w:color w:val="auto"/>
                      <w:sz w:val="21"/>
                      <w:szCs w:val="21"/>
                      <w:lang w:val="en-US"/>
                    </w:rPr>
                  </w:pPr>
                </w:p>
              </w:tc>
            </w:tr>
            <w:tr w14:paraId="37F91F7D">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6" w:type="pct"/>
                  <w:vMerge w:val="continue"/>
                  <w:tcBorders>
                    <w:right w:val="single" w:color="000000" w:sz="6" w:space="0"/>
                  </w:tcBorders>
                  <w:noWrap w:val="0"/>
                  <w:vAlign w:val="center"/>
                </w:tcPr>
                <w:p w14:paraId="1F268EC5">
                  <w:pPr>
                    <w:pStyle w:val="238"/>
                    <w:spacing w:line="240" w:lineRule="auto"/>
                    <w:jc w:val="center"/>
                    <w:rPr>
                      <w:rFonts w:hint="default" w:ascii="Times New Roman" w:hAnsi="Times New Roman" w:eastAsia="宋体" w:cs="Times New Roman"/>
                      <w:color w:val="auto"/>
                      <w:sz w:val="21"/>
                      <w:szCs w:val="21"/>
                      <w:lang w:val="en-US"/>
                    </w:rPr>
                  </w:pPr>
                </w:p>
              </w:tc>
              <w:tc>
                <w:tcPr>
                  <w:tcW w:w="800" w:type="pct"/>
                  <w:vMerge w:val="continue"/>
                  <w:tcBorders>
                    <w:left w:val="single" w:color="000000" w:sz="6" w:space="0"/>
                  </w:tcBorders>
                  <w:noWrap w:val="0"/>
                  <w:vAlign w:val="center"/>
                </w:tcPr>
                <w:p w14:paraId="32204858">
                  <w:pPr>
                    <w:jc w:val="center"/>
                    <w:rPr>
                      <w:rFonts w:hint="default" w:ascii="Times New Roman" w:hAnsi="Times New Roman" w:eastAsia="宋体" w:cs="Times New Roman"/>
                      <w:color w:val="auto"/>
                      <w:kern w:val="2"/>
                      <w:sz w:val="21"/>
                      <w:szCs w:val="21"/>
                      <w:lang w:val="en-US" w:eastAsia="zh-CN" w:bidi="ar-SA"/>
                    </w:rPr>
                  </w:pPr>
                </w:p>
              </w:tc>
              <w:tc>
                <w:tcPr>
                  <w:tcW w:w="925" w:type="pct"/>
                  <w:tcBorders>
                    <w:top w:val="single" w:color="auto" w:sz="4" w:space="0"/>
                    <w:bottom w:val="single" w:color="auto" w:sz="4" w:space="0"/>
                  </w:tcBorders>
                  <w:noWrap w:val="0"/>
                  <w:vAlign w:val="center"/>
                </w:tcPr>
                <w:p w14:paraId="5858936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车床</w:t>
                  </w:r>
                </w:p>
              </w:tc>
              <w:tc>
                <w:tcPr>
                  <w:tcW w:w="1444" w:type="pct"/>
                  <w:noWrap w:val="0"/>
                  <w:vAlign w:val="center"/>
                </w:tcPr>
                <w:p w14:paraId="7E648AB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highlight w:val="none"/>
                      <w:lang w:val="en-US" w:eastAsia="zh-CN"/>
                    </w:rPr>
                    <w:t>CW61160/CW61100</w:t>
                  </w:r>
                  <w:r>
                    <w:rPr>
                      <w:rFonts w:hint="eastAsia" w:ascii="Times New Roman" w:hAnsi="Times New Roman" w:cs="Times New Roman"/>
                      <w:color w:val="auto"/>
                      <w:szCs w:val="21"/>
                      <w:highlight w:val="none"/>
                      <w:lang w:val="en-US" w:eastAsia="zh-CN"/>
                    </w:rPr>
                    <w:t>/CW61125/CW61140/CW6180/CW6150</w:t>
                  </w:r>
                </w:p>
              </w:tc>
              <w:tc>
                <w:tcPr>
                  <w:tcW w:w="847" w:type="pct"/>
                  <w:noWrap w:val="0"/>
                  <w:vAlign w:val="center"/>
                </w:tcPr>
                <w:p w14:paraId="5FCAB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w:t>
                  </w:r>
                </w:p>
              </w:tc>
              <w:tc>
                <w:tcPr>
                  <w:tcW w:w="516" w:type="pct"/>
                  <w:vMerge w:val="continue"/>
                  <w:noWrap w:val="0"/>
                  <w:vAlign w:val="center"/>
                </w:tcPr>
                <w:p w14:paraId="5E441E9D">
                  <w:pPr>
                    <w:pStyle w:val="238"/>
                    <w:spacing w:line="240" w:lineRule="auto"/>
                    <w:jc w:val="center"/>
                    <w:rPr>
                      <w:rFonts w:hint="default" w:ascii="Times New Roman" w:hAnsi="Times New Roman" w:eastAsia="宋体" w:cs="Times New Roman"/>
                      <w:color w:val="auto"/>
                      <w:sz w:val="21"/>
                      <w:szCs w:val="21"/>
                      <w:lang w:val="en-US"/>
                    </w:rPr>
                  </w:pPr>
                </w:p>
              </w:tc>
            </w:tr>
            <w:tr w14:paraId="6B2ED0E2">
              <w:tblPrEx>
                <w:tblBorders>
                  <w:top w:val="single" w:color="000000" w:sz="1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6" w:type="pct"/>
                  <w:vMerge w:val="continue"/>
                  <w:tcBorders>
                    <w:right w:val="single" w:color="000000" w:sz="6" w:space="0"/>
                  </w:tcBorders>
                  <w:noWrap w:val="0"/>
                  <w:vAlign w:val="center"/>
                </w:tcPr>
                <w:p w14:paraId="312B5FC4">
                  <w:pPr>
                    <w:pStyle w:val="238"/>
                    <w:spacing w:line="240" w:lineRule="auto"/>
                    <w:jc w:val="center"/>
                    <w:rPr>
                      <w:rFonts w:hint="default" w:ascii="Times New Roman" w:hAnsi="Times New Roman" w:eastAsia="宋体" w:cs="Times New Roman"/>
                      <w:color w:val="auto"/>
                      <w:sz w:val="21"/>
                      <w:szCs w:val="21"/>
                      <w:lang w:val="en-US"/>
                    </w:rPr>
                  </w:pPr>
                </w:p>
              </w:tc>
              <w:tc>
                <w:tcPr>
                  <w:tcW w:w="800" w:type="pct"/>
                  <w:tcBorders>
                    <w:left w:val="single" w:color="000000" w:sz="6" w:space="0"/>
                  </w:tcBorders>
                  <w:noWrap w:val="0"/>
                  <w:vAlign w:val="center"/>
                </w:tcPr>
                <w:p w14:paraId="43376D5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检验</w:t>
                  </w:r>
                </w:p>
              </w:tc>
              <w:tc>
                <w:tcPr>
                  <w:tcW w:w="925" w:type="pct"/>
                  <w:tcBorders>
                    <w:top w:val="single" w:color="auto" w:sz="4" w:space="0"/>
                  </w:tcBorders>
                  <w:noWrap w:val="0"/>
                  <w:vAlign w:val="center"/>
                </w:tcPr>
                <w:p w14:paraId="632674C9">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超声波探伤仪</w:t>
                  </w:r>
                </w:p>
              </w:tc>
              <w:tc>
                <w:tcPr>
                  <w:tcW w:w="1444" w:type="pct"/>
                  <w:noWrap w:val="0"/>
                  <w:vAlign w:val="center"/>
                </w:tcPr>
                <w:p w14:paraId="68EE400D">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w:t>
                  </w:r>
                </w:p>
              </w:tc>
              <w:tc>
                <w:tcPr>
                  <w:tcW w:w="847" w:type="pct"/>
                  <w:noWrap w:val="0"/>
                  <w:vAlign w:val="center"/>
                </w:tcPr>
                <w:p w14:paraId="2854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p>
              </w:tc>
              <w:tc>
                <w:tcPr>
                  <w:tcW w:w="516" w:type="pct"/>
                  <w:vMerge w:val="continue"/>
                  <w:noWrap w:val="0"/>
                  <w:vAlign w:val="center"/>
                </w:tcPr>
                <w:p w14:paraId="13E95A52">
                  <w:pPr>
                    <w:pStyle w:val="238"/>
                    <w:spacing w:line="240" w:lineRule="auto"/>
                    <w:jc w:val="center"/>
                    <w:rPr>
                      <w:rFonts w:hint="eastAsia" w:ascii="Times New Roman" w:hAnsi="Times New Roman" w:eastAsia="宋体" w:cs="Times New Roman"/>
                      <w:color w:val="auto"/>
                      <w:sz w:val="21"/>
                      <w:szCs w:val="21"/>
                      <w:lang w:val="en-US" w:eastAsia="zh-CN"/>
                    </w:rPr>
                  </w:pPr>
                </w:p>
              </w:tc>
            </w:tr>
          </w:tbl>
          <w:p w14:paraId="1F7E2E48">
            <w:pPr>
              <w:spacing w:line="360" w:lineRule="auto"/>
              <w:ind w:left="434"/>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5、主要原辅材料及燃料</w:t>
            </w:r>
          </w:p>
          <w:p w14:paraId="39A07779">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表2-</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 xml:space="preserve">  项目主要原辅材料及燃料消耗表</w:t>
            </w:r>
          </w:p>
          <w:tbl>
            <w:tblPr>
              <w:tblStyle w:val="41"/>
              <w:tblW w:w="4998"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311"/>
              <w:gridCol w:w="1084"/>
              <w:gridCol w:w="368"/>
              <w:gridCol w:w="2164"/>
              <w:gridCol w:w="721"/>
              <w:gridCol w:w="1030"/>
              <w:gridCol w:w="861"/>
              <w:gridCol w:w="1732"/>
            </w:tblGrid>
            <w:tr w14:paraId="16E6ADA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188" w:type="pct"/>
                  <w:noWrap w:val="0"/>
                  <w:vAlign w:val="center"/>
                </w:tcPr>
                <w:p w14:paraId="5BF026E0">
                  <w:pPr>
                    <w:widowControl/>
                    <w:spacing w:line="240" w:lineRule="auto"/>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655" w:type="pct"/>
                  <w:tcBorders>
                    <w:right w:val="single" w:color="auto" w:sz="4" w:space="0"/>
                  </w:tcBorders>
                  <w:noWrap w:val="0"/>
                  <w:vAlign w:val="center"/>
                </w:tcPr>
                <w:p w14:paraId="29765566">
                  <w:pPr>
                    <w:widowControl/>
                    <w:spacing w:line="240" w:lineRule="auto"/>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名称</w:t>
                  </w:r>
                </w:p>
              </w:tc>
              <w:tc>
                <w:tcPr>
                  <w:tcW w:w="222" w:type="pct"/>
                  <w:tcBorders>
                    <w:left w:val="single" w:color="auto" w:sz="4" w:space="0"/>
                  </w:tcBorders>
                  <w:noWrap w:val="0"/>
                  <w:vAlign w:val="center"/>
                </w:tcPr>
                <w:p w14:paraId="7981696F">
                  <w:pPr>
                    <w:widowControl/>
                    <w:spacing w:line="240" w:lineRule="auto"/>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单位</w:t>
                  </w:r>
                </w:p>
              </w:tc>
              <w:tc>
                <w:tcPr>
                  <w:tcW w:w="1308" w:type="pct"/>
                  <w:tcBorders>
                    <w:bottom w:val="single" w:color="auto" w:sz="4" w:space="0"/>
                    <w:right w:val="single" w:color="auto" w:sz="4" w:space="0"/>
                  </w:tcBorders>
                  <w:noWrap w:val="0"/>
                  <w:vAlign w:val="center"/>
                </w:tcPr>
                <w:p w14:paraId="0597D85C">
                  <w:pPr>
                    <w:widowControl/>
                    <w:spacing w:line="240" w:lineRule="auto"/>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年使用量</w:t>
                  </w:r>
                </w:p>
              </w:tc>
              <w:tc>
                <w:tcPr>
                  <w:tcW w:w="435" w:type="pct"/>
                  <w:tcBorders>
                    <w:left w:val="single" w:color="auto" w:sz="4" w:space="0"/>
                    <w:right w:val="single" w:color="auto" w:sz="4" w:space="0"/>
                  </w:tcBorders>
                  <w:noWrap w:val="0"/>
                  <w:vAlign w:val="center"/>
                </w:tcPr>
                <w:p w14:paraId="2141C50F">
                  <w:pPr>
                    <w:widowControl/>
                    <w:spacing w:line="240" w:lineRule="auto"/>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最大存储量</w:t>
                  </w:r>
                </w:p>
              </w:tc>
              <w:tc>
                <w:tcPr>
                  <w:tcW w:w="622" w:type="pct"/>
                  <w:tcBorders>
                    <w:left w:val="single" w:color="auto" w:sz="4" w:space="0"/>
                  </w:tcBorders>
                  <w:noWrap w:val="0"/>
                  <w:vAlign w:val="center"/>
                </w:tcPr>
                <w:p w14:paraId="5EBE7886">
                  <w:pPr>
                    <w:widowControl/>
                    <w:spacing w:line="240" w:lineRule="auto"/>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储存场所</w:t>
                  </w:r>
                </w:p>
              </w:tc>
              <w:tc>
                <w:tcPr>
                  <w:tcW w:w="520" w:type="pct"/>
                  <w:tcBorders>
                    <w:right w:val="single" w:color="auto" w:sz="4" w:space="0"/>
                  </w:tcBorders>
                  <w:noWrap w:val="0"/>
                  <w:vAlign w:val="center"/>
                </w:tcPr>
                <w:p w14:paraId="1F4CA5F6">
                  <w:pPr>
                    <w:widowControl/>
                    <w:spacing w:line="240" w:lineRule="auto"/>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储存方式</w:t>
                  </w:r>
                </w:p>
              </w:tc>
              <w:tc>
                <w:tcPr>
                  <w:tcW w:w="1047" w:type="pct"/>
                  <w:tcBorders>
                    <w:left w:val="single" w:color="auto" w:sz="4" w:space="0"/>
                  </w:tcBorders>
                  <w:noWrap w:val="0"/>
                  <w:vAlign w:val="center"/>
                </w:tcPr>
                <w:p w14:paraId="0555B201">
                  <w:pPr>
                    <w:widowControl/>
                    <w:spacing w:line="240" w:lineRule="auto"/>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14:paraId="4C9EC8E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8" w:type="pct"/>
                  <w:noWrap w:val="0"/>
                  <w:vAlign w:val="center"/>
                </w:tcPr>
                <w:p w14:paraId="2088F61B">
                  <w:pPr>
                    <w:pStyle w:val="238"/>
                    <w:spacing w:line="240" w:lineRule="auto"/>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1</w:t>
                  </w:r>
                </w:p>
              </w:tc>
              <w:tc>
                <w:tcPr>
                  <w:tcW w:w="655" w:type="pct"/>
                  <w:tcBorders>
                    <w:right w:val="single" w:color="auto" w:sz="4" w:space="0"/>
                  </w:tcBorders>
                  <w:noWrap w:val="0"/>
                  <w:vAlign w:val="center"/>
                </w:tcPr>
                <w:p w14:paraId="1218EF46">
                  <w:pPr>
                    <w:snapToGrid w:val="0"/>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color w:val="auto"/>
                      <w:szCs w:val="21"/>
                      <w:lang w:val="en-US" w:eastAsia="zh-CN"/>
                    </w:rPr>
                    <w:t>钢锭</w:t>
                  </w:r>
                </w:p>
              </w:tc>
              <w:tc>
                <w:tcPr>
                  <w:tcW w:w="222" w:type="pct"/>
                  <w:tcBorders>
                    <w:left w:val="single" w:color="auto" w:sz="4" w:space="0"/>
                  </w:tcBorders>
                  <w:noWrap w:val="0"/>
                  <w:vAlign w:val="center"/>
                </w:tcPr>
                <w:p w14:paraId="13FBB942">
                  <w:pPr>
                    <w:snapToGrid w:val="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吨</w:t>
                  </w:r>
                </w:p>
              </w:tc>
              <w:tc>
                <w:tcPr>
                  <w:tcW w:w="1308" w:type="pct"/>
                  <w:tcBorders>
                    <w:right w:val="single" w:color="auto" w:sz="4" w:space="0"/>
                  </w:tcBorders>
                  <w:noWrap w:val="0"/>
                  <w:vAlign w:val="center"/>
                </w:tcPr>
                <w:p w14:paraId="57F350EA">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6</w:t>
                  </w:r>
                  <w:r>
                    <w:rPr>
                      <w:rFonts w:hint="eastAsia" w:ascii="Times New Roman" w:hAnsi="Times New Roman" w:cs="Times New Roman"/>
                      <w:color w:val="auto"/>
                      <w:kern w:val="2"/>
                      <w:sz w:val="21"/>
                      <w:szCs w:val="21"/>
                      <w:lang w:val="en-US" w:eastAsia="zh-CN" w:bidi="ar-SA"/>
                    </w:rPr>
                    <w:t>5</w:t>
                  </w:r>
                  <w:r>
                    <w:rPr>
                      <w:rFonts w:hint="default" w:ascii="Times New Roman" w:hAnsi="Times New Roman" w:cs="Times New Roman"/>
                      <w:color w:val="auto"/>
                      <w:kern w:val="2"/>
                      <w:sz w:val="21"/>
                      <w:szCs w:val="21"/>
                      <w:lang w:val="en-US" w:eastAsia="zh-CN" w:bidi="ar-SA"/>
                    </w:rPr>
                    <w:t>000</w:t>
                  </w:r>
                </w:p>
              </w:tc>
              <w:tc>
                <w:tcPr>
                  <w:tcW w:w="435" w:type="pct"/>
                  <w:tcBorders>
                    <w:left w:val="single" w:color="auto" w:sz="4" w:space="0"/>
                    <w:right w:val="single" w:color="auto" w:sz="4" w:space="0"/>
                  </w:tcBorders>
                  <w:noWrap w:val="0"/>
                  <w:vAlign w:val="center"/>
                </w:tcPr>
                <w:p w14:paraId="436DC522">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30000</w:t>
                  </w:r>
                </w:p>
              </w:tc>
              <w:tc>
                <w:tcPr>
                  <w:tcW w:w="622" w:type="pct"/>
                  <w:tcBorders>
                    <w:left w:val="single" w:color="auto" w:sz="4" w:space="0"/>
                    <w:bottom w:val="single" w:color="auto" w:sz="4" w:space="0"/>
                  </w:tcBorders>
                  <w:noWrap w:val="0"/>
                  <w:vAlign w:val="center"/>
                </w:tcPr>
                <w:p w14:paraId="2C8FD58E">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color w:val="auto"/>
                      <w:kern w:val="0"/>
                      <w:lang w:bidi="ar"/>
                    </w:rPr>
                    <w:t>原料仓库</w:t>
                  </w:r>
                </w:p>
              </w:tc>
              <w:tc>
                <w:tcPr>
                  <w:tcW w:w="520" w:type="pct"/>
                  <w:tcBorders>
                    <w:bottom w:val="single" w:color="auto" w:sz="4" w:space="0"/>
                    <w:right w:val="single" w:color="auto" w:sz="4" w:space="0"/>
                  </w:tcBorders>
                  <w:noWrap w:val="0"/>
                  <w:vAlign w:val="center"/>
                </w:tcPr>
                <w:p w14:paraId="317FC5DF">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堆存</w:t>
                  </w:r>
                </w:p>
              </w:tc>
              <w:tc>
                <w:tcPr>
                  <w:tcW w:w="1047" w:type="pct"/>
                  <w:tcBorders>
                    <w:left w:val="single" w:color="auto" w:sz="4" w:space="0"/>
                    <w:bottom w:val="single" w:color="auto" w:sz="4" w:space="0"/>
                  </w:tcBorders>
                  <w:noWrap w:val="0"/>
                  <w:vAlign w:val="center"/>
                </w:tcPr>
                <w:p w14:paraId="75B4D78B">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外购</w:t>
                  </w:r>
                </w:p>
              </w:tc>
            </w:tr>
            <w:tr w14:paraId="2C00F24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8" w:type="pct"/>
                  <w:noWrap w:val="0"/>
                  <w:vAlign w:val="center"/>
                </w:tcPr>
                <w:p w14:paraId="6111F519">
                  <w:pPr>
                    <w:pStyle w:val="238"/>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rPr>
                    <w:t>2</w:t>
                  </w:r>
                </w:p>
              </w:tc>
              <w:tc>
                <w:tcPr>
                  <w:tcW w:w="655" w:type="pct"/>
                  <w:tcBorders>
                    <w:right w:val="single" w:color="auto" w:sz="4" w:space="0"/>
                  </w:tcBorders>
                  <w:noWrap w:val="0"/>
                  <w:vAlign w:val="center"/>
                </w:tcPr>
                <w:p w14:paraId="050D31E5">
                  <w:pPr>
                    <w:snapToGrid w:val="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kern w:val="2"/>
                      <w:sz w:val="21"/>
                      <w:szCs w:val="21"/>
                      <w:lang w:val="en-US" w:eastAsia="zh-CN" w:bidi="ar-SA"/>
                    </w:rPr>
                    <w:t>元钢</w:t>
                  </w:r>
                </w:p>
              </w:tc>
              <w:tc>
                <w:tcPr>
                  <w:tcW w:w="222" w:type="pct"/>
                  <w:tcBorders>
                    <w:left w:val="single" w:color="auto" w:sz="4" w:space="0"/>
                  </w:tcBorders>
                  <w:noWrap w:val="0"/>
                  <w:vAlign w:val="center"/>
                </w:tcPr>
                <w:p w14:paraId="2F168698">
                  <w:pPr>
                    <w:snapToGrid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吨</w:t>
                  </w:r>
                </w:p>
              </w:tc>
              <w:tc>
                <w:tcPr>
                  <w:tcW w:w="1308" w:type="pct"/>
                  <w:tcBorders>
                    <w:right w:val="single" w:color="auto" w:sz="4" w:space="0"/>
                  </w:tcBorders>
                  <w:noWrap w:val="0"/>
                  <w:vAlign w:val="center"/>
                </w:tcPr>
                <w:p w14:paraId="36526842">
                  <w:pPr>
                    <w:snapToGrid w:val="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w:t>
                  </w:r>
                  <w:r>
                    <w:rPr>
                      <w:rFonts w:hint="default" w:ascii="Times New Roman" w:hAnsi="Times New Roman" w:cs="Times New Roman"/>
                      <w:color w:val="auto"/>
                      <w:lang w:val="en-US" w:eastAsia="zh-CN"/>
                    </w:rPr>
                    <w:t>000</w:t>
                  </w:r>
                </w:p>
              </w:tc>
              <w:tc>
                <w:tcPr>
                  <w:tcW w:w="435" w:type="pct"/>
                  <w:tcBorders>
                    <w:left w:val="single" w:color="auto" w:sz="4" w:space="0"/>
                    <w:right w:val="single" w:color="auto" w:sz="4" w:space="0"/>
                  </w:tcBorders>
                  <w:noWrap w:val="0"/>
                  <w:vAlign w:val="center"/>
                </w:tcPr>
                <w:p w14:paraId="7279EA3F">
                  <w:pPr>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9000</w:t>
                  </w:r>
                </w:p>
              </w:tc>
              <w:tc>
                <w:tcPr>
                  <w:tcW w:w="622" w:type="pct"/>
                  <w:tcBorders>
                    <w:left w:val="single" w:color="auto" w:sz="4" w:space="0"/>
                    <w:bottom w:val="single" w:color="auto" w:sz="4" w:space="0"/>
                  </w:tcBorders>
                  <w:noWrap w:val="0"/>
                  <w:vAlign w:val="center"/>
                </w:tcPr>
                <w:p w14:paraId="5FE964B1">
                  <w:pPr>
                    <w:widowControl/>
                    <w:jc w:val="center"/>
                    <w:textAlignment w:val="center"/>
                    <w:rPr>
                      <w:rFonts w:hint="default" w:ascii="Times New Roman" w:hAnsi="Times New Roman" w:cs="Times New Roman"/>
                      <w:color w:val="auto"/>
                      <w:kern w:val="0"/>
                      <w:lang w:bidi="ar"/>
                    </w:rPr>
                  </w:pPr>
                  <w:r>
                    <w:rPr>
                      <w:rFonts w:hint="default" w:ascii="Times New Roman" w:hAnsi="Times New Roman" w:cs="Times New Roman"/>
                      <w:color w:val="auto"/>
                      <w:kern w:val="0"/>
                      <w:lang w:bidi="ar"/>
                    </w:rPr>
                    <w:t>原料仓库</w:t>
                  </w:r>
                </w:p>
              </w:tc>
              <w:tc>
                <w:tcPr>
                  <w:tcW w:w="520" w:type="pct"/>
                  <w:tcBorders>
                    <w:bottom w:val="single" w:color="auto" w:sz="4" w:space="0"/>
                    <w:right w:val="single" w:color="auto" w:sz="4" w:space="0"/>
                  </w:tcBorders>
                  <w:noWrap w:val="0"/>
                  <w:vAlign w:val="center"/>
                </w:tcPr>
                <w:p w14:paraId="1CEC7DE1">
                  <w:pPr>
                    <w:snapToGrid w:val="0"/>
                    <w:jc w:val="center"/>
                    <w:rPr>
                      <w:rFonts w:hint="default" w:ascii="Times New Roman" w:hAnsi="Times New Roman" w:cs="Times New Roman"/>
                      <w:color w:val="auto"/>
                      <w:lang w:val="en-US" w:eastAsia="zh-CN"/>
                    </w:rPr>
                  </w:pPr>
                  <w:r>
                    <w:rPr>
                      <w:rFonts w:hint="default" w:ascii="Times New Roman" w:hAnsi="Times New Roman" w:cs="Times New Roman"/>
                      <w:color w:val="auto"/>
                      <w:kern w:val="2"/>
                      <w:sz w:val="21"/>
                      <w:szCs w:val="21"/>
                      <w:lang w:val="en-US" w:eastAsia="zh-CN" w:bidi="ar-SA"/>
                    </w:rPr>
                    <w:t>堆存</w:t>
                  </w:r>
                </w:p>
              </w:tc>
              <w:tc>
                <w:tcPr>
                  <w:tcW w:w="1047" w:type="pct"/>
                  <w:tcBorders>
                    <w:left w:val="single" w:color="auto" w:sz="4" w:space="0"/>
                    <w:bottom w:val="single" w:color="auto" w:sz="4" w:space="0"/>
                  </w:tcBorders>
                  <w:noWrap w:val="0"/>
                  <w:vAlign w:val="center"/>
                </w:tcPr>
                <w:p w14:paraId="2DD7A40D">
                  <w:pPr>
                    <w:snapToGrid w:val="0"/>
                    <w:jc w:val="center"/>
                    <w:rPr>
                      <w:rFonts w:hint="default" w:ascii="Times New Roman" w:hAnsi="Times New Roman" w:cs="Times New Roman"/>
                      <w:color w:val="auto"/>
                      <w:lang w:val="en-US" w:eastAsia="zh-CN"/>
                    </w:rPr>
                  </w:pPr>
                  <w:r>
                    <w:rPr>
                      <w:rFonts w:hint="default" w:ascii="Times New Roman" w:hAnsi="Times New Roman" w:cs="Times New Roman"/>
                      <w:color w:val="auto"/>
                      <w:kern w:val="2"/>
                      <w:sz w:val="21"/>
                      <w:szCs w:val="21"/>
                      <w:lang w:val="en-US" w:eastAsia="zh-CN" w:bidi="ar-SA"/>
                    </w:rPr>
                    <w:t>外购</w:t>
                  </w:r>
                </w:p>
              </w:tc>
            </w:tr>
            <w:tr w14:paraId="7176456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86" w:hRule="atLeast"/>
                <w:jc w:val="center"/>
              </w:trPr>
              <w:tc>
                <w:tcPr>
                  <w:tcW w:w="188" w:type="pct"/>
                  <w:noWrap w:val="0"/>
                  <w:vAlign w:val="center"/>
                </w:tcPr>
                <w:p w14:paraId="2D0E2255">
                  <w:pPr>
                    <w:pStyle w:val="238"/>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rPr>
                    <w:t>3</w:t>
                  </w:r>
                </w:p>
              </w:tc>
              <w:tc>
                <w:tcPr>
                  <w:tcW w:w="655" w:type="pct"/>
                  <w:tcBorders>
                    <w:right w:val="single" w:color="auto" w:sz="4" w:space="0"/>
                  </w:tcBorders>
                  <w:noWrap w:val="0"/>
                  <w:vAlign w:val="center"/>
                </w:tcPr>
                <w:p w14:paraId="751B5DD3">
                  <w:pPr>
                    <w:snapToGrid w:val="0"/>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color w:val="auto"/>
                      <w:kern w:val="2"/>
                      <w:sz w:val="21"/>
                      <w:szCs w:val="21"/>
                      <w:lang w:val="en-US" w:eastAsia="zh-CN" w:bidi="ar-SA"/>
                    </w:rPr>
                    <w:t>方钢</w:t>
                  </w:r>
                </w:p>
              </w:tc>
              <w:tc>
                <w:tcPr>
                  <w:tcW w:w="222" w:type="pct"/>
                  <w:tcBorders>
                    <w:left w:val="single" w:color="auto" w:sz="4" w:space="0"/>
                  </w:tcBorders>
                  <w:noWrap w:val="0"/>
                  <w:vAlign w:val="center"/>
                </w:tcPr>
                <w:p w14:paraId="3D3F8040">
                  <w:pPr>
                    <w:snapToGrid w:val="0"/>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吨</w:t>
                  </w:r>
                </w:p>
              </w:tc>
              <w:tc>
                <w:tcPr>
                  <w:tcW w:w="1308" w:type="pct"/>
                  <w:tcBorders>
                    <w:right w:val="single" w:color="auto" w:sz="4" w:space="0"/>
                  </w:tcBorders>
                  <w:noWrap w:val="0"/>
                  <w:vAlign w:val="center"/>
                </w:tcPr>
                <w:p w14:paraId="6D32ED8B">
                  <w:pPr>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5000</w:t>
                  </w:r>
                </w:p>
              </w:tc>
              <w:tc>
                <w:tcPr>
                  <w:tcW w:w="435" w:type="pct"/>
                  <w:tcBorders>
                    <w:left w:val="single" w:color="auto" w:sz="4" w:space="0"/>
                    <w:right w:val="single" w:color="auto" w:sz="4" w:space="0"/>
                  </w:tcBorders>
                  <w:noWrap w:val="0"/>
                  <w:vAlign w:val="center"/>
                </w:tcPr>
                <w:p w14:paraId="5F9386FA">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3000</w:t>
                  </w:r>
                </w:p>
              </w:tc>
              <w:tc>
                <w:tcPr>
                  <w:tcW w:w="622" w:type="pct"/>
                  <w:tcBorders>
                    <w:top w:val="single" w:color="auto" w:sz="4" w:space="0"/>
                    <w:left w:val="single" w:color="auto" w:sz="4" w:space="0"/>
                    <w:bottom w:val="single" w:color="auto" w:sz="4" w:space="0"/>
                  </w:tcBorders>
                  <w:noWrap w:val="0"/>
                  <w:vAlign w:val="center"/>
                </w:tcPr>
                <w:p w14:paraId="570A7658">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color w:val="auto"/>
                      <w:kern w:val="0"/>
                      <w:lang w:bidi="ar"/>
                    </w:rPr>
                    <w:t>原料仓库</w:t>
                  </w:r>
                </w:p>
              </w:tc>
              <w:tc>
                <w:tcPr>
                  <w:tcW w:w="520" w:type="pct"/>
                  <w:tcBorders>
                    <w:top w:val="single" w:color="auto" w:sz="4" w:space="0"/>
                    <w:bottom w:val="single" w:color="auto" w:sz="4" w:space="0"/>
                    <w:right w:val="single" w:color="auto" w:sz="4" w:space="0"/>
                  </w:tcBorders>
                  <w:noWrap w:val="0"/>
                  <w:vAlign w:val="center"/>
                </w:tcPr>
                <w:p w14:paraId="129E2326">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堆存</w:t>
                  </w:r>
                </w:p>
              </w:tc>
              <w:tc>
                <w:tcPr>
                  <w:tcW w:w="1047" w:type="pct"/>
                  <w:tcBorders>
                    <w:top w:val="single" w:color="auto" w:sz="4" w:space="0"/>
                    <w:left w:val="single" w:color="auto" w:sz="4" w:space="0"/>
                    <w:bottom w:val="single" w:color="auto" w:sz="4" w:space="0"/>
                  </w:tcBorders>
                  <w:noWrap w:val="0"/>
                  <w:vAlign w:val="center"/>
                </w:tcPr>
                <w:p w14:paraId="17308A99">
                  <w:pPr>
                    <w:snapToGrid w:val="0"/>
                    <w:jc w:val="center"/>
                    <w:rPr>
                      <w:rFonts w:hint="default" w:ascii="Times New Roman" w:hAnsi="Times New Roman" w:cs="Times New Roman"/>
                      <w:color w:val="auto"/>
                    </w:rPr>
                  </w:pPr>
                  <w:r>
                    <w:rPr>
                      <w:rFonts w:hint="default" w:ascii="Times New Roman" w:hAnsi="Times New Roman" w:cs="Times New Roman"/>
                      <w:color w:val="auto"/>
                      <w:kern w:val="2"/>
                      <w:sz w:val="21"/>
                      <w:szCs w:val="21"/>
                      <w:lang w:val="en-US" w:eastAsia="zh-CN" w:bidi="ar-SA"/>
                    </w:rPr>
                    <w:t>外购</w:t>
                  </w:r>
                </w:p>
              </w:tc>
            </w:tr>
            <w:tr w14:paraId="6129DFC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88" w:type="pct"/>
                  <w:noWrap w:val="0"/>
                  <w:vAlign w:val="center"/>
                </w:tcPr>
                <w:p w14:paraId="3EDE51C9">
                  <w:pPr>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655" w:type="pct"/>
                  <w:tcBorders>
                    <w:right w:val="single" w:color="auto" w:sz="4" w:space="0"/>
                  </w:tcBorders>
                  <w:noWrap w:val="0"/>
                  <w:vAlign w:val="center"/>
                </w:tcPr>
                <w:p w14:paraId="7535B87B">
                  <w:pPr>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模锻模具</w:t>
                  </w:r>
                </w:p>
              </w:tc>
              <w:tc>
                <w:tcPr>
                  <w:tcW w:w="222" w:type="pct"/>
                  <w:tcBorders>
                    <w:left w:val="single" w:color="auto" w:sz="4" w:space="0"/>
                  </w:tcBorders>
                  <w:noWrap w:val="0"/>
                  <w:vAlign w:val="center"/>
                </w:tcPr>
                <w:p w14:paraId="639901E2">
                  <w:pPr>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lang w:eastAsia="zh-CN"/>
                    </w:rPr>
                    <w:t>吨</w:t>
                  </w:r>
                </w:p>
              </w:tc>
              <w:tc>
                <w:tcPr>
                  <w:tcW w:w="1308" w:type="pct"/>
                  <w:tcBorders>
                    <w:right w:val="single" w:color="auto" w:sz="4" w:space="0"/>
                  </w:tcBorders>
                  <w:noWrap w:val="0"/>
                  <w:vAlign w:val="center"/>
                </w:tcPr>
                <w:p w14:paraId="2B291CCD">
                  <w:pPr>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435" w:type="pct"/>
                  <w:tcBorders>
                    <w:left w:val="single" w:color="auto" w:sz="4" w:space="0"/>
                    <w:right w:val="single" w:color="auto" w:sz="4" w:space="0"/>
                  </w:tcBorders>
                  <w:noWrap w:val="0"/>
                  <w:vAlign w:val="center"/>
                </w:tcPr>
                <w:p w14:paraId="1183E6A0">
                  <w:pPr>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622" w:type="pct"/>
                  <w:tcBorders>
                    <w:top w:val="single" w:color="auto" w:sz="4" w:space="0"/>
                    <w:left w:val="single" w:color="auto" w:sz="4" w:space="0"/>
                    <w:bottom w:val="single" w:color="auto" w:sz="4" w:space="0"/>
                  </w:tcBorders>
                  <w:noWrap w:val="0"/>
                  <w:vAlign w:val="center"/>
                </w:tcPr>
                <w:p w14:paraId="3751F393">
                  <w:pPr>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kern w:val="0"/>
                      <w:lang w:bidi="ar"/>
                    </w:rPr>
                    <w:t>原料仓库</w:t>
                  </w:r>
                </w:p>
              </w:tc>
              <w:tc>
                <w:tcPr>
                  <w:tcW w:w="520" w:type="pct"/>
                  <w:tcBorders>
                    <w:top w:val="single" w:color="auto" w:sz="4" w:space="0"/>
                    <w:bottom w:val="single" w:color="auto" w:sz="4" w:space="0"/>
                    <w:right w:val="single" w:color="auto" w:sz="4" w:space="0"/>
                  </w:tcBorders>
                  <w:noWrap w:val="0"/>
                  <w:vAlign w:val="center"/>
                </w:tcPr>
                <w:p w14:paraId="20D1BF8F">
                  <w:pPr>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kern w:val="2"/>
                      <w:sz w:val="21"/>
                      <w:szCs w:val="21"/>
                      <w:lang w:val="en-US" w:eastAsia="zh-CN" w:bidi="ar-SA"/>
                    </w:rPr>
                    <w:t>堆存</w:t>
                  </w:r>
                </w:p>
              </w:tc>
              <w:tc>
                <w:tcPr>
                  <w:tcW w:w="1047" w:type="pct"/>
                  <w:tcBorders>
                    <w:top w:val="single" w:color="auto" w:sz="4" w:space="0"/>
                    <w:left w:val="single" w:color="auto" w:sz="4" w:space="0"/>
                    <w:bottom w:val="single" w:color="auto" w:sz="4" w:space="0"/>
                  </w:tcBorders>
                  <w:noWrap w:val="0"/>
                  <w:vAlign w:val="center"/>
                </w:tcPr>
                <w:p w14:paraId="07258F27">
                  <w:pPr>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自制</w:t>
                  </w:r>
                </w:p>
              </w:tc>
            </w:tr>
            <w:tr w14:paraId="7C6DDAF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88" w:type="pct"/>
                  <w:noWrap w:val="0"/>
                  <w:vAlign w:val="center"/>
                </w:tcPr>
                <w:p w14:paraId="73AB3287">
                  <w:pPr>
                    <w:pStyle w:val="238"/>
                    <w:spacing w:line="240" w:lineRule="auto"/>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5</w:t>
                  </w:r>
                </w:p>
              </w:tc>
              <w:tc>
                <w:tcPr>
                  <w:tcW w:w="655" w:type="pct"/>
                  <w:tcBorders>
                    <w:right w:val="single" w:color="auto" w:sz="4" w:space="0"/>
                  </w:tcBorders>
                  <w:noWrap w:val="0"/>
                  <w:vAlign w:val="center"/>
                </w:tcPr>
                <w:p w14:paraId="3E75FEB8">
                  <w:pPr>
                    <w:snapToGrid w:val="0"/>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color w:val="auto"/>
                      <w:kern w:val="2"/>
                      <w:sz w:val="21"/>
                      <w:szCs w:val="21"/>
                      <w:lang w:val="en-US" w:eastAsia="zh-CN" w:bidi="ar-SA"/>
                    </w:rPr>
                    <w:t>润滑油</w:t>
                  </w:r>
                </w:p>
              </w:tc>
              <w:tc>
                <w:tcPr>
                  <w:tcW w:w="222" w:type="pct"/>
                  <w:tcBorders>
                    <w:left w:val="single" w:color="auto" w:sz="4" w:space="0"/>
                  </w:tcBorders>
                  <w:noWrap w:val="0"/>
                  <w:vAlign w:val="center"/>
                </w:tcPr>
                <w:p w14:paraId="382EE571">
                  <w:pPr>
                    <w:snapToGrid w:val="0"/>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吨</w:t>
                  </w:r>
                </w:p>
              </w:tc>
              <w:tc>
                <w:tcPr>
                  <w:tcW w:w="1308" w:type="pct"/>
                  <w:tcBorders>
                    <w:right w:val="single" w:color="auto" w:sz="4" w:space="0"/>
                  </w:tcBorders>
                  <w:noWrap w:val="0"/>
                  <w:vAlign w:val="center"/>
                </w:tcPr>
                <w:p w14:paraId="361B181E">
                  <w:pPr>
                    <w:snapToGrid w:val="0"/>
                    <w:jc w:val="center"/>
                    <w:rPr>
                      <w:rFonts w:hint="default" w:ascii="Times New Roman" w:hAnsi="Times New Roman" w:cs="Times New Roman"/>
                      <w:color w:val="auto"/>
                      <w:kern w:val="0"/>
                      <w:lang w:val="en-US" w:eastAsia="zh-CN"/>
                    </w:rPr>
                  </w:pPr>
                  <w:r>
                    <w:rPr>
                      <w:rFonts w:hint="default" w:ascii="Times New Roman" w:hAnsi="Times New Roman" w:cs="Times New Roman"/>
                      <w:color w:val="auto"/>
                      <w:kern w:val="0"/>
                      <w:lang w:val="en-US" w:eastAsia="zh-CN"/>
                    </w:rPr>
                    <w:t>1</w:t>
                  </w:r>
                </w:p>
              </w:tc>
              <w:tc>
                <w:tcPr>
                  <w:tcW w:w="435" w:type="pct"/>
                  <w:tcBorders>
                    <w:left w:val="single" w:color="auto" w:sz="4" w:space="0"/>
                    <w:right w:val="single" w:color="auto" w:sz="4" w:space="0"/>
                  </w:tcBorders>
                  <w:noWrap w:val="0"/>
                  <w:vAlign w:val="center"/>
                </w:tcPr>
                <w:p w14:paraId="13616807">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w:t>
                  </w:r>
                </w:p>
              </w:tc>
              <w:tc>
                <w:tcPr>
                  <w:tcW w:w="622" w:type="pct"/>
                  <w:tcBorders>
                    <w:top w:val="single" w:color="auto" w:sz="4" w:space="0"/>
                    <w:left w:val="single" w:color="auto" w:sz="4" w:space="0"/>
                    <w:bottom w:val="single" w:color="auto" w:sz="4" w:space="0"/>
                  </w:tcBorders>
                  <w:noWrap w:val="0"/>
                  <w:vAlign w:val="center"/>
                </w:tcPr>
                <w:p w14:paraId="34919C60">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color w:val="auto"/>
                      <w:kern w:val="0"/>
                      <w:lang w:bidi="ar"/>
                    </w:rPr>
                    <w:t>原料仓库</w:t>
                  </w:r>
                </w:p>
              </w:tc>
              <w:tc>
                <w:tcPr>
                  <w:tcW w:w="520" w:type="pct"/>
                  <w:tcBorders>
                    <w:top w:val="single" w:color="auto" w:sz="4" w:space="0"/>
                    <w:bottom w:val="single" w:color="auto" w:sz="4" w:space="0"/>
                    <w:right w:val="single" w:color="auto" w:sz="4" w:space="0"/>
                  </w:tcBorders>
                  <w:noWrap w:val="0"/>
                  <w:vAlign w:val="center"/>
                </w:tcPr>
                <w:p w14:paraId="730C4B1C">
                  <w:pPr>
                    <w:snapToGrid w:val="0"/>
                    <w:jc w:val="center"/>
                    <w:rPr>
                      <w:rFonts w:hint="default" w:ascii="Times New Roman" w:hAnsi="Times New Roman" w:eastAsia="华文楷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桶装</w:t>
                  </w:r>
                </w:p>
              </w:tc>
              <w:tc>
                <w:tcPr>
                  <w:tcW w:w="1047" w:type="pct"/>
                  <w:tcBorders>
                    <w:top w:val="single" w:color="auto" w:sz="4" w:space="0"/>
                    <w:left w:val="single" w:color="auto" w:sz="4" w:space="0"/>
                    <w:bottom w:val="single" w:color="auto" w:sz="4" w:space="0"/>
                  </w:tcBorders>
                  <w:noWrap w:val="0"/>
                  <w:vAlign w:val="center"/>
                </w:tcPr>
                <w:p w14:paraId="075DA713">
                  <w:pPr>
                    <w:snapToGrid w:val="0"/>
                    <w:jc w:val="center"/>
                    <w:rPr>
                      <w:rFonts w:hint="default" w:ascii="Times New Roman" w:hAnsi="Times New Roman" w:cs="Times New Roman"/>
                      <w:color w:val="auto"/>
                    </w:rPr>
                  </w:pPr>
                  <w:r>
                    <w:rPr>
                      <w:rFonts w:hint="default" w:ascii="Times New Roman" w:hAnsi="Times New Roman" w:cs="Times New Roman"/>
                      <w:color w:val="auto"/>
                      <w:kern w:val="2"/>
                      <w:sz w:val="21"/>
                      <w:szCs w:val="21"/>
                      <w:lang w:val="en-US" w:eastAsia="zh-CN" w:bidi="ar-SA"/>
                    </w:rPr>
                    <w:t>外购</w:t>
                  </w:r>
                </w:p>
              </w:tc>
            </w:tr>
            <w:tr w14:paraId="4F79598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88" w:type="pct"/>
                  <w:noWrap w:val="0"/>
                  <w:vAlign w:val="center"/>
                </w:tcPr>
                <w:p w14:paraId="616D4CC4">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655" w:type="pct"/>
                  <w:tcBorders>
                    <w:right w:val="single" w:color="auto" w:sz="4" w:space="0"/>
                  </w:tcBorders>
                  <w:noWrap w:val="0"/>
                  <w:vAlign w:val="center"/>
                </w:tcPr>
                <w:p w14:paraId="17B4DDA0">
                  <w:pPr>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液压油</w:t>
                  </w:r>
                </w:p>
              </w:tc>
              <w:tc>
                <w:tcPr>
                  <w:tcW w:w="222" w:type="pct"/>
                  <w:tcBorders>
                    <w:left w:val="single" w:color="auto" w:sz="4" w:space="0"/>
                  </w:tcBorders>
                  <w:noWrap w:val="0"/>
                  <w:vAlign w:val="center"/>
                </w:tcPr>
                <w:p w14:paraId="71F272EB">
                  <w:pPr>
                    <w:snapToGrid w:val="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吨</w:t>
                  </w:r>
                </w:p>
              </w:tc>
              <w:tc>
                <w:tcPr>
                  <w:tcW w:w="1308" w:type="pct"/>
                  <w:tcBorders>
                    <w:right w:val="single" w:color="auto" w:sz="4" w:space="0"/>
                  </w:tcBorders>
                  <w:noWrap w:val="0"/>
                  <w:vAlign w:val="center"/>
                </w:tcPr>
                <w:p w14:paraId="605623E2">
                  <w:pPr>
                    <w:snapToGrid w:val="0"/>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sz w:val="21"/>
                      <w:szCs w:val="21"/>
                      <w:lang w:val="en-US" w:eastAsia="zh-CN"/>
                    </w:rPr>
                    <w:t>10</w:t>
                  </w:r>
                </w:p>
              </w:tc>
              <w:tc>
                <w:tcPr>
                  <w:tcW w:w="435" w:type="pct"/>
                  <w:tcBorders>
                    <w:left w:val="single" w:color="auto" w:sz="4" w:space="0"/>
                    <w:right w:val="single" w:color="auto" w:sz="4" w:space="0"/>
                  </w:tcBorders>
                  <w:noWrap w:val="0"/>
                  <w:vAlign w:val="center"/>
                </w:tcPr>
                <w:p w14:paraId="612E84EA">
                  <w:pPr>
                    <w:snapToGrid w:val="0"/>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w:t>
                  </w:r>
                </w:p>
              </w:tc>
              <w:tc>
                <w:tcPr>
                  <w:tcW w:w="622" w:type="pct"/>
                  <w:tcBorders>
                    <w:top w:val="single" w:color="auto" w:sz="4" w:space="0"/>
                    <w:left w:val="single" w:color="auto" w:sz="4" w:space="0"/>
                    <w:bottom w:val="single" w:color="auto" w:sz="4" w:space="0"/>
                  </w:tcBorders>
                  <w:noWrap w:val="0"/>
                  <w:vAlign w:val="center"/>
                </w:tcPr>
                <w:p w14:paraId="0746792A">
                  <w:pPr>
                    <w:widowControl/>
                    <w:jc w:val="center"/>
                    <w:textAlignment w:val="center"/>
                    <w:rPr>
                      <w:rFonts w:hint="default" w:ascii="Times New Roman" w:hAnsi="Times New Roman" w:eastAsia="宋体" w:cs="Times New Roman"/>
                      <w:color w:val="auto"/>
                      <w:kern w:val="0"/>
                      <w:lang w:val="en-US" w:eastAsia="zh-CN" w:bidi="ar"/>
                    </w:rPr>
                  </w:pPr>
                  <w:r>
                    <w:rPr>
                      <w:rFonts w:hint="default" w:ascii="Times New Roman" w:hAnsi="Times New Roman" w:cs="Times New Roman"/>
                      <w:color w:val="auto"/>
                      <w:kern w:val="0"/>
                      <w:lang w:bidi="ar"/>
                    </w:rPr>
                    <w:t>原料仓库</w:t>
                  </w:r>
                </w:p>
              </w:tc>
              <w:tc>
                <w:tcPr>
                  <w:tcW w:w="520" w:type="pct"/>
                  <w:tcBorders>
                    <w:top w:val="single" w:color="auto" w:sz="4" w:space="0"/>
                    <w:bottom w:val="single" w:color="auto" w:sz="4" w:space="0"/>
                    <w:right w:val="single" w:color="auto" w:sz="4" w:space="0"/>
                  </w:tcBorders>
                  <w:noWrap w:val="0"/>
                  <w:vAlign w:val="center"/>
                </w:tcPr>
                <w:p w14:paraId="3F98457E">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桶装</w:t>
                  </w:r>
                </w:p>
              </w:tc>
              <w:tc>
                <w:tcPr>
                  <w:tcW w:w="1047" w:type="pct"/>
                  <w:tcBorders>
                    <w:top w:val="single" w:color="auto" w:sz="4" w:space="0"/>
                    <w:left w:val="single" w:color="auto" w:sz="4" w:space="0"/>
                    <w:bottom w:val="single" w:color="auto" w:sz="4" w:space="0"/>
                  </w:tcBorders>
                  <w:noWrap w:val="0"/>
                  <w:vAlign w:val="center"/>
                </w:tcPr>
                <w:p w14:paraId="63ACC0C7">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外购</w:t>
                  </w:r>
                </w:p>
              </w:tc>
            </w:tr>
            <w:tr w14:paraId="3145E34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88" w:type="pct"/>
                  <w:noWrap w:val="0"/>
                  <w:vAlign w:val="center"/>
                </w:tcPr>
                <w:p w14:paraId="38888565">
                  <w:pPr>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655" w:type="pct"/>
                  <w:tcBorders>
                    <w:right w:val="single" w:color="auto" w:sz="4" w:space="0"/>
                  </w:tcBorders>
                  <w:noWrap w:val="0"/>
                  <w:vAlign w:val="center"/>
                </w:tcPr>
                <w:p w14:paraId="50AFEAB7">
                  <w:pPr>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切削液</w:t>
                  </w:r>
                </w:p>
              </w:tc>
              <w:tc>
                <w:tcPr>
                  <w:tcW w:w="222" w:type="pct"/>
                  <w:tcBorders>
                    <w:left w:val="single" w:color="auto" w:sz="4" w:space="0"/>
                  </w:tcBorders>
                  <w:noWrap w:val="0"/>
                  <w:vAlign w:val="center"/>
                </w:tcPr>
                <w:p w14:paraId="13A4A3A7">
                  <w:pPr>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lang w:eastAsia="zh-CN"/>
                    </w:rPr>
                    <w:t>吨</w:t>
                  </w:r>
                </w:p>
              </w:tc>
              <w:tc>
                <w:tcPr>
                  <w:tcW w:w="1308" w:type="pct"/>
                  <w:tcBorders>
                    <w:right w:val="single" w:color="auto" w:sz="4" w:space="0"/>
                  </w:tcBorders>
                  <w:noWrap w:val="0"/>
                  <w:vAlign w:val="center"/>
                </w:tcPr>
                <w:p w14:paraId="30BFF582">
                  <w:pPr>
                    <w:snapToGrid w:val="0"/>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sz w:val="21"/>
                      <w:szCs w:val="21"/>
                      <w:lang w:val="en-US" w:eastAsia="zh-CN"/>
                    </w:rPr>
                    <w:t>1</w:t>
                  </w:r>
                </w:p>
              </w:tc>
              <w:tc>
                <w:tcPr>
                  <w:tcW w:w="435" w:type="pct"/>
                  <w:tcBorders>
                    <w:left w:val="single" w:color="auto" w:sz="4" w:space="0"/>
                    <w:right w:val="single" w:color="auto" w:sz="4" w:space="0"/>
                  </w:tcBorders>
                  <w:noWrap w:val="0"/>
                  <w:vAlign w:val="center"/>
                </w:tcPr>
                <w:p w14:paraId="5A5B23B5">
                  <w:pPr>
                    <w:snapToGrid w:val="0"/>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w:t>
                  </w:r>
                </w:p>
              </w:tc>
              <w:tc>
                <w:tcPr>
                  <w:tcW w:w="622" w:type="pct"/>
                  <w:tcBorders>
                    <w:top w:val="single" w:color="auto" w:sz="4" w:space="0"/>
                    <w:left w:val="single" w:color="auto" w:sz="4" w:space="0"/>
                    <w:bottom w:val="single" w:color="auto" w:sz="4" w:space="0"/>
                  </w:tcBorders>
                  <w:noWrap w:val="0"/>
                  <w:vAlign w:val="center"/>
                </w:tcPr>
                <w:p w14:paraId="4D6D2F71">
                  <w:pPr>
                    <w:widowControl/>
                    <w:jc w:val="center"/>
                    <w:textAlignment w:val="center"/>
                    <w:rPr>
                      <w:rFonts w:hint="default" w:ascii="Times New Roman" w:hAnsi="Times New Roman" w:cs="Times New Roman"/>
                      <w:color w:val="auto"/>
                      <w:kern w:val="0"/>
                      <w:lang w:val="en-US" w:eastAsia="zh-CN" w:bidi="ar"/>
                    </w:rPr>
                  </w:pPr>
                  <w:r>
                    <w:rPr>
                      <w:rFonts w:hint="default" w:ascii="Times New Roman" w:hAnsi="Times New Roman" w:cs="Times New Roman"/>
                      <w:color w:val="auto"/>
                      <w:kern w:val="0"/>
                      <w:lang w:bidi="ar"/>
                    </w:rPr>
                    <w:t>原料仓库</w:t>
                  </w:r>
                </w:p>
              </w:tc>
              <w:tc>
                <w:tcPr>
                  <w:tcW w:w="520" w:type="pct"/>
                  <w:tcBorders>
                    <w:top w:val="single" w:color="auto" w:sz="4" w:space="0"/>
                    <w:bottom w:val="single" w:color="auto" w:sz="4" w:space="0"/>
                    <w:right w:val="single" w:color="auto" w:sz="4" w:space="0"/>
                  </w:tcBorders>
                  <w:noWrap w:val="0"/>
                  <w:vAlign w:val="center"/>
                </w:tcPr>
                <w:p w14:paraId="15368541">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桶装</w:t>
                  </w:r>
                </w:p>
              </w:tc>
              <w:tc>
                <w:tcPr>
                  <w:tcW w:w="1047" w:type="pct"/>
                  <w:tcBorders>
                    <w:top w:val="single" w:color="auto" w:sz="4" w:space="0"/>
                    <w:left w:val="single" w:color="auto" w:sz="4" w:space="0"/>
                    <w:bottom w:val="single" w:color="auto" w:sz="4" w:space="0"/>
                  </w:tcBorders>
                  <w:noWrap w:val="0"/>
                  <w:vAlign w:val="center"/>
                </w:tcPr>
                <w:p w14:paraId="69E9AE1C">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外购</w:t>
                  </w:r>
                </w:p>
              </w:tc>
            </w:tr>
            <w:tr w14:paraId="7F53C7D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88" w:type="pct"/>
                  <w:noWrap w:val="0"/>
                  <w:vAlign w:val="center"/>
                </w:tcPr>
                <w:p w14:paraId="46A25E94">
                  <w:pPr>
                    <w:pStyle w:val="238"/>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655" w:type="pct"/>
                  <w:tcBorders>
                    <w:right w:val="single" w:color="auto" w:sz="4" w:space="0"/>
                  </w:tcBorders>
                  <w:noWrap w:val="0"/>
                  <w:vAlign w:val="center"/>
                </w:tcPr>
                <w:p w14:paraId="5BA196B1">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天然气</w:t>
                  </w:r>
                </w:p>
              </w:tc>
              <w:tc>
                <w:tcPr>
                  <w:tcW w:w="222" w:type="pct"/>
                  <w:tcBorders>
                    <w:left w:val="single" w:color="auto" w:sz="4" w:space="0"/>
                  </w:tcBorders>
                  <w:noWrap w:val="0"/>
                  <w:vAlign w:val="center"/>
                </w:tcPr>
                <w:p w14:paraId="43484753">
                  <w:pPr>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p>
              </w:tc>
              <w:tc>
                <w:tcPr>
                  <w:tcW w:w="1308" w:type="pct"/>
                  <w:tcBorders>
                    <w:right w:val="single" w:color="auto" w:sz="4" w:space="0"/>
                  </w:tcBorders>
                  <w:noWrap w:val="0"/>
                  <w:vAlign w:val="center"/>
                </w:tcPr>
                <w:p w14:paraId="566CA8F3">
                  <w:pPr>
                    <w:snapToGrid w:val="0"/>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26</w:t>
                  </w:r>
                  <w:r>
                    <w:rPr>
                      <w:rFonts w:hint="default" w:ascii="Times New Roman" w:hAnsi="Times New Roman" w:cs="Times New Roman"/>
                      <w:color w:val="auto"/>
                      <w:kern w:val="0"/>
                      <w:lang w:val="en-US" w:eastAsia="zh-CN"/>
                    </w:rPr>
                    <w:t>0万</w:t>
                  </w:r>
                </w:p>
              </w:tc>
              <w:tc>
                <w:tcPr>
                  <w:tcW w:w="435" w:type="pct"/>
                  <w:tcBorders>
                    <w:left w:val="single" w:color="auto" w:sz="4" w:space="0"/>
                    <w:right w:val="single" w:color="auto" w:sz="4" w:space="0"/>
                  </w:tcBorders>
                  <w:noWrap w:val="0"/>
                  <w:vAlign w:val="center"/>
                </w:tcPr>
                <w:p w14:paraId="35DA612C">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622" w:type="pct"/>
                  <w:tcBorders>
                    <w:top w:val="single" w:color="auto" w:sz="4" w:space="0"/>
                    <w:left w:val="single" w:color="auto" w:sz="4" w:space="0"/>
                    <w:bottom w:val="single" w:color="auto" w:sz="4" w:space="0"/>
                  </w:tcBorders>
                  <w:noWrap w:val="0"/>
                  <w:vAlign w:val="center"/>
                </w:tcPr>
                <w:p w14:paraId="0540D67D">
                  <w:pPr>
                    <w:widowControl/>
                    <w:jc w:val="center"/>
                    <w:textAlignment w:val="center"/>
                    <w:rPr>
                      <w:rFonts w:hint="default" w:ascii="Times New Roman" w:hAnsi="Times New Roman" w:cs="Times New Roman"/>
                      <w:color w:val="auto"/>
                      <w:kern w:val="0"/>
                      <w:lang w:val="en-US" w:eastAsia="zh-CN" w:bidi="ar"/>
                    </w:rPr>
                  </w:pPr>
                  <w:r>
                    <w:rPr>
                      <w:rFonts w:hint="default" w:ascii="Times New Roman" w:hAnsi="Times New Roman" w:cs="Times New Roman"/>
                      <w:color w:val="auto"/>
                      <w:kern w:val="0"/>
                      <w:lang w:val="en-US" w:eastAsia="zh-CN" w:bidi="ar"/>
                    </w:rPr>
                    <w:t>/</w:t>
                  </w:r>
                </w:p>
              </w:tc>
              <w:tc>
                <w:tcPr>
                  <w:tcW w:w="520" w:type="pct"/>
                  <w:tcBorders>
                    <w:top w:val="single" w:color="auto" w:sz="4" w:space="0"/>
                    <w:bottom w:val="single" w:color="auto" w:sz="4" w:space="0"/>
                    <w:right w:val="single" w:color="auto" w:sz="4" w:space="0"/>
                  </w:tcBorders>
                  <w:noWrap w:val="0"/>
                  <w:vAlign w:val="center"/>
                </w:tcPr>
                <w:p w14:paraId="73B9C200">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1047" w:type="pct"/>
                  <w:tcBorders>
                    <w:top w:val="single" w:color="auto" w:sz="4" w:space="0"/>
                    <w:left w:val="single" w:color="auto" w:sz="4" w:space="0"/>
                    <w:bottom w:val="single" w:color="auto" w:sz="4" w:space="0"/>
                  </w:tcBorders>
                  <w:noWrap w:val="0"/>
                  <w:vAlign w:val="center"/>
                </w:tcPr>
                <w:p w14:paraId="7C1C8F28">
                  <w:pPr>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r>
          </w:tbl>
          <w:p w14:paraId="69796D0E">
            <w:pPr>
              <w:adjustRightInd w:val="0"/>
              <w:snapToGrid w:val="0"/>
              <w:ind w:firstLine="420" w:firstLineChars="200"/>
              <w:jc w:val="left"/>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eastAsia="zh-CN"/>
              </w:rPr>
              <w:t>原辅料与产能匹配性：本项目钢锭、元钢、方钢共</w:t>
            </w:r>
            <w:r>
              <w:rPr>
                <w:rFonts w:hint="eastAsia" w:ascii="Times New Roman" w:hAnsi="Times New Roman" w:cs="Times New Roman"/>
                <w:b w:val="0"/>
                <w:bCs w:val="0"/>
                <w:color w:val="auto"/>
                <w:sz w:val="21"/>
                <w:szCs w:val="21"/>
                <w:lang w:val="en-US" w:eastAsia="zh-CN"/>
              </w:rPr>
              <w:t>9万吨，产能为</w:t>
            </w:r>
            <w:r>
              <w:rPr>
                <w:rFonts w:hint="eastAsia" w:ascii="Times New Roman" w:hAnsi="Times New Roman" w:cs="Times New Roman"/>
                <w:color w:val="auto"/>
                <w:sz w:val="21"/>
                <w:szCs w:val="21"/>
                <w:highlight w:val="none"/>
                <w:lang w:val="en-US" w:eastAsia="zh-CN"/>
              </w:rPr>
              <w:t>模锻8000吨、</w:t>
            </w:r>
            <w:r>
              <w:rPr>
                <w:rFonts w:hint="default" w:ascii="Times New Roman" w:hAnsi="Times New Roman" w:cs="Times New Roman"/>
                <w:color w:val="auto"/>
                <w:sz w:val="21"/>
                <w:szCs w:val="21"/>
                <w:highlight w:val="none"/>
                <w:lang w:val="en-US" w:eastAsia="zh-CN"/>
              </w:rPr>
              <w:t>自由锻</w:t>
            </w:r>
            <w:r>
              <w:rPr>
                <w:rFonts w:hint="eastAsia" w:ascii="Times New Roman" w:hAnsi="Times New Roman" w:cs="Times New Roman"/>
                <w:color w:val="auto"/>
                <w:sz w:val="21"/>
                <w:szCs w:val="21"/>
                <w:highlight w:val="none"/>
                <w:lang w:val="en-US" w:eastAsia="zh-CN"/>
              </w:rPr>
              <w:t>42000</w:t>
            </w:r>
            <w:r>
              <w:rPr>
                <w:rFonts w:hint="default" w:ascii="Times New Roman" w:hAnsi="Times New Roman" w:cs="Times New Roman"/>
                <w:color w:val="auto"/>
                <w:sz w:val="21"/>
                <w:szCs w:val="21"/>
                <w:highlight w:val="none"/>
                <w:lang w:val="en-US" w:eastAsia="zh-CN"/>
              </w:rPr>
              <w:t>吨、环锻件</w:t>
            </w:r>
            <w:r>
              <w:rPr>
                <w:rFonts w:hint="eastAsia" w:ascii="Times New Roman" w:hAnsi="Times New Roman" w:cs="Times New Roman"/>
                <w:color w:val="auto"/>
                <w:sz w:val="21"/>
                <w:szCs w:val="21"/>
                <w:highlight w:val="none"/>
                <w:lang w:val="en-US" w:eastAsia="zh-CN"/>
              </w:rPr>
              <w:t>30000</w:t>
            </w:r>
            <w:r>
              <w:rPr>
                <w:rFonts w:hint="default" w:ascii="Times New Roman" w:hAnsi="Times New Roman" w:cs="Times New Roman"/>
                <w:color w:val="auto"/>
                <w:sz w:val="21"/>
                <w:szCs w:val="21"/>
                <w:highlight w:val="none"/>
                <w:lang w:val="en-US" w:eastAsia="zh-CN"/>
              </w:rPr>
              <w:t>吨</w:t>
            </w:r>
            <w:r>
              <w:rPr>
                <w:rFonts w:hint="eastAsia" w:ascii="Times New Roman" w:hAnsi="Times New Roman" w:cs="Times New Roman"/>
                <w:color w:val="auto"/>
                <w:sz w:val="21"/>
                <w:szCs w:val="21"/>
                <w:highlight w:val="none"/>
                <w:lang w:val="en-US" w:eastAsia="zh-CN"/>
              </w:rPr>
              <w:t>，原辅料的使用量可以满足产品产能。</w:t>
            </w:r>
          </w:p>
          <w:p w14:paraId="3B98E24E">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表2-</w:t>
            </w:r>
            <w:r>
              <w:rPr>
                <w:rFonts w:hint="default" w:ascii="Times New Roman" w:hAnsi="Times New Roman" w:cs="Times New Roman"/>
                <w:b/>
                <w:bCs/>
                <w:color w:val="auto"/>
                <w:sz w:val="21"/>
                <w:szCs w:val="21"/>
                <w:lang w:val="en-US" w:eastAsia="zh-CN"/>
              </w:rPr>
              <w:t>5 主</w:t>
            </w:r>
            <w:r>
              <w:rPr>
                <w:rFonts w:hint="default" w:ascii="Times New Roman" w:hAnsi="Times New Roman" w:cs="Times New Roman"/>
                <w:b/>
                <w:bCs/>
                <w:color w:val="auto"/>
                <w:sz w:val="21"/>
                <w:szCs w:val="21"/>
              </w:rPr>
              <w:t>要原辅料、中间产品、产品理化性质、毒性毒理</w:t>
            </w:r>
          </w:p>
          <w:tbl>
            <w:tblPr>
              <w:tblStyle w:val="41"/>
              <w:tblW w:w="455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1"/>
              <w:gridCol w:w="1206"/>
              <w:gridCol w:w="3908"/>
              <w:gridCol w:w="710"/>
              <w:gridCol w:w="1386"/>
            </w:tblGrid>
            <w:tr w14:paraId="62027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13" w:type="pct"/>
                  <w:noWrap w:val="0"/>
                  <w:vAlign w:val="center"/>
                </w:tcPr>
                <w:p w14:paraId="60CAD51B">
                  <w:pPr>
                    <w:widowControl/>
                    <w:spacing w:line="240" w:lineRule="auto"/>
                    <w:jc w:val="center"/>
                    <w:rPr>
                      <w:rFonts w:hint="default" w:ascii="Times New Roman" w:hAnsi="Times New Roman" w:eastAsia="宋体" w:cs="Times New Roman"/>
                      <w:b/>
                      <w:bCs/>
                      <w:color w:val="auto"/>
                      <w:kern w:val="0"/>
                      <w:sz w:val="21"/>
                      <w:szCs w:val="21"/>
                    </w:rPr>
                  </w:pPr>
                  <w:bookmarkStart w:id="3" w:name="OLE_LINK1"/>
                  <w:r>
                    <w:rPr>
                      <w:rFonts w:hint="default" w:ascii="Times New Roman" w:hAnsi="Times New Roman" w:eastAsia="宋体" w:cs="Times New Roman"/>
                      <w:b/>
                      <w:bCs/>
                      <w:color w:val="auto"/>
                      <w:kern w:val="0"/>
                      <w:sz w:val="21"/>
                      <w:szCs w:val="21"/>
                    </w:rPr>
                    <w:t>序号</w:t>
                  </w:r>
                </w:p>
              </w:tc>
              <w:tc>
                <w:tcPr>
                  <w:tcW w:w="800" w:type="pct"/>
                  <w:noWrap w:val="0"/>
                  <w:vAlign w:val="center"/>
                </w:tcPr>
                <w:p w14:paraId="1B63A0EA">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名称</w:t>
                  </w:r>
                </w:p>
              </w:tc>
              <w:tc>
                <w:tcPr>
                  <w:tcW w:w="2595" w:type="pct"/>
                  <w:noWrap w:val="0"/>
                  <w:vAlign w:val="center"/>
                </w:tcPr>
                <w:p w14:paraId="7FE95C7E">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理化性质</w:t>
                  </w:r>
                </w:p>
              </w:tc>
              <w:tc>
                <w:tcPr>
                  <w:tcW w:w="471" w:type="pct"/>
                  <w:noWrap w:val="0"/>
                  <w:vAlign w:val="center"/>
                </w:tcPr>
                <w:p w14:paraId="2B7B2CB4">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燃烧爆炸性</w:t>
                  </w:r>
                </w:p>
              </w:tc>
              <w:tc>
                <w:tcPr>
                  <w:tcW w:w="919" w:type="pct"/>
                  <w:noWrap w:val="0"/>
                  <w:vAlign w:val="center"/>
                </w:tcPr>
                <w:p w14:paraId="276E24B0">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毒性毒理</w:t>
                  </w:r>
                </w:p>
              </w:tc>
            </w:tr>
            <w:tr w14:paraId="6CA0F9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13" w:type="pct"/>
                  <w:noWrap w:val="0"/>
                  <w:vAlign w:val="center"/>
                </w:tcPr>
                <w:p w14:paraId="497B510A">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800" w:type="pct"/>
                  <w:noWrap w:val="0"/>
                  <w:vAlign w:val="center"/>
                </w:tcPr>
                <w:p w14:paraId="3AEBEA8E">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天然气</w:t>
                  </w:r>
                </w:p>
              </w:tc>
              <w:tc>
                <w:tcPr>
                  <w:tcW w:w="2595" w:type="pct"/>
                  <w:noWrap w:val="0"/>
                  <w:vAlign w:val="center"/>
                </w:tcPr>
                <w:p w14:paraId="5F343D17">
                  <w:pPr>
                    <w:pStyle w:val="3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主要成分为甲烷，无色无臭气体。沸点-160℃；相对密度（水=1）：0.45（液化）</w:t>
                  </w:r>
                </w:p>
              </w:tc>
              <w:tc>
                <w:tcPr>
                  <w:tcW w:w="471" w:type="pct"/>
                  <w:noWrap w:val="0"/>
                  <w:vAlign w:val="center"/>
                </w:tcPr>
                <w:p w14:paraId="784588C3">
                  <w:pPr>
                    <w:pStyle w:val="22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可燃</w:t>
                  </w:r>
                </w:p>
              </w:tc>
              <w:tc>
                <w:tcPr>
                  <w:tcW w:w="919" w:type="pct"/>
                  <w:noWrap w:val="0"/>
                  <w:vAlign w:val="center"/>
                </w:tcPr>
                <w:p w14:paraId="57F399E5">
                  <w:pPr>
                    <w:pStyle w:val="22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eastAsiaTheme="minorEastAsia"/>
                      <w:color w:val="auto"/>
                    </w:rPr>
                    <w:t>LD</w:t>
                  </w:r>
                  <w:r>
                    <w:rPr>
                      <w:rFonts w:hint="default" w:ascii="Times New Roman" w:hAnsi="Times New Roman" w:cs="Times New Roman" w:eastAsiaTheme="minorEastAsia"/>
                      <w:color w:val="auto"/>
                      <w:vertAlign w:val="subscript"/>
                    </w:rPr>
                    <w:t>50</w:t>
                  </w:r>
                  <w:r>
                    <w:rPr>
                      <w:rFonts w:hint="default" w:ascii="Times New Roman" w:hAnsi="Times New Roman" w:cs="Times New Roman" w:eastAsiaTheme="minorEastAsia"/>
                      <w:color w:val="auto"/>
                    </w:rPr>
                    <w:t>：800mg/kg（大鼠经口）</w:t>
                  </w:r>
                </w:p>
              </w:tc>
            </w:tr>
            <w:tr w14:paraId="260303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13" w:type="pct"/>
                  <w:noWrap w:val="0"/>
                  <w:vAlign w:val="center"/>
                </w:tcPr>
                <w:p w14:paraId="155A387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800" w:type="pct"/>
                  <w:noWrap w:val="0"/>
                  <w:vAlign w:val="center"/>
                </w:tcPr>
                <w:p w14:paraId="6B52D305">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润滑油</w:t>
                  </w:r>
                </w:p>
              </w:tc>
              <w:tc>
                <w:tcPr>
                  <w:tcW w:w="2595" w:type="pct"/>
                  <w:noWrap w:val="0"/>
                  <w:vAlign w:val="center"/>
                </w:tcPr>
                <w:p w14:paraId="2067E838">
                  <w:pPr>
                    <w:pStyle w:val="3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黄色至褐色透明油状液体、无气味或略带异味，闪点223℃，粘度指数95，倾点-16℃，抗</w:t>
                  </w:r>
                  <w:r>
                    <w:rPr>
                      <w:rFonts w:hint="eastAsia" w:ascii="Times New Roman" w:hAnsi="Times New Roman" w:cs="Times New Roman"/>
                      <w:color w:val="auto"/>
                      <w:kern w:val="0"/>
                      <w:sz w:val="21"/>
                      <w:szCs w:val="21"/>
                      <w:lang w:val="en-US" w:eastAsia="zh-CN" w:bidi="ar-SA"/>
                    </w:rPr>
                    <w:t>切削</w:t>
                  </w:r>
                  <w:r>
                    <w:rPr>
                      <w:rFonts w:hint="default" w:ascii="Times New Roman" w:hAnsi="Times New Roman" w:eastAsia="宋体" w:cs="Times New Roman"/>
                      <w:color w:val="auto"/>
                      <w:kern w:val="0"/>
                      <w:sz w:val="21"/>
                      <w:szCs w:val="21"/>
                      <w:lang w:val="en-US" w:eastAsia="zh-CN" w:bidi="ar-SA"/>
                    </w:rPr>
                    <w:t>性不大于4（54℃），不溶于水。</w:t>
                  </w:r>
                </w:p>
              </w:tc>
              <w:tc>
                <w:tcPr>
                  <w:tcW w:w="471" w:type="pct"/>
                  <w:noWrap w:val="0"/>
                  <w:vAlign w:val="center"/>
                </w:tcPr>
                <w:p w14:paraId="14802252">
                  <w:pPr>
                    <w:pStyle w:val="22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可燃</w:t>
                  </w:r>
                </w:p>
              </w:tc>
              <w:tc>
                <w:tcPr>
                  <w:tcW w:w="919" w:type="pct"/>
                  <w:noWrap w:val="0"/>
                  <w:vAlign w:val="center"/>
                </w:tcPr>
                <w:p w14:paraId="1F2BBC58">
                  <w:pPr>
                    <w:pStyle w:val="22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eastAsiaTheme="minorEastAsia"/>
                      <w:color w:val="auto"/>
                    </w:rPr>
                    <w:t>LD</w:t>
                  </w:r>
                  <w:r>
                    <w:rPr>
                      <w:rFonts w:hint="default" w:ascii="Times New Roman" w:hAnsi="Times New Roman" w:cs="Times New Roman" w:eastAsiaTheme="minorEastAsia"/>
                      <w:color w:val="auto"/>
                      <w:vertAlign w:val="subscript"/>
                    </w:rPr>
                    <w:t>50</w:t>
                  </w:r>
                  <w:r>
                    <w:rPr>
                      <w:rFonts w:hint="default" w:ascii="Times New Roman" w:hAnsi="Times New Roman" w:cs="Times New Roman" w:eastAsiaTheme="minorEastAsia"/>
                      <w:color w:val="auto"/>
                    </w:rPr>
                    <w:t>：</w:t>
                  </w:r>
                  <w:r>
                    <w:rPr>
                      <w:rFonts w:hint="default" w:ascii="Times New Roman" w:hAnsi="Times New Roman" w:cs="Times New Roman" w:eastAsiaTheme="minorEastAsia"/>
                      <w:color w:val="auto"/>
                      <w:lang w:val="en-US" w:eastAsia="zh-CN"/>
                    </w:rPr>
                    <w:t>275</w:t>
                  </w:r>
                  <w:r>
                    <w:rPr>
                      <w:rFonts w:hint="default" w:ascii="Times New Roman" w:hAnsi="Times New Roman" w:cs="Times New Roman" w:eastAsiaTheme="minorEastAsia"/>
                      <w:color w:val="auto"/>
                    </w:rPr>
                    <w:t>mg/kg（大鼠经口）</w:t>
                  </w:r>
                </w:p>
              </w:tc>
            </w:tr>
            <w:tr w14:paraId="79E690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13" w:type="pct"/>
                  <w:noWrap w:val="0"/>
                  <w:vAlign w:val="center"/>
                </w:tcPr>
                <w:p w14:paraId="6F9A2DFD">
                  <w:pPr>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229" w:type="dxa"/>
                  <w:noWrap w:val="0"/>
                  <w:vAlign w:val="center"/>
                </w:tcPr>
                <w:p w14:paraId="720D3B3D">
                  <w:pPr>
                    <w:keepNext w:val="0"/>
                    <w:keepLines w:val="0"/>
                    <w:widowControl/>
                    <w:suppressLineNumbers w:val="0"/>
                    <w:spacing w:line="240" w:lineRule="auto"/>
                    <w:jc w:val="center"/>
                    <w:textAlignment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液压油</w:t>
                  </w:r>
                </w:p>
              </w:tc>
              <w:tc>
                <w:tcPr>
                  <w:tcW w:w="3983" w:type="dxa"/>
                  <w:noWrap w:val="0"/>
                  <w:vAlign w:val="center"/>
                </w:tcPr>
                <w:p w14:paraId="0300CF7E">
                  <w:pPr>
                    <w:pStyle w:val="3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琥珀色液体，沸点＞316℃，</w:t>
                  </w:r>
                  <w:r>
                    <w:rPr>
                      <w:rFonts w:hint="default" w:ascii="Times New Roman" w:hAnsi="Times New Roman" w:eastAsia="宋体" w:cs="Times New Roman"/>
                      <w:color w:val="auto"/>
                      <w:kern w:val="0"/>
                      <w:sz w:val="21"/>
                      <w:szCs w:val="21"/>
                      <w:lang w:val="en-US" w:eastAsia="zh-CN" w:bidi="ar-SA"/>
                    </w:rPr>
                    <w:t>不溶于水。</w:t>
                  </w:r>
                </w:p>
              </w:tc>
              <w:tc>
                <w:tcPr>
                  <w:tcW w:w="724" w:type="dxa"/>
                  <w:noWrap w:val="0"/>
                  <w:vAlign w:val="center"/>
                </w:tcPr>
                <w:p w14:paraId="2A67CF7B">
                  <w:pPr>
                    <w:pStyle w:val="228"/>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可燃</w:t>
                  </w:r>
                </w:p>
              </w:tc>
              <w:tc>
                <w:tcPr>
                  <w:tcW w:w="1412" w:type="dxa"/>
                  <w:noWrap w:val="0"/>
                  <w:vAlign w:val="center"/>
                </w:tcPr>
                <w:p w14:paraId="2F5BA92A">
                  <w:pPr>
                    <w:pStyle w:val="228"/>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LD</w:t>
                  </w:r>
                  <w:r>
                    <w:rPr>
                      <w:rFonts w:hint="default" w:ascii="Times New Roman" w:hAnsi="Times New Roman" w:cs="Times New Roman" w:eastAsiaTheme="minorEastAsia"/>
                      <w:color w:val="auto"/>
                      <w:vertAlign w:val="subscript"/>
                    </w:rPr>
                    <w:t>50</w:t>
                  </w:r>
                  <w:r>
                    <w:rPr>
                      <w:rFonts w:hint="default" w:ascii="Times New Roman" w:hAnsi="Times New Roman" w:cs="Times New Roman" w:eastAsiaTheme="minorEastAsia"/>
                      <w:color w:val="auto"/>
                    </w:rPr>
                    <w:t>：</w:t>
                  </w:r>
                  <w:r>
                    <w:rPr>
                      <w:rFonts w:hint="eastAsia" w:ascii="Times New Roman" w:hAnsi="Times New Roman" w:cs="Times New Roman" w:eastAsiaTheme="minorEastAsia"/>
                      <w:color w:val="auto"/>
                      <w:lang w:val="en-US" w:eastAsia="zh-CN"/>
                    </w:rPr>
                    <w:t>20</w:t>
                  </w:r>
                  <w:r>
                    <w:rPr>
                      <w:rFonts w:hint="default" w:ascii="Times New Roman" w:hAnsi="Times New Roman" w:cs="Times New Roman" w:eastAsiaTheme="minorEastAsia"/>
                      <w:color w:val="auto"/>
                    </w:rPr>
                    <w:t>00mg/kg（大鼠经口）</w:t>
                  </w:r>
                </w:p>
              </w:tc>
            </w:tr>
            <w:tr w14:paraId="5FFF6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13" w:type="pct"/>
                  <w:noWrap w:val="0"/>
                  <w:vAlign w:val="center"/>
                </w:tcPr>
                <w:p w14:paraId="1DCFE9AB">
                  <w:pPr>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229" w:type="dxa"/>
                  <w:noWrap w:val="0"/>
                  <w:vAlign w:val="center"/>
                </w:tcPr>
                <w:p w14:paraId="4F376D41">
                  <w:pPr>
                    <w:keepNext w:val="0"/>
                    <w:keepLines w:val="0"/>
                    <w:widowControl/>
                    <w:suppressLineNumbers w:val="0"/>
                    <w:spacing w:line="240" w:lineRule="auto"/>
                    <w:jc w:val="center"/>
                    <w:textAlignment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切削液</w:t>
                  </w:r>
                </w:p>
              </w:tc>
              <w:tc>
                <w:tcPr>
                  <w:tcW w:w="3983" w:type="dxa"/>
                  <w:noWrap w:val="0"/>
                  <w:vAlign w:val="center"/>
                </w:tcPr>
                <w:p w14:paraId="78DA6F58">
                  <w:pPr>
                    <w:pStyle w:val="3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黄色液体，有机脂肪酸＞75%、脂肪有机酯＜15%、有机多元醇＜10%</w:t>
                  </w:r>
                </w:p>
              </w:tc>
              <w:tc>
                <w:tcPr>
                  <w:tcW w:w="724" w:type="dxa"/>
                  <w:noWrap w:val="0"/>
                  <w:vAlign w:val="center"/>
                </w:tcPr>
                <w:p w14:paraId="6D32CD19">
                  <w:pPr>
                    <w:pStyle w:val="228"/>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1412" w:type="dxa"/>
                  <w:noWrap w:val="0"/>
                  <w:vAlign w:val="center"/>
                </w:tcPr>
                <w:p w14:paraId="2D941BF0">
                  <w:pPr>
                    <w:pStyle w:val="228"/>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w:t>
                  </w:r>
                </w:p>
              </w:tc>
            </w:tr>
            <w:bookmarkEnd w:id="3"/>
          </w:tbl>
          <w:p w14:paraId="6E9C930C">
            <w:pPr>
              <w:pStyle w:val="5"/>
              <w:spacing w:line="360" w:lineRule="auto"/>
              <w:ind w:firstLine="482"/>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6、项目周边环境概况及平面布置</w:t>
            </w:r>
          </w:p>
          <w:p w14:paraId="34BBE3ED">
            <w:pPr>
              <w:snapToGrid w:val="0"/>
              <w:spacing w:line="348" w:lineRule="auto"/>
              <w:ind w:firstLine="420" w:firstLineChars="200"/>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eastAsia="zh-CN"/>
              </w:rPr>
              <w:t>（</w:t>
            </w:r>
            <w:r>
              <w:rPr>
                <w:rFonts w:hint="eastAsia" w:ascii="Times New Roman" w:hAnsi="Times New Roman" w:cs="Times New Roman"/>
                <w:color w:val="auto"/>
                <w:sz w:val="21"/>
                <w:szCs w:val="21"/>
                <w:u w:val="none"/>
                <w:lang w:val="en-US" w:eastAsia="zh-CN"/>
              </w:rPr>
              <w:t>1</w:t>
            </w:r>
            <w:r>
              <w:rPr>
                <w:rFonts w:hint="eastAsia" w:ascii="Times New Roman" w:hAnsi="Times New Roman" w:cs="Times New Roman"/>
                <w:color w:val="auto"/>
                <w:sz w:val="21"/>
                <w:szCs w:val="21"/>
                <w:u w:val="none"/>
                <w:lang w:eastAsia="zh-CN"/>
              </w:rPr>
              <w:t>）周边环境概况：</w:t>
            </w:r>
            <w:r>
              <w:rPr>
                <w:rFonts w:hint="default" w:ascii="Times New Roman" w:hAnsi="Times New Roman" w:cs="Times New Roman"/>
                <w:color w:val="auto"/>
                <w:sz w:val="21"/>
                <w:szCs w:val="21"/>
                <w:u w:val="none"/>
              </w:rPr>
              <w:t>本项目位于南通市</w:t>
            </w:r>
            <w:r>
              <w:rPr>
                <w:rFonts w:hint="default" w:ascii="Times New Roman" w:hAnsi="Times New Roman" w:cs="Times New Roman"/>
                <w:color w:val="auto"/>
                <w:sz w:val="21"/>
                <w:szCs w:val="21"/>
                <w:u w:val="none"/>
                <w:lang w:eastAsia="zh-CN"/>
              </w:rPr>
              <w:t>海门经济技术开发区厦门路</w:t>
            </w:r>
            <w:r>
              <w:rPr>
                <w:rFonts w:hint="default" w:ascii="Times New Roman" w:hAnsi="Times New Roman" w:cs="Times New Roman"/>
                <w:color w:val="auto"/>
                <w:sz w:val="21"/>
                <w:szCs w:val="21"/>
                <w:u w:val="none"/>
                <w:lang w:val="en-US" w:eastAsia="zh-CN"/>
              </w:rPr>
              <w:t>108</w:t>
            </w:r>
            <w:r>
              <w:rPr>
                <w:rFonts w:hint="default" w:ascii="Times New Roman" w:hAnsi="Times New Roman" w:cs="Times New Roman"/>
                <w:color w:val="auto"/>
                <w:sz w:val="21"/>
                <w:szCs w:val="21"/>
                <w:u w:val="none"/>
                <w:lang w:eastAsia="zh-CN"/>
              </w:rPr>
              <w:t>号</w:t>
            </w:r>
            <w:r>
              <w:rPr>
                <w:rFonts w:hint="default" w:ascii="Times New Roman" w:hAnsi="Times New Roman" w:cs="Times New Roman"/>
                <w:color w:val="auto"/>
                <w:sz w:val="21"/>
                <w:szCs w:val="21"/>
                <w:u w:val="none"/>
              </w:rPr>
              <w:t>，项目东侧</w:t>
            </w:r>
            <w:r>
              <w:rPr>
                <w:rFonts w:hint="default" w:ascii="Times New Roman" w:hAnsi="Times New Roman" w:cs="Times New Roman"/>
                <w:color w:val="auto"/>
                <w:sz w:val="21"/>
                <w:szCs w:val="21"/>
                <w:u w:val="none"/>
                <w:lang w:eastAsia="zh-CN"/>
              </w:rPr>
              <w:t>为</w:t>
            </w:r>
            <w:r>
              <w:rPr>
                <w:rFonts w:hint="eastAsia" w:ascii="Times New Roman" w:hAnsi="Times New Roman" w:cs="Times New Roman"/>
                <w:color w:val="auto"/>
                <w:sz w:val="21"/>
                <w:szCs w:val="21"/>
                <w:u w:val="none"/>
                <w:lang w:val="en-US" w:eastAsia="zh-CN"/>
              </w:rPr>
              <w:t>江苏君道绿色建筑科技有限公司</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南侧为</w:t>
            </w:r>
            <w:r>
              <w:rPr>
                <w:rFonts w:hint="default" w:ascii="Times New Roman" w:hAnsi="Times New Roman" w:eastAsia="宋体" w:cs="Times New Roman"/>
                <w:color w:val="auto"/>
                <w:sz w:val="21"/>
                <w:szCs w:val="21"/>
                <w:u w:val="none"/>
                <w:lang w:val="en-US" w:eastAsia="zh-CN"/>
              </w:rPr>
              <w:t>南通盛利行旧机动车拆解服务有限公司，西侧为成诚精密钣金制作有限公司，北侧为厦门路。</w:t>
            </w:r>
          </w:p>
          <w:p w14:paraId="2A0455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rPr>
            </w:pPr>
            <w:r>
              <w:rPr>
                <w:rFonts w:hint="eastAsia" w:ascii="Times New Roman" w:hAnsi="Times New Roman" w:eastAsia="宋体" w:cs="Times New Roman"/>
                <w:color w:val="auto"/>
                <w:sz w:val="21"/>
                <w:szCs w:val="21"/>
                <w:u w:val="none"/>
                <w:lang w:val="en-US" w:eastAsia="zh-CN"/>
              </w:rPr>
              <w:t>（2）平面布置：</w:t>
            </w:r>
            <w:r>
              <w:rPr>
                <w:rFonts w:hint="eastAsia" w:ascii="Times New Roman" w:hAnsi="Times New Roman" w:cs="Times New Roman"/>
                <w:b w:val="0"/>
                <w:bCs w:val="0"/>
                <w:color w:val="auto"/>
                <w:sz w:val="21"/>
                <w:szCs w:val="21"/>
                <w:lang w:eastAsia="zh-CN"/>
              </w:rPr>
              <w:t>厂区北侧为办公楼，由北向南依次为精加工东车间、精加工西车间，热处理车间和压机车间位于厂区南侧。</w:t>
            </w:r>
            <w:r>
              <w:rPr>
                <w:rFonts w:hint="eastAsia"/>
                <w:color w:val="auto"/>
                <w:sz w:val="21"/>
                <w:szCs w:val="21"/>
              </w:rPr>
              <w:t>纵观厂房的平面布置，各分区的布置规划整齐，既方便内外交通联系，又方便原辅材料和成品的运输，厂区平面布置较合理。</w:t>
            </w:r>
          </w:p>
          <w:p w14:paraId="3BE0F293">
            <w:pPr>
              <w:spacing w:line="360" w:lineRule="auto"/>
              <w:ind w:left="434"/>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7、劳动定员及工作制度</w:t>
            </w:r>
          </w:p>
          <w:p w14:paraId="66518972">
            <w:pPr>
              <w:spacing w:line="360" w:lineRule="auto"/>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color w:val="auto"/>
                <w:sz w:val="21"/>
                <w:szCs w:val="21"/>
                <w:lang w:val="en-US" w:eastAsia="zh-CN"/>
              </w:rPr>
              <w:t>本</w:t>
            </w:r>
            <w:r>
              <w:rPr>
                <w:rFonts w:hint="default" w:ascii="Times New Roman" w:hAnsi="Times New Roman" w:cs="Times New Roman"/>
                <w:color w:val="auto"/>
                <w:sz w:val="21"/>
                <w:szCs w:val="21"/>
              </w:rPr>
              <w:t>项目员工</w:t>
            </w:r>
            <w:r>
              <w:rPr>
                <w:rFonts w:hint="default" w:ascii="Times New Roman" w:hAnsi="Times New Roman" w:cs="Times New Roman"/>
                <w:color w:val="auto"/>
                <w:sz w:val="21"/>
                <w:szCs w:val="21"/>
                <w:lang w:val="en-US" w:eastAsia="zh-CN"/>
              </w:rPr>
              <w:t>73</w:t>
            </w:r>
            <w:r>
              <w:rPr>
                <w:rFonts w:hint="default" w:ascii="Times New Roman" w:hAnsi="Times New Roman" w:cs="Times New Roman"/>
                <w:color w:val="auto"/>
                <w:sz w:val="21"/>
                <w:szCs w:val="21"/>
              </w:rPr>
              <w:t>人，年工作日</w:t>
            </w:r>
            <w:r>
              <w:rPr>
                <w:rFonts w:hint="default" w:ascii="Times New Roman" w:hAnsi="Times New Roman" w:cs="Times New Roman"/>
                <w:color w:val="auto"/>
                <w:sz w:val="21"/>
                <w:szCs w:val="21"/>
                <w:lang w:val="en-US" w:eastAsia="zh-CN"/>
              </w:rPr>
              <w:t>25</w:t>
            </w:r>
            <w:r>
              <w:rPr>
                <w:rFonts w:hint="default" w:ascii="Times New Roman" w:hAnsi="Times New Roman" w:cs="Times New Roman"/>
                <w:color w:val="auto"/>
                <w:sz w:val="21"/>
                <w:szCs w:val="21"/>
              </w:rPr>
              <w:t>0天，实行</w:t>
            </w:r>
            <w:r>
              <w:rPr>
                <w:rFonts w:hint="default" w:ascii="Times New Roman" w:hAnsi="Times New Roman" w:cs="Times New Roman"/>
                <w:color w:val="auto"/>
                <w:sz w:val="21"/>
                <w:szCs w:val="21"/>
                <w:lang w:val="en-US" w:eastAsia="zh-CN"/>
              </w:rPr>
              <w:t>8h工作制，无食宿</w:t>
            </w:r>
            <w:r>
              <w:rPr>
                <w:rFonts w:hint="default" w:ascii="Times New Roman" w:hAnsi="Times New Roman" w:cs="Times New Roman"/>
                <w:color w:val="auto"/>
                <w:sz w:val="21"/>
                <w:szCs w:val="21"/>
              </w:rPr>
              <w:t>。</w:t>
            </w:r>
          </w:p>
          <w:p w14:paraId="4EA4B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8、</w:t>
            </w:r>
            <w:r>
              <w:rPr>
                <w:rFonts w:hint="eastAsia" w:ascii="Times New Roman" w:hAnsi="Times New Roman" w:cs="Times New Roman"/>
                <w:b/>
                <w:bCs/>
                <w:color w:val="auto"/>
                <w:sz w:val="21"/>
                <w:szCs w:val="21"/>
                <w:lang w:eastAsia="zh-CN"/>
              </w:rPr>
              <w:t>水</w:t>
            </w:r>
            <w:r>
              <w:rPr>
                <w:rFonts w:hint="default" w:ascii="Times New Roman" w:hAnsi="Times New Roman" w:cs="Times New Roman"/>
                <w:b/>
                <w:bCs/>
                <w:color w:val="auto"/>
                <w:sz w:val="21"/>
                <w:szCs w:val="21"/>
              </w:rPr>
              <w:t>平衡</w:t>
            </w:r>
          </w:p>
          <w:p w14:paraId="219D578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b/>
                <w:color w:val="auto"/>
                <w:sz w:val="28"/>
                <w:szCs w:val="28"/>
                <w:lang w:val="en-US" w:eastAsia="zh-CN"/>
              </w:rPr>
              <mc:AlternateContent>
                <mc:Choice Requires="wpc">
                  <w:drawing>
                    <wp:inline distT="0" distB="0" distL="114300" distR="114300">
                      <wp:extent cx="5280025" cy="3341370"/>
                      <wp:effectExtent l="0" t="0" r="0" b="0"/>
                      <wp:docPr id="111" name="画布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2" name="矩形 32"/>
                              <wps:cNvSpPr/>
                              <wps:spPr>
                                <a:xfrm>
                                  <a:off x="1972945" y="705485"/>
                                  <a:ext cx="600075" cy="297180"/>
                                </a:xfrm>
                                <a:prstGeom prst="rect">
                                  <a:avLst/>
                                </a:prstGeom>
                                <a:solidFill>
                                  <a:srgbClr val="FFFFFF">
                                    <a:alpha val="0"/>
                                  </a:srgbClr>
                                </a:solidFill>
                                <a:ln w="12700">
                                  <a:noFill/>
                                </a:ln>
                              </wps:spPr>
                              <wps:txbx>
                                <w:txbxContent>
                                  <w:p w14:paraId="44FD0733">
                                    <w:pPr>
                                      <w:adjustRightInd w:val="0"/>
                                      <w:snapToGrid w:val="0"/>
                                      <w:ind w:firstLine="105" w:firstLineChars="50"/>
                                      <w:rPr>
                                        <w:rFonts w:hint="default" w:eastAsia="宋体"/>
                                        <w:b/>
                                        <w:szCs w:val="21"/>
                                        <w:lang w:val="en-US" w:eastAsia="zh-CN"/>
                                      </w:rPr>
                                    </w:pPr>
                                    <w:r>
                                      <w:rPr>
                                        <w:rFonts w:hint="eastAsia"/>
                                        <w:szCs w:val="21"/>
                                        <w:lang w:val="en-US" w:eastAsia="zh-CN"/>
                                      </w:rPr>
                                      <w:t>1460</w:t>
                                    </w:r>
                                  </w:p>
                                </w:txbxContent>
                              </wps:txbx>
                              <wps:bodyPr upright="1"/>
                            </wps:wsp>
                            <wps:wsp>
                              <wps:cNvPr id="113" name="矩形 34"/>
                              <wps:cNvSpPr/>
                              <wps:spPr>
                                <a:xfrm>
                                  <a:off x="1217295" y="793115"/>
                                  <a:ext cx="733425" cy="301625"/>
                                </a:xfrm>
                                <a:prstGeom prst="rect">
                                  <a:avLst/>
                                </a:prstGeom>
                                <a:noFill/>
                                <a:ln w="9525" cap="flat" cmpd="sng">
                                  <a:solidFill>
                                    <a:srgbClr val="000000"/>
                                  </a:solidFill>
                                  <a:prstDash val="solid"/>
                                  <a:miter/>
                                  <a:headEnd type="none" w="med" len="med"/>
                                  <a:tailEnd type="none" w="med" len="med"/>
                                </a:ln>
                              </wps:spPr>
                              <wps:txbx>
                                <w:txbxContent>
                                  <w:p w14:paraId="20D4EB10">
                                    <w:pPr>
                                      <w:adjustRightInd w:val="0"/>
                                      <w:snapToGrid w:val="0"/>
                                      <w:rPr>
                                        <w:b/>
                                        <w:szCs w:val="21"/>
                                      </w:rPr>
                                    </w:pPr>
                                    <w:r>
                                      <w:rPr>
                                        <w:rFonts w:hint="eastAsia" w:hAnsi="宋体"/>
                                        <w:szCs w:val="21"/>
                                      </w:rPr>
                                      <w:t>生活用水</w:t>
                                    </w:r>
                                  </w:p>
                                </w:txbxContent>
                              </wps:txbx>
                              <wps:bodyPr upright="1"/>
                            </wps:wsp>
                            <wps:wsp>
                              <wps:cNvPr id="114" name="矩形 35"/>
                              <wps:cNvSpPr/>
                              <wps:spPr>
                                <a:xfrm>
                                  <a:off x="1555750" y="173355"/>
                                  <a:ext cx="800100" cy="297180"/>
                                </a:xfrm>
                                <a:prstGeom prst="rect">
                                  <a:avLst/>
                                </a:prstGeom>
                                <a:solidFill>
                                  <a:srgbClr val="FFFFFF">
                                    <a:alpha val="0"/>
                                  </a:srgbClr>
                                </a:solidFill>
                                <a:ln w="12700">
                                  <a:noFill/>
                                </a:ln>
                              </wps:spPr>
                              <wps:txbx>
                                <w:txbxContent>
                                  <w:p w14:paraId="79FD86E8">
                                    <w:pPr>
                                      <w:adjustRightInd w:val="0"/>
                                      <w:snapToGrid w:val="0"/>
                                      <w:rPr>
                                        <w:rFonts w:hint="default" w:eastAsia="宋体"/>
                                        <w:b/>
                                        <w:szCs w:val="21"/>
                                        <w:lang w:val="en-US" w:eastAsia="zh-CN"/>
                                      </w:rPr>
                                    </w:pPr>
                                    <w:r>
                                      <w:rPr>
                                        <w:rFonts w:hint="eastAsia" w:hAnsi="宋体"/>
                                        <w:szCs w:val="21"/>
                                      </w:rPr>
                                      <w:t>损耗</w:t>
                                    </w:r>
                                    <w:r>
                                      <w:rPr>
                                        <w:rFonts w:hint="eastAsia" w:hAnsi="宋体"/>
                                        <w:szCs w:val="21"/>
                                        <w:lang w:val="en-US" w:eastAsia="zh-CN"/>
                                      </w:rPr>
                                      <w:t>365</w:t>
                                    </w:r>
                                  </w:p>
                                </w:txbxContent>
                              </wps:txbx>
                              <wps:bodyPr upright="1"/>
                            </wps:wsp>
                            <wps:wsp>
                              <wps:cNvPr id="115" name="直接连接符 36"/>
                              <wps:cNvCnPr/>
                              <wps:spPr>
                                <a:xfrm>
                                  <a:off x="1960245" y="958850"/>
                                  <a:ext cx="633095" cy="635"/>
                                </a:xfrm>
                                <a:prstGeom prst="line">
                                  <a:avLst/>
                                </a:prstGeom>
                                <a:ln w="9525" cap="flat" cmpd="sng">
                                  <a:solidFill>
                                    <a:srgbClr val="000000"/>
                                  </a:solidFill>
                                  <a:prstDash val="solid"/>
                                  <a:headEnd type="none" w="med" len="med"/>
                                  <a:tailEnd type="triangle" w="med" len="med"/>
                                </a:ln>
                              </wps:spPr>
                              <wps:bodyPr upright="1"/>
                            </wps:wsp>
                            <wps:wsp>
                              <wps:cNvPr id="116" name="矩形 37"/>
                              <wps:cNvSpPr/>
                              <wps:spPr>
                                <a:xfrm>
                                  <a:off x="4111625" y="737870"/>
                                  <a:ext cx="1148715" cy="439420"/>
                                </a:xfrm>
                                <a:prstGeom prst="rect">
                                  <a:avLst/>
                                </a:prstGeom>
                                <a:noFill/>
                                <a:ln>
                                  <a:noFill/>
                                </a:ln>
                              </wps:spPr>
                              <wps:txbx>
                                <w:txbxContent>
                                  <w:p w14:paraId="213E9B7C">
                                    <w:pPr>
                                      <w:rPr>
                                        <w:b/>
                                        <w:szCs w:val="21"/>
                                      </w:rPr>
                                    </w:pPr>
                                    <w:r>
                                      <w:rPr>
                                        <w:rFonts w:hint="eastAsia" w:ascii="Times New Roman" w:hAnsi="Times New Roman" w:cs="Times New Roman"/>
                                        <w:color w:val="auto"/>
                                        <w:sz w:val="21"/>
                                        <w:szCs w:val="21"/>
                                        <w:lang w:eastAsia="zh-CN"/>
                                      </w:rPr>
                                      <w:t>海门经济技术开发区污水处理厂</w:t>
                                    </w:r>
                                  </w:p>
                                </w:txbxContent>
                              </wps:txbx>
                              <wps:bodyPr upright="1"/>
                            </wps:wsp>
                            <wps:wsp>
                              <wps:cNvPr id="118" name="矩形 39"/>
                              <wps:cNvSpPr/>
                              <wps:spPr>
                                <a:xfrm>
                                  <a:off x="2595245" y="802640"/>
                                  <a:ext cx="638175" cy="297180"/>
                                </a:xfrm>
                                <a:prstGeom prst="rect">
                                  <a:avLst/>
                                </a:prstGeom>
                                <a:noFill/>
                                <a:ln w="6350" cap="flat" cmpd="sng">
                                  <a:solidFill>
                                    <a:srgbClr val="000000"/>
                                  </a:solidFill>
                                  <a:prstDash val="solid"/>
                                  <a:miter/>
                                  <a:headEnd type="none" w="med" len="med"/>
                                  <a:tailEnd type="none" w="med" len="med"/>
                                </a:ln>
                              </wps:spPr>
                              <wps:txbx>
                                <w:txbxContent>
                                  <w:p w14:paraId="047A1E00">
                                    <w:pPr>
                                      <w:adjustRightInd w:val="0"/>
                                      <w:snapToGrid w:val="0"/>
                                      <w:rPr>
                                        <w:b/>
                                        <w:szCs w:val="21"/>
                                      </w:rPr>
                                    </w:pPr>
                                    <w:r>
                                      <w:rPr>
                                        <w:rFonts w:hint="eastAsia"/>
                                        <w:szCs w:val="21"/>
                                      </w:rPr>
                                      <w:t>化粪池</w:t>
                                    </w:r>
                                  </w:p>
                                </w:txbxContent>
                              </wps:txbx>
                              <wps:bodyPr upright="1"/>
                            </wps:wsp>
                            <wps:wsp>
                              <wps:cNvPr id="119" name="直接箭头连接符 40"/>
                              <wps:cNvCnPr/>
                              <wps:spPr>
                                <a:xfrm>
                                  <a:off x="647700" y="958215"/>
                                  <a:ext cx="581025" cy="635"/>
                                </a:xfrm>
                                <a:prstGeom prst="straightConnector1">
                                  <a:avLst/>
                                </a:prstGeom>
                                <a:ln w="9525" cap="flat" cmpd="sng">
                                  <a:solidFill>
                                    <a:srgbClr val="000000"/>
                                  </a:solidFill>
                                  <a:prstDash val="solid"/>
                                  <a:headEnd type="none" w="med" len="med"/>
                                  <a:tailEnd type="triangle" w="med" len="med"/>
                                </a:ln>
                              </wps:spPr>
                              <wps:bodyPr/>
                            </wps:wsp>
                            <wps:wsp>
                              <wps:cNvPr id="120" name="矩形 41"/>
                              <wps:cNvSpPr/>
                              <wps:spPr>
                                <a:xfrm>
                                  <a:off x="3290570" y="652145"/>
                                  <a:ext cx="690880" cy="297180"/>
                                </a:xfrm>
                                <a:prstGeom prst="rect">
                                  <a:avLst/>
                                </a:prstGeom>
                                <a:solidFill>
                                  <a:srgbClr val="FFFFFF">
                                    <a:alpha val="0"/>
                                  </a:srgbClr>
                                </a:solidFill>
                                <a:ln w="12700">
                                  <a:noFill/>
                                </a:ln>
                              </wps:spPr>
                              <wps:txbx>
                                <w:txbxContent>
                                  <w:p w14:paraId="20A86EB8">
                                    <w:pPr>
                                      <w:adjustRightInd w:val="0"/>
                                      <w:snapToGrid w:val="0"/>
                                      <w:ind w:firstLine="105" w:firstLineChars="50"/>
                                      <w:rPr>
                                        <w:rFonts w:hint="default" w:eastAsia="宋体"/>
                                        <w:b/>
                                        <w:szCs w:val="21"/>
                                        <w:lang w:val="en-US" w:eastAsia="zh-CN"/>
                                      </w:rPr>
                                    </w:pPr>
                                    <w:r>
                                      <w:rPr>
                                        <w:rFonts w:hint="eastAsia"/>
                                        <w:szCs w:val="21"/>
                                        <w:lang w:val="en-US" w:eastAsia="zh-CN"/>
                                      </w:rPr>
                                      <w:t>1460</w:t>
                                    </w:r>
                                  </w:p>
                                </w:txbxContent>
                              </wps:txbx>
                              <wps:bodyPr upright="1"/>
                            </wps:wsp>
                            <wps:wsp>
                              <wps:cNvPr id="121" name="任意多边形 42"/>
                              <wps:cNvSpPr/>
                              <wps:spPr>
                                <a:xfrm>
                                  <a:off x="1574800" y="457835"/>
                                  <a:ext cx="375920" cy="325755"/>
                                </a:xfrm>
                                <a:custGeom>
                                  <a:avLst/>
                                  <a:gdLst/>
                                  <a:ahLst/>
                                  <a:cxnLst>
                                    <a:cxn ang="0">
                                      <a:pos x="0" y="325755"/>
                                    </a:cxn>
                                    <a:cxn ang="0">
                                      <a:pos x="169545" y="126365"/>
                                    </a:cxn>
                                    <a:cxn ang="0">
                                      <a:pos x="219710" y="207645"/>
                                    </a:cxn>
                                    <a:cxn ang="0">
                                      <a:pos x="375920" y="0"/>
                                    </a:cxn>
                                  </a:cxnLst>
                                  <a:pathLst>
                                    <a:path w="592" h="513">
                                      <a:moveTo>
                                        <a:pt x="0" y="513"/>
                                      </a:moveTo>
                                      <a:cubicBezTo>
                                        <a:pt x="104" y="371"/>
                                        <a:pt x="209" y="230"/>
                                        <a:pt x="267" y="199"/>
                                      </a:cubicBezTo>
                                      <a:cubicBezTo>
                                        <a:pt x="325" y="168"/>
                                        <a:pt x="292" y="360"/>
                                        <a:pt x="346" y="327"/>
                                      </a:cubicBezTo>
                                      <a:cubicBezTo>
                                        <a:pt x="400" y="294"/>
                                        <a:pt x="551" y="54"/>
                                        <a:pt x="592" y="0"/>
                                      </a:cubicBezTo>
                                    </a:path>
                                  </a:pathLst>
                                </a:custGeom>
                                <a:noFill/>
                                <a:ln w="9525" cap="flat" cmpd="sng">
                                  <a:solidFill>
                                    <a:srgbClr val="000000"/>
                                  </a:solidFill>
                                  <a:prstDash val="solid"/>
                                  <a:headEnd type="none" w="med" len="med"/>
                                  <a:tailEnd type="triangle" w="med" len="med"/>
                                </a:ln>
                              </wps:spPr>
                              <wps:bodyPr upright="1"/>
                            </wps:wsp>
                            <wps:wsp>
                              <wps:cNvPr id="122" name="矩形 43"/>
                              <wps:cNvSpPr/>
                              <wps:spPr>
                                <a:xfrm>
                                  <a:off x="673735" y="726440"/>
                                  <a:ext cx="467360" cy="327660"/>
                                </a:xfrm>
                                <a:prstGeom prst="rect">
                                  <a:avLst/>
                                </a:prstGeom>
                                <a:solidFill>
                                  <a:srgbClr val="FFFFFF">
                                    <a:alpha val="0"/>
                                  </a:srgbClr>
                                </a:solidFill>
                                <a:ln w="12700">
                                  <a:noFill/>
                                </a:ln>
                              </wps:spPr>
                              <wps:txbx>
                                <w:txbxContent>
                                  <w:p w14:paraId="489AD67D">
                                    <w:pPr>
                                      <w:adjustRightInd w:val="0"/>
                                      <w:snapToGrid w:val="0"/>
                                      <w:rPr>
                                        <w:rFonts w:hint="default" w:eastAsia="宋体"/>
                                        <w:b/>
                                        <w:szCs w:val="21"/>
                                        <w:lang w:val="en-US" w:eastAsia="zh-CN"/>
                                      </w:rPr>
                                    </w:pPr>
                                    <w:r>
                                      <w:rPr>
                                        <w:rFonts w:hint="eastAsia"/>
                                        <w:szCs w:val="21"/>
                                        <w:lang w:val="en-US" w:eastAsia="zh-CN"/>
                                      </w:rPr>
                                      <w:t>1825</w:t>
                                    </w:r>
                                  </w:p>
                                </w:txbxContent>
                              </wps:txbx>
                              <wps:bodyPr upright="1"/>
                            </wps:wsp>
                            <wps:wsp>
                              <wps:cNvPr id="123" name="直接箭头连接符 47"/>
                              <wps:cNvCnPr/>
                              <wps:spPr>
                                <a:xfrm>
                                  <a:off x="3242945" y="949960"/>
                                  <a:ext cx="846455" cy="635"/>
                                </a:xfrm>
                                <a:prstGeom prst="straightConnector1">
                                  <a:avLst/>
                                </a:prstGeom>
                                <a:ln w="9525" cap="flat" cmpd="sng">
                                  <a:solidFill>
                                    <a:srgbClr val="000000"/>
                                  </a:solidFill>
                                  <a:prstDash val="solid"/>
                                  <a:headEnd type="none" w="med" len="med"/>
                                  <a:tailEnd type="triangle" w="med" len="med"/>
                                </a:ln>
                              </wps:spPr>
                              <wps:bodyPr/>
                            </wps:wsp>
                            <wps:wsp>
                              <wps:cNvPr id="144" name="直接箭头连接符 48"/>
                              <wps:cNvCnPr/>
                              <wps:spPr>
                                <a:xfrm>
                                  <a:off x="643890" y="956310"/>
                                  <a:ext cx="10160" cy="1449705"/>
                                </a:xfrm>
                                <a:prstGeom prst="straightConnector1">
                                  <a:avLst/>
                                </a:prstGeom>
                                <a:ln w="9525" cap="flat" cmpd="sng">
                                  <a:solidFill>
                                    <a:srgbClr val="000000"/>
                                  </a:solidFill>
                                  <a:prstDash val="solid"/>
                                  <a:headEnd type="none" w="med" len="med"/>
                                  <a:tailEnd type="none" w="med" len="med"/>
                                </a:ln>
                              </wps:spPr>
                              <wps:bodyPr/>
                            </wps:wsp>
                            <wps:wsp>
                              <wps:cNvPr id="147" name="直接箭头连接符 51"/>
                              <wps:cNvCnPr/>
                              <wps:spPr>
                                <a:xfrm>
                                  <a:off x="161925" y="1502410"/>
                                  <a:ext cx="485775" cy="635"/>
                                </a:xfrm>
                                <a:prstGeom prst="straightConnector1">
                                  <a:avLst/>
                                </a:prstGeom>
                                <a:ln w="9525" cap="flat" cmpd="sng">
                                  <a:solidFill>
                                    <a:srgbClr val="000000"/>
                                  </a:solidFill>
                                  <a:prstDash val="solid"/>
                                  <a:headEnd type="none" w="med" len="med"/>
                                  <a:tailEnd type="triangle" w="med" len="med"/>
                                </a:ln>
                              </wps:spPr>
                              <wps:bodyPr/>
                            </wps:wsp>
                            <wps:wsp>
                              <wps:cNvPr id="148" name="矩形 52"/>
                              <wps:cNvSpPr/>
                              <wps:spPr>
                                <a:xfrm>
                                  <a:off x="85725" y="1289050"/>
                                  <a:ext cx="629285" cy="280035"/>
                                </a:xfrm>
                                <a:prstGeom prst="rect">
                                  <a:avLst/>
                                </a:prstGeom>
                                <a:solidFill>
                                  <a:srgbClr val="FFFFFF">
                                    <a:alpha val="0"/>
                                  </a:srgbClr>
                                </a:solidFill>
                                <a:ln w="12700">
                                  <a:noFill/>
                                </a:ln>
                              </wps:spPr>
                              <wps:txbx>
                                <w:txbxContent>
                                  <w:p w14:paraId="1F2C6B2D">
                                    <w:pPr>
                                      <w:rPr>
                                        <w:rFonts w:hint="default" w:eastAsia="宋体"/>
                                        <w:lang w:val="en-US" w:eastAsia="zh-CN"/>
                                      </w:rPr>
                                    </w:pPr>
                                    <w:r>
                                      <w:rPr>
                                        <w:rFonts w:hint="eastAsia"/>
                                        <w:szCs w:val="21"/>
                                        <w:lang w:val="en-US" w:eastAsia="zh-CN"/>
                                      </w:rPr>
                                      <w:t>13875</w:t>
                                    </w:r>
                                  </w:p>
                                </w:txbxContent>
                              </wps:txbx>
                              <wps:bodyPr upright="1"/>
                            </wps:wsp>
                            <wps:wsp>
                              <wps:cNvPr id="164" name="矩形 63"/>
                              <wps:cNvSpPr/>
                              <wps:spPr>
                                <a:xfrm>
                                  <a:off x="1226820" y="1734185"/>
                                  <a:ext cx="1066800" cy="297180"/>
                                </a:xfrm>
                                <a:prstGeom prst="rect">
                                  <a:avLst/>
                                </a:prstGeom>
                                <a:noFill/>
                                <a:ln w="6350" cap="flat" cmpd="sng">
                                  <a:solidFill>
                                    <a:srgbClr val="000000"/>
                                  </a:solidFill>
                                  <a:prstDash val="solid"/>
                                  <a:miter/>
                                  <a:headEnd type="none" w="med" len="med"/>
                                  <a:tailEnd type="none" w="med" len="med"/>
                                </a:ln>
                              </wps:spPr>
                              <wps:txbx>
                                <w:txbxContent>
                                  <w:p w14:paraId="374461ED">
                                    <w:pPr>
                                      <w:pStyle w:val="36"/>
                                      <w:spacing w:before="0" w:beforeAutospacing="0" w:after="0" w:afterAutospacing="0"/>
                                      <w:jc w:val="center"/>
                                      <w:rPr>
                                        <w:b/>
                                      </w:rPr>
                                    </w:pPr>
                                    <w:r>
                                      <w:rPr>
                                        <w:rFonts w:hint="eastAsia" w:ascii="Times New Roman"/>
                                        <w:kern w:val="2"/>
                                        <w:sz w:val="21"/>
                                        <w:szCs w:val="21"/>
                                        <w:lang w:val="en-US" w:eastAsia="zh-CN"/>
                                      </w:rPr>
                                      <w:t>冷却用水</w:t>
                                    </w:r>
                                  </w:p>
                                </w:txbxContent>
                              </wps:txbx>
                              <wps:bodyPr upright="1"/>
                            </wps:wsp>
                            <wps:wsp>
                              <wps:cNvPr id="165" name="直接箭头连接符 64"/>
                              <wps:cNvCnPr/>
                              <wps:spPr>
                                <a:xfrm>
                                  <a:off x="656590" y="1883410"/>
                                  <a:ext cx="572135" cy="1270"/>
                                </a:xfrm>
                                <a:prstGeom prst="straightConnector1">
                                  <a:avLst/>
                                </a:prstGeom>
                                <a:ln w="9525" cap="flat" cmpd="sng">
                                  <a:solidFill>
                                    <a:srgbClr val="000000"/>
                                  </a:solidFill>
                                  <a:prstDash val="solid"/>
                                  <a:headEnd type="none" w="med" len="med"/>
                                  <a:tailEnd type="triangle" w="med" len="med"/>
                                </a:ln>
                              </wps:spPr>
                              <wps:bodyPr/>
                            </wps:wsp>
                            <wps:wsp>
                              <wps:cNvPr id="166" name="矩形 65"/>
                              <wps:cNvSpPr/>
                              <wps:spPr>
                                <a:xfrm>
                                  <a:off x="666115" y="1485265"/>
                                  <a:ext cx="676275" cy="260985"/>
                                </a:xfrm>
                                <a:prstGeom prst="rect">
                                  <a:avLst/>
                                </a:prstGeom>
                                <a:solidFill>
                                  <a:srgbClr val="FFFFFF">
                                    <a:alpha val="0"/>
                                  </a:srgbClr>
                                </a:solidFill>
                                <a:ln w="12700">
                                  <a:noFill/>
                                </a:ln>
                              </wps:spPr>
                              <wps:txbx>
                                <w:txbxContent>
                                  <w:p w14:paraId="75F686DB">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12000</w:t>
                                    </w:r>
                                  </w:p>
                                </w:txbxContent>
                              </wps:txbx>
                              <wps:bodyPr upright="1"/>
                            </wps:wsp>
                            <wps:wsp>
                              <wps:cNvPr id="168" name="任意多边形 66"/>
                              <wps:cNvSpPr/>
                              <wps:spPr>
                                <a:xfrm>
                                  <a:off x="1546225" y="1486535"/>
                                  <a:ext cx="204470" cy="240030"/>
                                </a:xfrm>
                                <a:custGeom>
                                  <a:avLst/>
                                  <a:gdLst/>
                                  <a:ahLst/>
                                  <a:cxnLst>
                                    <a:cxn ang="0">
                                      <a:pos x="0" y="325755"/>
                                    </a:cxn>
                                    <a:cxn ang="0">
                                      <a:pos x="169545" y="126365"/>
                                    </a:cxn>
                                    <a:cxn ang="0">
                                      <a:pos x="219710" y="207645"/>
                                    </a:cxn>
                                    <a:cxn ang="0">
                                      <a:pos x="375920" y="0"/>
                                    </a:cxn>
                                  </a:cxnLst>
                                  <a:pathLst>
                                    <a:path w="592" h="513">
                                      <a:moveTo>
                                        <a:pt x="0" y="513"/>
                                      </a:moveTo>
                                      <a:cubicBezTo>
                                        <a:pt x="104" y="371"/>
                                        <a:pt x="209" y="230"/>
                                        <a:pt x="267" y="199"/>
                                      </a:cubicBezTo>
                                      <a:cubicBezTo>
                                        <a:pt x="325" y="168"/>
                                        <a:pt x="292" y="360"/>
                                        <a:pt x="346" y="327"/>
                                      </a:cubicBezTo>
                                      <a:cubicBezTo>
                                        <a:pt x="400" y="294"/>
                                        <a:pt x="551" y="54"/>
                                        <a:pt x="592" y="0"/>
                                      </a:cubicBezTo>
                                    </a:path>
                                  </a:pathLst>
                                </a:custGeom>
                                <a:noFill/>
                                <a:ln w="9525" cap="flat" cmpd="sng">
                                  <a:solidFill>
                                    <a:srgbClr val="000000"/>
                                  </a:solidFill>
                                  <a:prstDash val="solid"/>
                                  <a:headEnd type="none" w="med" len="med"/>
                                  <a:tailEnd type="triangle" w="med" len="med"/>
                                </a:ln>
                              </wps:spPr>
                              <wps:bodyPr upright="1"/>
                            </wps:wsp>
                            <wps:wsp>
                              <wps:cNvPr id="171" name="矩形 67"/>
                              <wps:cNvSpPr/>
                              <wps:spPr>
                                <a:xfrm>
                                  <a:off x="1346200" y="1249680"/>
                                  <a:ext cx="962025" cy="297180"/>
                                </a:xfrm>
                                <a:prstGeom prst="rect">
                                  <a:avLst/>
                                </a:prstGeom>
                                <a:solidFill>
                                  <a:srgbClr val="FFFFFF">
                                    <a:alpha val="0"/>
                                  </a:srgbClr>
                                </a:solidFill>
                                <a:ln w="12700">
                                  <a:noFill/>
                                </a:ln>
                              </wps:spPr>
                              <wps:txbx>
                                <w:txbxContent>
                                  <w:p w14:paraId="75590465">
                                    <w:pPr>
                                      <w:adjustRightInd w:val="0"/>
                                      <w:snapToGrid w:val="0"/>
                                      <w:rPr>
                                        <w:rFonts w:hint="default" w:eastAsia="宋体"/>
                                        <w:b/>
                                        <w:sz w:val="21"/>
                                        <w:szCs w:val="21"/>
                                        <w:lang w:val="en-US" w:eastAsia="zh-CN"/>
                                      </w:rPr>
                                    </w:pPr>
                                    <w:r>
                                      <w:rPr>
                                        <w:rFonts w:hint="eastAsia" w:hAnsi="宋体"/>
                                        <w:sz w:val="21"/>
                                        <w:szCs w:val="21"/>
                                        <w:lang w:val="en-US" w:eastAsia="zh-CN"/>
                                      </w:rPr>
                                      <w:t>水蒸气12000</w:t>
                                    </w:r>
                                  </w:p>
                                </w:txbxContent>
                              </wps:txbx>
                              <wps:bodyPr upright="1"/>
                            </wps:wsp>
                            <wps:wsp>
                              <wps:cNvPr id="65" name="直接箭头连接符 64"/>
                              <wps:cNvCnPr/>
                              <wps:spPr>
                                <a:xfrm>
                                  <a:off x="636905" y="2418080"/>
                                  <a:ext cx="572135" cy="1270"/>
                                </a:xfrm>
                                <a:prstGeom prst="straightConnector1">
                                  <a:avLst/>
                                </a:prstGeom>
                                <a:ln w="9525" cap="flat" cmpd="sng">
                                  <a:solidFill>
                                    <a:srgbClr val="000000"/>
                                  </a:solidFill>
                                  <a:prstDash val="solid"/>
                                  <a:headEnd type="none" w="med" len="med"/>
                                  <a:tailEnd type="triangle" w="med" len="med"/>
                                </a:ln>
                              </wps:spPr>
                              <wps:bodyPr/>
                            </wps:wsp>
                            <wps:wsp>
                              <wps:cNvPr id="66" name="矩形 63"/>
                              <wps:cNvSpPr/>
                              <wps:spPr>
                                <a:xfrm>
                                  <a:off x="1227455" y="2208530"/>
                                  <a:ext cx="1342390" cy="297180"/>
                                </a:xfrm>
                                <a:prstGeom prst="rect">
                                  <a:avLst/>
                                </a:prstGeom>
                                <a:noFill/>
                                <a:ln w="6350" cap="flat" cmpd="sng">
                                  <a:solidFill>
                                    <a:srgbClr val="000000"/>
                                  </a:solidFill>
                                  <a:prstDash val="solid"/>
                                  <a:miter/>
                                  <a:headEnd type="none" w="med" len="med"/>
                                  <a:tailEnd type="none" w="med" len="med"/>
                                </a:ln>
                              </wps:spPr>
                              <wps:txbx>
                                <w:txbxContent>
                                  <w:p w14:paraId="03639CE3">
                                    <w:pPr>
                                      <w:pStyle w:val="36"/>
                                      <w:spacing w:before="0" w:beforeAutospacing="0" w:after="0" w:afterAutospacing="0"/>
                                      <w:jc w:val="center"/>
                                      <w:rPr>
                                        <w:b/>
                                      </w:rPr>
                                    </w:pPr>
                                    <w:r>
                                      <w:rPr>
                                        <w:rFonts w:hint="eastAsia" w:ascii="Times New Roman"/>
                                        <w:kern w:val="2"/>
                                        <w:sz w:val="21"/>
                                        <w:szCs w:val="21"/>
                                        <w:lang w:val="en-US" w:eastAsia="zh-CN"/>
                                      </w:rPr>
                                      <w:t>切削液配置用水</w:t>
                                    </w:r>
                                  </w:p>
                                </w:txbxContent>
                              </wps:txbx>
                              <wps:bodyPr upright="1"/>
                            </wps:wsp>
                            <wps:wsp>
                              <wps:cNvPr id="124" name="矩形 65"/>
                              <wps:cNvSpPr/>
                              <wps:spPr>
                                <a:xfrm>
                                  <a:off x="551180" y="2141855"/>
                                  <a:ext cx="676275" cy="260985"/>
                                </a:xfrm>
                                <a:prstGeom prst="rect">
                                  <a:avLst/>
                                </a:prstGeom>
                                <a:solidFill>
                                  <a:srgbClr val="FFFFFF">
                                    <a:alpha val="0"/>
                                  </a:srgbClr>
                                </a:solidFill>
                                <a:ln w="12700">
                                  <a:noFill/>
                                </a:ln>
                              </wps:spPr>
                              <wps:txbx>
                                <w:txbxContent>
                                  <w:p w14:paraId="4FECB3A9">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50</w:t>
                                    </w:r>
                                  </w:p>
                                </w:txbxContent>
                              </wps:txbx>
                              <wps:bodyPr upright="1"/>
                            </wps:wsp>
                            <wps:wsp>
                              <wps:cNvPr id="145" name="直接箭头连接符 47"/>
                              <wps:cNvCnPr/>
                              <wps:spPr>
                                <a:xfrm flipV="1">
                                  <a:off x="2589530" y="2361565"/>
                                  <a:ext cx="657225" cy="8890"/>
                                </a:xfrm>
                                <a:prstGeom prst="straightConnector1">
                                  <a:avLst/>
                                </a:prstGeom>
                                <a:ln w="9525" cap="flat" cmpd="sng">
                                  <a:solidFill>
                                    <a:srgbClr val="000000"/>
                                  </a:solidFill>
                                  <a:prstDash val="solid"/>
                                  <a:headEnd type="none" w="med" len="med"/>
                                  <a:tailEnd type="triangle" w="med" len="med"/>
                                </a:ln>
                              </wps:spPr>
                              <wps:bodyPr/>
                            </wps:wsp>
                            <wps:wsp>
                              <wps:cNvPr id="146" name="矩形 146"/>
                              <wps:cNvSpPr/>
                              <wps:spPr>
                                <a:xfrm>
                                  <a:off x="3294380" y="2218055"/>
                                  <a:ext cx="1424305" cy="3048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0DE89">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废切削液作危废处置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 name="矩形 65"/>
                              <wps:cNvSpPr/>
                              <wps:spPr>
                                <a:xfrm>
                                  <a:off x="2618105" y="2094230"/>
                                  <a:ext cx="676275" cy="260985"/>
                                </a:xfrm>
                                <a:prstGeom prst="rect">
                                  <a:avLst/>
                                </a:prstGeom>
                                <a:solidFill>
                                  <a:srgbClr val="FFFFFF">
                                    <a:alpha val="0"/>
                                  </a:srgbClr>
                                </a:solidFill>
                                <a:ln w="12700">
                                  <a:noFill/>
                                </a:ln>
                              </wps:spPr>
                              <wps:txbx>
                                <w:txbxContent>
                                  <w:p w14:paraId="706510DD">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0.5</w:t>
                                    </w:r>
                                  </w:p>
                                </w:txbxContent>
                              </wps:txbx>
                              <wps:bodyPr upright="1"/>
                            </wps:wsp>
                            <wps:wsp>
                              <wps:cNvPr id="150" name="任意多边形 66"/>
                              <wps:cNvSpPr/>
                              <wps:spPr>
                                <a:xfrm>
                                  <a:off x="2370455" y="1989455"/>
                                  <a:ext cx="204470" cy="240030"/>
                                </a:xfrm>
                                <a:custGeom>
                                  <a:avLst/>
                                  <a:gdLst/>
                                  <a:ahLst/>
                                  <a:cxnLst>
                                    <a:cxn ang="0">
                                      <a:pos x="0" y="325755"/>
                                    </a:cxn>
                                    <a:cxn ang="0">
                                      <a:pos x="169545" y="126365"/>
                                    </a:cxn>
                                    <a:cxn ang="0">
                                      <a:pos x="219710" y="207645"/>
                                    </a:cxn>
                                    <a:cxn ang="0">
                                      <a:pos x="375920" y="0"/>
                                    </a:cxn>
                                  </a:cxnLst>
                                  <a:pathLst>
                                    <a:path w="592" h="513">
                                      <a:moveTo>
                                        <a:pt x="0" y="513"/>
                                      </a:moveTo>
                                      <a:cubicBezTo>
                                        <a:pt x="104" y="371"/>
                                        <a:pt x="209" y="230"/>
                                        <a:pt x="267" y="199"/>
                                      </a:cubicBezTo>
                                      <a:cubicBezTo>
                                        <a:pt x="325" y="168"/>
                                        <a:pt x="292" y="360"/>
                                        <a:pt x="346" y="327"/>
                                      </a:cubicBezTo>
                                      <a:cubicBezTo>
                                        <a:pt x="400" y="294"/>
                                        <a:pt x="551" y="54"/>
                                        <a:pt x="592" y="0"/>
                                      </a:cubicBezTo>
                                    </a:path>
                                  </a:pathLst>
                                </a:custGeom>
                                <a:noFill/>
                                <a:ln w="9525" cap="flat" cmpd="sng">
                                  <a:solidFill>
                                    <a:srgbClr val="000000"/>
                                  </a:solidFill>
                                  <a:prstDash val="solid"/>
                                  <a:headEnd type="none" w="med" len="med"/>
                                  <a:tailEnd type="triangle" w="med" len="med"/>
                                </a:ln>
                              </wps:spPr>
                              <wps:bodyPr upright="1"/>
                            </wps:wsp>
                            <wps:wsp>
                              <wps:cNvPr id="151" name="矩形 65"/>
                              <wps:cNvSpPr/>
                              <wps:spPr>
                                <a:xfrm>
                                  <a:off x="2427605" y="1865630"/>
                                  <a:ext cx="676275" cy="260985"/>
                                </a:xfrm>
                                <a:prstGeom prst="rect">
                                  <a:avLst/>
                                </a:prstGeom>
                                <a:solidFill>
                                  <a:srgbClr val="FFFFFF">
                                    <a:alpha val="0"/>
                                  </a:srgbClr>
                                </a:solidFill>
                                <a:ln w="12700">
                                  <a:noFill/>
                                </a:ln>
                              </wps:spPr>
                              <wps:txbx>
                                <w:txbxContent>
                                  <w:p w14:paraId="30420094">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49.5</w:t>
                                    </w:r>
                                  </w:p>
                                </w:txbxContent>
                              </wps:txbx>
                              <wps:bodyPr upright="1"/>
                            </wps:wsp>
                            <wps:wsp>
                              <wps:cNvPr id="6" name="矩形 63"/>
                              <wps:cNvSpPr/>
                              <wps:spPr>
                                <a:xfrm>
                                  <a:off x="1141730" y="2901950"/>
                                  <a:ext cx="923290" cy="297180"/>
                                </a:xfrm>
                                <a:prstGeom prst="rect">
                                  <a:avLst/>
                                </a:prstGeom>
                                <a:noFill/>
                                <a:ln w="6350" cap="flat" cmpd="sng">
                                  <a:solidFill>
                                    <a:srgbClr val="000000"/>
                                  </a:solidFill>
                                  <a:prstDash val="solid"/>
                                  <a:miter/>
                                  <a:headEnd type="none" w="med" len="med"/>
                                  <a:tailEnd type="none" w="med" len="med"/>
                                </a:ln>
                              </wps:spPr>
                              <wps:txbx>
                                <w:txbxContent>
                                  <w:p w14:paraId="20684C28">
                                    <w:pPr>
                                      <w:pStyle w:val="36"/>
                                      <w:spacing w:before="0" w:beforeAutospacing="0" w:after="0" w:afterAutospacing="0"/>
                                      <w:jc w:val="center"/>
                                      <w:rPr>
                                        <w:b/>
                                      </w:rPr>
                                    </w:pPr>
                                    <w:r>
                                      <w:rPr>
                                        <w:rFonts w:hint="eastAsia" w:ascii="Times New Roman"/>
                                        <w:kern w:val="2"/>
                                        <w:sz w:val="21"/>
                                        <w:szCs w:val="21"/>
                                        <w:lang w:val="en-US" w:eastAsia="zh-CN"/>
                                      </w:rPr>
                                      <w:t>初期雨水</w:t>
                                    </w:r>
                                  </w:p>
                                </w:txbxContent>
                              </wps:txbx>
                              <wps:bodyPr upright="1"/>
                            </wps:wsp>
                            <wps:wsp>
                              <wps:cNvPr id="7" name="直接箭头连接符 64"/>
                              <wps:cNvCnPr/>
                              <wps:spPr>
                                <a:xfrm>
                                  <a:off x="579755" y="3056255"/>
                                  <a:ext cx="572135" cy="1270"/>
                                </a:xfrm>
                                <a:prstGeom prst="straightConnector1">
                                  <a:avLst/>
                                </a:prstGeom>
                                <a:ln w="9525" cap="flat" cmpd="sng">
                                  <a:solidFill>
                                    <a:srgbClr val="000000"/>
                                  </a:solidFill>
                                  <a:prstDash val="solid"/>
                                  <a:headEnd type="none" w="med" len="med"/>
                                  <a:tailEnd type="triangle" w="med" len="med"/>
                                </a:ln>
                              </wps:spPr>
                              <wps:bodyPr/>
                            </wps:wsp>
                            <wps:wsp>
                              <wps:cNvPr id="8" name="矩形 65"/>
                              <wps:cNvSpPr/>
                              <wps:spPr>
                                <a:xfrm>
                                  <a:off x="484505" y="2656840"/>
                                  <a:ext cx="676275" cy="279400"/>
                                </a:xfrm>
                                <a:prstGeom prst="rect">
                                  <a:avLst/>
                                </a:prstGeom>
                                <a:solidFill>
                                  <a:srgbClr val="FFFFFF">
                                    <a:alpha val="0"/>
                                  </a:srgbClr>
                                </a:solidFill>
                                <a:ln w="12700">
                                  <a:noFill/>
                                </a:ln>
                              </wps:spPr>
                              <wps:txbx>
                                <w:txbxContent>
                                  <w:p w14:paraId="5A35F8E1">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709</w:t>
                                    </w:r>
                                  </w:p>
                                </w:txbxContent>
                              </wps:txbx>
                              <wps:bodyPr upright="1"/>
                            </wps:wsp>
                            <wps:wsp>
                              <wps:cNvPr id="9" name="直接箭头连接符 64"/>
                              <wps:cNvCnPr/>
                              <wps:spPr>
                                <a:xfrm flipV="1">
                                  <a:off x="2075180" y="3074035"/>
                                  <a:ext cx="716280" cy="1270"/>
                                </a:xfrm>
                                <a:prstGeom prst="straightConnector1">
                                  <a:avLst/>
                                </a:prstGeom>
                                <a:ln w="9525" cap="flat" cmpd="sng">
                                  <a:solidFill>
                                    <a:srgbClr val="000000"/>
                                  </a:solidFill>
                                  <a:prstDash val="solid"/>
                                  <a:headEnd type="none" w="med" len="med"/>
                                  <a:tailEnd type="triangle" w="med" len="med"/>
                                </a:ln>
                              </wps:spPr>
                              <wps:bodyPr/>
                            </wps:wsp>
                            <wps:wsp>
                              <wps:cNvPr id="10" name="矩形 65"/>
                              <wps:cNvSpPr/>
                              <wps:spPr>
                                <a:xfrm>
                                  <a:off x="2094230" y="2732405"/>
                                  <a:ext cx="676275" cy="279400"/>
                                </a:xfrm>
                                <a:prstGeom prst="rect">
                                  <a:avLst/>
                                </a:prstGeom>
                                <a:solidFill>
                                  <a:srgbClr val="FFFFFF">
                                    <a:alpha val="0"/>
                                  </a:srgbClr>
                                </a:solidFill>
                                <a:ln w="12700">
                                  <a:noFill/>
                                </a:ln>
                              </wps:spPr>
                              <wps:txbx>
                                <w:txbxContent>
                                  <w:p w14:paraId="764B90B3">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709</w:t>
                                    </w:r>
                                  </w:p>
                                </w:txbxContent>
                              </wps:txbx>
                              <wps:bodyPr upright="1"/>
                            </wps:wsp>
                            <wps:wsp>
                              <wps:cNvPr id="11" name="矩形 63"/>
                              <wps:cNvSpPr/>
                              <wps:spPr>
                                <a:xfrm>
                                  <a:off x="2808605" y="2961005"/>
                                  <a:ext cx="1151890" cy="297180"/>
                                </a:xfrm>
                                <a:prstGeom prst="rect">
                                  <a:avLst/>
                                </a:prstGeom>
                                <a:noFill/>
                                <a:ln w="6350" cap="flat" cmpd="sng">
                                  <a:solidFill>
                                    <a:srgbClr val="000000"/>
                                  </a:solidFill>
                                  <a:prstDash val="solid"/>
                                  <a:miter/>
                                  <a:headEnd type="none" w="med" len="med"/>
                                  <a:tailEnd type="none" w="med" len="med"/>
                                </a:ln>
                              </wps:spPr>
                              <wps:txbx>
                                <w:txbxContent>
                                  <w:p w14:paraId="55080BC3">
                                    <w:pPr>
                                      <w:pStyle w:val="36"/>
                                      <w:spacing w:before="0" w:beforeAutospacing="0" w:after="0" w:afterAutospacing="0"/>
                                      <w:jc w:val="center"/>
                                      <w:rPr>
                                        <w:b/>
                                      </w:rPr>
                                    </w:pPr>
                                    <w:r>
                                      <w:rPr>
                                        <w:rFonts w:hint="eastAsia" w:ascii="Times New Roman"/>
                                        <w:kern w:val="2"/>
                                        <w:sz w:val="21"/>
                                        <w:szCs w:val="21"/>
                                        <w:lang w:val="en-US" w:eastAsia="zh-CN"/>
                                      </w:rPr>
                                      <w:t>初期雨水收集池</w:t>
                                    </w:r>
                                  </w:p>
                                </w:txbxContent>
                              </wps:txbx>
                              <wps:bodyPr upright="1"/>
                            </wps:wsp>
                            <wps:wsp>
                              <wps:cNvPr id="12" name="肘形连接符 12"/>
                              <wps:cNvCnPr>
                                <a:stCxn id="11" idx="3"/>
                                <a:endCxn id="116" idx="2"/>
                              </wps:cNvCnPr>
                              <wps:spPr>
                                <a:xfrm flipV="1">
                                  <a:off x="3960495" y="1177290"/>
                                  <a:ext cx="725805" cy="1932305"/>
                                </a:xfrm>
                                <a:prstGeom prst="bentConnector2">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3" name="矩形 65"/>
                              <wps:cNvSpPr/>
                              <wps:spPr>
                                <a:xfrm>
                                  <a:off x="3932555" y="2846705"/>
                                  <a:ext cx="676275" cy="279400"/>
                                </a:xfrm>
                                <a:prstGeom prst="rect">
                                  <a:avLst/>
                                </a:prstGeom>
                                <a:solidFill>
                                  <a:srgbClr val="FFFFFF">
                                    <a:alpha val="0"/>
                                  </a:srgbClr>
                                </a:solidFill>
                                <a:ln w="12700">
                                  <a:noFill/>
                                </a:ln>
                              </wps:spPr>
                              <wps:txbx>
                                <w:txbxContent>
                                  <w:p w14:paraId="0009EB11">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709</w:t>
                                    </w:r>
                                  </w:p>
                                </w:txbxContent>
                              </wps:txbx>
                              <wps:bodyPr upright="1"/>
                            </wps:wsp>
                          </wpc:wpc>
                        </a:graphicData>
                      </a:graphic>
                    </wp:inline>
                  </w:drawing>
                </mc:Choice>
                <mc:Fallback>
                  <w:pict>
                    <v:group id="_x0000_s1026" o:spid="_x0000_s1026" o:spt="203" style="height:263.1pt;width:415.75pt;" coordsize="5280025,3341370" editas="canvas" o:gfxdata="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ZBPIR1wAAAAUBAAAPAAAAAAAA&#10;AAEAIAAAACIAAABkcnMvZG93bnJldi54bWxQSwECFAAUAAAACACHTuJAU88Gp4kKAACkUAAADgAA&#10;AAAAAAABACAAAAAmAQAAZHJzL2Uyb0RvYy54bWxQSwUGAAAAAAYABgBZAQAAIQ4AAAAA&#10;">
                      <o:lock v:ext="edit" aspectratio="f"/>
                      <v:shape id="_x0000_s1026" o:spid="_x0000_s1026" style="position:absolute;left:0;top:0;height:3341370;width:5280025;" filled="f" stroked="f" coordsize="21600,21600" o:gfxdata="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CcDMVV1wAAAAUB&#10;AAAPAAAAAAAAAAEAIAAAACIAAABkcnMvZG93bnJldi54bWxQSwECFAAUAAAACACHTuJAAWpic8oI&#10;AADKPwAADgAAAAAAAAABACAAAAAmAQAAZHJzL2Uyb0RvYy54bWxQSwUGAAAAAAYABgBZAQAAYgwA&#10;AAAA&#10;">
                        <v:fill on="f" focussize="0,0"/>
                        <v:stroke on="f"/>
                        <v:imagedata o:title=""/>
                        <o:lock v:ext="edit" aspectratio="t"/>
                      </v:shape>
                      <v:rect id="矩形 32" o:spid="_x0000_s1026" o:spt="1" style="position:absolute;left:1972945;top:705485;height:297180;width:600075;"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WvFw9UAAAAFAQAADwAAAAAAAAABACAA&#10;AAAiAAAAZHJzL2Rvd25yZXYueG1sUEsBAhQAFAAAAAgAh07iQM7QuivXAQAAngMAAA4AAAAAAAAA&#10;AQAgAAAAJAEAAGRycy9lMm9Eb2MueG1sUEsFBgAAAAAGAAYAWQEAAG0FAAAAAA==&#10;">
                        <v:fill on="t" opacity="0f" focussize="0,0"/>
                        <v:stroke on="f" weight="1pt"/>
                        <v:imagedata o:title=""/>
                        <o:lock v:ext="edit" aspectratio="f"/>
                        <v:textbox>
                          <w:txbxContent>
                            <w:p w14:paraId="44FD0733">
                              <w:pPr>
                                <w:adjustRightInd w:val="0"/>
                                <w:snapToGrid w:val="0"/>
                                <w:ind w:firstLine="105" w:firstLineChars="50"/>
                                <w:rPr>
                                  <w:rFonts w:hint="default" w:eastAsia="宋体"/>
                                  <w:b/>
                                  <w:szCs w:val="21"/>
                                  <w:lang w:val="en-US" w:eastAsia="zh-CN"/>
                                </w:rPr>
                              </w:pPr>
                              <w:r>
                                <w:rPr>
                                  <w:rFonts w:hint="eastAsia"/>
                                  <w:szCs w:val="21"/>
                                  <w:lang w:val="en-US" w:eastAsia="zh-CN"/>
                                </w:rPr>
                                <w:t>1460</w:t>
                              </w:r>
                            </w:p>
                          </w:txbxContent>
                        </v:textbox>
                      </v:rect>
                      <v:rect id="矩形 34" o:spid="_x0000_s1026" o:spt="1" style="position:absolute;left:1217295;top:793115;height:301625;width:733425;" filled="f" stroked="t" coordsize="21600,21600" o:gfxdata="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B+VibUAAAABQEAAA8AAAAAAAAAAQAgAAAAIgAAAGRycy9k&#10;b3ducmV2LnhtbFBLAQIUABQAAAAIAIdO4kCgJYT3BgIAAA0EAAAOAAAAAAAAAAEAIAAAACMBAABk&#10;cnMvZTJvRG9jLnhtbFBLBQYAAAAABgAGAFkBAACbBQAAAAA=&#10;">
                        <v:fill on="f" focussize="0,0"/>
                        <v:stroke color="#000000" joinstyle="miter"/>
                        <v:imagedata o:title=""/>
                        <o:lock v:ext="edit" aspectratio="f"/>
                        <v:textbox>
                          <w:txbxContent>
                            <w:p w14:paraId="20D4EB10">
                              <w:pPr>
                                <w:adjustRightInd w:val="0"/>
                                <w:snapToGrid w:val="0"/>
                                <w:rPr>
                                  <w:b/>
                                  <w:szCs w:val="21"/>
                                </w:rPr>
                              </w:pPr>
                              <w:r>
                                <w:rPr>
                                  <w:rFonts w:hint="eastAsia" w:hAnsi="宋体"/>
                                  <w:szCs w:val="21"/>
                                </w:rPr>
                                <w:t>生活用水</w:t>
                              </w:r>
                            </w:p>
                          </w:txbxContent>
                        </v:textbox>
                      </v:rect>
                      <v:rect id="矩形 35" o:spid="_x0000_s1026" o:spt="1" style="position:absolute;left:1555750;top:173355;height:297180;width:800100;"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VrxcPVAAAABQEAAA8AAAAAAAAAAQAgAAAA&#10;IgAAAGRycy9kb3ducmV2LnhtbFBLAQIUABQAAAAIAIdO4kAz3LIA1QEAAJ4DAAAOAAAAAAAAAAEA&#10;IAAAACQBAABkcnMvZTJvRG9jLnhtbFBLBQYAAAAABgAGAFkBAABrBQAAAAA=&#10;">
                        <v:fill on="t" opacity="0f" focussize="0,0"/>
                        <v:stroke on="f" weight="1pt"/>
                        <v:imagedata o:title=""/>
                        <o:lock v:ext="edit" aspectratio="f"/>
                        <v:textbox>
                          <w:txbxContent>
                            <w:p w14:paraId="79FD86E8">
                              <w:pPr>
                                <w:adjustRightInd w:val="0"/>
                                <w:snapToGrid w:val="0"/>
                                <w:rPr>
                                  <w:rFonts w:hint="default" w:eastAsia="宋体"/>
                                  <w:b/>
                                  <w:szCs w:val="21"/>
                                  <w:lang w:val="en-US" w:eastAsia="zh-CN"/>
                                </w:rPr>
                              </w:pPr>
                              <w:r>
                                <w:rPr>
                                  <w:rFonts w:hint="eastAsia" w:hAnsi="宋体"/>
                                  <w:szCs w:val="21"/>
                                </w:rPr>
                                <w:t>损耗</w:t>
                              </w:r>
                              <w:r>
                                <w:rPr>
                                  <w:rFonts w:hint="eastAsia" w:hAnsi="宋体"/>
                                  <w:szCs w:val="21"/>
                                  <w:lang w:val="en-US" w:eastAsia="zh-CN"/>
                                </w:rPr>
                                <w:t>365</w:t>
                              </w:r>
                            </w:p>
                          </w:txbxContent>
                        </v:textbox>
                      </v:rect>
                      <v:line id="直接连接符 36" o:spid="_x0000_s1026" o:spt="20" style="position:absolute;left:1960245;top:958850;height:635;width:633095;" filled="f" stroked="t" coordsize="21600,21600" o:gfxdata="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&#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XxYStcAAAAFAQAADwAAAAAAAAABACAAAAAiAAAA&#10;ZHJzL2Rvd25yZXYueG1sUEsBAhQAFAAAAAgAh07iQM6dE8EIAgAA9wMAAA4AAAAAAAAAAQAgAAAA&#10;JgEAAGRycy9lMm9Eb2MueG1sUEsFBgAAAAAGAAYAWQEAAKAFAAAAAA==&#10;">
                        <v:fill on="f" focussize="0,0"/>
                        <v:stroke color="#000000" joinstyle="round" endarrow="block"/>
                        <v:imagedata o:title=""/>
                        <o:lock v:ext="edit" aspectratio="f"/>
                      </v:line>
                      <v:rect id="矩形 37" o:spid="_x0000_s1026" o:spt="1" style="position:absolute;left:4111625;top:737870;height:439420;width:1148715;" filled="f" stroked="f" coordsize="21600,21600" o:gfxdata="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DMVV&#10;1wAAAAUBAAAPAAAAAAAAAAEAIAAAACIAAABkcnMvZG93bnJldi54bWxQSwECFAAUAAAACACHTuJA&#10;Y8gWXrABAABPAwAADgAAAAAAAAABACAAAAAmAQAAZHJzL2Uyb0RvYy54bWxQSwUGAAAAAAYABgBZ&#10;AQAASAUAAAAA&#10;">
                        <v:fill on="f" focussize="0,0"/>
                        <v:stroke on="f"/>
                        <v:imagedata o:title=""/>
                        <o:lock v:ext="edit" aspectratio="f"/>
                        <v:textbox>
                          <w:txbxContent>
                            <w:p w14:paraId="213E9B7C">
                              <w:pPr>
                                <w:rPr>
                                  <w:b/>
                                  <w:szCs w:val="21"/>
                                </w:rPr>
                              </w:pPr>
                              <w:r>
                                <w:rPr>
                                  <w:rFonts w:hint="eastAsia" w:ascii="Times New Roman" w:hAnsi="Times New Roman" w:cs="Times New Roman"/>
                                  <w:color w:val="auto"/>
                                  <w:sz w:val="21"/>
                                  <w:szCs w:val="21"/>
                                  <w:lang w:eastAsia="zh-CN"/>
                                </w:rPr>
                                <w:t>海门经济技术开发区污水处理厂</w:t>
                              </w:r>
                            </w:p>
                          </w:txbxContent>
                        </v:textbox>
                      </v:rect>
                      <v:rect id="矩形 39" o:spid="_x0000_s1026" o:spt="1" style="position:absolute;left:2595245;top:802640;height:297180;width:638175;" filled="f" stroked="t" coordsize="21600,21600" o:gfxdata="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Hqj/TAAAABQEAAA8AAAAAAAAAAQAgAAAAIgAAAGRy&#10;cy9kb3ducmV2LnhtbFBLAQIUABQAAAAIAIdO4kD+sVFECgIAAA0EAAAOAAAAAAAAAAEAIAAAACIB&#10;AABkcnMvZTJvRG9jLnhtbFBLBQYAAAAABgAGAFkBAACeBQAAAAA=&#10;">
                        <v:fill on="f" focussize="0,0"/>
                        <v:stroke weight="0.5pt" color="#000000" joinstyle="miter"/>
                        <v:imagedata o:title=""/>
                        <o:lock v:ext="edit" aspectratio="f"/>
                        <v:textbox>
                          <w:txbxContent>
                            <w:p w14:paraId="047A1E00">
                              <w:pPr>
                                <w:adjustRightInd w:val="0"/>
                                <w:snapToGrid w:val="0"/>
                                <w:rPr>
                                  <w:b/>
                                  <w:szCs w:val="21"/>
                                </w:rPr>
                              </w:pPr>
                              <w:r>
                                <w:rPr>
                                  <w:rFonts w:hint="eastAsia"/>
                                  <w:szCs w:val="21"/>
                                </w:rPr>
                                <w:t>化粪池</w:t>
                              </w:r>
                            </w:p>
                          </w:txbxContent>
                        </v:textbox>
                      </v:rect>
                      <v:shape id="直接箭头连接符 40" o:spid="_x0000_s1026" o:spt="32" type="#_x0000_t32" style="position:absolute;left:647700;top:958215;height:635;width:581025;" filled="f" stroked="t" coordsize="21600,21600" o:gfxdata="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xAiMNcAAAAFAQAADwAAAAAAAAAB&#10;ACAAAAAiAAAAZHJzL2Rvd25yZXYueG1sUEsBAhQAFAAAAAgAh07iQJMqAc8RAgAA/gMAAA4AAAAA&#10;AAAAAQAgAAAAJgEAAGRycy9lMm9Eb2MueG1sUEsFBgAAAAAGAAYAWQEAAKkFAAAAAA==&#10;">
                        <v:fill on="f" focussize="0,0"/>
                        <v:stroke color="#000000" joinstyle="round" endarrow="block"/>
                        <v:imagedata o:title=""/>
                        <o:lock v:ext="edit" aspectratio="f"/>
                      </v:shape>
                      <v:rect id="矩形 41" o:spid="_x0000_s1026" o:spt="1" style="position:absolute;left:3290570;top:652145;height:297180;width:690880;"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a8XD1QAAAAUBAAAPAAAAAAAAAAEAIAAAACIA&#10;AABkcnMvZG93bnJldi54bWxQSwECFAAUAAAACACHTuJAbPeRjtMBAACeAwAADgAAAAAAAAABACAA&#10;AAAkAQAAZHJzL2Uyb0RvYy54bWxQSwUGAAAAAAYABgBZAQAAaQUAAAAA&#10;">
                        <v:fill on="t" opacity="0f" focussize="0,0"/>
                        <v:stroke on="f" weight="1pt"/>
                        <v:imagedata o:title=""/>
                        <o:lock v:ext="edit" aspectratio="f"/>
                        <v:textbox>
                          <w:txbxContent>
                            <w:p w14:paraId="20A86EB8">
                              <w:pPr>
                                <w:adjustRightInd w:val="0"/>
                                <w:snapToGrid w:val="0"/>
                                <w:ind w:firstLine="105" w:firstLineChars="50"/>
                                <w:rPr>
                                  <w:rFonts w:hint="default" w:eastAsia="宋体"/>
                                  <w:b/>
                                  <w:szCs w:val="21"/>
                                  <w:lang w:val="en-US" w:eastAsia="zh-CN"/>
                                </w:rPr>
                              </w:pPr>
                              <w:r>
                                <w:rPr>
                                  <w:rFonts w:hint="eastAsia"/>
                                  <w:szCs w:val="21"/>
                                  <w:lang w:val="en-US" w:eastAsia="zh-CN"/>
                                </w:rPr>
                                <w:t>1460</w:t>
                              </w:r>
                            </w:p>
                          </w:txbxContent>
                        </v:textbox>
                      </v:rect>
                      <v:shape id="任意多边形 42" o:spid="_x0000_s1026" o:spt="100" style="position:absolute;left:1574800;top:457835;height:325755;width:375920;" filled="f" stroked="t" coordsize="592,513" o:gfxdata="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A6g5rP1wAAAAUBAAAPAAAAAAAAAAEAIAAAACIAAABkcnMvZG93bnJldi54bWxQSwEC&#10;FAAUAAAACACHTuJAw3m90dkCAABxBgAADgAAAAAAAAABACAAAAAmAQAAZHJzL2Uyb0RvYy54bWxQ&#10;SwUGAAAAAAYABgBZAQAAcQYAAAAA&#10;" path="m0,513c104,371,209,230,267,199c325,168,292,360,346,327c400,294,551,54,592,0e">
                        <v:path o:connectlocs="0,325755;169545,126365;219710,207645;375920,0" o:connectangles="0,0,0,0"/>
                        <v:fill on="f" focussize="0,0"/>
                        <v:stroke color="#000000" joinstyle="round" endarrow="block"/>
                        <v:imagedata o:title=""/>
                        <o:lock v:ext="edit" aspectratio="f"/>
                      </v:shape>
                      <v:rect id="矩形 43" o:spid="_x0000_s1026" o:spt="1" style="position:absolute;left:673735;top:726440;height:327660;width:467360;"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a8XD1QAAAAUBAAAPAAAAAAAAAAEAIAAAACIA&#10;AABkcnMvZG93bnJldi54bWxQSwECFAAUAAAACACHTuJAkjVbvdMBAACdAwAADgAAAAAAAAABACAA&#10;AAAkAQAAZHJzL2Uyb0RvYy54bWxQSwUGAAAAAAYABgBZAQAAaQUAAAAA&#10;">
                        <v:fill on="t" opacity="0f" focussize="0,0"/>
                        <v:stroke on="f" weight="1pt"/>
                        <v:imagedata o:title=""/>
                        <o:lock v:ext="edit" aspectratio="f"/>
                        <v:textbox>
                          <w:txbxContent>
                            <w:p w14:paraId="489AD67D">
                              <w:pPr>
                                <w:adjustRightInd w:val="0"/>
                                <w:snapToGrid w:val="0"/>
                                <w:rPr>
                                  <w:rFonts w:hint="default" w:eastAsia="宋体"/>
                                  <w:b/>
                                  <w:szCs w:val="21"/>
                                  <w:lang w:val="en-US" w:eastAsia="zh-CN"/>
                                </w:rPr>
                              </w:pPr>
                              <w:r>
                                <w:rPr>
                                  <w:rFonts w:hint="eastAsia"/>
                                  <w:szCs w:val="21"/>
                                  <w:lang w:val="en-US" w:eastAsia="zh-CN"/>
                                </w:rPr>
                                <w:t>1825</w:t>
                              </w:r>
                            </w:p>
                          </w:txbxContent>
                        </v:textbox>
                      </v:rect>
                      <v:shape id="直接箭头连接符 47" o:spid="_x0000_s1026" o:spt="32" type="#_x0000_t32" style="position:absolute;left:3242945;top:949960;height:635;width:846455;" filled="f" stroked="t" coordsize="21600,21600" o:gfxdata="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sQIjDXAAAABQEAAA8AAAAAAAAA&#10;AQAgAAAAIgAAAGRycy9kb3ducmV2LnhtbFBLAQIUABQAAAAIAIdO4kB1495FEgIAAP8DAAAOAAAA&#10;AAAAAAEAIAAAACYBAABkcnMvZTJvRG9jLnhtbFBLBQYAAAAABgAGAFkBAACqBQAAAAA=&#10;">
                        <v:fill on="f" focussize="0,0"/>
                        <v:stroke color="#000000" joinstyle="round" endarrow="block"/>
                        <v:imagedata o:title=""/>
                        <o:lock v:ext="edit" aspectratio="f"/>
                      </v:shape>
                      <v:shape id="直接箭头连接符 48" o:spid="_x0000_s1026" o:spt="32" type="#_x0000_t32" style="position:absolute;left:643890;top:956310;height:1449705;width:10160;" filled="f" stroked="t" coordsize="21600,21600" o:gfxdata="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9RI/NYAAAAFAQAADwAAAAAAAAABACAAAAAi&#10;AAAAZHJzL2Rvd25yZXYueG1sUEsBAhQAFAAAAAgAh07iQH9Or0kMAgAA/QMAAA4AAAAAAAAAAQAg&#10;AAAAJQEAAGRycy9lMm9Eb2MueG1sUEsFBgAAAAAGAAYAWQEAAKMFAAAAAA==&#10;">
                        <v:fill on="f" focussize="0,0"/>
                        <v:stroke color="#000000" joinstyle="round"/>
                        <v:imagedata o:title=""/>
                        <o:lock v:ext="edit" aspectratio="f"/>
                      </v:shape>
                      <v:shape id="直接箭头连接符 51" o:spid="_x0000_s1026" o:spt="32" type="#_x0000_t32" style="position:absolute;left:161925;top:1502410;height:635;width:485775;" filled="f" stroked="t" coordsize="21600,21600" o:gfxdata="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xAiMNcAAAAFAQAADwAAAAAAAAAB&#10;ACAAAAAiAAAAZHJzL2Rvd25yZXYueG1sUEsBAhQAFAAAAAgAh07iQMTcKTgRAgAA/wMAAA4AAAAA&#10;AAAAAQAgAAAAJgEAAGRycy9lMm9Eb2MueG1sUEsFBgAAAAAGAAYAWQEAAKkFAAAAAA==&#10;">
                        <v:fill on="f" focussize="0,0"/>
                        <v:stroke color="#000000" joinstyle="round" endarrow="block"/>
                        <v:imagedata o:title=""/>
                        <o:lock v:ext="edit" aspectratio="f"/>
                      </v:shape>
                      <v:rect id="矩形 52" o:spid="_x0000_s1026" o:spt="1" style="position:absolute;left:85725;top:1289050;height:280035;width:629285;"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WvFw9UAAAAFAQAADwAAAAAAAAABACAAAAAi&#10;AAAAZHJzL2Rvd25yZXYueG1sUEsBAhQAFAAAAAgAh07iQIQv4JPUAQAAnQMAAA4AAAAAAAAAAQAg&#10;AAAAJAEAAGRycy9lMm9Eb2MueG1sUEsFBgAAAAAGAAYAWQEAAGoFAAAAAA==&#10;">
                        <v:fill on="t" opacity="0f" focussize="0,0"/>
                        <v:stroke on="f" weight="1pt"/>
                        <v:imagedata o:title=""/>
                        <o:lock v:ext="edit" aspectratio="f"/>
                        <v:textbox>
                          <w:txbxContent>
                            <w:p w14:paraId="1F2C6B2D">
                              <w:pPr>
                                <w:rPr>
                                  <w:rFonts w:hint="default" w:eastAsia="宋体"/>
                                  <w:lang w:val="en-US" w:eastAsia="zh-CN"/>
                                </w:rPr>
                              </w:pPr>
                              <w:r>
                                <w:rPr>
                                  <w:rFonts w:hint="eastAsia"/>
                                  <w:szCs w:val="21"/>
                                  <w:lang w:val="en-US" w:eastAsia="zh-CN"/>
                                </w:rPr>
                                <w:t>13875</w:t>
                              </w:r>
                            </w:p>
                          </w:txbxContent>
                        </v:textbox>
                      </v:rect>
                      <v:rect id="矩形 63" o:spid="_x0000_s1026" o:spt="1" style="position:absolute;left:1226820;top:1734185;height:297180;width:1066800;" filled="f" stroked="t" coordsize="21600,21600" o:gfxdata="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Hqj/TAAAABQEAAA8AAAAAAAAAAQAgAAAAIgAAAGRy&#10;cy9kb3ducmV2LnhtbFBLAQIUABQAAAAIAIdO4kDwbmnHCgIAAA8EAAAOAAAAAAAAAAEAIAAAACIB&#10;AABkcnMvZTJvRG9jLnhtbFBLBQYAAAAABgAGAFkBAACeBQAAAAA=&#10;">
                        <v:fill on="f" focussize="0,0"/>
                        <v:stroke weight="0.5pt" color="#000000" joinstyle="miter"/>
                        <v:imagedata o:title=""/>
                        <o:lock v:ext="edit" aspectratio="f"/>
                        <v:textbox>
                          <w:txbxContent>
                            <w:p w14:paraId="374461ED">
                              <w:pPr>
                                <w:pStyle w:val="36"/>
                                <w:spacing w:before="0" w:beforeAutospacing="0" w:after="0" w:afterAutospacing="0"/>
                                <w:jc w:val="center"/>
                                <w:rPr>
                                  <w:b/>
                                </w:rPr>
                              </w:pPr>
                              <w:r>
                                <w:rPr>
                                  <w:rFonts w:hint="eastAsia" w:ascii="Times New Roman"/>
                                  <w:kern w:val="2"/>
                                  <w:sz w:val="21"/>
                                  <w:szCs w:val="21"/>
                                  <w:lang w:val="en-US" w:eastAsia="zh-CN"/>
                                </w:rPr>
                                <w:t>冷却用水</w:t>
                              </w:r>
                            </w:p>
                          </w:txbxContent>
                        </v:textbox>
                      </v:rect>
                      <v:shape id="直接箭头连接符 64" o:spid="_x0000_s1026" o:spt="32" type="#_x0000_t32" style="position:absolute;left:656590;top:1883410;height:1270;width:572135;" filled="f" stroked="t" coordsize="21600,21600" o:gfxdata="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QIjDXAAAABQEAAA8AAAAA&#10;AAAAAQAgAAAAIgAAAGRycy9kb3ducmV2LnhtbFBLAQIUABQAAAAIAIdO4kAQHd0ZFQIAAAAEAAAO&#10;AAAAAAAAAAEAIAAAACYBAABkcnMvZTJvRG9jLnhtbFBLBQYAAAAABgAGAFkBAACtBQAAAAA=&#10;">
                        <v:fill on="f" focussize="0,0"/>
                        <v:stroke color="#000000" joinstyle="round" endarrow="block"/>
                        <v:imagedata o:title=""/>
                        <o:lock v:ext="edit" aspectratio="f"/>
                      </v:shape>
                      <v:rect id="矩形 65" o:spid="_x0000_s1026" o:spt="1" style="position:absolute;left:666115;top:1485265;height:260985;width:676275;"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a8XD1QAAAAUBAAAPAAAAAAAAAAEAIAAA&#10;ACIAAABkcnMvZG93bnJldi54bWxQSwECFAAUAAAACACHTuJAvrO4C9YBAACeAwAADgAAAAAAAAAB&#10;ACAAAAAkAQAAZHJzL2Uyb0RvYy54bWxQSwUGAAAAAAYABgBZAQAAbAUAAAAA&#10;">
                        <v:fill on="t" opacity="0f" focussize="0,0"/>
                        <v:stroke on="f" weight="1pt"/>
                        <v:imagedata o:title=""/>
                        <o:lock v:ext="edit" aspectratio="f"/>
                        <v:textbox>
                          <w:txbxContent>
                            <w:p w14:paraId="75F686DB">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12000</w:t>
                              </w:r>
                            </w:p>
                          </w:txbxContent>
                        </v:textbox>
                      </v:rect>
                      <v:shape id="任意多边形 66" o:spid="_x0000_s1026" o:spt="100" style="position:absolute;left:1546225;top:1486535;height:240030;width:204470;" filled="f" stroked="t" coordsize="592,513" o:gfxdata="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DqDms/XAAAABQEAAA8AAAAAAAAAAQAgAAAAIgAAAGRycy9kb3ducmV2&#10;LnhtbFBLAQIUABQAAAAIAIdO4kDQR1ZG4QIAAHIGAAAOAAAAAAAAAAEAIAAAACYBAABkcnMvZTJv&#10;RG9jLnhtbFBLBQYAAAAABgAGAFkBAAB5BgAAAAA=&#10;" path="m0,513c104,371,209,230,267,199c325,168,292,360,346,327c400,294,551,54,592,0e">
                        <v:path o:connectlocs="0,325755;169545,126365;219710,207645;375920,0" o:connectangles="0,0,0,0"/>
                        <v:fill on="f" focussize="0,0"/>
                        <v:stroke color="#000000" joinstyle="round" endarrow="block"/>
                        <v:imagedata o:title=""/>
                        <o:lock v:ext="edit" aspectratio="f"/>
                      </v:shape>
                      <v:rect id="矩形 67" o:spid="_x0000_s1026" o:spt="1" style="position:absolute;left:1346200;top:1249680;height:297180;width:962025;"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VrxcPVAAAABQEAAA8AAAAAAAAAAQAgAAAA&#10;IgAAAGRycy9kb3ducmV2LnhtbFBLAQIUABQAAAAIAIdO4kAOOJHd1QEAAJ8DAAAOAAAAAAAAAAEA&#10;IAAAACQBAABkcnMvZTJvRG9jLnhtbFBLBQYAAAAABgAGAFkBAABrBQAAAAA=&#10;">
                        <v:fill on="t" opacity="0f" focussize="0,0"/>
                        <v:stroke on="f" weight="1pt"/>
                        <v:imagedata o:title=""/>
                        <o:lock v:ext="edit" aspectratio="f"/>
                        <v:textbox>
                          <w:txbxContent>
                            <w:p w14:paraId="75590465">
                              <w:pPr>
                                <w:adjustRightInd w:val="0"/>
                                <w:snapToGrid w:val="0"/>
                                <w:rPr>
                                  <w:rFonts w:hint="default" w:eastAsia="宋体"/>
                                  <w:b/>
                                  <w:sz w:val="21"/>
                                  <w:szCs w:val="21"/>
                                  <w:lang w:val="en-US" w:eastAsia="zh-CN"/>
                                </w:rPr>
                              </w:pPr>
                              <w:r>
                                <w:rPr>
                                  <w:rFonts w:hint="eastAsia" w:hAnsi="宋体"/>
                                  <w:sz w:val="21"/>
                                  <w:szCs w:val="21"/>
                                  <w:lang w:val="en-US" w:eastAsia="zh-CN"/>
                                </w:rPr>
                                <w:t>水蒸气12000</w:t>
                              </w:r>
                            </w:p>
                          </w:txbxContent>
                        </v:textbox>
                      </v:rect>
                      <v:shape id="直接箭头连接符 64" o:spid="_x0000_s1026" o:spt="32" type="#_x0000_t32" style="position:absolute;left:636905;top:2418080;height:1270;width:572135;" filled="f" stroked="t" coordsize="21600,21600" o:gfxdata="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xAiMNcAAAAFAQAADwAAAAAA&#10;AAABACAAAAAiAAAAZHJzL2Rvd25yZXYueG1sUEsBAhQAFAAAAAgAh07iQIEEjDUUAgAA/wMAAA4A&#10;AAAAAAAAAQAgAAAAJgEAAGRycy9lMm9Eb2MueG1sUEsFBgAAAAAGAAYAWQEAAKwFAAAAAA==&#10;">
                        <v:fill on="f" focussize="0,0"/>
                        <v:stroke color="#000000" joinstyle="round" endarrow="block"/>
                        <v:imagedata o:title=""/>
                        <o:lock v:ext="edit" aspectratio="f"/>
                      </v:shape>
                      <v:rect id="矩形 63" o:spid="_x0000_s1026" o:spt="1" style="position:absolute;left:1227455;top:2208530;height:297180;width:1342390;" filled="f" stroked="t" coordsize="21600,21600" o:gfxdata="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&#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Hqj/TAAAABQEAAA8AAAAAAAAAAQAgAAAAIgAAAGRy&#10;cy9kb3ducmV2LnhtbFBLAQIUABQAAAAIAIdO4kBJT7wzCgIAAA4EAAAOAAAAAAAAAAEAIAAAACIB&#10;AABkcnMvZTJvRG9jLnhtbFBLBQYAAAAABgAGAFkBAACeBQAAAAA=&#10;">
                        <v:fill on="f" focussize="0,0"/>
                        <v:stroke weight="0.5pt" color="#000000" joinstyle="miter"/>
                        <v:imagedata o:title=""/>
                        <o:lock v:ext="edit" aspectratio="f"/>
                        <v:textbox>
                          <w:txbxContent>
                            <w:p w14:paraId="03639CE3">
                              <w:pPr>
                                <w:pStyle w:val="36"/>
                                <w:spacing w:before="0" w:beforeAutospacing="0" w:after="0" w:afterAutospacing="0"/>
                                <w:jc w:val="center"/>
                                <w:rPr>
                                  <w:b/>
                                </w:rPr>
                              </w:pPr>
                              <w:r>
                                <w:rPr>
                                  <w:rFonts w:hint="eastAsia" w:ascii="Times New Roman"/>
                                  <w:kern w:val="2"/>
                                  <w:sz w:val="21"/>
                                  <w:szCs w:val="21"/>
                                  <w:lang w:val="en-US" w:eastAsia="zh-CN"/>
                                </w:rPr>
                                <w:t>切削液配置用水</w:t>
                              </w:r>
                            </w:p>
                          </w:txbxContent>
                        </v:textbox>
                      </v:rect>
                      <v:rect id="矩形 65" o:spid="_x0000_s1026" o:spt="1" style="position:absolute;left:551180;top:2141855;height:260985;width:676275;"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WvFw9UAAAAFAQAADwAAAAAAAAABACAA&#10;AAAiAAAAZHJzL2Rvd25yZXYueG1sUEsBAhQAFAAAAAgAh07iQMsOJv3XAQAAngMAAA4AAAAAAAAA&#10;AQAgAAAAJAEAAGRycy9lMm9Eb2MueG1sUEsFBgAAAAAGAAYAWQEAAG0FAAAAAA==&#10;">
                        <v:fill on="t" opacity="0f" focussize="0,0"/>
                        <v:stroke on="f" weight="1pt"/>
                        <v:imagedata o:title=""/>
                        <o:lock v:ext="edit" aspectratio="f"/>
                        <v:textbox>
                          <w:txbxContent>
                            <w:p w14:paraId="4FECB3A9">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50</w:t>
                              </w:r>
                            </w:p>
                          </w:txbxContent>
                        </v:textbox>
                      </v:rect>
                      <v:shape id="直接箭头连接符 47" o:spid="_x0000_s1026" o:spt="32" type="#_x0000_t32" style="position:absolute;left:2589530;top:2361565;flip:y;height:8890;width:657225;" filled="f" stroked="t" coordsize="21600,21600" o:gfxdata="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4wKTtYAAAAF&#10;AQAADwAAAAAAAAABACAAAAAiAAAAZHJzL2Rvd25yZXYueG1sUEsBAhQAFAAAAAgAh07iQBqrg0Ye&#10;AgAACwQAAA4AAAAAAAAAAQAgAAAAJQEAAGRycy9lMm9Eb2MueG1sUEsFBgAAAAAGAAYAWQEAALUF&#10;AAAAAA==&#10;">
                        <v:fill on="f" focussize="0,0"/>
                        <v:stroke color="#000000" joinstyle="round" endarrow="block"/>
                        <v:imagedata o:title=""/>
                        <o:lock v:ext="edit" aspectratio="f"/>
                      </v:shape>
                      <v:rect id="_x0000_s1026" o:spid="_x0000_s1026" o:spt="1" style="position:absolute;left:3294380;top:2218055;height:304800;width:1424305;v-text-anchor:middle;" filled="f" stroked="f" coordsize="21600,21600" o:gfxdata="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CroBzUAAAABQEAAA8AAAAAAAAAAQAgAAAAIgAAAGRycy9kb3ducmV2LnhtbFBLAQIUABQAAAAI&#10;AIdO4kBovQZjYwIAAKYEAAAOAAAAAAAAAAEAIAAAACMBAABkcnMvZTJvRG9jLnhtbFBLBQYAAAAA&#10;BgAGAFkBAAD4BQAAAAA=&#10;">
                        <v:fill on="f" focussize="0,0"/>
                        <v:stroke on="f" weight="1pt"/>
                        <v:imagedata o:title=""/>
                        <o:lock v:ext="edit" aspectratio="f"/>
                        <v:textbox>
                          <w:txbxContent>
                            <w:p w14:paraId="3450DE89">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废切削液作危废处置</w:t>
                              </w:r>
                            </w:p>
                          </w:txbxContent>
                        </v:textbox>
                      </v:rect>
                      <v:rect id="矩形 65" o:spid="_x0000_s1026" o:spt="1" style="position:absolute;left:2618105;top:2094230;height:260985;width:676275;"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WvFw9UAAAAFAQAADwAAAAAAAAABACAA&#10;AAAiAAAAZHJzL2Rvd25yZXYueG1sUEsBAhQAFAAAAAgAh07iQHUYeETXAQAAnwMAAA4AAAAAAAAA&#10;AQAgAAAAJAEAAGRycy9lMm9Eb2MueG1sUEsFBgAAAAAGAAYAWQEAAG0FAAAAAA==&#10;">
                        <v:fill on="t" opacity="0f" focussize="0,0"/>
                        <v:stroke on="f" weight="1pt"/>
                        <v:imagedata o:title=""/>
                        <o:lock v:ext="edit" aspectratio="f"/>
                        <v:textbox>
                          <w:txbxContent>
                            <w:p w14:paraId="706510DD">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0.5</w:t>
                              </w:r>
                            </w:p>
                          </w:txbxContent>
                        </v:textbox>
                      </v:rect>
                      <v:shape id="任意多边形 66" o:spid="_x0000_s1026" o:spt="100" style="position:absolute;left:2370455;top:1989455;height:240030;width:204470;" filled="f" stroked="t" coordsize="592,513" o:gfxdata="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6g5rP1wAAAAUBAAAPAAAAAAAAAAEAIAAAACIAAABkcnMvZG93bnJldi54&#10;bWxQSwECFAAUAAAACACHTuJARigSot8CAAByBgAADgAAAAAAAAABACAAAAAmAQAAZHJzL2Uyb0Rv&#10;Yy54bWxQSwUGAAAAAAYABgBZAQAAdwYAAAAA&#10;" path="m0,513c104,371,209,230,267,199c325,168,292,360,346,327c400,294,551,54,592,0e">
                        <v:path o:connectlocs="0,325755;169545,126365;219710,207645;375920,0" o:connectangles="0,0,0,0"/>
                        <v:fill on="f" focussize="0,0"/>
                        <v:stroke color="#000000" joinstyle="round" endarrow="block"/>
                        <v:imagedata o:title=""/>
                        <o:lock v:ext="edit" aspectratio="f"/>
                      </v:shape>
                      <v:rect id="矩形 65" o:spid="_x0000_s1026" o:spt="1" style="position:absolute;left:2427605;top:1865630;height:260985;width:676275;" fillcolor="#FFFFFF" filled="t" stroked="f" coordsize="21600,21600" o:gfxdata="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VrxcPVAAAABQEAAA8AAAAAAAAAAQAg&#10;AAAAIgAAAGRycy9kb3ducmV2LnhtbFBLAQIUABQAAAAIAIdO4kAn4rJn2AEAAJ8DAAAOAAAAAAAA&#10;AAEAIAAAACQBAABkcnMvZTJvRG9jLnhtbFBLBQYAAAAABgAGAFkBAABuBQAAAAA=&#10;">
                        <v:fill on="t" opacity="0f" focussize="0,0"/>
                        <v:stroke on="f" weight="1pt"/>
                        <v:imagedata o:title=""/>
                        <o:lock v:ext="edit" aspectratio="f"/>
                        <v:textbox>
                          <w:txbxContent>
                            <w:p w14:paraId="30420094">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49.5</w:t>
                              </w:r>
                            </w:p>
                          </w:txbxContent>
                        </v:textbox>
                      </v:rect>
                      <v:rect id="矩形 63" o:spid="_x0000_s1026" o:spt="1" style="position:absolute;left:1141730;top:2901950;height:297180;width:923290;" filled="f" stroked="t" coordsize="21600,21600" o:gfxdata="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MPnXvTAAAABQEAAA8AAAAAAAAAAQAgAAAAIgAAAGRycy9k&#10;b3ducmV2LnhtbFBLAQIUABQAAAAIAIdO4kC6bEX9BwIAAAwEAAAOAAAAAAAAAAEAIAAAACIBAABk&#10;cnMvZTJvRG9jLnhtbFBLBQYAAAAABgAGAFkBAACbBQAAAAA=&#10;">
                        <v:fill on="f" focussize="0,0"/>
                        <v:stroke weight="0.5pt" color="#000000" joinstyle="miter"/>
                        <v:imagedata o:title=""/>
                        <o:lock v:ext="edit" aspectratio="f"/>
                        <v:textbox>
                          <w:txbxContent>
                            <w:p w14:paraId="20684C28">
                              <w:pPr>
                                <w:pStyle w:val="36"/>
                                <w:spacing w:before="0" w:beforeAutospacing="0" w:after="0" w:afterAutospacing="0"/>
                                <w:jc w:val="center"/>
                                <w:rPr>
                                  <w:b/>
                                </w:rPr>
                              </w:pPr>
                              <w:r>
                                <w:rPr>
                                  <w:rFonts w:hint="eastAsia" w:ascii="Times New Roman"/>
                                  <w:kern w:val="2"/>
                                  <w:sz w:val="21"/>
                                  <w:szCs w:val="21"/>
                                  <w:lang w:val="en-US" w:eastAsia="zh-CN"/>
                                </w:rPr>
                                <w:t>初期雨水</w:t>
                              </w:r>
                            </w:p>
                          </w:txbxContent>
                        </v:textbox>
                      </v:rect>
                      <v:shape id="直接箭头连接符 64" o:spid="_x0000_s1026" o:spt="32" type="#_x0000_t32" style="position:absolute;left:579755;top:3056255;height:1270;width:572135;" filled="f" stroked="t" coordsize="21600,21600" o:gfxdata="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hgVdNYAAAAFAQAADwAAAAAAAAAB&#10;ACAAAAAiAAAAZHJzL2Rvd25yZXYueG1sUEsBAhQAFAAAAAgAh07iQD2JDeMSAgAA/gMAAA4AAAAA&#10;AAAAAQAgAAAAJQEAAGRycy9lMm9Eb2MueG1sUEsFBgAAAAAGAAYAWQEAAKkFAAAAAA==&#10;">
                        <v:fill on="f" focussize="0,0"/>
                        <v:stroke color="#000000" joinstyle="round" endarrow="block"/>
                        <v:imagedata o:title=""/>
                        <o:lock v:ext="edit" aspectratio="f"/>
                      </v:shape>
                      <v:rect id="矩形 65" o:spid="_x0000_s1026" o:spt="1" style="position:absolute;left:484505;top:2656840;height:279400;width:676275;" fillcolor="#FFFFFF" filled="t" stroked="f" coordsize="21600,21600" o:gfxdata="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Bj8ofWAAAABQEAAA8AAAAAAAAAAQAgAAAA&#10;IgAAAGRycy9kb3ducmV2LnhtbFBLAQIUABQAAAAIAIdO4kCgawVw1AEAAJwDAAAOAAAAAAAAAAEA&#10;IAAAACUBAABkcnMvZTJvRG9jLnhtbFBLBQYAAAAABgAGAFkBAABrBQAAAAA=&#10;">
                        <v:fill on="t" opacity="0f" focussize="0,0"/>
                        <v:stroke on="f" weight="1pt"/>
                        <v:imagedata o:title=""/>
                        <o:lock v:ext="edit" aspectratio="f"/>
                        <v:textbox>
                          <w:txbxContent>
                            <w:p w14:paraId="5A35F8E1">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709</w:t>
                              </w:r>
                            </w:p>
                          </w:txbxContent>
                        </v:textbox>
                      </v:rect>
                      <v:shape id="直接箭头连接符 64" o:spid="_x0000_s1026" o:spt="32" type="#_x0000_t32" style="position:absolute;left:2075180;top:3074035;flip:y;height:1270;width:716280;" filled="f" stroked="t" coordsize="21600,21600" o:gfxdata="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hD0K1gAAAAUB&#10;AAAPAAAAAAAAAAEAIAAAACIAAABkcnMvZG93bnJldi54bWxQSwECFAAUAAAACACHTuJAKGHTBh0C&#10;AAAJBAAADgAAAAAAAAABACAAAAAlAQAAZHJzL2Uyb0RvYy54bWxQSwUGAAAAAAYABgBZAQAAtAUA&#10;AAAA&#10;">
                        <v:fill on="f" focussize="0,0"/>
                        <v:stroke color="#000000" joinstyle="round" endarrow="block"/>
                        <v:imagedata o:title=""/>
                        <o:lock v:ext="edit" aspectratio="f"/>
                      </v:shape>
                      <v:rect id="矩形 65" o:spid="_x0000_s1026" o:spt="1" style="position:absolute;left:2094230;top:2732405;height:279400;width:676275;" fillcolor="#FFFFFF" filled="t" stroked="f" coordsize="21600,21600" o:gfxdata="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QY/KH1gAAAAUBAAAPAAAAAAAAAAEAIAAA&#10;ACIAAABkcnMvZG93bnJldi54bWxQSwECFAAUAAAACACHTuJAomD529UBAACeAwAADgAAAAAAAAAB&#10;ACAAAAAlAQAAZHJzL2Uyb0RvYy54bWxQSwUGAAAAAAYABgBZAQAAbAUAAAAA&#10;">
                        <v:fill on="t" opacity="0f" focussize="0,0"/>
                        <v:stroke on="f" weight="1pt"/>
                        <v:imagedata o:title=""/>
                        <o:lock v:ext="edit" aspectratio="f"/>
                        <v:textbox>
                          <w:txbxContent>
                            <w:p w14:paraId="764B90B3">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709</w:t>
                              </w:r>
                            </w:p>
                          </w:txbxContent>
                        </v:textbox>
                      </v:rect>
                      <v:rect id="矩形 63" o:spid="_x0000_s1026" o:spt="1" style="position:absolute;left:2808605;top:2961005;height:297180;width:1151890;" filled="f" stroked="t" coordsize="21600,21600" o:gfxdata="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D5170wAAAAUBAAAPAAAAAAAAAAEAIAAAACIAAABkcnMv&#10;ZG93bnJldi54bWxQSwECFAAUAAAACACHTuJA3rSYyggCAAAOBAAADgAAAAAAAAABACAAAAAiAQAA&#10;ZHJzL2Uyb0RvYy54bWxQSwUGAAAAAAYABgBZAQAAnAUAAAAA&#10;">
                        <v:fill on="f" focussize="0,0"/>
                        <v:stroke weight="0.5pt" color="#000000" joinstyle="miter"/>
                        <v:imagedata o:title=""/>
                        <o:lock v:ext="edit" aspectratio="f"/>
                        <v:textbox>
                          <w:txbxContent>
                            <w:p w14:paraId="55080BC3">
                              <w:pPr>
                                <w:pStyle w:val="36"/>
                                <w:spacing w:before="0" w:beforeAutospacing="0" w:after="0" w:afterAutospacing="0"/>
                                <w:jc w:val="center"/>
                                <w:rPr>
                                  <w:b/>
                                </w:rPr>
                              </w:pPr>
                              <w:r>
                                <w:rPr>
                                  <w:rFonts w:hint="eastAsia" w:ascii="Times New Roman"/>
                                  <w:kern w:val="2"/>
                                  <w:sz w:val="21"/>
                                  <w:szCs w:val="21"/>
                                  <w:lang w:val="en-US" w:eastAsia="zh-CN"/>
                                </w:rPr>
                                <w:t>初期雨水收集池</w:t>
                              </w:r>
                            </w:p>
                          </w:txbxContent>
                        </v:textbox>
                      </v:rect>
                      <v:shape id="_x0000_s1026" o:spid="_x0000_s1026" o:spt="33" type="#_x0000_t33" style="position:absolute;left:3960495;top:1177290;flip:y;height:1932305;width:725805;" filled="f" stroked="t" coordsize="21600,21600" o:gfxdata="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cprUjXAAAABQEAAA8AAAAAAAAAAQAgAAAAIgAAAGRycy9kb3du&#10;cmV2LnhtbFBLAQIUABQAAAAIAIdO4kD+NmzFOQIAAEoEAAAOAAAAAAAAAAEAIAAAACYBAABkcnMv&#10;ZTJvRG9jLnhtbFBLBQYAAAAABgAGAFkBAADRBQAAAAA=&#10;">
                        <v:fill on="f" focussize="0,0"/>
                        <v:stroke color="#000000 [3213]" joinstyle="round" endarrow="block"/>
                        <v:imagedata o:title=""/>
                        <o:lock v:ext="edit" aspectratio="f"/>
                      </v:shape>
                      <v:rect id="矩形 65" o:spid="_x0000_s1026" o:spt="1" style="position:absolute;left:3932555;top:2846705;height:279400;width:676275;" fillcolor="#FFFFFF" filled="t" stroked="f" coordsize="21600,21600" o:gfxdata="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QY/KH1gAAAAUBAAAPAAAAAAAAAAEA&#10;IAAAACIAAABkcnMvZG93bnJldi54bWxQSwECFAAUAAAACACHTuJAG0PM2dgBAACeAwAADgAAAAAA&#10;AAABACAAAAAlAQAAZHJzL2Uyb0RvYy54bWxQSwUGAAAAAAYABgBZAQAAbwUAAAAA&#10;">
                        <v:fill on="t" opacity="0f" focussize="0,0"/>
                        <v:stroke on="f" weight="1pt"/>
                        <v:imagedata o:title=""/>
                        <o:lock v:ext="edit" aspectratio="f"/>
                        <v:textbox>
                          <w:txbxContent>
                            <w:p w14:paraId="0009EB11">
                              <w:pPr>
                                <w:pStyle w:val="36"/>
                                <w:spacing w:before="0" w:beforeAutospacing="0" w:after="0" w:afterAutospacing="0"/>
                                <w:jc w:val="center"/>
                                <w:rPr>
                                  <w:rFonts w:hint="default" w:eastAsia="宋体"/>
                                  <w:b/>
                                  <w:lang w:val="en-US" w:eastAsia="zh-CN"/>
                                </w:rPr>
                              </w:pPr>
                              <w:r>
                                <w:rPr>
                                  <w:rFonts w:hint="eastAsia" w:ascii="Times New Roman" w:hAnsi="Times New Roman"/>
                                  <w:kern w:val="2"/>
                                  <w:sz w:val="21"/>
                                  <w:szCs w:val="21"/>
                                  <w:lang w:val="en-US" w:eastAsia="zh-CN"/>
                                </w:rPr>
                                <w:t>709</w:t>
                              </w:r>
                            </w:p>
                          </w:txbxContent>
                        </v:textbox>
                      </v:rect>
                      <w10:wrap type="none"/>
                      <w10:anchorlock/>
                    </v:group>
                  </w:pict>
                </mc:Fallback>
              </mc:AlternateContent>
            </w:r>
          </w:p>
          <w:p w14:paraId="6FAF7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default"/>
                <w:color w:val="auto"/>
                <w:lang w:val="en-US"/>
              </w:rPr>
            </w:pPr>
            <w:r>
              <w:rPr>
                <w:rFonts w:hint="default" w:ascii="Times New Roman" w:hAnsi="Times New Roman" w:cs="Times New Roman"/>
                <w:b/>
                <w:bCs/>
                <w:color w:val="auto"/>
                <w:sz w:val="21"/>
                <w:szCs w:val="21"/>
              </w:rPr>
              <mc:AlternateContent>
                <mc:Choice Requires="wps">
                  <w:drawing>
                    <wp:anchor distT="0" distB="0" distL="114300" distR="114300" simplePos="0" relativeHeight="251667456" behindDoc="0" locked="0" layoutInCell="1" allowOverlap="1">
                      <wp:simplePos x="0" y="0"/>
                      <wp:positionH relativeFrom="column">
                        <wp:posOffset>2032635</wp:posOffset>
                      </wp:positionH>
                      <wp:positionV relativeFrom="paragraph">
                        <wp:posOffset>-40255825</wp:posOffset>
                      </wp:positionV>
                      <wp:extent cx="607060" cy="0"/>
                      <wp:effectExtent l="0" t="38100" r="2540" b="38100"/>
                      <wp:wrapNone/>
                      <wp:docPr id="211" name="自选图形 78"/>
                      <wp:cNvGraphicFramePr/>
                      <a:graphic xmlns:a="http://schemas.openxmlformats.org/drawingml/2006/main">
                        <a:graphicData uri="http://schemas.microsoft.com/office/word/2010/wordprocessingShape">
                          <wps:wsp>
                            <wps:cNvCnPr/>
                            <wps:spPr>
                              <a:xfrm>
                                <a:off x="0" y="0"/>
                                <a:ext cx="6070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8" o:spid="_x0000_s1026" o:spt="32" type="#_x0000_t32" style="position:absolute;left:0pt;margin-left:160.05pt;margin-top:-3169.75pt;height:0pt;width:47.8pt;z-index:251667456;mso-width-relative:page;mso-height-relative:page;" filled="f" stroked="t" coordsize="21600,21600" o:gfxdata="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U3yp2wAAAA8BAAAPAAAAAAAAAAEAIAAAACIAAABkcnMvZG93&#10;bnJldi54bWxQSwECFAAUAAAACACHTuJA4zebT/0BAADpAwAADgAAAAAAAAABACAAAAAqAQAAZHJz&#10;L2Uyb0RvYy54bWxQSwUGAAAAAAYABgBZAQAAmQUAAAAA&#10;">
                      <v:fill on="f" focussize="0,0"/>
                      <v:stroke color="#000000" joinstyle="round" endarrow="block"/>
                      <v:imagedata o:title=""/>
                      <o:lock v:ext="edit" aspectratio="f"/>
                    </v:shape>
                  </w:pict>
                </mc:Fallback>
              </mc:AlternateContent>
            </w:r>
            <w:r>
              <w:rPr>
                <w:rFonts w:hint="default" w:ascii="Times New Roman" w:hAnsi="Times New Roman" w:cs="Times New Roman"/>
                <w:b/>
                <w:bCs/>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2032635</wp:posOffset>
                      </wp:positionH>
                      <wp:positionV relativeFrom="paragraph">
                        <wp:posOffset>-40255825</wp:posOffset>
                      </wp:positionV>
                      <wp:extent cx="407670" cy="0"/>
                      <wp:effectExtent l="0" t="38100" r="11430" b="38100"/>
                      <wp:wrapNone/>
                      <wp:docPr id="212" name="自选图形 846"/>
                      <wp:cNvGraphicFramePr/>
                      <a:graphic xmlns:a="http://schemas.openxmlformats.org/drawingml/2006/main">
                        <a:graphicData uri="http://schemas.microsoft.com/office/word/2010/wordprocessingShape">
                          <wps:wsp>
                            <wps:cNvCnPr/>
                            <wps:spPr>
                              <a:xfrm>
                                <a:off x="0" y="0"/>
                                <a:ext cx="4076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46" o:spid="_x0000_s1026" o:spt="32" type="#_x0000_t32" style="position:absolute;left:0pt;margin-left:160.05pt;margin-top:-3169.75pt;height:0pt;width:32.1pt;z-index:251666432;mso-width-relative:page;mso-height-relative:page;" filled="f" stroked="t" coordsize="21600,21600" o:gfxdata="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n0C8TbAAAADwEAAA8AAAAAAAAAAQAgAAAAIgAAAGRycy9k&#10;b3ducmV2LnhtbFBLAQIUABQAAAAIAIdO4kAO3Haf/wEAAOoDAAAOAAAAAAAAAAEAIAAAACoBAABk&#10;cnMvZTJvRG9jLnhtbFBLBQYAAAAABgAGAFkBAACbBQAAAAA=&#10;">
                      <v:fill on="f" focussize="0,0"/>
                      <v:stroke color="#000000" joinstyle="round" endarrow="block"/>
                      <v:imagedata o:title=""/>
                      <o:lock v:ext="edit" aspectratio="f"/>
                    </v:shape>
                  </w:pict>
                </mc:Fallback>
              </mc:AlternateContent>
            </w:r>
            <w:r>
              <w:rPr>
                <w:rFonts w:hint="default" w:ascii="Times New Roman" w:hAnsi="Times New Roman" w:cs="Times New Roman"/>
                <w:b/>
                <w:color w:val="auto"/>
                <w:sz w:val="21"/>
                <w:szCs w:val="21"/>
              </w:rPr>
              <w:t>图2-1  本项目水平衡图    单位:t/a</w:t>
            </w:r>
          </w:p>
        </w:tc>
      </w:tr>
      <w:tr w14:paraId="21BA8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65" w:hRule="atLeast"/>
          <w:jc w:val="center"/>
        </w:trPr>
        <w:tc>
          <w:tcPr>
            <w:tcW w:w="412" w:type="dxa"/>
            <w:tcBorders>
              <w:top w:val="single" w:color="000000" w:sz="12" w:space="0"/>
            </w:tcBorders>
            <w:noWrap w:val="0"/>
            <w:vAlign w:val="center"/>
          </w:tcPr>
          <w:p w14:paraId="60278A89">
            <w:pPr>
              <w:pStyle w:val="36"/>
              <w:adjustRightInd w:val="0"/>
              <w:snapToGrid w:val="0"/>
              <w:spacing w:before="0" w:beforeAutospacing="0" w:after="0" w:afterAutospacing="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工艺流程和产排污环节</w:t>
            </w:r>
          </w:p>
        </w:tc>
        <w:tc>
          <w:tcPr>
            <w:tcW w:w="8490" w:type="dxa"/>
            <w:tcBorders>
              <w:top w:val="single" w:color="000000" w:sz="12" w:space="0"/>
            </w:tcBorders>
            <w:noWrap w:val="0"/>
            <w:vAlign w:val="top"/>
          </w:tcPr>
          <w:p w14:paraId="0926BC45">
            <w:pPr>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1、生产工艺流程</w:t>
            </w:r>
          </w:p>
          <w:p w14:paraId="12244064">
            <w:pPr>
              <w:numPr>
                <w:ilvl w:val="0"/>
                <w:numId w:val="0"/>
              </w:numPr>
              <w:spacing w:line="360" w:lineRule="auto"/>
              <w:ind w:firstLine="420" w:firstLineChars="200"/>
              <w:rPr>
                <w:rFonts w:hint="eastAsia"/>
                <w:b w:val="0"/>
                <w:bCs w:val="0"/>
                <w:color w:val="auto"/>
                <w:sz w:val="21"/>
                <w:szCs w:val="21"/>
                <w:lang w:val="en-US" w:eastAsia="zh-CN"/>
              </w:rPr>
            </w:pPr>
            <w:r>
              <w:rPr>
                <w:rFonts w:hint="eastAsia"/>
                <w:b w:val="0"/>
                <w:bCs w:val="0"/>
                <w:color w:val="auto"/>
                <w:sz w:val="21"/>
                <w:szCs w:val="21"/>
                <w:lang w:val="en-US" w:eastAsia="zh-CN"/>
              </w:rPr>
              <w:t>本项目锻造为自由锻、模型锻和环锻。</w:t>
            </w:r>
          </w:p>
          <w:p w14:paraId="33EDC404">
            <w:pPr>
              <w:numPr>
                <w:ilvl w:val="0"/>
                <w:numId w:val="0"/>
              </w:numPr>
              <w:spacing w:line="360" w:lineRule="auto"/>
              <w:ind w:firstLine="420" w:firstLineChars="200"/>
              <w:rPr>
                <w:rFonts w:hint="eastAsia"/>
                <w:b w:val="0"/>
                <w:bCs w:val="0"/>
                <w:color w:val="auto"/>
                <w:sz w:val="21"/>
                <w:szCs w:val="21"/>
                <w:lang w:val="en-US" w:eastAsia="zh-CN"/>
              </w:rPr>
            </w:pPr>
            <w:r>
              <w:rPr>
                <w:rFonts w:hint="eastAsia"/>
                <w:b w:val="0"/>
                <w:bCs w:val="0"/>
                <w:color w:val="auto"/>
                <w:sz w:val="21"/>
                <w:szCs w:val="21"/>
                <w:lang w:val="en-US" w:eastAsia="zh-CN"/>
              </w:rPr>
              <w:t>自由锻是将金属坯料放在铁毡上承受冲击或压力而成形的加工方法。</w:t>
            </w:r>
          </w:p>
          <w:p w14:paraId="72AB358D">
            <w:pPr>
              <w:numPr>
                <w:ilvl w:val="0"/>
                <w:numId w:val="0"/>
              </w:numPr>
              <w:spacing w:line="360" w:lineRule="auto"/>
              <w:ind w:firstLine="420" w:firstLineChars="200"/>
              <w:rPr>
                <w:rFonts w:hint="eastAsia"/>
                <w:b w:val="0"/>
                <w:bCs w:val="0"/>
                <w:color w:val="auto"/>
                <w:sz w:val="21"/>
                <w:szCs w:val="21"/>
                <w:lang w:val="en-US" w:eastAsia="zh-CN"/>
              </w:rPr>
            </w:pPr>
            <w:r>
              <w:rPr>
                <w:rFonts w:hint="eastAsia"/>
                <w:b w:val="0"/>
                <w:bCs w:val="0"/>
                <w:color w:val="auto"/>
                <w:sz w:val="21"/>
                <w:szCs w:val="21"/>
                <w:lang w:val="en-US" w:eastAsia="zh-CN"/>
              </w:rPr>
              <w:t>模型锻是将金属坯料放在模锻的模膛内，承受冲击或压力而成形的加工方法。</w:t>
            </w:r>
          </w:p>
          <w:p w14:paraId="1258099A">
            <w:pPr>
              <w:numPr>
                <w:ilvl w:val="0"/>
                <w:numId w:val="0"/>
              </w:numPr>
              <w:spacing w:line="360" w:lineRule="auto"/>
              <w:ind w:firstLine="420" w:firstLineChars="200"/>
              <w:rPr>
                <w:rFonts w:hint="eastAsia"/>
                <w:b w:val="0"/>
                <w:bCs w:val="0"/>
                <w:color w:val="auto"/>
                <w:sz w:val="21"/>
                <w:szCs w:val="21"/>
                <w:lang w:val="en-US" w:eastAsia="zh-CN"/>
              </w:rPr>
            </w:pPr>
            <w:r>
              <w:rPr>
                <w:rFonts w:hint="eastAsia"/>
                <w:b w:val="0"/>
                <w:bCs w:val="0"/>
                <w:color w:val="auto"/>
                <w:sz w:val="21"/>
                <w:szCs w:val="21"/>
                <w:lang w:val="en-US" w:eastAsia="zh-CN"/>
              </w:rPr>
              <w:t>环锻是一种在环形设备及工具的作用下，使坯料或铸锭产生塑性变形，以获得一定环形尺寸的锻造加工方法。 这种加工方法利用环形设备及工具对金属坯料进行塑性变形，从而制造出具有特定环形尺寸的锻件。</w:t>
            </w:r>
          </w:p>
          <w:p w14:paraId="6F0B463F">
            <w:pPr>
              <w:numPr>
                <w:ilvl w:val="0"/>
                <w:numId w:val="0"/>
              </w:numPr>
              <w:spacing w:line="360" w:lineRule="auto"/>
              <w:ind w:firstLine="422" w:firstLineChars="200"/>
              <w:rPr>
                <w:rFonts w:hint="eastAsia"/>
                <w:b w:val="0"/>
                <w:bCs w:val="0"/>
                <w:color w:val="auto"/>
                <w:sz w:val="21"/>
                <w:szCs w:val="21"/>
                <w:lang w:val="en-US" w:eastAsia="zh-CN"/>
              </w:rPr>
            </w:pPr>
            <w:r>
              <w:rPr>
                <w:rFonts w:hint="eastAsia"/>
                <w:b/>
                <w:bCs/>
                <w:color w:val="auto"/>
                <w:sz w:val="21"/>
                <w:szCs w:val="21"/>
                <w:lang w:val="en-US" w:eastAsia="zh-CN"/>
              </w:rPr>
              <w:t>注：本项目产品加工过程中涉及的各种参数（如加热温度、加热时长、锻造时长、锻造尺寸、是否进行热处理及热处理的时间温度、冷却方式、冷却时间等全部根据客户订单要求进行，无固定加工参数。）</w:t>
            </w:r>
          </w:p>
          <w:p w14:paraId="66055FCA">
            <w:pPr>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lang w:eastAsia="zh-CN"/>
              </w:rPr>
              <w:t>）自由锻</w:t>
            </w:r>
            <w:r>
              <w:rPr>
                <w:rFonts w:hint="default" w:ascii="Times New Roman" w:hAnsi="Times New Roman" w:cs="Times New Roman"/>
                <w:b/>
                <w:bCs/>
                <w:color w:val="auto"/>
                <w:sz w:val="21"/>
                <w:szCs w:val="21"/>
              </w:rPr>
              <w:t>生产工艺流程及产污节点图</w:t>
            </w:r>
          </w:p>
          <w:p w14:paraId="7CB7CAB3">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rPr>
              <mc:AlternateContent>
                <mc:Choice Requires="wpc">
                  <w:drawing>
                    <wp:inline distT="0" distB="0" distL="114300" distR="114300">
                      <wp:extent cx="5252720" cy="4631055"/>
                      <wp:effectExtent l="0" t="0" r="0" b="0"/>
                      <wp:docPr id="19" name="画布 19"/>
                      <wp:cNvGraphicFramePr/>
                      <a:graphic xmlns:a="http://schemas.openxmlformats.org/drawingml/2006/main">
                        <a:graphicData uri="http://schemas.microsoft.com/office/word/2010/wordprocessingCanvas">
                          <wpc:wpc>
                            <wpc:bg/>
                            <wpc:whole/>
                            <wps:wsp>
                              <wps:cNvPr id="62" name="矩形 30"/>
                              <wps:cNvSpPr/>
                              <wps:spPr>
                                <a:xfrm>
                                  <a:off x="1335405" y="258445"/>
                                  <a:ext cx="142811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5B3C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矩形 44"/>
                              <wps:cNvSpPr/>
                              <wps:spPr>
                                <a:xfrm>
                                  <a:off x="1675130" y="12274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547DA">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加热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矩形 45"/>
                              <wps:cNvSpPr/>
                              <wps:spPr>
                                <a:xfrm>
                                  <a:off x="1665605" y="17227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C31B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锻压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 name="矩形 46"/>
                              <wps:cNvSpPr/>
                              <wps:spPr>
                                <a:xfrm>
                                  <a:off x="1656080" y="2703830"/>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D4E0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 name="直接箭头连接符 95"/>
                              <wps:cNvCnPr>
                                <a:stCxn id="30" idx="2"/>
                              </wps:cNvCnPr>
                              <wps:spPr>
                                <a:xfrm flipH="1">
                                  <a:off x="2044065" y="525145"/>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1" name="直接箭头连接符 96"/>
                              <wps:cNvCnPr>
                                <a:stCxn id="44" idx="2"/>
                              </wps:cNvCnPr>
                              <wps:spPr>
                                <a:xfrm>
                                  <a:off x="2089785" y="1494155"/>
                                  <a:ext cx="1270"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2" name="直接箭头连接符 97"/>
                              <wps:cNvCnPr>
                                <a:stCxn id="45" idx="2"/>
                                <a:endCxn id="46" idx="0"/>
                              </wps:cNvCnPr>
                              <wps:spPr>
                                <a:xfrm flipH="1">
                                  <a:off x="2070735" y="1989455"/>
                                  <a:ext cx="9525" cy="2286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3" name="直接箭头连接符 98"/>
                              <wps:cNvCnPr/>
                              <wps:spPr>
                                <a:xfrm>
                                  <a:off x="2080260" y="2980055"/>
                                  <a:ext cx="0" cy="2095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4" name="矩形 101"/>
                              <wps:cNvSpPr/>
                              <wps:spPr>
                                <a:xfrm>
                                  <a:off x="1665605" y="32086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9232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矩形 102"/>
                              <wps:cNvSpPr/>
                              <wps:spPr>
                                <a:xfrm>
                                  <a:off x="1637030" y="3675380"/>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096D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矩形 103"/>
                              <wps:cNvSpPr/>
                              <wps:spPr>
                                <a:xfrm>
                                  <a:off x="1703705" y="42183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D10D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成品入库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直接箭头连接符 105"/>
                              <wps:cNvCnPr/>
                              <wps:spPr>
                                <a:xfrm>
                                  <a:off x="2080260" y="3989705"/>
                                  <a:ext cx="9525" cy="2381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8" name="直接箭头连接符 106"/>
                              <wps:cNvCnPr/>
                              <wps:spPr>
                                <a:xfrm>
                                  <a:off x="2100580" y="3498215"/>
                                  <a:ext cx="8255" cy="2247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9" name="矩形 108"/>
                              <wps:cNvSpPr/>
                              <wps:spPr>
                                <a:xfrm>
                                  <a:off x="2884805" y="1275080"/>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06A9C">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G1-2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直接箭头连接符 110"/>
                              <wps:cNvCnPr/>
                              <wps:spPr>
                                <a:xfrm flipV="1">
                                  <a:off x="2602230" y="138176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81" name="直接箭头连接符 111"/>
                              <wps:cNvCnPr/>
                              <wps:spPr>
                                <a:xfrm>
                                  <a:off x="2484755" y="3361055"/>
                                  <a:ext cx="209550" cy="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82" name="矩形 120"/>
                              <wps:cNvSpPr/>
                              <wps:spPr>
                                <a:xfrm>
                                  <a:off x="4075430" y="3294380"/>
                                  <a:ext cx="828040" cy="71628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3871002">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G：废气</w:t>
                                    </w:r>
                                  </w:p>
                                  <w:p w14:paraId="6317D87E">
                                    <w:pPr>
                                      <w:jc w:val="center"/>
                                      <w:rPr>
                                        <w:rFonts w:hint="default"/>
                                        <w:lang w:val="en-US" w:eastAsia="zh-CN"/>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W：废水</w:t>
                                    </w:r>
                                  </w:p>
                                  <w:p w14:paraId="470E5B26">
                                    <w:pPr>
                                      <w:pStyle w:val="50"/>
                                      <w:ind w:firstLine="180" w:firstLineChars="100"/>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S：固废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 name="矩形 12"/>
                              <wps:cNvSpPr/>
                              <wps:spPr>
                                <a:xfrm>
                                  <a:off x="1684655" y="7512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2ADD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直接箭头连接符 13"/>
                              <wps:cNvCnPr/>
                              <wps:spPr>
                                <a:xfrm flipH="1">
                                  <a:off x="2065655" y="1008380"/>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5" name="直接箭头连接符 69"/>
                              <wps:cNvCnPr/>
                              <wps:spPr>
                                <a:xfrm flipV="1">
                                  <a:off x="2560955" y="934085"/>
                                  <a:ext cx="250825" cy="762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86" name="矩形 108"/>
                              <wps:cNvSpPr/>
                              <wps:spPr>
                                <a:xfrm>
                                  <a:off x="2846705" y="798830"/>
                                  <a:ext cx="1121410" cy="3429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E2E08">
                                    <w:pPr>
                                      <w:jc w:val="both"/>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G1-1、S1</w:t>
                                    </w:r>
                                    <w:r>
                                      <w:rPr>
                                        <w:rFonts w:hint="eastAsia" w:eastAsia="宋体"/>
                                        <w:color w:val="000000" w:themeColor="text1"/>
                                        <w:sz w:val="18"/>
                                        <w:szCs w:val="18"/>
                                        <w:lang w:val="en-US" w:eastAsia="zh-CN"/>
                                        <w14:textFill>
                                          <w14:solidFill>
                                            <w14:schemeClr w14:val="tx1"/>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直接箭头连接符 110"/>
                              <wps:cNvCnPr/>
                              <wps:spPr>
                                <a:xfrm flipV="1">
                                  <a:off x="2494280" y="184658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88" name="矩形 108"/>
                              <wps:cNvSpPr/>
                              <wps:spPr>
                                <a:xfrm>
                                  <a:off x="2760980" y="1694180"/>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8C0D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S1-2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直接箭头连接符 110"/>
                              <wps:cNvCnPr/>
                              <wps:spPr>
                                <a:xfrm flipV="1">
                                  <a:off x="2513330" y="3780155"/>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90" name="矩形 108"/>
                              <wps:cNvSpPr/>
                              <wps:spPr>
                                <a:xfrm>
                                  <a:off x="2665730" y="3189605"/>
                                  <a:ext cx="1196975" cy="40830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69AAC6">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G1-3、S1-3、S1-4、S1-5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矩形 108"/>
                              <wps:cNvSpPr/>
                              <wps:spPr>
                                <a:xfrm>
                                  <a:off x="2780030" y="3656330"/>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DEE33">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S1-6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矩形 46"/>
                              <wps:cNvSpPr/>
                              <wps:spPr>
                                <a:xfrm>
                                  <a:off x="1656080" y="22180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17F4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 name="直接箭头连接符 98"/>
                              <wps:cNvCnPr/>
                              <wps:spPr>
                                <a:xfrm>
                                  <a:off x="2084705" y="2475230"/>
                                  <a:ext cx="0" cy="2095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364.65pt;width:413.6pt;" coordsize="5252720,4631055" editas="canvas" o:gfxdata="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">
                      <o:lock v:ext="edit" aspectratio="f"/>
                      <v:shape id="_x0000_s1026" o:spid="_x0000_s1026" style="position:absolute;left:0;top:0;height:4631055;width:5252720;" filled="f" stroked="f" coordsize="21600,21600" o:gfxdata="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">
                        <v:fill on="f" focussize="0,0"/>
                        <v:stroke on="f"/>
                        <v:imagedata o:title=""/>
                        <o:lock v:ext="edit" aspectratio="f"/>
                      </v:shape>
                      <v:rect id="矩形 30" o:spid="_x0000_s1026" o:spt="1" style="position:absolute;left:1335405;top:258445;height:266700;width:1428115;v-text-anchor:middle;" filled="f" stroked="f" coordsize="21600,21600" o:gfxdata="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OWrJ0&#10;1AAAAAUBAAAPAAAAAAAAAAEAIAAAACIAAABkcnMvZG93bnJldi54bWxQSwECFAAUAAAACACHTuJA&#10;6E794l4CAACjBAAADgAAAAAAAAABACAAAAAjAQAAZHJzL2Uyb0RvYy54bWxQSwUGAAAAAAYABgBZ&#10;AQAA8wUAAAAA&#10;">
                        <v:fill on="f" focussize="0,0"/>
                        <v:stroke on="f" weight="1pt"/>
                        <v:imagedata o:title=""/>
                        <o:lock v:ext="edit" aspectratio="f"/>
                        <v:textbox>
                          <w:txbxContent>
                            <w:p w14:paraId="7F05B3C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v:textbox>
                      </v:rect>
                      <v:rect id="矩形 44" o:spid="_x0000_s1026" o:spt="1" style="position:absolute;left:1675130;top:1227455;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1KaSvWAAAABQEAAA8AAAAAAAAAAQAgAAAAIgAAAGRycy9kb3ducmV2Lnht&#10;bFBLAQIUABQAAAAIAIdO4kBdauLYbQIAAMwEAAAOAAAAAAAAAAEAIAAAACUBAABkcnMvZTJvRG9j&#10;LnhtbFBLBQYAAAAABgAGAFkBAAAEBgAAAAA=&#10;">
                        <v:fill on="f" focussize="0,0"/>
                        <v:stroke weight="1pt" color="#000000 [3213]" joinstyle="round"/>
                        <v:imagedata o:title=""/>
                        <o:lock v:ext="edit" aspectratio="f"/>
                        <v:textbox>
                          <w:txbxContent>
                            <w:p w14:paraId="557547DA">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加热</w:t>
                              </w:r>
                            </w:p>
                          </w:txbxContent>
                        </v:textbox>
                      </v:rect>
                      <v:rect id="矩形 45" o:spid="_x0000_s1026" o:spt="1" style="position:absolute;left:1665605;top:1722755;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NSmkr1gAAAAUBAAAPAAAAAAAAAAEAIAAAACIAAABkcnMvZG93bnJldi54&#10;bWxQSwECFAAUAAAACACHTuJAjQ/i2G4CAADMBAAADgAAAAAAAAABACAAAAAlAQAAZHJzL2Uyb0Rv&#10;Yy54bWxQSwUGAAAAAAYABgBZAQAABQYAAAAA&#10;">
                        <v:fill on="f" focussize="0,0"/>
                        <v:stroke weight="1pt" color="#000000 [3213]" joinstyle="round"/>
                        <v:imagedata o:title=""/>
                        <o:lock v:ext="edit" aspectratio="f"/>
                        <v:textbox>
                          <w:txbxContent>
                            <w:p w14:paraId="3BBC31B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锻压</w:t>
                              </w:r>
                            </w:p>
                          </w:txbxContent>
                        </v:textbox>
                      </v:rect>
                      <v:rect id="矩形 46" o:spid="_x0000_s1026" o:spt="1" style="position:absolute;left:1656080;top:2703830;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UppK9YAAAAFAQAADwAAAAAAAAABACAAAAAiAAAAZHJzL2Rvd25yZXYu&#10;eG1sUEsBAhQAFAAAAAgAh07iQNf+a0ZvAgAAzAQAAA4AAAAAAAAAAQAgAAAAJQEAAGRycy9lMm9E&#10;b2MueG1sUEsFBgAAAAAGAAYAWQEAAAYGAAAAAA==&#10;">
                        <v:fill on="f" focussize="0,0"/>
                        <v:stroke weight="1pt" color="#000000 [3213]" joinstyle="round"/>
                        <v:imagedata o:title=""/>
                        <o:lock v:ext="edit" aspectratio="f"/>
                        <v:textbox>
                          <w:txbxContent>
                            <w:p w14:paraId="740D4E0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w:t>
                              </w:r>
                            </w:p>
                          </w:txbxContent>
                        </v:textbox>
                      </v:rect>
                      <v:shape id="直接箭头连接符 95" o:spid="_x0000_s1026" o:spt="32" type="#_x0000_t32" style="position:absolute;left:2044065;top:525145;flip:x;height:223520;width:5715;" filled="f" stroked="t" coordsize="21600,21600" o:gfxdata="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&#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Fa/vdUAAAAFAQAADwAAAAAAAAABACAAAAAiAAAA&#10;ZHJzL2Rvd25yZXYueG1sUEsBAhQAFAAAAAgAh07iQLeXco1DAgAAUgQAAA4AAAAAAAAAAQAgAAAA&#10;JAEAAGRycy9lMm9Eb2MueG1sUEsFBgAAAAAGAAYAWQEAANkFAAAAAA==&#10;">
                        <v:fill on="f" focussize="0,0"/>
                        <v:stroke color="#000000 [3200]" joinstyle="round" endarrow="open"/>
                        <v:imagedata o:title=""/>
                        <o:lock v:ext="edit" aspectratio="f"/>
                      </v:shape>
                      <v:shape id="直接箭头连接符 96" o:spid="_x0000_s1026" o:spt="32" type="#_x0000_t32" style="position:absolute;left:2089785;top:1494155;height:257175;width:1270;" filled="f" stroked="t" coordsize="21600,21600" o:gfxdata="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Av0dtUAAAAFAQAADwAAAAAAAAABACAAAAAiAAAAZHJzL2Rv&#10;d25yZXYueG1sUEsBAhQAFAAAAAgAh07iQKvRpEU9AgAASQQAAA4AAAAAAAAAAQAgAAAAJAEAAGRy&#10;cy9lMm9Eb2MueG1sUEsFBgAAAAAGAAYAWQEAANMFAAAAAA==&#10;">
                        <v:fill on="f" focussize="0,0"/>
                        <v:stroke color="#000000 [3200]" joinstyle="round" endarrow="open"/>
                        <v:imagedata o:title=""/>
                        <o:lock v:ext="edit" aspectratio="f"/>
                      </v:shape>
                      <v:shape id="直接箭头连接符 97" o:spid="_x0000_s1026" o:spt="32" type="#_x0000_t32" style="position:absolute;left:2070735;top:1989455;flip:x;height:228600;width:9525;" filled="f" stroked="t" coordsize="21600,21600" o:gfxdata="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gVr+91QAAAAUBAAAPAAAAAAAAAAEAIAAAACIA&#10;AABkcnMvZG93bnJldi54bWxQSwECFAAUAAAACACHTuJAsApvZUUCAABuBAAADgAAAAAAAAABACAA&#10;AAAkAQAAZHJzL2Uyb0RvYy54bWxQSwUGAAAAAAYABgBZAQAA2wUAAAAA&#10;">
                        <v:fill on="f" focussize="0,0"/>
                        <v:stroke color="#000000 [3200]" joinstyle="round" endarrow="open"/>
                        <v:imagedata o:title=""/>
                        <o:lock v:ext="edit" aspectratio="f"/>
                      </v:shape>
                      <v:shape id="直接箭头连接符 98" o:spid="_x0000_s1026" o:spt="32" type="#_x0000_t32" style="position:absolute;left:2080260;top:2980055;height:209550;width:0;" filled="f" stroked="t" coordsize="21600,21600" o:gfxdata="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QL&#10;9HbVAAAABQEAAA8AAAAAAAAAAQAgAAAAIgAAAGRycy9kb3ducmV2LnhtbFBLAQIUABQAAAAIAIdO&#10;4kCnq6FCJgIAAB8EAAAOAAAAAAAAAAEAIAAAACQBAABkcnMvZTJvRG9jLnhtbFBLBQYAAAAABgAG&#10;AFkBAAC8BQAAAAA=&#10;">
                        <v:fill on="f" focussize="0,0"/>
                        <v:stroke color="#000000 [3200]" joinstyle="round" endarrow="open"/>
                        <v:imagedata o:title=""/>
                        <o:lock v:ext="edit" aspectratio="f"/>
                      </v:shape>
                      <v:rect id="矩形 101" o:spid="_x0000_s1026" o:spt="1" style="position:absolute;left:1665605;top:3208655;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NSmkr1gAAAAUBAAAPAAAAAAAAAAEAIAAAACIAAABkcnMvZG93bnJl&#10;di54bWxQSwECFAAUAAAACACHTuJA0HXFfnECAADNBAAADgAAAAAAAAABACAAAAAlAQAAZHJzL2Uy&#10;b0RvYy54bWxQSwUGAAAAAAYABgBZAQAACAYAAAAA&#10;">
                        <v:fill on="f" focussize="0,0"/>
                        <v:stroke weight="1pt" color="#000000 [3213]" joinstyle="round"/>
                        <v:imagedata o:title=""/>
                        <o:lock v:ext="edit" aspectratio="f"/>
                        <v:textbox>
                          <w:txbxContent>
                            <w:p w14:paraId="2FC9232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v:textbox>
                      </v:rect>
                      <v:rect id="矩形 102" o:spid="_x0000_s1026" o:spt="1" style="position:absolute;left:1637030;top:3675380;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UppK9YAAAAFAQAADwAAAAAAAAABACAAAAAiAAAAZHJzL2Rvd25yZXYu&#10;eG1sUEsBAhQAFAAAAAgAh07iQMjDkm1vAgAAzQQAAA4AAAAAAAAAAQAgAAAAJQEAAGRycy9lMm9E&#10;b2MueG1sUEsFBgAAAAAGAAYAWQEAAAYGAAAAAA==&#10;">
                        <v:fill on="f" focussize="0,0"/>
                        <v:stroke weight="1pt" color="#000000 [3213]" joinstyle="round"/>
                        <v:imagedata o:title=""/>
                        <o:lock v:ext="edit" aspectratio="f"/>
                        <v:textbox>
                          <w:txbxContent>
                            <w:p w14:paraId="044096D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检验</w:t>
                              </w:r>
                            </w:p>
                          </w:txbxContent>
                        </v:textbox>
                      </v:rect>
                      <v:rect id="矩形 103" o:spid="_x0000_s1026" o:spt="1" style="position:absolute;left:1703705;top:4218305;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UppK9YAAAAFAQAADwAAAAAAAAABACAAAAAiAAAAZHJzL2Rvd25yZXYu&#10;eG1sUEsBAhQAFAAAAAgAh07iQKGL5WJvAgAAzQQAAA4AAAAAAAAAAQAgAAAAJQEAAGRycy9lMm9E&#10;b2MueG1sUEsFBgAAAAAGAAYAWQEAAAYGAAAAAA==&#10;">
                        <v:fill on="f" focussize="0,0"/>
                        <v:stroke weight="1pt" color="#000000 [3213]" joinstyle="round"/>
                        <v:imagedata o:title=""/>
                        <o:lock v:ext="edit" aspectratio="f"/>
                        <v:textbox>
                          <w:txbxContent>
                            <w:p w14:paraId="7B1D10D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成品入库</w:t>
                              </w:r>
                            </w:p>
                          </w:txbxContent>
                        </v:textbox>
                      </v:rect>
                      <v:shape id="直接箭头连接符 105" o:spid="_x0000_s1026" o:spt="32" type="#_x0000_t32" style="position:absolute;left:2080260;top:3989705;height:238125;width:9525;" filled="f" stroked="t" coordsize="21600,21600" o:gfxdata="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Av0dtUAAAAFAQAADwAAAAAAAAABACAAAAAiAAAAZHJzL2Rvd25yZXYueG1sUEsBAhQAFAAAAAgA&#10;h07iQLYaLbgoAgAAIwQAAA4AAAAAAAAAAQAgAAAAJAEAAGRycy9lMm9Eb2MueG1sUEsFBgAAAAAG&#10;AAYAWQEAAL4FAAAAAA==&#10;">
                        <v:fill on="f" focussize="0,0"/>
                        <v:stroke color="#000000 [3200]" joinstyle="round" endarrow="open"/>
                        <v:imagedata o:title=""/>
                        <o:lock v:ext="edit" aspectratio="f"/>
                      </v:shape>
                      <v:shape id="直接箭头连接符 106" o:spid="_x0000_s1026" o:spt="32" type="#_x0000_t32" style="position:absolute;left:2100580;top:3498215;height:224790;width:8255;" filled="f" stroked="t" coordsize="21600,21600" o:gfxdata="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QL9HbVAAAABQEAAA8AAAAAAAAAAQAgAAAAIgAAAGRycy9kb3ducmV2LnhtbFBLAQIUABQA&#10;AAAIAIdO4kC75yAtLAIAACMEAAAOAAAAAAAAAAEAIAAAACQBAABkcnMvZTJvRG9jLnhtbFBLBQYA&#10;AAAABgAGAFkBAADCBQAAAAA=&#10;">
                        <v:fill on="f" focussize="0,0"/>
                        <v:stroke color="#000000 [3200]" joinstyle="round" endarrow="open"/>
                        <v:imagedata o:title=""/>
                        <o:lock v:ext="edit" aspectratio="f"/>
                      </v:shape>
                      <v:rect id="矩形 108" o:spid="_x0000_s1026" o:spt="1" style="position:absolute;left:2884805;top:1275080;height:266700;width:483235;v-text-anchor:middle;" filled="f" stroked="f" coordsize="21600,21600" o:gfxdata="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lqy&#10;dNQAAAAFAQAADwAAAAAAAAABACAAAAAiAAAAZHJzL2Rvd25yZXYueG1sUEsBAhQAFAAAAAgAh07i&#10;QCiT50dfAgAApAQAAA4AAAAAAAAAAQAgAAAAIwEAAGRycy9lMm9Eb2MueG1sUEsFBgAAAAAGAAYA&#10;WQEAAPQFAAAAAA==&#10;">
                        <v:fill on="f" focussize="0,0"/>
                        <v:stroke on="f" weight="1pt"/>
                        <v:imagedata o:title=""/>
                        <o:lock v:ext="edit" aspectratio="f"/>
                        <v:textbox>
                          <w:txbxContent>
                            <w:p w14:paraId="44A06A9C">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G1-2</w:t>
                              </w:r>
                            </w:p>
                          </w:txbxContent>
                        </v:textbox>
                      </v:rect>
                      <v:shape id="直接箭头连接符 110" o:spid="_x0000_s1026" o:spt="32" type="#_x0000_t32" style="position:absolute;left:2602230;top:1381760;flip:y;height:5715;width:285750;" filled="f" stroked="t" coordsize="21600,21600" o:gfxdata="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sLeI71QAAAAUBAAAPAAAAAAAAAAEAIAAAACIAAABkcnMvZG93bnJldi54bWxQSwEC&#10;FAAUAAAACACHTuJAqANZwDACAAAsBAAADgAAAAAAAAABACAAAAAkAQAAZHJzL2Uyb0RvYy54bWxQ&#10;SwUGAAAAAAYABgBZAQAAxgUAAAAA&#10;">
                        <v:fill on="f" focussize="0,0"/>
                        <v:stroke color="#000000 [3200]" joinstyle="round" dashstyle="dash" endarrow="open"/>
                        <v:imagedata o:title=""/>
                        <o:lock v:ext="edit" aspectratio="f"/>
                      </v:shape>
                      <v:shape id="直接箭头连接符 111" o:spid="_x0000_s1026" o:spt="32" type="#_x0000_t32" style="position:absolute;left:2484755;top:3361055;height:0;width:209550;" filled="f" stroked="t" coordsize="21600,21600" o:gfxdata="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Ae4mXVAAAABQEAAA8AAAAAAAAAAQAgAAAAIgAAAGRycy9kb3ducmV2LnhtbFBLAQIUABQAAAAI&#10;AIdO4kDabiTAKQIAAB8EAAAOAAAAAAAAAAEAIAAAACQBAABkcnMvZTJvRG9jLnhtbFBLBQYAAAAA&#10;BgAGAFkBAAC/BQAAAAA=&#10;">
                        <v:fill on="f" focussize="0,0"/>
                        <v:stroke color="#000000 [3200]" joinstyle="round" dashstyle="dash" endarrow="open"/>
                        <v:imagedata o:title=""/>
                        <o:lock v:ext="edit" aspectratio="f"/>
                      </v:shape>
                      <v:rect id="矩形 120" o:spid="_x0000_s1026" o:spt="1" style="position:absolute;left:4075430;top:3294380;height:716280;width:828040;v-text-anchor:middle;" filled="f" stroked="t" coordsize="21600,21600" o:gfxdata="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qym+bWAAAABQEAAA8AAAAAAAAAAQAgAAAAIgAAAGRycy9kb3ducmV2&#10;LnhtbFBLAQIUABQAAAAIAIdO4kD/QoYLcAIAAM8EAAAOAAAAAAAAAAEAIAAAACUBAABkcnMvZTJv&#10;RG9jLnhtbFBLBQYAAAAABgAGAFkBAAAHBgAAAAA=&#10;">
                        <v:fill on="f" focussize="0,0"/>
                        <v:stroke weight="1pt" color="#000000 [3213]" joinstyle="round" dashstyle="3 1"/>
                        <v:imagedata o:title=""/>
                        <o:lock v:ext="edit" aspectratio="f"/>
                        <v:textbox>
                          <w:txbxContent>
                            <w:p w14:paraId="43871002">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G：废气</w:t>
                              </w:r>
                            </w:p>
                            <w:p w14:paraId="6317D87E">
                              <w:pPr>
                                <w:jc w:val="center"/>
                                <w:rPr>
                                  <w:rFonts w:hint="default"/>
                                  <w:lang w:val="en-US" w:eastAsia="zh-CN"/>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W：废水</w:t>
                              </w:r>
                            </w:p>
                            <w:p w14:paraId="470E5B26">
                              <w:pPr>
                                <w:pStyle w:val="50"/>
                                <w:ind w:firstLine="180" w:firstLineChars="100"/>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S：固废</w:t>
                              </w:r>
                            </w:p>
                          </w:txbxContent>
                        </v:textbox>
                      </v:rect>
                      <v:rect id="矩形 12" o:spid="_x0000_s1026" o:spt="1" style="position:absolute;left:1684655;top:751205;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UppK9YAAAAFAQAADwAAAAAAAAABACAAAAAiAAAAZHJzL2Rvd25yZXYu&#10;eG1sUEsBAhQAFAAAAAgAh07iQIVDx3hvAgAAywQAAA4AAAAAAAAAAQAgAAAAJQEAAGRycy9lMm9E&#10;b2MueG1sUEsFBgAAAAAGAAYAWQEAAAYGAAAAAA==&#10;">
                        <v:fill on="f" focussize="0,0"/>
                        <v:stroke weight="1pt" color="#000000 [3213]" joinstyle="round"/>
                        <v:imagedata o:title=""/>
                        <o:lock v:ext="edit" aspectratio="f"/>
                        <v:textbox>
                          <w:txbxContent>
                            <w:p w14:paraId="2422ADD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下料</w:t>
                              </w:r>
                            </w:p>
                          </w:txbxContent>
                        </v:textbox>
                      </v:rect>
                      <v:shape id="直接箭头连接符 13" o:spid="_x0000_s1026" o:spt="32" type="#_x0000_t32" style="position:absolute;left:2065655;top:1008380;flip:x;height:223520;width:5715;" filled="f" stroked="t" coordsize="21600,21600" o:gfxdata="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Fa/vdUAAAAFAQAADwAAAAAAAAABACAAAAAiAAAAZHJzL2Rvd25yZXYueG1sUEsB&#10;AhQAFAAAAAgAh07iQMW4Wb4xAgAALAQAAA4AAAAAAAAAAQAgAAAAJAEAAGRycy9lMm9Eb2MueG1s&#10;UEsFBgAAAAAGAAYAWQEAAMcFAAAAAA==&#10;">
                        <v:fill on="f" focussize="0,0"/>
                        <v:stroke color="#000000 [3200]" joinstyle="round" endarrow="open"/>
                        <v:imagedata o:title=""/>
                        <o:lock v:ext="edit" aspectratio="f"/>
                      </v:shape>
                      <v:shape id="直接箭头连接符 69" o:spid="_x0000_s1026" o:spt="32" type="#_x0000_t32" style="position:absolute;left:2560955;top:934085;flip:y;height:7620;width:250825;" filled="f" stroked="t" coordsize="21600,21600" o:gfxdata="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LeI71QAAAAUBAAAPAAAAAAAAAAEAIAAAACIAAABkcnMvZG93bnJldi54bWxQSwECFAAU&#10;AAAACACHTuJALtNm7i0CAAAqBAAADgAAAAAAAAABACAAAAAkAQAAZHJzL2Uyb0RvYy54bWxQSwUG&#10;AAAAAAYABgBZAQAAwwUAAAAA&#10;">
                        <v:fill on="f" focussize="0,0"/>
                        <v:stroke color="#000000 [3200]" joinstyle="round" dashstyle="dash" endarrow="open"/>
                        <v:imagedata o:title=""/>
                        <o:lock v:ext="edit" aspectratio="f"/>
                      </v:shape>
                      <v:rect id="矩形 108" o:spid="_x0000_s1026" o:spt="1" style="position:absolute;left:2846705;top:798830;height:342900;width:1121410;v-text-anchor:middle;" filled="f" stroked="f" coordsize="21600,21600" o:gfxdata="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O&#10;WrJ01AAAAAUBAAAPAAAAAAAAAAEAIAAAACIAAABkcnMvZG93bnJldi54bWxQSwECFAAUAAAACACH&#10;TuJA3xx+a2ECAACkBAAADgAAAAAAAAABACAAAAAjAQAAZHJzL2Uyb0RvYy54bWxQSwUGAAAAAAYA&#10;BgBZAQAA9gUAAAAA&#10;">
                        <v:fill on="f" focussize="0,0"/>
                        <v:stroke on="f" weight="1pt"/>
                        <v:imagedata o:title=""/>
                        <o:lock v:ext="edit" aspectratio="f"/>
                        <v:textbox>
                          <w:txbxContent>
                            <w:p w14:paraId="29BE2E08">
                              <w:pPr>
                                <w:jc w:val="both"/>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G1-1、S1</w:t>
                              </w:r>
                              <w:r>
                                <w:rPr>
                                  <w:rFonts w:hint="eastAsia" w:eastAsia="宋体"/>
                                  <w:color w:val="000000" w:themeColor="text1"/>
                                  <w:sz w:val="18"/>
                                  <w:szCs w:val="18"/>
                                  <w:lang w:val="en-US" w:eastAsia="zh-CN"/>
                                  <w14:textFill>
                                    <w14:solidFill>
                                      <w14:schemeClr w14:val="tx1"/>
                                    </w14:solidFill>
                                  </w14:textFill>
                                </w:rPr>
                                <w:t>-1</w:t>
                              </w:r>
                            </w:p>
                          </w:txbxContent>
                        </v:textbox>
                      </v:rect>
                      <v:shape id="直接箭头连接符 110" o:spid="_x0000_s1026" o:spt="32" type="#_x0000_t32" style="position:absolute;left:2494280;top:1846580;flip:y;height:5715;width:285750;" filled="f" stroked="t" coordsize="21600,21600" o:gfxdata="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sLeI71QAAAAUBAAAPAAAAAAAAAAEAIAAAACIAAABkcnMvZG93bnJldi54bWxQSwEC&#10;FAAUAAAACACHTuJA5AsleTACAAAsBAAADgAAAAAAAAABACAAAAAkAQAAZHJzL2Uyb0RvYy54bWxQ&#10;SwUGAAAAAAYABgBZAQAAxgUAAAAA&#10;">
                        <v:fill on="f" focussize="0,0"/>
                        <v:stroke color="#000000 [3200]" joinstyle="round" dashstyle="dash" endarrow="open"/>
                        <v:imagedata o:title=""/>
                        <o:lock v:ext="edit" aspectratio="f"/>
                      </v:shape>
                      <v:rect id="矩形 108" o:spid="_x0000_s1026" o:spt="1" style="position:absolute;left:2760980;top:1694180;height:266700;width:483235;v-text-anchor:middle;" filled="f" stroked="f" coordsize="21600,21600" o:gfxdata="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lqy&#10;dNQAAAAFAQAADwAAAAAAAAABACAAAAAiAAAAZHJzL2Rvd25yZXYueG1sUEsBAhQAFAAAAAgAh07i&#10;QO1lNUBfAgAApAQAAA4AAAAAAAAAAQAgAAAAIwEAAGRycy9lMm9Eb2MueG1sUEsFBgAAAAAGAAYA&#10;WQEAAPQFAAAAAA==&#10;">
                        <v:fill on="f" focussize="0,0"/>
                        <v:stroke on="f" weight="1pt"/>
                        <v:imagedata o:title=""/>
                        <o:lock v:ext="edit" aspectratio="f"/>
                        <v:textbox>
                          <w:txbxContent>
                            <w:p w14:paraId="5178C0D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S1-2</w:t>
                              </w:r>
                            </w:p>
                          </w:txbxContent>
                        </v:textbox>
                      </v:rect>
                      <v:shape id="直接箭头连接符 110" o:spid="_x0000_s1026" o:spt="32" type="#_x0000_t32" style="position:absolute;left:2513330;top:3780155;flip:y;height:5715;width:285750;" filled="f" stroked="t" coordsize="21600,21600" o:gfxdata="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C3iO9UAAAAFAQAADwAAAAAAAAABACAAAAAiAAAAZHJzL2Rvd25yZXYueG1sUEsB&#10;AhQAFAAAAAgAh07iQL31Z8YxAgAALAQAAA4AAAAAAAAAAQAgAAAAJAEAAGRycy9lMm9Eb2MueG1s&#10;UEsFBgAAAAAGAAYAWQEAAMcFAAAAAA==&#10;">
                        <v:fill on="f" focussize="0,0"/>
                        <v:stroke color="#000000 [3200]" joinstyle="round" dashstyle="dash" endarrow="open"/>
                        <v:imagedata o:title=""/>
                        <o:lock v:ext="edit" aspectratio="f"/>
                      </v:shape>
                      <v:rect id="矩形 108" o:spid="_x0000_s1026" o:spt="1" style="position:absolute;left:2665730;top:3189605;height:408305;width:1196975;v-text-anchor:middle;" filled="f" stroked="f" coordsize="21600,21600" o:gfxdata="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O&#10;WrJ01AAAAAUBAAAPAAAAAAAAAAEAIAAAACIAAABkcnMvZG93bnJldi54bWxQSwECFAAUAAAACACH&#10;TuJAZG4Jf2ECAAClBAAADgAAAAAAAAABACAAAAAjAQAAZHJzL2Uyb0RvYy54bWxQSwUGAAAAAAYA&#10;BgBZAQAA9gUAAAAA&#10;">
                        <v:fill on="f" focussize="0,0"/>
                        <v:stroke on="f" weight="1pt"/>
                        <v:imagedata o:title=""/>
                        <o:lock v:ext="edit" aspectratio="f"/>
                        <v:textbox>
                          <w:txbxContent>
                            <w:p w14:paraId="6769AAC6">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G1-3、S1-3、S1-4、S1-5</w:t>
                              </w:r>
                            </w:p>
                          </w:txbxContent>
                        </v:textbox>
                      </v:rect>
                      <v:rect id="矩形 108" o:spid="_x0000_s1026" o:spt="1" style="position:absolute;left:2780030;top:3656330;height:266700;width:483235;v-text-anchor:middle;" filled="f" stroked="f" coordsize="21600,21600" o:gfxdata="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5a&#10;snTUAAAABQEAAA8AAAAAAAAAAQAgAAAAIgAAAGRycy9kb3ducmV2LnhtbFBLAQIUABQAAAAIAIdO&#10;4kBSIvQfYAIAAKQEAAAOAAAAAAAAAAEAIAAAACMBAABkcnMvZTJvRG9jLnhtbFBLBQYAAAAABgAG&#10;AFkBAAD1BQAAAAA=&#10;">
                        <v:fill on="f" focussize="0,0"/>
                        <v:stroke on="f" weight="1pt"/>
                        <v:imagedata o:title=""/>
                        <o:lock v:ext="edit" aspectratio="f"/>
                        <v:textbox>
                          <w:txbxContent>
                            <w:p w14:paraId="032DEE33">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S1-6</w:t>
                              </w:r>
                            </w:p>
                          </w:txbxContent>
                        </v:textbox>
                      </v:rect>
                      <v:rect id="矩形 46" o:spid="_x0000_s1026" o:spt="1" style="position:absolute;left:1656080;top:2218055;height:266700;width:828675;v-text-anchor:middle;" filled="f" stroked="t" coordsize="21600,21600" o:gfxdata="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1KaSvWAAAABQEAAA8AAAAAAAAAAQAgAAAAIgAAAGRycy9kb3ducmV2&#10;LnhtbFBLAQIUABQAAAAIAIdO4kAd+UOzcAIAAMwEAAAOAAAAAAAAAAEAIAAAACUBAABkcnMvZTJv&#10;RG9jLnhtbFBLBQYAAAAABgAGAFkBAAAHBgAAAAA=&#10;">
                        <v:fill on="f" focussize="0,0"/>
                        <v:stroke weight="1pt" color="#000000 [3213]" joinstyle="round"/>
                        <v:imagedata o:title=""/>
                        <o:lock v:ext="edit" aspectratio="f"/>
                        <v:textbox>
                          <w:txbxContent>
                            <w:p w14:paraId="54B17F4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热处理</w:t>
                              </w:r>
                            </w:p>
                          </w:txbxContent>
                        </v:textbox>
                      </v:rect>
                      <v:shape id="直接箭头连接符 98" o:spid="_x0000_s1026" o:spt="32" type="#_x0000_t32" style="position:absolute;left:2084705;top:2475230;height:209550;width:0;" filled="f" stroked="t" coordsize="21600,21600" o:gfxdata="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0&#10;C/R21QAAAAUBAAAPAAAAAAAAAAEAIAAAACIAAABkcnMvZG93bnJldi54bWxQSwECFAAUAAAACACH&#10;TuJAMTooyycCAAAfBAAADgAAAAAAAAABACAAAAAkAQAAZHJzL2Uyb0RvYy54bWxQSwUGAAAAAAYA&#10;BgBZAQAAvQUAAAAA&#10;">
                        <v:fill on="f" focussize="0,0"/>
                        <v:stroke color="#000000 [3200]" joinstyle="round" endarrow="open"/>
                        <v:imagedata o:title=""/>
                        <o:lock v:ext="edit" aspectratio="f"/>
                      </v:shape>
                      <w10:wrap type="none"/>
                      <w10:anchorlock/>
                    </v:group>
                  </w:pict>
                </mc:Fallback>
              </mc:AlternateContent>
            </w:r>
          </w:p>
          <w:p w14:paraId="7A0A76EA">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图2-</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自由锻</w:t>
            </w:r>
            <w:r>
              <w:rPr>
                <w:rFonts w:hint="default" w:ascii="Times New Roman" w:hAnsi="Times New Roman" w:cs="Times New Roman"/>
                <w:b/>
                <w:bCs/>
                <w:color w:val="auto"/>
                <w:sz w:val="21"/>
                <w:szCs w:val="21"/>
              </w:rPr>
              <w:t>生产工艺及产污节点图</w:t>
            </w:r>
          </w:p>
          <w:p w14:paraId="06BB0604">
            <w:pPr>
              <w:spacing w:line="360" w:lineRule="auto"/>
              <w:ind w:firstLine="422" w:firstLineChars="20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自由锻</w:t>
            </w:r>
            <w:r>
              <w:rPr>
                <w:rFonts w:hint="default" w:ascii="Times New Roman" w:hAnsi="Times New Roman" w:cs="Times New Roman"/>
                <w:b/>
                <w:bCs/>
                <w:color w:val="auto"/>
                <w:sz w:val="21"/>
                <w:szCs w:val="21"/>
              </w:rPr>
              <w:t>生产工艺流程及产污环节简述</w:t>
            </w:r>
            <w:r>
              <w:rPr>
                <w:rFonts w:hint="default" w:ascii="Times New Roman" w:hAnsi="Times New Roman" w:cs="Times New Roman"/>
                <w:b/>
                <w:bCs/>
                <w:color w:val="auto"/>
                <w:sz w:val="21"/>
                <w:szCs w:val="21"/>
                <w:lang w:val="en-US" w:eastAsia="zh-CN"/>
              </w:rPr>
              <w:t xml:space="preserve"> </w:t>
            </w:r>
          </w:p>
          <w:p w14:paraId="4AAB2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val="0"/>
                <w:bCs w:val="0"/>
                <w:color w:val="auto"/>
                <w:sz w:val="21"/>
                <w:szCs w:val="21"/>
                <w:lang w:val="en-US" w:eastAsia="zh-CN"/>
              </w:rPr>
              <w:t>（1）下料</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 xml:space="preserve"> </w:t>
            </w:r>
          </w:p>
          <w:p w14:paraId="6069F365">
            <w:pPr>
              <w:numPr>
                <w:ilvl w:val="0"/>
                <w:numId w:val="0"/>
              </w:numPr>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根据工艺要求将</w:t>
            </w:r>
            <w:r>
              <w:rPr>
                <w:rFonts w:hint="eastAsia" w:ascii="Times New Roman" w:hAnsi="Times New Roman" w:cs="Times New Roman"/>
                <w:b w:val="0"/>
                <w:bCs w:val="0"/>
                <w:color w:val="auto"/>
                <w:sz w:val="21"/>
                <w:szCs w:val="21"/>
                <w:lang w:val="en-US" w:eastAsia="zh-CN"/>
              </w:rPr>
              <w:t>钢锭、元钢、方钢</w:t>
            </w:r>
            <w:r>
              <w:rPr>
                <w:rFonts w:hint="default" w:ascii="Times New Roman" w:hAnsi="Times New Roman" w:eastAsia="宋体" w:cs="Times New Roman"/>
                <w:b w:val="0"/>
                <w:bCs w:val="0"/>
                <w:color w:val="auto"/>
                <w:sz w:val="21"/>
                <w:szCs w:val="21"/>
                <w:lang w:val="en-US" w:eastAsia="zh-CN"/>
              </w:rPr>
              <w:t>按重量</w:t>
            </w:r>
            <w:r>
              <w:rPr>
                <w:rFonts w:hint="default" w:ascii="Times New Roman" w:hAnsi="Times New Roman" w:cs="Times New Roman"/>
                <w:b w:val="0"/>
                <w:bCs w:val="0"/>
                <w:color w:val="auto"/>
                <w:sz w:val="21"/>
                <w:szCs w:val="21"/>
                <w:lang w:val="en-US" w:eastAsia="zh-CN"/>
              </w:rPr>
              <w:t>自动带锯</w:t>
            </w:r>
            <w:r>
              <w:rPr>
                <w:rFonts w:hint="default" w:ascii="Times New Roman" w:hAnsi="Times New Roman" w:eastAsia="宋体" w:cs="Times New Roman"/>
                <w:b w:val="0"/>
                <w:bCs w:val="0"/>
                <w:color w:val="auto"/>
                <w:sz w:val="21"/>
                <w:szCs w:val="21"/>
                <w:lang w:val="en-US" w:eastAsia="zh-CN"/>
              </w:rPr>
              <w:t>锯切，去多余的帽口和水口，自动带锯锯床使用</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eastAsia="宋体" w:cs="Times New Roman"/>
                <w:b w:val="0"/>
                <w:bCs w:val="0"/>
                <w:color w:val="auto"/>
                <w:sz w:val="21"/>
                <w:szCs w:val="21"/>
                <w:lang w:val="en-US" w:eastAsia="zh-CN"/>
              </w:rPr>
              <w:t>，设备内置</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eastAsia="宋体" w:cs="Times New Roman"/>
                <w:b w:val="0"/>
                <w:bCs w:val="0"/>
                <w:color w:val="auto"/>
                <w:sz w:val="21"/>
                <w:szCs w:val="21"/>
                <w:lang w:val="en-US" w:eastAsia="zh-CN"/>
              </w:rPr>
              <w:t>循环使用系统，</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eastAsia="宋体" w:cs="Times New Roman"/>
                <w:b w:val="0"/>
                <w:bCs w:val="0"/>
                <w:color w:val="auto"/>
                <w:sz w:val="21"/>
                <w:szCs w:val="21"/>
                <w:lang w:val="en-US" w:eastAsia="zh-CN"/>
              </w:rPr>
              <w:t>不与原料接触，然后将锯切的工料</w:t>
            </w:r>
            <w:r>
              <w:rPr>
                <w:rFonts w:hint="eastAsia" w:ascii="Times New Roman" w:hAnsi="Times New Roman" w:cs="Times New Roman"/>
                <w:b w:val="0"/>
                <w:bCs w:val="0"/>
                <w:color w:val="auto"/>
                <w:sz w:val="21"/>
                <w:szCs w:val="21"/>
                <w:lang w:val="en-US" w:eastAsia="zh-CN"/>
              </w:rPr>
              <w:t>经出料机、操作机</w:t>
            </w:r>
            <w:r>
              <w:rPr>
                <w:rFonts w:hint="default" w:ascii="Times New Roman" w:hAnsi="Times New Roman" w:eastAsia="宋体" w:cs="Times New Roman"/>
                <w:b w:val="0"/>
                <w:bCs w:val="0"/>
                <w:color w:val="auto"/>
                <w:sz w:val="21"/>
                <w:szCs w:val="21"/>
                <w:lang w:val="en-US" w:eastAsia="zh-CN"/>
              </w:rPr>
              <w:t>装入天然气加热炉中。</w:t>
            </w:r>
            <w:r>
              <w:rPr>
                <w:rFonts w:hint="default" w:ascii="Times New Roman" w:hAnsi="Times New Roman" w:cs="Times New Roman"/>
                <w:b w:val="0"/>
                <w:bCs w:val="0"/>
                <w:color w:val="auto"/>
                <w:sz w:val="21"/>
                <w:szCs w:val="21"/>
                <w:lang w:val="en-US" w:eastAsia="zh-CN"/>
              </w:rPr>
              <w:t>此过程产生</w:t>
            </w:r>
            <w:r>
              <w:rPr>
                <w:rFonts w:hint="eastAsia" w:ascii="Times New Roman" w:hAnsi="Times New Roman" w:cs="Times New Roman"/>
                <w:b w:val="0"/>
                <w:bCs w:val="0"/>
                <w:color w:val="auto"/>
                <w:sz w:val="21"/>
                <w:szCs w:val="21"/>
                <w:lang w:val="en-US" w:eastAsia="zh-CN"/>
              </w:rPr>
              <w:t>下料废气G1-1、</w:t>
            </w:r>
            <w:r>
              <w:rPr>
                <w:rFonts w:hint="default" w:ascii="Times New Roman" w:hAnsi="Times New Roman" w:cs="Times New Roman"/>
                <w:b w:val="0"/>
                <w:bCs w:val="0"/>
                <w:color w:val="auto"/>
                <w:sz w:val="21"/>
                <w:szCs w:val="21"/>
                <w:lang w:val="en-US" w:eastAsia="zh-CN"/>
              </w:rPr>
              <w:t>废下脚料S1-1。</w:t>
            </w:r>
          </w:p>
          <w:p w14:paraId="6A75E91D">
            <w:pPr>
              <w:numPr>
                <w:ilvl w:val="0"/>
                <w:numId w:val="0"/>
              </w:numPr>
              <w:spacing w:line="360" w:lineRule="auto"/>
              <w:ind w:left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（2）加热</w:t>
            </w:r>
            <w:r>
              <w:rPr>
                <w:rFonts w:hint="default" w:ascii="Times New Roman" w:hAnsi="Times New Roman" w:eastAsia="宋体" w:cs="Times New Roman"/>
                <w:b w:val="0"/>
                <w:bCs w:val="0"/>
                <w:color w:val="auto"/>
                <w:sz w:val="21"/>
                <w:szCs w:val="21"/>
                <w:lang w:val="en-US" w:eastAsia="zh-CN"/>
              </w:rPr>
              <w:t xml:space="preserve">  </w:t>
            </w:r>
          </w:p>
          <w:p w14:paraId="4E4A26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将自动带锯处理过的原料放入天然气加热炉中加热，天然气加热炉温度控制在1230-1260度</w:t>
            </w:r>
            <w:r>
              <w:rPr>
                <w:rFonts w:hint="default" w:ascii="Times New Roman" w:hAnsi="Times New Roman" w:eastAsia="宋体" w:cs="Times New Roman"/>
                <w:b w:val="0"/>
                <w:bCs w:val="0"/>
                <w:color w:val="auto"/>
                <w:sz w:val="21"/>
                <w:szCs w:val="21"/>
                <w:lang w:val="en-US" w:eastAsia="zh-CN"/>
              </w:rPr>
              <w:t>。此过程产生天然气燃烧废气G1-</w:t>
            </w:r>
            <w:r>
              <w:rPr>
                <w:rFonts w:hint="eastAsia" w:ascii="Times New Roman" w:hAnsi="Times New Roman"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w:t>
            </w:r>
          </w:p>
          <w:p w14:paraId="04905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（3）锻压</w:t>
            </w:r>
          </w:p>
          <w:p w14:paraId="61CF54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锻压温度控制在1180-1240度，使用专用机械抓手将加热过后的原材料放到铁毡上进行锻压，锻压设备为</w:t>
            </w:r>
            <w:r>
              <w:rPr>
                <w:rFonts w:hint="eastAsia" w:ascii="Times New Roman" w:hAnsi="Times New Roman" w:cs="Times New Roman"/>
                <w:b w:val="0"/>
                <w:bCs w:val="0"/>
                <w:color w:val="auto"/>
                <w:sz w:val="21"/>
                <w:szCs w:val="21"/>
                <w:lang w:val="en-US" w:eastAsia="zh-CN"/>
              </w:rPr>
              <w:t>电液锤</w:t>
            </w:r>
            <w:r>
              <w:rPr>
                <w:rFonts w:hint="default" w:ascii="Times New Roman" w:hAnsi="Times New Roman" w:eastAsia="宋体" w:cs="Times New Roman"/>
                <w:b w:val="0"/>
                <w:bCs w:val="0"/>
                <w:color w:val="auto"/>
                <w:sz w:val="21"/>
                <w:szCs w:val="21"/>
                <w:lang w:val="en-US" w:eastAsia="zh-CN"/>
              </w:rPr>
              <w:t>，最后精锻成型。此过程产生废氧化皮S1-2。</w:t>
            </w:r>
          </w:p>
          <w:p w14:paraId="34C1A394">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热处理：若客户订单要求进行热处理，则将锻造后的锻件放入电炉中进行加热处理，加热温度在800℃左右，具体加热温度及时间根据订单要求进行，热处理的作用是提高锻件的硬度和耐磨度，改善锻件工艺性能。如果客户未要求进行热处理，则锻造好的锻件直接进行冷却。</w:t>
            </w:r>
          </w:p>
          <w:p w14:paraId="1EB82975">
            <w:pPr>
              <w:numPr>
                <w:ilvl w:val="0"/>
                <w:numId w:val="0"/>
              </w:numPr>
              <w:spacing w:line="360" w:lineRule="auto"/>
              <w:ind w:left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5</w:t>
            </w:r>
            <w:r>
              <w:rPr>
                <w:rFonts w:hint="default" w:ascii="Times New Roman" w:hAnsi="Times New Roman" w:cs="Times New Roman"/>
                <w:b w:val="0"/>
                <w:bCs w:val="0"/>
                <w:color w:val="auto"/>
                <w:sz w:val="21"/>
                <w:szCs w:val="21"/>
                <w:lang w:val="en-US" w:eastAsia="zh-CN"/>
              </w:rPr>
              <w:t>）冷却</w:t>
            </w:r>
          </w:p>
          <w:p w14:paraId="7027FA75">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按要求室温冷却，或按要求锻后下水冷却（自来水水池30立方米，无循环），冷却到400度时移走。</w:t>
            </w:r>
          </w:p>
          <w:p w14:paraId="055DDD64">
            <w:pPr>
              <w:numPr>
                <w:ilvl w:val="0"/>
                <w:numId w:val="0"/>
              </w:numPr>
              <w:spacing w:line="360" w:lineRule="auto"/>
              <w:ind w:left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6</w:t>
            </w:r>
            <w:r>
              <w:rPr>
                <w:rFonts w:hint="default" w:ascii="Times New Roman" w:hAnsi="Times New Roman" w:cs="Times New Roman"/>
                <w:b w:val="0"/>
                <w:bCs w:val="0"/>
                <w:color w:val="auto"/>
                <w:sz w:val="21"/>
                <w:szCs w:val="21"/>
                <w:lang w:val="en-US" w:eastAsia="zh-CN"/>
              </w:rPr>
              <w:t>）机加工</w:t>
            </w:r>
          </w:p>
          <w:p w14:paraId="6F368335">
            <w:pPr>
              <w:pStyle w:val="17"/>
              <w:pageBreakBefore w:val="0"/>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按照产品要求，</w:t>
            </w:r>
            <w:r>
              <w:rPr>
                <w:rFonts w:hint="default" w:ascii="Times New Roman" w:hAnsi="Times New Roman" w:cs="Times New Roman"/>
                <w:color w:val="auto"/>
                <w:lang w:val="en-US" w:eastAsia="zh-CN"/>
              </w:rPr>
              <w:t>决定是否进行机加</w:t>
            </w:r>
            <w:r>
              <w:rPr>
                <w:rFonts w:hint="default" w:ascii="Times New Roman" w:hAnsi="Times New Roman" w:eastAsia="宋体" w:cs="Times New Roman"/>
                <w:b w:val="0"/>
                <w:bCs w:val="0"/>
                <w:color w:val="auto"/>
                <w:sz w:val="21"/>
                <w:szCs w:val="21"/>
                <w:lang w:val="en-US" w:eastAsia="zh-CN"/>
              </w:rPr>
              <w:t>工，</w:t>
            </w:r>
            <w:r>
              <w:rPr>
                <w:rFonts w:hint="eastAsia" w:ascii="Times New Roman" w:hAnsi="Times New Roman" w:eastAsia="宋体" w:cs="Times New Roman"/>
                <w:b w:val="0"/>
                <w:bCs w:val="0"/>
                <w:color w:val="auto"/>
                <w:sz w:val="21"/>
                <w:szCs w:val="21"/>
                <w:lang w:val="en-US" w:eastAsia="zh-CN"/>
              </w:rPr>
              <w:t>经过锯床、龙门铣、车床、立车进行机加工，机加工</w:t>
            </w:r>
            <w:r>
              <w:rPr>
                <w:rFonts w:hint="eastAsia" w:ascii="Times New Roman" w:hAnsi="Times New Roman" w:cs="Times New Roman"/>
                <w:b w:val="0"/>
                <w:bCs w:val="0"/>
                <w:color w:val="auto"/>
                <w:sz w:val="21"/>
                <w:szCs w:val="21"/>
                <w:lang w:val="en-US" w:eastAsia="zh-CN"/>
              </w:rPr>
              <w:t>过程中</w:t>
            </w:r>
            <w:r>
              <w:rPr>
                <w:rFonts w:hint="eastAsia" w:ascii="Times New Roman" w:hAnsi="Times New Roman" w:eastAsia="宋体" w:cs="Times New Roman"/>
                <w:b w:val="0"/>
                <w:bCs w:val="0"/>
                <w:color w:val="auto"/>
                <w:sz w:val="21"/>
                <w:szCs w:val="21"/>
                <w:lang w:val="en-US" w:eastAsia="zh-CN"/>
              </w:rPr>
              <w:t>会适当加入润滑油、切削液、液压油，</w:t>
            </w:r>
            <w:r>
              <w:rPr>
                <w:rFonts w:hint="eastAsia" w:ascii="Times New Roman" w:hAnsi="Times New Roman" w:cs="Times New Roman"/>
                <w:b w:val="0"/>
                <w:bCs w:val="0"/>
                <w:color w:val="auto"/>
                <w:sz w:val="21"/>
                <w:szCs w:val="21"/>
                <w:lang w:val="en-US" w:eastAsia="zh-CN"/>
              </w:rPr>
              <w:t>启到抑尘作用，故无金属颗粒物产生，只产生含油金属屑。</w:t>
            </w:r>
            <w:r>
              <w:rPr>
                <w:rFonts w:hint="default" w:ascii="Times New Roman" w:hAnsi="Times New Roman" w:eastAsia="宋体" w:cs="Times New Roman"/>
                <w:b w:val="0"/>
                <w:bCs w:val="0"/>
                <w:color w:val="auto"/>
                <w:sz w:val="21"/>
                <w:szCs w:val="21"/>
                <w:lang w:val="en-US" w:eastAsia="zh-CN"/>
              </w:rPr>
              <w:t>此</w:t>
            </w:r>
            <w:r>
              <w:rPr>
                <w:rFonts w:hint="eastAsia" w:ascii="Times New Roman" w:hAnsi="Times New Roman" w:eastAsia="宋体" w:cs="Times New Roman"/>
                <w:b w:val="0"/>
                <w:bCs w:val="0"/>
                <w:color w:val="auto"/>
                <w:sz w:val="21"/>
                <w:szCs w:val="21"/>
                <w:lang w:val="en-US" w:eastAsia="zh-CN"/>
              </w:rPr>
              <w:t>工序产生机加工有机废气（以非甲烷总烃计）G1-</w:t>
            </w:r>
            <w:r>
              <w:rPr>
                <w:rFonts w:hint="eastAsia" w:ascii="Times New Roman" w:hAnsi="Times New Roman"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lang w:val="en-US" w:eastAsia="zh-CN"/>
              </w:rPr>
              <w:t>、废边角料</w:t>
            </w:r>
            <w:r>
              <w:rPr>
                <w:rFonts w:hint="default" w:ascii="Times New Roman" w:hAnsi="Times New Roman" w:eastAsia="宋体" w:cs="Times New Roman"/>
                <w:b w:val="0"/>
                <w:bCs w:val="0"/>
                <w:color w:val="auto"/>
                <w:sz w:val="21"/>
                <w:szCs w:val="21"/>
                <w:lang w:val="en-US" w:eastAsia="zh-CN"/>
              </w:rPr>
              <w:t>S1-3</w:t>
            </w:r>
            <w:r>
              <w:rPr>
                <w:rFonts w:hint="eastAsia" w:ascii="Times New Roman" w:hAnsi="Times New Roman" w:eastAsia="宋体" w:cs="Times New Roman"/>
                <w:b w:val="0"/>
                <w:bCs w:val="0"/>
                <w:color w:val="auto"/>
                <w:sz w:val="21"/>
                <w:szCs w:val="21"/>
                <w:lang w:val="en-US" w:eastAsia="zh-CN"/>
              </w:rPr>
              <w:t>、废切削液S1-4</w:t>
            </w:r>
            <w:r>
              <w:rPr>
                <w:rFonts w:hint="eastAsia" w:ascii="Times New Roman" w:hAnsi="Times New Roman" w:cs="Times New Roman"/>
                <w:b w:val="0"/>
                <w:bCs w:val="0"/>
                <w:color w:val="auto"/>
                <w:sz w:val="21"/>
                <w:szCs w:val="21"/>
                <w:lang w:val="en-US" w:eastAsia="zh-CN"/>
              </w:rPr>
              <w:t>、含油金属屑S1-5</w:t>
            </w:r>
            <w:r>
              <w:rPr>
                <w:rFonts w:hint="default" w:ascii="Times New Roman" w:hAnsi="Times New Roman" w:eastAsia="宋体" w:cs="Times New Roman"/>
                <w:b w:val="0"/>
                <w:bCs w:val="0"/>
                <w:color w:val="auto"/>
                <w:sz w:val="21"/>
                <w:szCs w:val="21"/>
                <w:lang w:val="en-US" w:eastAsia="zh-CN"/>
              </w:rPr>
              <w:t>。</w:t>
            </w:r>
          </w:p>
          <w:p w14:paraId="7CD863E9">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7</w:t>
            </w:r>
            <w:r>
              <w:rPr>
                <w:rFonts w:hint="default" w:ascii="Times New Roman" w:hAnsi="Times New Roman" w:cs="Times New Roman"/>
                <w:b w:val="0"/>
                <w:bCs w:val="0"/>
                <w:color w:val="auto"/>
                <w:sz w:val="21"/>
                <w:szCs w:val="21"/>
                <w:lang w:val="en-US" w:eastAsia="zh-CN"/>
              </w:rPr>
              <w:t>）检验</w:t>
            </w:r>
          </w:p>
          <w:p w14:paraId="145E5D9D">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将产品进行卡尺检尺寸，超声波探伤</w:t>
            </w:r>
            <w:r>
              <w:rPr>
                <w:rFonts w:hint="eastAsia" w:ascii="Times New Roman" w:hAnsi="Times New Roman" w:cs="Times New Roman"/>
                <w:b w:val="0"/>
                <w:bCs w:val="0"/>
                <w:color w:val="auto"/>
                <w:sz w:val="21"/>
                <w:szCs w:val="21"/>
                <w:lang w:val="en-US" w:eastAsia="zh-CN"/>
              </w:rPr>
              <w:t>，其原理为：利用超声能透入金属材料的深处，并由一截面进入另一截面时，在界面边缘发生反射的特点来检查零件缺陷的一种方法。当超声波束自零件表面由探头通至金属内部，遇到缺陷与零件底面时就分别发生反射波，在荧光屏上形成脉冲波形，可以通过这些脉冲波形来判断缺陷位置和大小。</w:t>
            </w:r>
            <w:r>
              <w:rPr>
                <w:rFonts w:hint="default" w:ascii="Times New Roman" w:hAnsi="Times New Roman" w:cs="Times New Roman"/>
                <w:b w:val="0"/>
                <w:bCs w:val="0"/>
                <w:color w:val="auto"/>
                <w:sz w:val="21"/>
                <w:szCs w:val="21"/>
                <w:lang w:val="en-US" w:eastAsia="zh-CN"/>
              </w:rPr>
              <w:t>此过程产生不合格品S1-</w:t>
            </w:r>
            <w:r>
              <w:rPr>
                <w:rFonts w:hint="eastAsia" w:ascii="Times New Roman" w:hAnsi="Times New Roman" w:cs="Times New Roman"/>
                <w:b w:val="0"/>
                <w:bCs w:val="0"/>
                <w:color w:val="auto"/>
                <w:sz w:val="21"/>
                <w:szCs w:val="21"/>
                <w:lang w:val="en-US" w:eastAsia="zh-CN"/>
              </w:rPr>
              <w:t>6</w:t>
            </w:r>
            <w:r>
              <w:rPr>
                <w:rFonts w:hint="default" w:ascii="Times New Roman" w:hAnsi="Times New Roman" w:cs="Times New Roman"/>
                <w:b w:val="0"/>
                <w:bCs w:val="0"/>
                <w:color w:val="auto"/>
                <w:sz w:val="21"/>
                <w:szCs w:val="21"/>
                <w:lang w:val="en-US" w:eastAsia="zh-CN"/>
              </w:rPr>
              <w:t>。</w:t>
            </w:r>
          </w:p>
          <w:p w14:paraId="79176504">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8</w:t>
            </w:r>
            <w:r>
              <w:rPr>
                <w:rFonts w:hint="default" w:ascii="Times New Roman" w:hAnsi="Times New Roman" w:cs="Times New Roman"/>
                <w:b w:val="0"/>
                <w:bCs w:val="0"/>
                <w:color w:val="auto"/>
                <w:sz w:val="21"/>
                <w:szCs w:val="21"/>
                <w:lang w:val="en-US" w:eastAsia="zh-CN"/>
              </w:rPr>
              <w:t>）成品入库</w:t>
            </w:r>
          </w:p>
          <w:p w14:paraId="0C60FAC0">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合格产品按要求入库存放。</w:t>
            </w:r>
          </w:p>
          <w:p w14:paraId="7A51A72D">
            <w:pPr>
              <w:spacing w:line="360" w:lineRule="auto"/>
              <w:ind w:firstLine="422" w:firstLineChars="200"/>
              <w:rPr>
                <w:rFonts w:hint="default" w:ascii="Times New Roman" w:hAnsi="Times New Roman" w:cs="Times New Roman"/>
                <w:b/>
                <w:bCs/>
                <w:color w:val="auto"/>
                <w:sz w:val="21"/>
                <w:szCs w:val="21"/>
                <w:lang w:eastAsia="zh-CN"/>
              </w:rPr>
            </w:pPr>
          </w:p>
          <w:p w14:paraId="0DB30A1D">
            <w:pPr>
              <w:spacing w:line="360" w:lineRule="auto"/>
              <w:ind w:firstLine="422" w:firstLineChars="200"/>
              <w:rPr>
                <w:rFonts w:hint="default" w:ascii="Times New Roman" w:hAnsi="Times New Roman" w:cs="Times New Roman"/>
                <w:b/>
                <w:bCs/>
                <w:color w:val="auto"/>
                <w:sz w:val="21"/>
                <w:szCs w:val="21"/>
                <w:lang w:eastAsia="zh-CN"/>
              </w:rPr>
            </w:pPr>
          </w:p>
          <w:p w14:paraId="0142FEEA">
            <w:pPr>
              <w:spacing w:line="360" w:lineRule="auto"/>
              <w:ind w:firstLine="422" w:firstLineChars="200"/>
              <w:rPr>
                <w:rFonts w:hint="default" w:ascii="Times New Roman" w:hAnsi="Times New Roman" w:cs="Times New Roman"/>
                <w:b/>
                <w:bCs/>
                <w:color w:val="auto"/>
                <w:sz w:val="21"/>
                <w:szCs w:val="21"/>
                <w:lang w:eastAsia="zh-CN"/>
              </w:rPr>
            </w:pPr>
          </w:p>
          <w:p w14:paraId="4D8F4F8F">
            <w:pPr>
              <w:spacing w:line="360" w:lineRule="auto"/>
              <w:ind w:firstLine="422" w:firstLineChars="200"/>
              <w:rPr>
                <w:rFonts w:hint="default" w:ascii="Times New Roman" w:hAnsi="Times New Roman" w:cs="Times New Roman"/>
                <w:b/>
                <w:bCs/>
                <w:color w:val="auto"/>
                <w:sz w:val="21"/>
                <w:szCs w:val="21"/>
                <w:lang w:eastAsia="zh-CN"/>
              </w:rPr>
            </w:pPr>
          </w:p>
          <w:p w14:paraId="460780D7">
            <w:pPr>
              <w:spacing w:line="360" w:lineRule="auto"/>
              <w:ind w:firstLine="422" w:firstLineChars="200"/>
              <w:rPr>
                <w:rFonts w:hint="default" w:ascii="Times New Roman" w:hAnsi="Times New Roman" w:cs="Times New Roman"/>
                <w:b/>
                <w:bCs/>
                <w:color w:val="auto"/>
                <w:sz w:val="21"/>
                <w:szCs w:val="21"/>
                <w:lang w:eastAsia="zh-CN"/>
              </w:rPr>
            </w:pPr>
          </w:p>
          <w:p w14:paraId="33F17D49">
            <w:pPr>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模</w:t>
            </w:r>
            <w:r>
              <w:rPr>
                <w:rFonts w:hint="default" w:ascii="Times New Roman" w:hAnsi="Times New Roman" w:cs="Times New Roman"/>
                <w:b/>
                <w:bCs/>
                <w:color w:val="auto"/>
                <w:sz w:val="21"/>
                <w:szCs w:val="21"/>
                <w:lang w:eastAsia="zh-CN"/>
              </w:rPr>
              <w:t>锻</w:t>
            </w:r>
            <w:r>
              <w:rPr>
                <w:rFonts w:hint="default" w:ascii="Times New Roman" w:hAnsi="Times New Roman" w:cs="Times New Roman"/>
                <w:b/>
                <w:bCs/>
                <w:color w:val="auto"/>
                <w:sz w:val="21"/>
                <w:szCs w:val="21"/>
              </w:rPr>
              <w:t>生产工艺流程及产污节点图</w:t>
            </w:r>
          </w:p>
          <w:p w14:paraId="52C0E320">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rPr>
              <mc:AlternateContent>
                <mc:Choice Requires="wpc">
                  <w:drawing>
                    <wp:inline distT="0" distB="0" distL="114300" distR="114300">
                      <wp:extent cx="5252720" cy="4573270"/>
                      <wp:effectExtent l="0" t="0" r="0" b="0"/>
                      <wp:docPr id="1" name="画布 1"/>
                      <wp:cNvGraphicFramePr/>
                      <a:graphic xmlns:a="http://schemas.openxmlformats.org/drawingml/2006/main">
                        <a:graphicData uri="http://schemas.microsoft.com/office/word/2010/wordprocessingCanvas">
                          <wpc:wpc>
                            <wpc:bg/>
                            <wpc:whole/>
                            <wps:wsp>
                              <wps:cNvPr id="94" name="矩形 30"/>
                              <wps:cNvSpPr/>
                              <wps:spPr>
                                <a:xfrm>
                                  <a:off x="1335405" y="258445"/>
                                  <a:ext cx="142811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C912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矩形 44"/>
                              <wps:cNvSpPr/>
                              <wps:spPr>
                                <a:xfrm>
                                  <a:off x="1675130" y="12274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02D2E">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加热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矩形 45"/>
                              <wps:cNvSpPr/>
                              <wps:spPr>
                                <a:xfrm>
                                  <a:off x="1665605" y="17227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F0E2F">
                                    <w:pPr>
                                      <w:ind w:firstLine="210" w:firstLineChars="100"/>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模压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矩形 46"/>
                              <wps:cNvSpPr/>
                              <wps:spPr>
                                <a:xfrm>
                                  <a:off x="1656080" y="27133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0358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直接箭头连接符 95"/>
                              <wps:cNvCnPr>
                                <a:stCxn id="30" idx="2"/>
                              </wps:cNvCnPr>
                              <wps:spPr>
                                <a:xfrm flipH="1">
                                  <a:off x="2044065" y="525145"/>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99" name="直接箭头连接符 96"/>
                              <wps:cNvCnPr>
                                <a:stCxn id="44" idx="2"/>
                              </wps:cNvCnPr>
                              <wps:spPr>
                                <a:xfrm>
                                  <a:off x="2089785" y="1494155"/>
                                  <a:ext cx="1270"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0" name="直接箭头连接符 97"/>
                              <wps:cNvCnPr/>
                              <wps:spPr>
                                <a:xfrm>
                                  <a:off x="2110105" y="2045335"/>
                                  <a:ext cx="8255" cy="1822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1" name="直接箭头连接符 98"/>
                              <wps:cNvCnPr/>
                              <wps:spPr>
                                <a:xfrm>
                                  <a:off x="2118360" y="2989580"/>
                                  <a:ext cx="0" cy="2095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2" name="矩形 101"/>
                              <wps:cNvSpPr/>
                              <wps:spPr>
                                <a:xfrm>
                                  <a:off x="1665605" y="31896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1553B">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矩形 102"/>
                              <wps:cNvSpPr/>
                              <wps:spPr>
                                <a:xfrm>
                                  <a:off x="1665605" y="37039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6293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矩形 103"/>
                              <wps:cNvSpPr/>
                              <wps:spPr>
                                <a:xfrm>
                                  <a:off x="1713230" y="423989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8497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成品入库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 name="直接箭头连接符 105"/>
                              <wps:cNvCnPr>
                                <a:endCxn id="14" idx="0"/>
                              </wps:cNvCnPr>
                              <wps:spPr>
                                <a:xfrm>
                                  <a:off x="2119630" y="3978910"/>
                                  <a:ext cx="8255" cy="260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6" name="直接箭头连接符 106"/>
                              <wps:cNvCnPr/>
                              <wps:spPr>
                                <a:xfrm>
                                  <a:off x="2110105" y="3479165"/>
                                  <a:ext cx="8255" cy="2247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7" name="矩形 108"/>
                              <wps:cNvSpPr/>
                              <wps:spPr>
                                <a:xfrm>
                                  <a:off x="2884805" y="1275080"/>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074A7">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直接箭头连接符 110"/>
                              <wps:cNvCnPr/>
                              <wps:spPr>
                                <a:xfrm flipV="1">
                                  <a:off x="2602230" y="138176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26" name="直接箭头连接符 111"/>
                              <wps:cNvCnPr/>
                              <wps:spPr>
                                <a:xfrm>
                                  <a:off x="2532380" y="3351530"/>
                                  <a:ext cx="209550" cy="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33" name="矩形 120"/>
                              <wps:cNvSpPr/>
                              <wps:spPr>
                                <a:xfrm>
                                  <a:off x="4075430" y="3294380"/>
                                  <a:ext cx="828040" cy="71628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66B4C7B">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G：废气</w:t>
                                    </w:r>
                                  </w:p>
                                  <w:p w14:paraId="057C0EA7">
                                    <w:pPr>
                                      <w:jc w:val="center"/>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W：废水</w:t>
                                    </w:r>
                                  </w:p>
                                  <w:p w14:paraId="39C7AAF7">
                                    <w:pPr>
                                      <w:pStyle w:val="50"/>
                                      <w:ind w:firstLine="180" w:firstLineChars="10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S：固废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8" name="矩形 12"/>
                              <wps:cNvSpPr/>
                              <wps:spPr>
                                <a:xfrm>
                                  <a:off x="1684655" y="7512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AFB7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直接箭头连接符 13"/>
                              <wps:cNvCnPr/>
                              <wps:spPr>
                                <a:xfrm flipH="1">
                                  <a:off x="2065655" y="1008380"/>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60" name="直接箭头连接符 69"/>
                              <wps:cNvCnPr/>
                              <wps:spPr>
                                <a:xfrm flipV="1">
                                  <a:off x="2560955" y="934085"/>
                                  <a:ext cx="250825" cy="762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61" name="矩形 108"/>
                              <wps:cNvSpPr/>
                              <wps:spPr>
                                <a:xfrm>
                                  <a:off x="2846705" y="798830"/>
                                  <a:ext cx="77787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567B5">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G2-1、S2</w:t>
                                    </w:r>
                                    <w:r>
                                      <w:rPr>
                                        <w:rFonts w:hint="eastAsia" w:eastAsia="宋体"/>
                                        <w:color w:val="000000" w:themeColor="text1"/>
                                        <w:sz w:val="18"/>
                                        <w:szCs w:val="18"/>
                                        <w:lang w:val="en-US" w:eastAsia="zh-CN"/>
                                        <w14:textFill>
                                          <w14:solidFill>
                                            <w14:schemeClr w14:val="tx1"/>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2" name="直接箭头连接符 110"/>
                              <wps:cNvCnPr/>
                              <wps:spPr>
                                <a:xfrm flipV="1">
                                  <a:off x="2494280" y="184658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63" name="矩形 108"/>
                              <wps:cNvSpPr/>
                              <wps:spPr>
                                <a:xfrm>
                                  <a:off x="2856230" y="1722755"/>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D0D707">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S2-2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7" name="直接箭头连接符 110"/>
                              <wps:cNvCnPr/>
                              <wps:spPr>
                                <a:xfrm flipV="1">
                                  <a:off x="2513330" y="3856355"/>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69" name="矩形 108"/>
                              <wps:cNvSpPr/>
                              <wps:spPr>
                                <a:xfrm>
                                  <a:off x="2732405" y="3199130"/>
                                  <a:ext cx="1330325" cy="51435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041C7">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G2-3、G2-4、S2-3、S2-4、S2-5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0" name="矩形 108"/>
                              <wps:cNvSpPr/>
                              <wps:spPr>
                                <a:xfrm>
                                  <a:off x="2856230" y="3751580"/>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2D602">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S2-6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2" name="矩形 46"/>
                              <wps:cNvSpPr/>
                              <wps:spPr>
                                <a:xfrm>
                                  <a:off x="1665605" y="2227580"/>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8B46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3" name="直接箭头连接符 105"/>
                              <wps:cNvCnPr/>
                              <wps:spPr>
                                <a:xfrm flipH="1">
                                  <a:off x="2084705" y="2531110"/>
                                  <a:ext cx="6350" cy="1822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74" name="矩形 30"/>
                              <wps:cNvSpPr/>
                              <wps:spPr>
                                <a:xfrm>
                                  <a:off x="0" y="474980"/>
                                  <a:ext cx="1085215" cy="47625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562D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 name="矩形 12"/>
                              <wps:cNvSpPr/>
                              <wps:spPr>
                                <a:xfrm>
                                  <a:off x="74930" y="1160780"/>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139BF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6" name="直接箭头连接符 95"/>
                              <wps:cNvCnPr/>
                              <wps:spPr>
                                <a:xfrm flipH="1">
                                  <a:off x="455930" y="913130"/>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77" name="直接箭头连接符 95"/>
                              <wps:cNvCnPr/>
                              <wps:spPr>
                                <a:xfrm flipH="1">
                                  <a:off x="532130" y="1513205"/>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78" name="矩形 45"/>
                              <wps:cNvSpPr/>
                              <wps:spPr>
                                <a:xfrm>
                                  <a:off x="103505" y="1770380"/>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8D9C8">
                                    <w:pPr>
                                      <w:ind w:firstLine="210" w:firstLineChars="100"/>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模具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直接箭头连接符 95"/>
                              <wps:cNvCnPr/>
                              <wps:spPr>
                                <a:xfrm flipV="1">
                                  <a:off x="1033145" y="1902460"/>
                                  <a:ext cx="357505" cy="12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80" name="直接箭头连接符 110"/>
                              <wps:cNvCnPr/>
                              <wps:spPr>
                                <a:xfrm flipV="1">
                                  <a:off x="913130" y="1284605"/>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81" name="矩形 108"/>
                              <wps:cNvSpPr/>
                              <wps:spPr>
                                <a:xfrm>
                                  <a:off x="1113155" y="1065530"/>
                                  <a:ext cx="483235" cy="51371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B2A36">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G2-4、S2-7</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360.1pt;width:413.6pt;" coordsize="5252720,4573270" editas="canvas" o:gfxdata="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">
                      <o:lock v:ext="edit" aspectratio="f"/>
                      <v:shape id="_x0000_s1026" o:spid="_x0000_s1026" style="position:absolute;left:0;top:0;height:4573270;width:5252720;" filled="f" stroked="f" coordsize="21600,21600" o:gfxdata="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">
                        <v:fill on="f" focussize="0,0"/>
                        <v:stroke on="f"/>
                        <v:imagedata o:title=""/>
                        <o:lock v:ext="edit" aspectratio="f"/>
                      </v:shape>
                      <v:rect id="矩形 30" o:spid="_x0000_s1026" o:spt="1" style="position:absolute;left:1335405;top:258445;height:266700;width:142811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iN+xb&#10;1AAAAAUBAAAPAAAAAAAAAAEAIAAAACIAAABkcnMvZG93bnJldi54bWxQSwECFAAUAAAACACHTuJA&#10;CD+Zc14CAACjBAAADgAAAAAAAAABACAAAAAjAQAAZHJzL2Uyb0RvYy54bWxQSwUGAAAAAAYABgBZ&#10;AQAA8wUAAAAA&#10;">
                        <v:fill on="f" focussize="0,0"/>
                        <v:stroke on="f" weight="1pt"/>
                        <v:imagedata o:title=""/>
                        <o:lock v:ext="edit" aspectratio="f"/>
                        <v:textbox>
                          <w:txbxContent>
                            <w:p w14:paraId="09DC912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v:textbox>
                      </v:rect>
                      <v:rect id="矩形 44" o:spid="_x0000_s1026" o:spt="1" style="position:absolute;left:1675130;top:1227455;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EnNwTVAAAABQEAAA8AAAAAAAAAAQAgAAAAIgAAAGRycy9kb3ducmV2Lnht&#10;bFBLAQIUABQAAAAIAIdO4kDVCrFxbgIAAMwEAAAOAAAAAAAAAAEAIAAAACQBAABkcnMvZTJvRG9j&#10;LnhtbFBLBQYAAAAABgAGAFkBAAAEBgAAAAA=&#10;">
                        <v:fill on="f" focussize="0,0"/>
                        <v:stroke weight="1pt" color="#000000 [3213]" joinstyle="round"/>
                        <v:imagedata o:title=""/>
                        <o:lock v:ext="edit" aspectratio="f"/>
                        <v:textbox>
                          <w:txbxContent>
                            <w:p w14:paraId="49502D2E">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加热</w:t>
                              </w:r>
                            </w:p>
                          </w:txbxContent>
                        </v:textbox>
                      </v:rect>
                      <v:rect id="矩形 45" o:spid="_x0000_s1026" o:spt="1" style="position:absolute;left:1665605;top:1722755;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hJzcE1QAAAAUBAAAPAAAAAAAAAAEAIAAAACIAAABkcnMvZG93bnJldi54&#10;bWxQSwECFAAUAAAACACHTuJAu0xt428CAADMBAAADgAAAAAAAAABACAAAAAkAQAAZHJzL2Uyb0Rv&#10;Yy54bWxQSwUGAAAAAAYABgBZAQAABQYAAAAA&#10;">
                        <v:fill on="f" focussize="0,0"/>
                        <v:stroke weight="1pt" color="#000000 [3213]" joinstyle="round"/>
                        <v:imagedata o:title=""/>
                        <o:lock v:ext="edit" aspectratio="f"/>
                        <v:textbox>
                          <w:txbxContent>
                            <w:p w14:paraId="225F0E2F">
                              <w:pPr>
                                <w:ind w:firstLine="210" w:firstLineChars="100"/>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模压</w:t>
                              </w:r>
                            </w:p>
                          </w:txbxContent>
                        </v:textbox>
                      </v:rect>
                      <v:rect id="矩形 46" o:spid="_x0000_s1026" o:spt="1" style="position:absolute;left:1656080;top:2713355;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EnNwTVAAAABQEAAA8AAAAAAAAAAQAgAAAAIgAAAGRycy9kb3ducmV2&#10;LnhtbFBLAQIUABQAAAAIAIdO4kCDYGm9cQIAAMwEAAAOAAAAAAAAAAEAIAAAACQBAABkcnMvZTJv&#10;RG9jLnhtbFBLBQYAAAAABgAGAFkBAAAHBgAAAAA=&#10;">
                        <v:fill on="f" focussize="0,0"/>
                        <v:stroke weight="1pt" color="#000000 [3213]" joinstyle="round"/>
                        <v:imagedata o:title=""/>
                        <o:lock v:ext="edit" aspectratio="f"/>
                        <v:textbox>
                          <w:txbxContent>
                            <w:p w14:paraId="2620358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w:t>
                              </w:r>
                            </w:p>
                          </w:txbxContent>
                        </v:textbox>
                      </v:rect>
                      <v:shape id="直接箭头连接符 95" o:spid="_x0000_s1026" o:spt="32" type="#_x0000_t32" style="position:absolute;left:2044065;top:525145;flip:x;height:223520;width:5715;" filled="f" stroked="t" coordsize="21600,21600" o:gfxdata="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&#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MO+GS1QAAAAUBAAAPAAAAAAAAAAEAIAAAACIAAABk&#10;cnMvZG93bnJldi54bWxQSwECFAAUAAAACACHTuJABEP9/UICAABSBAAADgAAAAAAAAABACAAAAAk&#10;AQAAZHJzL2Uyb0RvYy54bWxQSwUGAAAAAAYABgBZAQAA2AUAAAAA&#10;">
                        <v:fill on="f" focussize="0,0"/>
                        <v:stroke color="#000000 [3200]" joinstyle="round" endarrow="open"/>
                        <v:imagedata o:title=""/>
                        <o:lock v:ext="edit" aspectratio="f"/>
                      </v:shape>
                      <v:shape id="直接箭头连接符 96" o:spid="_x0000_s1026" o:spt="32" type="#_x0000_t32" style="position:absolute;left:2089785;top:1494155;height:257175;width:1270;" filled="f" stroked="t" coordsize="21600,21600" o:gfxdata="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ZqpZ1AAAAAUBAAAPAAAAAAAAAAEAIAAAACIAAABkcnMvZG93&#10;bnJldi54bWxQSwECFAAUAAAACACHTuJAT4m7RT0CAABJBAAADgAAAAAAAAABACAAAAAjAQAAZHJz&#10;L2Uyb0RvYy54bWxQSwUGAAAAAAYABgBZAQAA0gUAAAAA&#10;">
                        <v:fill on="f" focussize="0,0"/>
                        <v:stroke color="#000000 [3200]" joinstyle="round" endarrow="open"/>
                        <v:imagedata o:title=""/>
                        <o:lock v:ext="edit" aspectratio="f"/>
                      </v:shape>
                      <v:shape id="直接箭头连接符 97" o:spid="_x0000_s1026" o:spt="32" type="#_x0000_t32" style="position:absolute;left:2110105;top:2045335;height:182245;width:8255;" filled="f" stroked="t" coordsize="21600,21600" o:gfxdata="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Y&#10;ZqpZ1AAAAAUBAAAPAAAAAAAAAAEAIAAAACIAAABkcnMvZG93bnJldi54bWxQSwECFAAUAAAACACH&#10;TuJAdRou8CgCAAAjBAAADgAAAAAAAAABACAAAAAjAQAAZHJzL2Uyb0RvYy54bWxQSwUGAAAAAAYA&#10;BgBZAQAAvQUAAAAA&#10;">
                        <v:fill on="f" focussize="0,0"/>
                        <v:stroke color="#000000 [3200]" joinstyle="round" endarrow="open"/>
                        <v:imagedata o:title=""/>
                        <o:lock v:ext="edit" aspectratio="f"/>
                      </v:shape>
                      <v:shape id="直接箭头连接符 98" o:spid="_x0000_s1026" o:spt="32" type="#_x0000_t32" style="position:absolute;left:2118360;top:2989580;height:209550;width:0;" filled="f" stroked="t" coordsize="21600,21600" o:gfxdata="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hm&#10;qlnUAAAABQEAAA8AAAAAAAAAAQAgAAAAIgAAAGRycy9kb3ducmV2LnhtbFBLAQIUABQAAAAIAIdO&#10;4kDCT+KFJwIAACAEAAAOAAAAAAAAAAEAIAAAACMBAABkcnMvZTJvRG9jLnhtbFBLBQYAAAAABgAG&#10;AFkBAAC8BQAAAAA=&#10;">
                        <v:fill on="f" focussize="0,0"/>
                        <v:stroke color="#000000 [3200]" joinstyle="round" endarrow="open"/>
                        <v:imagedata o:title=""/>
                        <o:lock v:ext="edit" aspectratio="f"/>
                      </v:shape>
                      <v:rect id="矩形 101" o:spid="_x0000_s1026" o:spt="1" style="position:absolute;left:1665605;top:3189605;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EnNwTVAAAABQEAAA8AAAAAAAAAAQAgAAAAIgAAAGRycy9kb3ducmV2Lnht&#10;bFBLAQIUABQAAAAIAIdO4kBPRgTybgIAAM4EAAAOAAAAAAAAAAEAIAAAACQBAABkcnMvZTJvRG9j&#10;LnhtbFBLBQYAAAAABgAGAFkBAAAEBgAAAAA=&#10;">
                        <v:fill on="f" focussize="0,0"/>
                        <v:stroke weight="1pt" color="#000000 [3213]" joinstyle="round"/>
                        <v:imagedata o:title=""/>
                        <o:lock v:ext="edit" aspectratio="f"/>
                        <v:textbox>
                          <w:txbxContent>
                            <w:p w14:paraId="3271553B">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v:textbox>
                      </v:rect>
                      <v:rect id="矩形 102" o:spid="_x0000_s1026" o:spt="1" style="position:absolute;left:1665605;top:3703955;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hJzcE1QAAAAUBAAAPAAAAAAAAAAEAIAAAACIAAABkcnMvZG93bnJl&#10;di54bWxQSwECFAAUAAAACACHTuJAy+9TFHICAADOBAAADgAAAAAAAAABACAAAAAkAQAAZHJzL2Uy&#10;b0RvYy54bWxQSwUGAAAAAAYABgBZAQAACAYAAAAA&#10;">
                        <v:fill on="f" focussize="0,0"/>
                        <v:stroke weight="1pt" color="#000000 [3213]" joinstyle="round"/>
                        <v:imagedata o:title=""/>
                        <o:lock v:ext="edit" aspectratio="f"/>
                        <v:textbox>
                          <w:txbxContent>
                            <w:p w14:paraId="08C6293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检验</w:t>
                              </w:r>
                            </w:p>
                          </w:txbxContent>
                        </v:textbox>
                      </v:rect>
                      <v:rect id="矩形 103" o:spid="_x0000_s1026" o:spt="1" style="position:absolute;left:1713230;top:4239895;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hJzcE1QAAAAUBAAAPAAAAAAAAAAEAIAAAACIAAABkcnMvZG93bnJl&#10;di54bWxQSwECFAAUAAAACACHTuJAat/tFHICAADOBAAADgAAAAAAAAABACAAAAAkAQAAZHJzL2Uy&#10;b0RvYy54bWxQSwUGAAAAAAYABgBZAQAACAYAAAAA&#10;">
                        <v:fill on="f" focussize="0,0"/>
                        <v:stroke weight="1pt" color="#000000 [3213]" joinstyle="round"/>
                        <v:imagedata o:title=""/>
                        <o:lock v:ext="edit" aspectratio="f"/>
                        <v:textbox>
                          <w:txbxContent>
                            <w:p w14:paraId="0128497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成品入库</w:t>
                              </w:r>
                            </w:p>
                          </w:txbxContent>
                        </v:textbox>
                      </v:rect>
                      <v:shape id="_x0000_s1026" o:spid="_x0000_s1026" o:spt="32" type="#_x0000_t32" style="position:absolute;left:2119630;top:3978910;height:260985;width:8255;" filled="f" stroked="t" coordsize="21600,21600" o:gfxdata="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hmqlnUAAAABQEAAA8AAAAAAAAAAQAgAAAAIgAAAGRycy9kb3du&#10;cmV2LnhtbFBLAQIUABQAAAAIAIdO4kCL0mBJPAIAAEwEAAAOAAAAAAAAAAEAIAAAACMBAABkcnMv&#10;ZTJvRG9jLnhtbFBLBQYAAAAABgAGAFkBAADRBQAAAAA=&#10;">
                        <v:fill on="f" focussize="0,0"/>
                        <v:stroke color="#000000 [3200]" joinstyle="round" endarrow="open"/>
                        <v:imagedata o:title=""/>
                        <o:lock v:ext="edit" aspectratio="f"/>
                      </v:shape>
                      <v:shape id="_x0000_s1026" o:spid="_x0000_s1026" o:spt="32" type="#_x0000_t32" style="position:absolute;left:2110105;top:3479165;height:224790;width:8255;" filled="f" stroked="t" coordsize="21600,21600" o:gfxdata="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GaqWdQAAAAFAQAADwAAAAAAAAABACAAAAAiAAAAZHJzL2Rvd25yZXYueG1sUEsBAhQAFAAAAAgA&#10;h07iQLWIwWkpAgAAJAQAAA4AAAAAAAAAAQAgAAAAIwEAAGRycy9lMm9Eb2MueG1sUEsFBgAAAAAG&#10;AAYAWQEAAL4FAAAAAA==&#10;">
                        <v:fill on="f" focussize="0,0"/>
                        <v:stroke color="#000000 [3200]" joinstyle="round" endarrow="open"/>
                        <v:imagedata o:title=""/>
                        <o:lock v:ext="edit" aspectratio="f"/>
                      </v:shape>
                      <v:rect id="矩形 108" o:spid="_x0000_s1026" o:spt="1" style="position:absolute;left:2884805;top:1275080;height:266700;width:48323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jfs&#10;W9QAAAAFAQAADwAAAAAAAAABACAAAAAiAAAAZHJzL2Rvd25yZXYueG1sUEsBAhQAFAAAAAgAh07i&#10;QA03gDtfAgAApQQAAA4AAAAAAAAAAQAgAAAAIwEAAGRycy9lMm9Eb2MueG1sUEsFBgAAAAAGAAYA&#10;WQEAAPQFAAAAAA==&#10;">
                        <v:fill on="f" focussize="0,0"/>
                        <v:stroke on="f" weight="1pt"/>
                        <v:imagedata o:title=""/>
                        <o:lock v:ext="edit" aspectratio="f"/>
                        <v:textbox>
                          <w:txbxContent>
                            <w:p w14:paraId="6EC074A7">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G2-1</w:t>
                              </w:r>
                            </w:p>
                          </w:txbxContent>
                        </v:textbox>
                      </v:rect>
                      <v:shape id="直接箭头连接符 110" o:spid="_x0000_s1026" o:spt="32" type="#_x0000_t32" style="position:absolute;left:2602230;top:1381760;flip:y;height:5715;width:285750;" filled="f" stroked="t" coordsize="21600,21600" o:gfxdata="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QLwU1QAAAAUBAAAPAAAAAAAAAAEAIAAAACIAAABkcnMvZG93bnJldi54bWxQSwEC&#10;FAAUAAAACACHTuJAP3nKCjACAAAtBAAADgAAAAAAAAABACAAAAAkAQAAZHJzL2Uyb0RvYy54bWxQ&#10;SwUGAAAAAAYABgBZAQAAxgUAAAAA&#10;">
                        <v:fill on="f" focussize="0,0"/>
                        <v:stroke color="#000000 [3200]" joinstyle="round" dashstyle="dash" endarrow="open"/>
                        <v:imagedata o:title=""/>
                        <o:lock v:ext="edit" aspectratio="f"/>
                      </v:shape>
                      <v:shape id="直接箭头连接符 111" o:spid="_x0000_s1026" o:spt="32" type="#_x0000_t32" style="position:absolute;left:2532380;top:3351530;height:0;width:209550;" filled="f" stroked="t" coordsize="21600,21600" o:gfxdata="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HO8StQAAAAFAQAADwAAAAAAAAABACAAAAAiAAAAZHJzL2Rvd25yZXYueG1sUEsBAhQAFAAAAAgA&#10;h07iQNxcy9YpAgAAIAQAAA4AAAAAAAAAAQAgAAAAIwEAAGRycy9lMm9Eb2MueG1sUEsFBgAAAAAG&#10;AAYAWQEAAL4FAAAAAA==&#10;">
                        <v:fill on="f" focussize="0,0"/>
                        <v:stroke color="#000000 [3200]" joinstyle="round" dashstyle="dash" endarrow="open"/>
                        <v:imagedata o:title=""/>
                        <o:lock v:ext="edit" aspectratio="f"/>
                      </v:shape>
                      <v:rect id="矩形 120" o:spid="_x0000_s1026" o:spt="1" style="position:absolute;left:4075430;top:3294380;height:716280;width:828040;v-text-anchor:middle;" filled="f" stroked="t" coordsize="21600,21600" o:gfxdata="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t/FydUAAAAFAQAADwAAAAAAAAABACAAAAAiAAAAZHJzL2Rvd25yZXYu&#10;eG1sUEsBAhQAFAAAAAgAh07iQCe5KXNwAgAA0AQAAA4AAAAAAAAAAQAgAAAAJAEAAGRycy9lMm9E&#10;b2MueG1sUEsFBgAAAAAGAAYAWQEAAAYGAAAAAA==&#10;">
                        <v:fill on="f" focussize="0,0"/>
                        <v:stroke weight="1pt" color="#000000 [3213]" joinstyle="round" dashstyle="3 1"/>
                        <v:imagedata o:title=""/>
                        <o:lock v:ext="edit" aspectratio="f"/>
                        <v:textbox>
                          <w:txbxContent>
                            <w:p w14:paraId="766B4C7B">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G：废气</w:t>
                              </w:r>
                            </w:p>
                            <w:p w14:paraId="057C0EA7">
                              <w:pPr>
                                <w:jc w:val="center"/>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W：废水</w:t>
                              </w:r>
                            </w:p>
                            <w:p w14:paraId="39C7AAF7">
                              <w:pPr>
                                <w:pStyle w:val="50"/>
                                <w:ind w:firstLine="180" w:firstLineChars="10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S：固废</w:t>
                              </w:r>
                            </w:p>
                          </w:txbxContent>
                        </v:textbox>
                      </v:rect>
                      <v:rect id="矩形 12" o:spid="_x0000_s1026" o:spt="1" style="position:absolute;left:1684655;top:751205;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EnNwTVAAAABQEAAA8AAAAAAAAAAQAgAAAAIgAAAGRycy9kb3ducmV2Lnht&#10;bFBLAQIUABQAAAAIAIdO4kCQKjIJbgIAAMwEAAAOAAAAAAAAAAEAIAAAACQBAABkcnMvZTJvRG9j&#10;LnhtbFBLBQYAAAAABgAGAFkBAAAEBgAAAAA=&#10;">
                        <v:fill on="f" focussize="0,0"/>
                        <v:stroke weight="1pt" color="#000000 [3213]" joinstyle="round"/>
                        <v:imagedata o:title=""/>
                        <o:lock v:ext="edit" aspectratio="f"/>
                        <v:textbox>
                          <w:txbxContent>
                            <w:p w14:paraId="56BAFB7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下料</w:t>
                              </w:r>
                            </w:p>
                          </w:txbxContent>
                        </v:textbox>
                      </v:rect>
                      <v:shape id="直接箭头连接符 13" o:spid="_x0000_s1026" o:spt="32" type="#_x0000_t32" style="position:absolute;left:2065655;top:1008380;flip:x;height:223520;width:5715;" filled="f" stroked="t" coordsize="21600,21600" o:gfxdata="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GS1QAAAAUBAAAPAAAAAAAAAAEAIAAAACIAAABkcnMvZG93bnJldi54bWxQSwEC&#10;FAAUAAAACACHTuJAt38JAjACAAAtBAAADgAAAAAAAAABACAAAAAkAQAAZHJzL2Uyb0RvYy54bWxQ&#10;SwUGAAAAAAYABgBZAQAAxgUAAAAA&#10;">
                        <v:fill on="f" focussize="0,0"/>
                        <v:stroke color="#000000 [3200]" joinstyle="round" endarrow="open"/>
                        <v:imagedata o:title=""/>
                        <o:lock v:ext="edit" aspectratio="f"/>
                      </v:shape>
                      <v:shape id="直接箭头连接符 69" o:spid="_x0000_s1026" o:spt="32" type="#_x0000_t32" style="position:absolute;left:2560955;top:934085;flip:y;height:7620;width:250825;" filled="f" stroked="t" coordsize="21600,21600" o:gfxdata="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EC8FNUAAAAFAQAADwAAAAAAAAABACAAAAAiAAAAZHJzL2Rvd25yZXYueG1sUEsBAhQA&#10;FAAAAAgAh07iQBDaaLkuAgAAKwQAAA4AAAAAAAAAAQAgAAAAJAEAAGRycy9lMm9Eb2MueG1sUEsF&#10;BgAAAAAGAAYAWQEAAMQFAAAAAA==&#10;">
                        <v:fill on="f" focussize="0,0"/>
                        <v:stroke color="#000000 [3200]" joinstyle="round" dashstyle="dash" endarrow="open"/>
                        <v:imagedata o:title=""/>
                        <o:lock v:ext="edit" aspectratio="f"/>
                      </v:shape>
                      <v:rect id="矩形 108" o:spid="_x0000_s1026" o:spt="1" style="position:absolute;left:2846705;top:798830;height:266700;width:77787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iN+xb&#10;1AAAAAUBAAAPAAAAAAAAAAEAIAAAACIAAABkcnMvZG93bnJldi54bWxQSwECFAAUAAAACACHTuJA&#10;CtRhDl4CAACkBAAADgAAAAAAAAABACAAAAAjAQAAZHJzL2Uyb0RvYy54bWxQSwUGAAAAAAYABgBZ&#10;AQAA8wUAAAAA&#10;">
                        <v:fill on="f" focussize="0,0"/>
                        <v:stroke on="f" weight="1pt"/>
                        <v:imagedata o:title=""/>
                        <o:lock v:ext="edit" aspectratio="f"/>
                        <v:textbox>
                          <w:txbxContent>
                            <w:p w14:paraId="6E0567B5">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G2-1、S2</w:t>
                              </w:r>
                              <w:r>
                                <w:rPr>
                                  <w:rFonts w:hint="eastAsia" w:eastAsia="宋体"/>
                                  <w:color w:val="000000" w:themeColor="text1"/>
                                  <w:sz w:val="18"/>
                                  <w:szCs w:val="18"/>
                                  <w:lang w:val="en-US" w:eastAsia="zh-CN"/>
                                  <w14:textFill>
                                    <w14:solidFill>
                                      <w14:schemeClr w14:val="tx1"/>
                                    </w14:solidFill>
                                  </w14:textFill>
                                </w:rPr>
                                <w:t>-1</w:t>
                              </w:r>
                            </w:p>
                          </w:txbxContent>
                        </v:textbox>
                      </v:rect>
                      <v:shape id="直接箭头连接符 110" o:spid="_x0000_s1026" o:spt="32" type="#_x0000_t32" style="position:absolute;left:2494280;top:1846580;flip:y;height:5715;width:285750;" filled="f" stroked="t" coordsize="21600,21600" o:gfxdata="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QLwU1QAAAAUBAAAPAAAAAAAAAAEAIAAAACIAAABkcnMvZG93bnJldi54bWxQSwEC&#10;FAAUAAAACACHTuJAM/88QTACAAAtBAAADgAAAAAAAAABACAAAAAkAQAAZHJzL2Uyb0RvYy54bWxQ&#10;SwUGAAAAAAYABgBZAQAAxgUAAAAA&#10;">
                        <v:fill on="f" focussize="0,0"/>
                        <v:stroke color="#000000 [3200]" joinstyle="round" dashstyle="dash" endarrow="open"/>
                        <v:imagedata o:title=""/>
                        <o:lock v:ext="edit" aspectratio="f"/>
                      </v:shape>
                      <v:rect id="矩形 108" o:spid="_x0000_s1026" o:spt="1" style="position:absolute;left:2856230;top:1722755;height:266700;width:48323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i&#10;N+xb1AAAAAUBAAAPAAAAAAAAAAEAIAAAACIAAABkcnMvZG93bnJldi54bWxQSwECFAAUAAAACACH&#10;TuJAfBfjDWECAAClBAAADgAAAAAAAAABACAAAAAjAQAAZHJzL2Uyb0RvYy54bWxQSwUGAAAAAAYA&#10;BgBZAQAA9gUAAAAA&#10;">
                        <v:fill on="f" focussize="0,0"/>
                        <v:stroke on="f" weight="1pt"/>
                        <v:imagedata o:title=""/>
                        <o:lock v:ext="edit" aspectratio="f"/>
                        <v:textbox>
                          <w:txbxContent>
                            <w:p w14:paraId="1ED0D707">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S2-2</w:t>
                              </w:r>
                            </w:p>
                          </w:txbxContent>
                        </v:textbox>
                      </v:rect>
                      <v:shape id="直接箭头连接符 110" o:spid="_x0000_s1026" o:spt="32" type="#_x0000_t32" style="position:absolute;left:2513330;top:3856355;flip:y;height:5715;width:285750;" filled="f" stroked="t" coordsize="21600,21600" o:gfxdata="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AvBTVAAAABQEAAA8AAAAAAAAAAQAgAAAAIgAAAGRycy9kb3ducmV2LnhtbFBL&#10;AQIUABQAAAAIAIdO4kAbEda4MgIAAC0EAAAOAAAAAAAAAAEAIAAAACQBAABkcnMvZTJvRG9jLnht&#10;bFBLBQYAAAAABgAGAFkBAADIBQAAAAA=&#10;">
                        <v:fill on="f" focussize="0,0"/>
                        <v:stroke color="#000000 [3200]" joinstyle="round" dashstyle="dash" endarrow="open"/>
                        <v:imagedata o:title=""/>
                        <o:lock v:ext="edit" aspectratio="f"/>
                      </v:shape>
                      <v:rect id="矩形 108" o:spid="_x0000_s1026" o:spt="1" style="position:absolute;left:2732405;top:3199130;height:514350;width:133032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jfsW9QAAAAFAQAADwAAAAAAAAABACAAAAAiAAAAZHJzL2Rvd25yZXYueG1sUEsBAhQAFAAAAAgA&#10;h07iQNJH8pJiAgAApgQAAA4AAAAAAAAAAQAgAAAAIwEAAGRycy9lMm9Eb2MueG1sUEsFBgAAAAAG&#10;AAYAWQEAAPcFAAAAAA==&#10;">
                        <v:fill on="f" focussize="0,0"/>
                        <v:stroke on="f" weight="1pt"/>
                        <v:imagedata o:title=""/>
                        <o:lock v:ext="edit" aspectratio="f"/>
                        <v:textbox>
                          <w:txbxContent>
                            <w:p w14:paraId="270041C7">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G2-3、G2-4、S2-3、S2-4、S2-5</w:t>
                              </w:r>
                            </w:p>
                          </w:txbxContent>
                        </v:textbox>
                      </v:rect>
                      <v:rect id="矩形 108" o:spid="_x0000_s1026" o:spt="1" style="position:absolute;left:2856230;top:3751580;height:266700;width:48323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I3&#10;7FvUAAAABQEAAA8AAAAAAAAAAQAgAAAAIgAAAGRycy9kb3ducmV2LnhtbFBLAQIUABQAAAAIAIdO&#10;4kCt8m9OYAIAAKUEAAAOAAAAAAAAAAEAIAAAACMBAABkcnMvZTJvRG9jLnhtbFBLBQYAAAAABgAG&#10;AFkBAAD1BQAAAAA=&#10;">
                        <v:fill on="f" focussize="0,0"/>
                        <v:stroke on="f" weight="1pt"/>
                        <v:imagedata o:title=""/>
                        <o:lock v:ext="edit" aspectratio="f"/>
                        <v:textbox>
                          <w:txbxContent>
                            <w:p w14:paraId="72D2D602">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S2-6</w:t>
                              </w:r>
                            </w:p>
                          </w:txbxContent>
                        </v:textbox>
                      </v:rect>
                      <v:rect id="矩形 46" o:spid="_x0000_s1026" o:spt="1" style="position:absolute;left:1665605;top:2227580;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EnNwTVAAAABQEAAA8AAAAAAAAAAQAgAAAAIgAAAGRycy9kb3ducmV2Lnht&#10;bFBLAQIUABQAAAAIAIdO4kBDGi1/bgIAAM0EAAAOAAAAAAAAAAEAIAAAACQBAABkcnMvZTJvRG9j&#10;LnhtbFBLBQYAAAAABgAGAFkBAAAEBgAAAAA=&#10;">
                        <v:fill on="f" focussize="0,0"/>
                        <v:stroke weight="1pt" color="#000000 [3213]" joinstyle="round"/>
                        <v:imagedata o:title=""/>
                        <o:lock v:ext="edit" aspectratio="f"/>
                        <v:textbox>
                          <w:txbxContent>
                            <w:p w14:paraId="3C48B46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热处理</w:t>
                              </w:r>
                            </w:p>
                          </w:txbxContent>
                        </v:textbox>
                      </v:rect>
                      <v:shape id="直接箭头连接符 105" o:spid="_x0000_s1026" o:spt="32" type="#_x0000_t32" style="position:absolute;left:2084705;top:2531110;flip:x;height:182245;width:6350;" filled="f" stroked="t" coordsize="21600,21600" o:gfxdata="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w74ZLVAAAABQEAAA8AAAAAAAAAAQAgAAAAIgAAAGRycy9kb3ducmV2LnhtbFBL&#10;AQIUABQAAAAIAIdO4kB73QixMgIAAC4EAAAOAAAAAAAAAAEAIAAAACQBAABkcnMvZTJvRG9jLnht&#10;bFBLBQYAAAAABgAGAFkBAADIBQAAAAA=&#10;">
                        <v:fill on="f" focussize="0,0"/>
                        <v:stroke color="#000000 [3200]" joinstyle="round" endarrow="open"/>
                        <v:imagedata o:title=""/>
                        <o:lock v:ext="edit" aspectratio="f"/>
                      </v:shape>
                      <v:rect id="矩形 30" o:spid="_x0000_s1026" o:spt="1" style="position:absolute;left:0;top:474980;height:476250;width:108521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jfsW9QAAAAF&#10;AQAADwAAAAAAAAABACAAAAAiAAAAZHJzL2Rvd25yZXYueG1sUEsBAhQAFAAAAAgAh07iQPDY01lZ&#10;AgAAngQAAA4AAAAAAAAAAQAgAAAAIwEAAGRycy9lMm9Eb2MueG1sUEsFBgAAAAAGAAYAWQEAAO4F&#10;AAAAAA==&#10;">
                        <v:fill on="f" focussize="0,0"/>
                        <v:stroke on="f" weight="1pt"/>
                        <v:imagedata o:title=""/>
                        <o:lock v:ext="edit" aspectratio="f"/>
                        <v:textbox>
                          <w:txbxContent>
                            <w:p w14:paraId="124562D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v:textbox>
                      </v:rect>
                      <v:rect id="矩形 12" o:spid="_x0000_s1026" o:spt="1" style="position:absolute;left:74930;top:1160780;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hJzcE1QAAAAUBAAAPAAAAAAAAAAEAIAAAACIAAABkcnMvZG93bnJldi54bWxQ&#10;SwECFAAUAAAACACHTuJAEN5LAGwCAADLBAAADgAAAAAAAAABACAAAAAkAQAAZHJzL2Uyb0RvYy54&#10;bWxQSwUGAAAAAAYABgBZAQAAAgYAAAAA&#10;">
                        <v:fill on="f" focussize="0,0"/>
                        <v:stroke weight="1pt" color="#000000 [3213]" joinstyle="round"/>
                        <v:imagedata o:title=""/>
                        <o:lock v:ext="edit" aspectratio="f"/>
                        <v:textbox>
                          <w:txbxContent>
                            <w:p w14:paraId="76139BF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v:textbox>
                      </v:rect>
                      <v:shape id="直接箭头连接符 95" o:spid="_x0000_s1026" o:spt="32" type="#_x0000_t32" style="position:absolute;left:455930;top:913130;flip:x;height:223520;width:5715;" filled="f" stroked="t" coordsize="21600,21600" o:gfxdata="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w74ZLVAAAABQEAAA8AAAAAAAAAAQAgAAAAIgAAAGRycy9kb3ducmV2LnhtbFBLAQIU&#10;ABQAAAAIAIdO4kAB0SZ4LwIAACsEAAAOAAAAAAAAAAEAIAAAACQBAABkcnMvZTJvRG9jLnhtbFBL&#10;BQYAAAAABgAGAFkBAADFBQAAAAA=&#10;">
                        <v:fill on="f" focussize="0,0"/>
                        <v:stroke color="#000000 [3200]" joinstyle="round" endarrow="open"/>
                        <v:imagedata o:title=""/>
                        <o:lock v:ext="edit" aspectratio="f"/>
                      </v:shape>
                      <v:shape id="直接箭头连接符 95" o:spid="_x0000_s1026" o:spt="32" type="#_x0000_t32" style="position:absolute;left:532130;top:1513205;flip:x;height:223520;width:5715;" filled="f" stroked="t" coordsize="21600,21600" o:gfxdata="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GS1QAAAAUBAAAPAAAAAAAAAAEAIAAAACIAAABkcnMvZG93bnJldi54bWxQSwEC&#10;FAAUAAAACACHTuJA6yKjWjACAAAsBAAADgAAAAAAAAABACAAAAAkAQAAZHJzL2Uyb0RvYy54bWxQ&#10;SwUGAAAAAAYABgBZAQAAxgUAAAAA&#10;">
                        <v:fill on="f" focussize="0,0"/>
                        <v:stroke color="#000000 [3200]" joinstyle="round" endarrow="open"/>
                        <v:imagedata o:title=""/>
                        <o:lock v:ext="edit" aspectratio="f"/>
                      </v:shape>
                      <v:rect id="矩形 45" o:spid="_x0000_s1026" o:spt="1" style="position:absolute;left:103505;top:1770380;height:266700;width:828675;v-text-anchor:middle;" filled="f" stroked="t" coordsize="21600,21600" o:gfxdata="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hJzcE1QAAAAUBAAAPAAAAAAAAAAEAIAAAACIAAABkcnMvZG93bnJldi54bWxQ&#10;SwECFAAUAAAACACHTuJAWvCgZWwCAADMBAAADgAAAAAAAAABACAAAAAkAQAAZHJzL2Uyb0RvYy54&#10;bWxQSwUGAAAAAAYABgBZAQAAAgYAAAAA&#10;">
                        <v:fill on="f" focussize="0,0"/>
                        <v:stroke weight="1pt" color="#000000 [3213]" joinstyle="round"/>
                        <v:imagedata o:title=""/>
                        <o:lock v:ext="edit" aspectratio="f"/>
                        <v:textbox>
                          <w:txbxContent>
                            <w:p w14:paraId="5218D9C8">
                              <w:pPr>
                                <w:ind w:firstLine="210" w:firstLineChars="100"/>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模具</w:t>
                              </w:r>
                            </w:p>
                          </w:txbxContent>
                        </v:textbox>
                      </v:rect>
                      <v:shape id="直接箭头连接符 95" o:spid="_x0000_s1026" o:spt="32" type="#_x0000_t32" style="position:absolute;left:1033145;top:1902460;flip:y;height:1270;width:357505;" filled="f" stroked="t" coordsize="21600,21600" o:gfxdata="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GS1QAAAAUBAAAPAAAAAAAAAAEAIAAAACIAAABkcnMvZG93bnJldi54bWxQSwEC&#10;FAAUAAAACACHTuJAoTS2QjACAAAtBAAADgAAAAAAAAABACAAAAAkAQAAZHJzL2Uyb0RvYy54bWxQ&#10;SwUGAAAAAAYABgBZAQAAxgUAAAAA&#10;">
                        <v:fill on="f" focussize="0,0"/>
                        <v:stroke color="#000000 [3200]" joinstyle="round" endarrow="open"/>
                        <v:imagedata o:title=""/>
                        <o:lock v:ext="edit" aspectratio="f"/>
                      </v:shape>
                      <v:shape id="直接箭头连接符 110" o:spid="_x0000_s1026" o:spt="32" type="#_x0000_t32" style="position:absolute;left:913130;top:1284605;flip:y;height:5715;width:285750;" filled="f" stroked="t" coordsize="21600,21600" o:gfxdata="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QLwU1QAAAAUBAAAPAAAAAAAAAAEAIAAAACIAAABkcnMvZG93bnJldi54bWxQSwEC&#10;FAAUAAAACACHTuJAp0IJtjACAAAsBAAADgAAAAAAAAABACAAAAAkAQAAZHJzL2Uyb0RvYy54bWxQ&#10;SwUGAAAAAAYABgBZAQAAxgUAAAAA&#10;">
                        <v:fill on="f" focussize="0,0"/>
                        <v:stroke color="#000000 [3200]" joinstyle="round" dashstyle="dash" endarrow="open"/>
                        <v:imagedata o:title=""/>
                        <o:lock v:ext="edit" aspectratio="f"/>
                      </v:shape>
                      <v:rect id="矩形 108" o:spid="_x0000_s1026" o:spt="1" style="position:absolute;left:1113155;top:1065530;height:513715;width:483235;v-text-anchor:middle;" filled="f" stroked="f" coordsize="21600,21600" o:gfxdata="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jfs&#10;W9QAAAAFAQAADwAAAAAAAAABACAAAAAiAAAAZHJzL2Rvd25yZXYueG1sUEsBAhQAFAAAAAgAh07i&#10;QKh9BvxfAgAApQQAAA4AAAAAAAAAAQAgAAAAIwEAAGRycy9lMm9Eb2MueG1sUEsFBgAAAAAGAAYA&#10;WQEAAPQFAAAAAA==&#10;">
                        <v:fill on="f" focussize="0,0"/>
                        <v:stroke on="f" weight="1pt"/>
                        <v:imagedata o:title=""/>
                        <o:lock v:ext="edit" aspectratio="f"/>
                        <v:textbox>
                          <w:txbxContent>
                            <w:p w14:paraId="55CB2A36">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G2-4、S2-7</w:t>
                              </w:r>
                            </w:p>
                          </w:txbxContent>
                        </v:textbox>
                      </v:rect>
                      <w10:wrap type="none"/>
                      <w10:anchorlock/>
                    </v:group>
                  </w:pict>
                </mc:Fallback>
              </mc:AlternateContent>
            </w:r>
          </w:p>
          <w:p w14:paraId="271D9604">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图2-</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模</w:t>
            </w:r>
            <w:r>
              <w:rPr>
                <w:rFonts w:hint="default" w:ascii="Times New Roman" w:hAnsi="Times New Roman" w:cs="Times New Roman"/>
                <w:b/>
                <w:bCs/>
                <w:color w:val="auto"/>
                <w:sz w:val="21"/>
                <w:szCs w:val="21"/>
                <w:lang w:val="en-US" w:eastAsia="zh-CN"/>
              </w:rPr>
              <w:t>锻</w:t>
            </w:r>
            <w:r>
              <w:rPr>
                <w:rFonts w:hint="default" w:ascii="Times New Roman" w:hAnsi="Times New Roman" w:cs="Times New Roman"/>
                <w:b/>
                <w:bCs/>
                <w:color w:val="auto"/>
                <w:sz w:val="21"/>
                <w:szCs w:val="21"/>
              </w:rPr>
              <w:t>生产工艺及产污节点图</w:t>
            </w:r>
          </w:p>
          <w:p w14:paraId="6F296C5F">
            <w:pPr>
              <w:spacing w:line="360" w:lineRule="auto"/>
              <w:ind w:firstLine="422" w:firstLineChars="200"/>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模</w:t>
            </w:r>
            <w:r>
              <w:rPr>
                <w:rFonts w:hint="default" w:ascii="Times New Roman" w:hAnsi="Times New Roman" w:cs="Times New Roman"/>
                <w:b/>
                <w:bCs/>
                <w:color w:val="auto"/>
                <w:sz w:val="21"/>
                <w:szCs w:val="21"/>
                <w:lang w:val="en-US" w:eastAsia="zh-CN"/>
              </w:rPr>
              <w:t>锻</w:t>
            </w:r>
            <w:r>
              <w:rPr>
                <w:rFonts w:hint="default" w:ascii="Times New Roman" w:hAnsi="Times New Roman" w:cs="Times New Roman"/>
                <w:b/>
                <w:bCs/>
                <w:color w:val="auto"/>
                <w:sz w:val="21"/>
                <w:szCs w:val="21"/>
              </w:rPr>
              <w:t>生产工艺流程及产污环节简述</w:t>
            </w:r>
            <w:r>
              <w:rPr>
                <w:rFonts w:hint="default" w:ascii="Times New Roman" w:hAnsi="Times New Roman" w:cs="Times New Roman"/>
                <w:b/>
                <w:bCs/>
                <w:color w:val="auto"/>
                <w:sz w:val="21"/>
                <w:szCs w:val="21"/>
                <w:lang w:val="en-US" w:eastAsia="zh-CN"/>
              </w:rPr>
              <w:t xml:space="preserve"> </w:t>
            </w:r>
          </w:p>
          <w:p w14:paraId="090D1B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val="0"/>
                <w:bCs w:val="0"/>
                <w:color w:val="auto"/>
                <w:sz w:val="21"/>
                <w:szCs w:val="21"/>
                <w:lang w:val="en-US" w:eastAsia="zh-CN"/>
              </w:rPr>
              <w:t>（1）下料</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 xml:space="preserve"> </w:t>
            </w:r>
          </w:p>
          <w:p w14:paraId="2F454AAA">
            <w:pPr>
              <w:numPr>
                <w:ilvl w:val="0"/>
                <w:numId w:val="0"/>
              </w:numPr>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根据工艺要求将</w:t>
            </w:r>
            <w:r>
              <w:rPr>
                <w:rFonts w:hint="eastAsia" w:ascii="Times New Roman" w:hAnsi="Times New Roman" w:cs="Times New Roman"/>
                <w:b w:val="0"/>
                <w:bCs w:val="0"/>
                <w:color w:val="auto"/>
                <w:sz w:val="21"/>
                <w:szCs w:val="21"/>
                <w:lang w:val="en-US" w:eastAsia="zh-CN"/>
              </w:rPr>
              <w:t>钢锭、元钢、方钢</w:t>
            </w:r>
            <w:r>
              <w:rPr>
                <w:rFonts w:hint="default" w:ascii="Times New Roman" w:hAnsi="Times New Roman" w:eastAsia="宋体" w:cs="Times New Roman"/>
                <w:b w:val="0"/>
                <w:bCs w:val="0"/>
                <w:color w:val="auto"/>
                <w:sz w:val="21"/>
                <w:szCs w:val="21"/>
                <w:lang w:val="en-US" w:eastAsia="zh-CN"/>
              </w:rPr>
              <w:t>按重量</w:t>
            </w:r>
            <w:r>
              <w:rPr>
                <w:rFonts w:hint="default" w:ascii="Times New Roman" w:hAnsi="Times New Roman" w:cs="Times New Roman"/>
                <w:b w:val="0"/>
                <w:bCs w:val="0"/>
                <w:color w:val="auto"/>
                <w:sz w:val="21"/>
                <w:szCs w:val="21"/>
                <w:lang w:val="en-US" w:eastAsia="zh-CN"/>
              </w:rPr>
              <w:t>自动带锯</w:t>
            </w:r>
            <w:r>
              <w:rPr>
                <w:rFonts w:hint="default" w:ascii="Times New Roman" w:hAnsi="Times New Roman" w:eastAsia="宋体" w:cs="Times New Roman"/>
                <w:b w:val="0"/>
                <w:bCs w:val="0"/>
                <w:color w:val="auto"/>
                <w:sz w:val="21"/>
                <w:szCs w:val="21"/>
                <w:lang w:val="en-US" w:eastAsia="zh-CN"/>
              </w:rPr>
              <w:t>锯切，</w:t>
            </w:r>
            <w:r>
              <w:rPr>
                <w:rFonts w:hint="default" w:ascii="Times New Roman" w:hAnsi="Times New Roman" w:cs="Times New Roman"/>
                <w:b w:val="0"/>
                <w:bCs w:val="0"/>
                <w:color w:val="auto"/>
                <w:sz w:val="21"/>
                <w:szCs w:val="21"/>
                <w:lang w:val="en-US" w:eastAsia="zh-CN"/>
              </w:rPr>
              <w:t>去多余的帽口和水口，自动带锯锯床使用</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cs="Times New Roman"/>
                <w:b w:val="0"/>
                <w:bCs w:val="0"/>
                <w:color w:val="auto"/>
                <w:sz w:val="21"/>
                <w:szCs w:val="21"/>
                <w:lang w:val="en-US" w:eastAsia="zh-CN"/>
              </w:rPr>
              <w:t>，设备内置</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cs="Times New Roman"/>
                <w:b w:val="0"/>
                <w:bCs w:val="0"/>
                <w:color w:val="auto"/>
                <w:sz w:val="21"/>
                <w:szCs w:val="21"/>
                <w:lang w:val="en-US" w:eastAsia="zh-CN"/>
              </w:rPr>
              <w:t>循环使用系统，</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cs="Times New Roman"/>
                <w:b w:val="0"/>
                <w:bCs w:val="0"/>
                <w:color w:val="auto"/>
                <w:sz w:val="21"/>
                <w:szCs w:val="21"/>
                <w:lang w:val="en-US" w:eastAsia="zh-CN"/>
              </w:rPr>
              <w:t>不与原料接触，然后将锯切的工料经出料机、操作机装入天然气加热炉中。此过程产生</w:t>
            </w:r>
            <w:r>
              <w:rPr>
                <w:rFonts w:hint="eastAsia" w:ascii="Times New Roman" w:hAnsi="Times New Roman" w:cs="Times New Roman"/>
                <w:b w:val="0"/>
                <w:bCs w:val="0"/>
                <w:color w:val="auto"/>
                <w:sz w:val="21"/>
                <w:szCs w:val="21"/>
                <w:lang w:val="en-US" w:eastAsia="zh-CN"/>
              </w:rPr>
              <w:t>下料废气G2-1、</w:t>
            </w:r>
            <w:r>
              <w:rPr>
                <w:rFonts w:hint="default" w:ascii="Times New Roman" w:hAnsi="Times New Roman" w:cs="Times New Roman"/>
                <w:b w:val="0"/>
                <w:bCs w:val="0"/>
                <w:color w:val="auto"/>
                <w:sz w:val="21"/>
                <w:szCs w:val="21"/>
                <w:lang w:val="en-US" w:eastAsia="zh-CN"/>
              </w:rPr>
              <w:t>废下脚料S</w:t>
            </w: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lang w:val="en-US" w:eastAsia="zh-CN"/>
              </w:rPr>
              <w:t>-1。</w:t>
            </w:r>
          </w:p>
          <w:p w14:paraId="08D279DC">
            <w:pPr>
              <w:numPr>
                <w:ilvl w:val="0"/>
                <w:numId w:val="0"/>
              </w:numPr>
              <w:spacing w:line="360" w:lineRule="auto"/>
              <w:ind w:left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（2）加热</w:t>
            </w:r>
            <w:r>
              <w:rPr>
                <w:rFonts w:hint="default" w:ascii="Times New Roman" w:hAnsi="Times New Roman" w:eastAsia="宋体" w:cs="Times New Roman"/>
                <w:b w:val="0"/>
                <w:bCs w:val="0"/>
                <w:color w:val="auto"/>
                <w:sz w:val="21"/>
                <w:szCs w:val="21"/>
                <w:lang w:val="en-US" w:eastAsia="zh-CN"/>
              </w:rPr>
              <w:t xml:space="preserve">  </w:t>
            </w:r>
          </w:p>
          <w:p w14:paraId="23A01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将自动带锯处理过的原料放入天然气加热炉中加热，天然气加热炉温度控制在1230-1260度。</w:t>
            </w:r>
            <w:r>
              <w:rPr>
                <w:rFonts w:hint="default" w:ascii="Times New Roman" w:hAnsi="Times New Roman" w:eastAsia="宋体" w:cs="Times New Roman"/>
                <w:b w:val="0"/>
                <w:bCs w:val="0"/>
                <w:color w:val="auto"/>
                <w:sz w:val="21"/>
                <w:szCs w:val="21"/>
                <w:lang w:val="en-US" w:eastAsia="zh-CN"/>
              </w:rPr>
              <w:t>此过程产生天然气燃烧废气G</w:t>
            </w:r>
            <w:r>
              <w:rPr>
                <w:rFonts w:hint="eastAsia" w:ascii="Times New Roman" w:hAnsi="Times New Roman"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w:t>
            </w:r>
          </w:p>
          <w:p w14:paraId="64908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模</w:t>
            </w:r>
            <w:r>
              <w:rPr>
                <w:rFonts w:hint="default" w:ascii="Times New Roman" w:hAnsi="Times New Roman" w:eastAsia="宋体" w:cs="Times New Roman"/>
                <w:b w:val="0"/>
                <w:bCs w:val="0"/>
                <w:color w:val="auto"/>
                <w:sz w:val="21"/>
                <w:szCs w:val="21"/>
                <w:lang w:val="en-US" w:eastAsia="zh-CN"/>
              </w:rPr>
              <w:t>压</w:t>
            </w:r>
          </w:p>
          <w:p w14:paraId="67ABFA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color w:val="auto"/>
                <w:sz w:val="21"/>
                <w:szCs w:val="21"/>
                <w:lang w:val="en-US" w:eastAsia="zh-CN"/>
              </w:rPr>
              <w:t>锻压温度控制在1180-1240度，先墩拔到合适的尺寸，再放入模具（模具自制，将原料元钢/方钢/钢锭根据产品尺寸，通过机加工，制作成相应大小的模具，机加工工序产生机加工废气G2-4、废边角料S2-</w:t>
            </w:r>
            <w:r>
              <w:rPr>
                <w:rFonts w:hint="eastAsia" w:ascii="Times New Roman" w:hAnsi="Times New Roman" w:cs="Times New Roman"/>
                <w:b w:val="0"/>
                <w:bCs/>
                <w:color w:val="auto"/>
                <w:sz w:val="21"/>
                <w:szCs w:val="21"/>
                <w:lang w:val="en-US" w:eastAsia="zh-CN"/>
              </w:rPr>
              <w:t>7</w:t>
            </w:r>
            <w:r>
              <w:rPr>
                <w:rFonts w:hint="default" w:ascii="Times New Roman" w:hAnsi="Times New Roman" w:cs="Times New Roman"/>
                <w:b w:val="0"/>
                <w:bCs/>
                <w:color w:val="auto"/>
                <w:sz w:val="21"/>
                <w:szCs w:val="21"/>
                <w:lang w:val="en-US" w:eastAsia="zh-CN"/>
              </w:rPr>
              <w:t>）中锻压，最后精锻成型，</w:t>
            </w:r>
            <w:r>
              <w:rPr>
                <w:rFonts w:hint="default" w:ascii="Times New Roman" w:hAnsi="Times New Roman" w:eastAsia="宋体" w:cs="Times New Roman"/>
                <w:b w:val="0"/>
                <w:bCs w:val="0"/>
                <w:color w:val="auto"/>
                <w:sz w:val="21"/>
                <w:szCs w:val="21"/>
                <w:lang w:val="en-US" w:eastAsia="zh-CN"/>
              </w:rPr>
              <w:t>锻压设备为</w:t>
            </w:r>
            <w:r>
              <w:rPr>
                <w:rFonts w:hint="default" w:ascii="Times New Roman" w:hAnsi="Times New Roman" w:cs="Times New Roman"/>
                <w:b w:val="0"/>
                <w:bCs w:val="0"/>
                <w:color w:val="auto"/>
                <w:sz w:val="21"/>
                <w:szCs w:val="21"/>
                <w:lang w:val="en-US" w:eastAsia="zh-CN"/>
              </w:rPr>
              <w:t>油压机</w:t>
            </w:r>
            <w:r>
              <w:rPr>
                <w:rFonts w:hint="default" w:ascii="Times New Roman" w:hAnsi="Times New Roman" w:eastAsia="宋体" w:cs="Times New Roman"/>
                <w:b w:val="0"/>
                <w:bCs w:val="0"/>
                <w:color w:val="auto"/>
                <w:sz w:val="21"/>
                <w:szCs w:val="21"/>
                <w:lang w:val="en-US" w:eastAsia="zh-CN"/>
              </w:rPr>
              <w:t>，最后精锻成型。此过程产生废氧化皮S</w:t>
            </w:r>
            <w:r>
              <w:rPr>
                <w:rFonts w:hint="default" w:ascii="Times New Roman" w:hAnsi="Times New Roman"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-2。</w:t>
            </w:r>
          </w:p>
          <w:p w14:paraId="0D3DD5B2">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热处理：若客户订单要求进行热处理，则将锻造后的锻件放入电炉中进行加热处理，加热温度在800℃左右，具体加热温度及时间根据订单要求进行，热处理的作用是提高锻件的硬度和耐磨度，改善锻件工艺性能。如果客户未要求进行热处理，则锻造好的锻件直接进行冷却。</w:t>
            </w:r>
          </w:p>
          <w:p w14:paraId="45036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5</w:t>
            </w:r>
            <w:r>
              <w:rPr>
                <w:rFonts w:hint="default" w:ascii="Times New Roman" w:hAnsi="Times New Roman" w:cs="Times New Roman"/>
                <w:b w:val="0"/>
                <w:bCs w:val="0"/>
                <w:color w:val="auto"/>
                <w:sz w:val="21"/>
                <w:szCs w:val="21"/>
                <w:lang w:val="en-US" w:eastAsia="zh-CN"/>
              </w:rPr>
              <w:t>）冷却</w:t>
            </w:r>
          </w:p>
          <w:p w14:paraId="29752348">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按要求室温冷却，或按要求锻后下水冷却（自来水水池30立方米，无循环），冷却到400度时移走。</w:t>
            </w:r>
          </w:p>
          <w:p w14:paraId="22B5D9CB">
            <w:pPr>
              <w:numPr>
                <w:ilvl w:val="0"/>
                <w:numId w:val="0"/>
              </w:numPr>
              <w:spacing w:line="360" w:lineRule="auto"/>
              <w:ind w:left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6</w:t>
            </w:r>
            <w:r>
              <w:rPr>
                <w:rFonts w:hint="default" w:ascii="Times New Roman" w:hAnsi="Times New Roman" w:cs="Times New Roman"/>
                <w:b w:val="0"/>
                <w:bCs w:val="0"/>
                <w:color w:val="auto"/>
                <w:sz w:val="21"/>
                <w:szCs w:val="21"/>
                <w:lang w:val="en-US" w:eastAsia="zh-CN"/>
              </w:rPr>
              <w:t>）机加工</w:t>
            </w:r>
          </w:p>
          <w:p w14:paraId="2BA702BD">
            <w:pPr>
              <w:pStyle w:val="17"/>
              <w:pageBreakBefore w:val="0"/>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按照产品要求，</w:t>
            </w:r>
            <w:r>
              <w:rPr>
                <w:rFonts w:hint="default" w:ascii="Times New Roman" w:hAnsi="Times New Roman" w:cs="Times New Roman"/>
                <w:color w:val="auto"/>
                <w:lang w:val="en-US" w:eastAsia="zh-CN"/>
              </w:rPr>
              <w:t>决定是否进行机加</w:t>
            </w:r>
            <w:r>
              <w:rPr>
                <w:rFonts w:hint="default" w:ascii="Times New Roman" w:hAnsi="Times New Roman" w:eastAsia="宋体" w:cs="Times New Roman"/>
                <w:b w:val="0"/>
                <w:bCs w:val="0"/>
                <w:color w:val="auto"/>
                <w:sz w:val="21"/>
                <w:szCs w:val="21"/>
                <w:lang w:val="en-US" w:eastAsia="zh-CN"/>
              </w:rPr>
              <w:t>工，</w:t>
            </w:r>
            <w:r>
              <w:rPr>
                <w:rFonts w:hint="eastAsia" w:ascii="Times New Roman" w:hAnsi="Times New Roman" w:eastAsia="宋体" w:cs="Times New Roman"/>
                <w:b w:val="0"/>
                <w:bCs w:val="0"/>
                <w:color w:val="auto"/>
                <w:sz w:val="21"/>
                <w:szCs w:val="21"/>
                <w:lang w:val="en-US" w:eastAsia="zh-CN"/>
              </w:rPr>
              <w:t>经过锯床、龙门铣、车床、立车进行机加工，机加工</w:t>
            </w:r>
            <w:r>
              <w:rPr>
                <w:rFonts w:hint="eastAsia" w:ascii="Times New Roman" w:hAnsi="Times New Roman" w:cs="Times New Roman"/>
                <w:b w:val="0"/>
                <w:bCs w:val="0"/>
                <w:color w:val="auto"/>
                <w:sz w:val="21"/>
                <w:szCs w:val="21"/>
                <w:lang w:val="en-US" w:eastAsia="zh-CN"/>
              </w:rPr>
              <w:t>过程中</w:t>
            </w:r>
            <w:r>
              <w:rPr>
                <w:rFonts w:hint="eastAsia" w:ascii="Times New Roman" w:hAnsi="Times New Roman" w:eastAsia="宋体" w:cs="Times New Roman"/>
                <w:b w:val="0"/>
                <w:bCs w:val="0"/>
                <w:color w:val="auto"/>
                <w:sz w:val="21"/>
                <w:szCs w:val="21"/>
                <w:lang w:val="en-US" w:eastAsia="zh-CN"/>
              </w:rPr>
              <w:t>会适当加入润滑油、切削液、液压油，</w:t>
            </w:r>
            <w:r>
              <w:rPr>
                <w:rFonts w:hint="eastAsia" w:ascii="Times New Roman" w:hAnsi="Times New Roman" w:cs="Times New Roman"/>
                <w:b w:val="0"/>
                <w:bCs w:val="0"/>
                <w:color w:val="auto"/>
                <w:sz w:val="21"/>
                <w:szCs w:val="21"/>
                <w:lang w:val="en-US" w:eastAsia="zh-CN"/>
              </w:rPr>
              <w:t>启到抑尘作用，故无金属颗粒物产生，只产生含油金属屑。</w:t>
            </w:r>
            <w:r>
              <w:rPr>
                <w:rFonts w:hint="default" w:ascii="Times New Roman" w:hAnsi="Times New Roman" w:cs="Times New Roman"/>
                <w:b w:val="0"/>
                <w:bCs w:val="0"/>
                <w:color w:val="auto"/>
                <w:sz w:val="21"/>
                <w:szCs w:val="21"/>
                <w:lang w:val="en-US" w:eastAsia="zh-CN"/>
              </w:rPr>
              <w:t>此</w:t>
            </w:r>
            <w:r>
              <w:rPr>
                <w:rFonts w:hint="eastAsia" w:ascii="Times New Roman" w:hAnsi="Times New Roman" w:cs="Times New Roman"/>
                <w:b w:val="0"/>
                <w:bCs w:val="0"/>
                <w:color w:val="auto"/>
                <w:sz w:val="21"/>
                <w:szCs w:val="21"/>
                <w:lang w:val="en-US" w:eastAsia="zh-CN"/>
              </w:rPr>
              <w:t>过程</w:t>
            </w:r>
            <w:r>
              <w:rPr>
                <w:rFonts w:hint="default" w:ascii="Times New Roman" w:hAnsi="Times New Roman" w:cs="Times New Roman"/>
                <w:b w:val="0"/>
                <w:bCs w:val="0"/>
                <w:color w:val="auto"/>
                <w:sz w:val="21"/>
                <w:szCs w:val="21"/>
                <w:lang w:val="en-US" w:eastAsia="zh-CN"/>
              </w:rPr>
              <w:t>产生</w:t>
            </w:r>
            <w:r>
              <w:rPr>
                <w:rFonts w:hint="eastAsia" w:ascii="Times New Roman" w:hAnsi="Times New Roman" w:cs="Times New Roman"/>
                <w:b w:val="0"/>
                <w:bCs w:val="0"/>
                <w:color w:val="auto"/>
                <w:sz w:val="21"/>
                <w:szCs w:val="21"/>
                <w:lang w:val="en-US" w:eastAsia="zh-CN"/>
              </w:rPr>
              <w:t>机加工废气G2-3、废边角料</w:t>
            </w:r>
            <w:r>
              <w:rPr>
                <w:rFonts w:hint="default" w:ascii="Times New Roman" w:hAnsi="Times New Roman" w:cs="Times New Roman"/>
                <w:b w:val="0"/>
                <w:bCs w:val="0"/>
                <w:color w:val="auto"/>
                <w:sz w:val="21"/>
                <w:szCs w:val="21"/>
                <w:lang w:val="en-US" w:eastAsia="zh-CN"/>
              </w:rPr>
              <w:t>S</w:t>
            </w: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lang w:val="en-US" w:eastAsia="zh-CN"/>
              </w:rPr>
              <w:t>-3</w:t>
            </w:r>
            <w:r>
              <w:rPr>
                <w:rFonts w:hint="eastAsia" w:ascii="Times New Roman" w:hAnsi="Times New Roman" w:cs="Times New Roman"/>
                <w:b w:val="0"/>
                <w:bCs w:val="0"/>
                <w:color w:val="auto"/>
                <w:sz w:val="21"/>
                <w:szCs w:val="21"/>
                <w:lang w:val="en-US" w:eastAsia="zh-CN"/>
              </w:rPr>
              <w:t>、废切削液S2-4、含油金属屑S2-5</w:t>
            </w:r>
            <w:r>
              <w:rPr>
                <w:rFonts w:hint="default" w:ascii="Times New Roman" w:hAnsi="Times New Roman" w:cs="Times New Roman"/>
                <w:color w:val="auto"/>
                <w:sz w:val="21"/>
                <w:szCs w:val="21"/>
                <w:lang w:val="en-US" w:eastAsia="zh-CN"/>
              </w:rPr>
              <w:t>。</w:t>
            </w:r>
          </w:p>
          <w:p w14:paraId="1BFBF2D8">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7</w:t>
            </w:r>
            <w:r>
              <w:rPr>
                <w:rFonts w:hint="default" w:ascii="Times New Roman" w:hAnsi="Times New Roman" w:cs="Times New Roman"/>
                <w:b w:val="0"/>
                <w:bCs w:val="0"/>
                <w:color w:val="auto"/>
                <w:sz w:val="21"/>
                <w:szCs w:val="21"/>
                <w:lang w:val="en-US" w:eastAsia="zh-CN"/>
              </w:rPr>
              <w:t>）检验</w:t>
            </w:r>
          </w:p>
          <w:p w14:paraId="05CF608E">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将产品进行卡尺检尺寸，超声波探伤</w:t>
            </w:r>
            <w:r>
              <w:rPr>
                <w:rFonts w:hint="eastAsia" w:ascii="Times New Roman" w:hAnsi="Times New Roman" w:cs="Times New Roman"/>
                <w:b w:val="0"/>
                <w:bCs w:val="0"/>
                <w:color w:val="auto"/>
                <w:sz w:val="21"/>
                <w:szCs w:val="21"/>
                <w:lang w:val="en-US" w:eastAsia="zh-CN"/>
              </w:rPr>
              <w:t>，其原理为：利用超声能透入金属材料的深处，并由一截面进入另一截面时，在界面边缘发生反射的特点来检查零件缺陷的一种方法。当超声波束自零件表面由探头通至金属内部，遇到缺陷与零件底面时就分别发生反射波，在荧光屏上形成脉冲波形，可以通过这些脉冲波形来判断缺陷位置和大小。</w:t>
            </w:r>
            <w:r>
              <w:rPr>
                <w:rFonts w:hint="default" w:ascii="Times New Roman" w:hAnsi="Times New Roman" w:cs="Times New Roman"/>
                <w:b w:val="0"/>
                <w:bCs w:val="0"/>
                <w:color w:val="auto"/>
                <w:sz w:val="21"/>
                <w:szCs w:val="21"/>
                <w:lang w:val="en-US" w:eastAsia="zh-CN"/>
              </w:rPr>
              <w:t>此过程产生不合格品S</w:t>
            </w: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6</w:t>
            </w:r>
            <w:r>
              <w:rPr>
                <w:rFonts w:hint="default" w:ascii="Times New Roman" w:hAnsi="Times New Roman" w:cs="Times New Roman"/>
                <w:b w:val="0"/>
                <w:bCs w:val="0"/>
                <w:color w:val="auto"/>
                <w:sz w:val="21"/>
                <w:szCs w:val="21"/>
                <w:lang w:val="en-US" w:eastAsia="zh-CN"/>
              </w:rPr>
              <w:t>。</w:t>
            </w:r>
          </w:p>
          <w:p w14:paraId="6E07949B">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8</w:t>
            </w:r>
            <w:r>
              <w:rPr>
                <w:rFonts w:hint="default" w:ascii="Times New Roman" w:hAnsi="Times New Roman" w:cs="Times New Roman"/>
                <w:b w:val="0"/>
                <w:bCs w:val="0"/>
                <w:color w:val="auto"/>
                <w:sz w:val="21"/>
                <w:szCs w:val="21"/>
                <w:lang w:val="en-US" w:eastAsia="zh-CN"/>
              </w:rPr>
              <w:t>）成品入库</w:t>
            </w:r>
          </w:p>
          <w:p w14:paraId="7F4D21B1">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合格产品按要求入库存放。</w:t>
            </w:r>
          </w:p>
          <w:p w14:paraId="696AAA5B">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1B0A77CF">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47947B85">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364849F7">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21724FA4">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199B1DCC">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5A5607E2">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6429BCFE">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36980FBB">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1550DB48">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09DE3F3E">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7DF39BF4">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6AD9D65E">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3505ED12">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p>
          <w:p w14:paraId="32F69AC7">
            <w:pPr>
              <w:numPr>
                <w:ilvl w:val="0"/>
                <w:numId w:val="0"/>
              </w:numPr>
              <w:spacing w:line="360" w:lineRule="auto"/>
              <w:rPr>
                <w:rFonts w:hint="default" w:ascii="Times New Roman" w:hAnsi="Times New Roman" w:cs="Times New Roman"/>
                <w:b/>
                <w:bCs/>
                <w:color w:val="auto"/>
                <w:sz w:val="21"/>
                <w:szCs w:val="21"/>
                <w:lang w:val="en-US" w:eastAsia="zh-CN"/>
              </w:rPr>
            </w:pPr>
          </w:p>
          <w:p w14:paraId="7FF5102A">
            <w:pPr>
              <w:numPr>
                <w:ilvl w:val="0"/>
                <w:numId w:val="0"/>
              </w:numPr>
              <w:spacing w:line="360" w:lineRule="auto"/>
              <w:ind w:firstLine="422" w:firstLineChars="20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lang w:val="en-US" w:eastAsia="zh-CN"/>
              </w:rPr>
              <w:t>）环锻工艺流程及产污环节点图</w:t>
            </w:r>
          </w:p>
          <w:p w14:paraId="15F9A68E">
            <w:pPr>
              <w:spacing w:line="360" w:lineRule="auto"/>
              <w:jc w:val="center"/>
              <w:rPr>
                <w:rFonts w:hint="default" w:ascii="Times New Roman" w:hAnsi="Times New Roman" w:cs="Times New Roman"/>
                <w:color w:val="auto"/>
              </w:rPr>
            </w:pPr>
            <w:r>
              <w:rPr>
                <w:rFonts w:hint="default" w:ascii="Times New Roman" w:hAnsi="Times New Roman" w:cs="Times New Roman"/>
                <w:color w:val="auto"/>
                <w:sz w:val="21"/>
              </w:rPr>
              <mc:AlternateContent>
                <mc:Choice Requires="wpc">
                  <w:drawing>
                    <wp:inline distT="0" distB="0" distL="114300" distR="114300">
                      <wp:extent cx="5252720" cy="5210810"/>
                      <wp:effectExtent l="0" t="0" r="0" b="0"/>
                      <wp:docPr id="182" name="画布 182"/>
                      <wp:cNvGraphicFramePr/>
                      <a:graphic xmlns:a="http://schemas.openxmlformats.org/drawingml/2006/main">
                        <a:graphicData uri="http://schemas.microsoft.com/office/word/2010/wordprocessingCanvas">
                          <wpc:wpc>
                            <wpc:bg/>
                            <wpc:whole/>
                            <wps:wsp>
                              <wps:cNvPr id="183" name="矩形 30"/>
                              <wps:cNvSpPr/>
                              <wps:spPr>
                                <a:xfrm>
                                  <a:off x="1335405" y="258445"/>
                                  <a:ext cx="142811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C96E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矩形 44"/>
                              <wps:cNvSpPr/>
                              <wps:spPr>
                                <a:xfrm>
                                  <a:off x="1675130" y="12274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ADDC9">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加热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5" name="矩形 45"/>
                              <wps:cNvSpPr/>
                              <wps:spPr>
                                <a:xfrm>
                                  <a:off x="1665605" y="17227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55A8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锻压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 name="矩形 46"/>
                              <wps:cNvSpPr/>
                              <wps:spPr>
                                <a:xfrm>
                                  <a:off x="1694180" y="32086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95FF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 name="直接箭头连接符 95"/>
                              <wps:cNvCnPr>
                                <a:stCxn id="30" idx="2"/>
                              </wps:cNvCnPr>
                              <wps:spPr>
                                <a:xfrm flipH="1">
                                  <a:off x="2044065" y="525145"/>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88" name="直接箭头连接符 96"/>
                              <wps:cNvCnPr>
                                <a:stCxn id="44" idx="2"/>
                              </wps:cNvCnPr>
                              <wps:spPr>
                                <a:xfrm>
                                  <a:off x="2089785" y="1494155"/>
                                  <a:ext cx="1270"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89" name="直接箭头连接符 97"/>
                              <wps:cNvCnPr/>
                              <wps:spPr>
                                <a:xfrm>
                                  <a:off x="2110105" y="2003425"/>
                                  <a:ext cx="8255" cy="2146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90" name="直接箭头连接符 98"/>
                              <wps:cNvCnPr/>
                              <wps:spPr>
                                <a:xfrm>
                                  <a:off x="2156460" y="3446780"/>
                                  <a:ext cx="0" cy="2095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91" name="矩形 101"/>
                              <wps:cNvSpPr/>
                              <wps:spPr>
                                <a:xfrm>
                                  <a:off x="1703705" y="370395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3E25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2" name="矩形 102"/>
                              <wps:cNvSpPr/>
                              <wps:spPr>
                                <a:xfrm>
                                  <a:off x="1713230" y="42183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6D5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3" name="矩形 103"/>
                              <wps:cNvSpPr/>
                              <wps:spPr>
                                <a:xfrm>
                                  <a:off x="1722755" y="47517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8C08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成品入库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4" name="直接箭头连接符 105"/>
                              <wps:cNvCnPr/>
                              <wps:spPr>
                                <a:xfrm>
                                  <a:off x="2146935" y="4523105"/>
                                  <a:ext cx="9525" cy="2381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95" name="直接箭头连接符 106"/>
                              <wps:cNvCnPr/>
                              <wps:spPr>
                                <a:xfrm>
                                  <a:off x="2148205" y="3955415"/>
                                  <a:ext cx="8255" cy="2247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96" name="矩形 108"/>
                              <wps:cNvSpPr/>
                              <wps:spPr>
                                <a:xfrm>
                                  <a:off x="2884805" y="1275080"/>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F73C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G3-2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7" name="直接箭头连接符 110"/>
                              <wps:cNvCnPr/>
                              <wps:spPr>
                                <a:xfrm flipV="1">
                                  <a:off x="2602230" y="138176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215" name="直接箭头连接符 111"/>
                              <wps:cNvCnPr/>
                              <wps:spPr>
                                <a:xfrm>
                                  <a:off x="2560955" y="3789680"/>
                                  <a:ext cx="209550" cy="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216" name="矩形 120"/>
                              <wps:cNvSpPr/>
                              <wps:spPr>
                                <a:xfrm>
                                  <a:off x="4075430" y="3294380"/>
                                  <a:ext cx="828040" cy="71628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5F82D06">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G：废气</w:t>
                                    </w:r>
                                  </w:p>
                                  <w:p w14:paraId="62E0D9D5">
                                    <w:pPr>
                                      <w:jc w:val="center"/>
                                      <w:rPr>
                                        <w:rFonts w:hint="default"/>
                                        <w:lang w:val="en-US" w:eastAsia="zh-CN"/>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W：废水</w:t>
                                    </w:r>
                                  </w:p>
                                  <w:p w14:paraId="1960522D">
                                    <w:pPr>
                                      <w:pStyle w:val="50"/>
                                      <w:ind w:firstLine="180" w:firstLineChars="100"/>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S：固废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7" name="矩形 12"/>
                              <wps:cNvSpPr/>
                              <wps:spPr>
                                <a:xfrm>
                                  <a:off x="1684655" y="7512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C7EC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8" name="直接箭头连接符 13"/>
                              <wps:cNvCnPr/>
                              <wps:spPr>
                                <a:xfrm flipH="1">
                                  <a:off x="2065655" y="1008380"/>
                                  <a:ext cx="5715"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0" name="直接箭头连接符 69"/>
                              <wps:cNvCnPr/>
                              <wps:spPr>
                                <a:xfrm flipV="1">
                                  <a:off x="2560955" y="934085"/>
                                  <a:ext cx="250825" cy="762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222" name="矩形 108"/>
                              <wps:cNvSpPr/>
                              <wps:spPr>
                                <a:xfrm>
                                  <a:off x="2780030" y="770255"/>
                                  <a:ext cx="1026160" cy="3429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B3115">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G3-1、S3</w:t>
                                    </w:r>
                                    <w:r>
                                      <w:rPr>
                                        <w:rFonts w:hint="eastAsia" w:eastAsia="宋体"/>
                                        <w:color w:val="000000" w:themeColor="text1"/>
                                        <w:sz w:val="18"/>
                                        <w:szCs w:val="18"/>
                                        <w:lang w:val="en-US" w:eastAsia="zh-CN"/>
                                        <w14:textFill>
                                          <w14:solidFill>
                                            <w14:schemeClr w14:val="tx1"/>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3" name="直接箭头连接符 110"/>
                              <wps:cNvCnPr/>
                              <wps:spPr>
                                <a:xfrm flipV="1">
                                  <a:off x="2494280" y="184658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224" name="矩形 108"/>
                              <wps:cNvSpPr/>
                              <wps:spPr>
                                <a:xfrm>
                                  <a:off x="2856230" y="1722755"/>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44F7C">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S3-2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5" name="直接箭头连接符 110"/>
                              <wps:cNvCnPr/>
                              <wps:spPr>
                                <a:xfrm flipV="1">
                                  <a:off x="2560955" y="432308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226" name="矩形 108"/>
                              <wps:cNvSpPr/>
                              <wps:spPr>
                                <a:xfrm>
                                  <a:off x="2675255" y="3608705"/>
                                  <a:ext cx="1235710" cy="40894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F70BC">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G3-3、S3-4、S3-5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0" name="矩形 108"/>
                              <wps:cNvSpPr/>
                              <wps:spPr>
                                <a:xfrm>
                                  <a:off x="2856230" y="4189730"/>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7163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S3-6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1" name="矩形 46"/>
                              <wps:cNvSpPr/>
                              <wps:spPr>
                                <a:xfrm>
                                  <a:off x="1684655" y="21990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B61D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碾环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2" name="直接箭头连接符 98"/>
                              <wps:cNvCnPr/>
                              <wps:spPr>
                                <a:xfrm>
                                  <a:off x="2132330" y="2456180"/>
                                  <a:ext cx="0" cy="2095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33" name="矩形 101"/>
                              <wps:cNvSpPr/>
                              <wps:spPr>
                                <a:xfrm>
                                  <a:off x="1703705" y="2694305"/>
                                  <a:ext cx="8286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B0DF1">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接箭头连接符 98"/>
                              <wps:cNvCnPr/>
                              <wps:spPr>
                                <a:xfrm>
                                  <a:off x="2151380" y="2970530"/>
                                  <a:ext cx="0" cy="2095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35" name="直接箭头连接符 110"/>
                              <wps:cNvCnPr/>
                              <wps:spPr>
                                <a:xfrm flipV="1">
                                  <a:off x="2532380" y="2303780"/>
                                  <a:ext cx="285750" cy="571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236" name="矩形 108"/>
                              <wps:cNvSpPr/>
                              <wps:spPr>
                                <a:xfrm>
                                  <a:off x="2894330" y="2179955"/>
                                  <a:ext cx="483235" cy="2667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37180">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S3-3</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410.3pt;width:413.6pt;" coordsize="5252720,5210810" editas="canvas" o:gfxdata="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">
                      <o:lock v:ext="edit" aspectratio="f"/>
                      <v:shape id="_x0000_s1026" o:spid="_x0000_s1026" style="position:absolute;left:0;top:0;height:5210810;width:5252720;" filled="f" stroked="f" coordsize="21600,21600" o:gfxdata="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">
                        <v:fill on="f" focussize="0,0"/>
                        <v:stroke on="f"/>
                        <v:imagedata o:title=""/>
                        <o:lock v:ext="edit" aspectratio="f"/>
                      </v:shape>
                      <v:rect id="矩形 30" o:spid="_x0000_s1026" o:spt="1" style="position:absolute;left:1335405;top:258445;height:266700;width:1428115;v-text-anchor:middle;" filled="f" stroked="f" coordsize="21600,21600" o:gfxdata="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AiHm7T&#10;AAAABQEAAA8AAAAAAAAAAQAgAAAAIgAAAGRycy9kb3ducmV2LnhtbFBLAQIUABQAAAAIAIdO4kCn&#10;+bAhXgIAAKQEAAAOAAAAAAAAAAEAIAAAACIBAABkcnMvZTJvRG9jLnhtbFBLBQYAAAAABgAGAFkB&#10;AADyBQAAAAA=&#10;">
                        <v:fill on="f" focussize="0,0"/>
                        <v:stroke on="f" weight="1pt"/>
                        <v:imagedata o:title=""/>
                        <o:lock v:ext="edit" aspectratio="f"/>
                        <v:textbox>
                          <w:txbxContent>
                            <w:p w14:paraId="370C96E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钢锭、元钢、方钢</w:t>
                              </w:r>
                            </w:p>
                          </w:txbxContent>
                        </v:textbox>
                      </v:rect>
                      <v:rect id="矩形 44" o:spid="_x0000_s1026" o:spt="1" style="position:absolute;left:1675130;top:122745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DMsUx1AAAAAUBAAAPAAAAAAAAAAEAIAAAACIAAABkcnMvZG93bnJldi54bWxQ&#10;SwECFAAUAAAACACHTuJAnmvk620CAADNBAAADgAAAAAAAAABACAAAAAjAQAAZHJzL2Uyb0RvYy54&#10;bWxQSwUGAAAAAAYABgBZAQAAAgYAAAAA&#10;">
                        <v:fill on="f" focussize="0,0"/>
                        <v:stroke weight="1pt" color="#000000 [3213]" joinstyle="round"/>
                        <v:imagedata o:title=""/>
                        <o:lock v:ext="edit" aspectratio="f"/>
                        <v:textbox>
                          <w:txbxContent>
                            <w:p w14:paraId="22AADDC9">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加热</w:t>
                              </w:r>
                            </w:p>
                          </w:txbxContent>
                        </v:textbox>
                      </v:rect>
                      <v:rect id="矩形 45" o:spid="_x0000_s1026" o:spt="1" style="position:absolute;left:1665605;top:172275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zLFMdQAAAAFAQAADwAAAAAAAAABACAAAAAiAAAAZHJzL2Rvd25yZXYueG1s&#10;UEsBAhQAFAAAAAgAh07iQHrfMvduAgAAzQQAAA4AAAAAAAAAAQAgAAAAIwEAAGRycy9lMm9Eb2Mu&#10;eG1sUEsFBgAAAAAGAAYAWQEAAAMGAAAAAA==&#10;">
                        <v:fill on="f" focussize="0,0"/>
                        <v:stroke weight="1pt" color="#000000 [3213]" joinstyle="round"/>
                        <v:imagedata o:title=""/>
                        <o:lock v:ext="edit" aspectratio="f"/>
                        <v:textbox>
                          <w:txbxContent>
                            <w:p w14:paraId="11E55A8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锻压</w:t>
                              </w:r>
                            </w:p>
                          </w:txbxContent>
                        </v:textbox>
                      </v:rect>
                      <v:rect id="矩形 46" o:spid="_x0000_s1026" o:spt="1" style="position:absolute;left:1694180;top:320865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zLFMdQAAAAFAQAADwAAAAAAAAABACAAAAAiAAAAZHJzL2Rvd25yZXYu&#10;eG1sUEsBAhQAFAAAAAgAh07iQO9P/E1xAgAAzQQAAA4AAAAAAAAAAQAgAAAAIwEAAGRycy9lMm9E&#10;b2MueG1sUEsFBgAAAAAGAAYAWQEAAAYGAAAAAA==&#10;">
                        <v:fill on="f" focussize="0,0"/>
                        <v:stroke weight="1pt" color="#000000 [3213]" joinstyle="round"/>
                        <v:imagedata o:title=""/>
                        <o:lock v:ext="edit" aspectratio="f"/>
                        <v:textbox>
                          <w:txbxContent>
                            <w:p w14:paraId="29995FF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w:t>
                              </w:r>
                            </w:p>
                          </w:txbxContent>
                        </v:textbox>
                      </v:rect>
                      <v:shape id="直接箭头连接符 95" o:spid="_x0000_s1026" o:spt="32" type="#_x0000_t32" style="position:absolute;left:2044065;top:525145;flip:x;height:223520;width:5715;" filled="f" stroked="t" coordsize="21600,21600" o:gfxdata="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&#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i4Tp9QAAAAFAQAADwAAAAAAAAABACAAAAAiAAAA&#10;ZHJzL2Rvd25yZXYueG1sUEsBAhQAFAAAAAgAh07iQCzrNYtEAgAAUwQAAA4AAAAAAAAAAQAgAAAA&#10;IwEAAGRycy9lMm9Eb2MueG1sUEsFBgAAAAAGAAYAWQEAANkFAAAAAA==&#10;">
                        <v:fill on="f" focussize="0,0"/>
                        <v:stroke color="#000000 [3200]" joinstyle="round" endarrow="open"/>
                        <v:imagedata o:title=""/>
                        <o:lock v:ext="edit" aspectratio="f"/>
                      </v:shape>
                      <v:shape id="直接箭头连接符 96" o:spid="_x0000_s1026" o:spt="32" type="#_x0000_t32" style="position:absolute;left:2089785;top:1494155;height:257175;width:1270;" filled="f" stroked="t" coordsize="21600,21600" o:gfxdata="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nNYbNQAAAAFAQAADwAAAAAAAAABACAAAAAiAAAAZHJzL2Rv&#10;d25yZXYueG1sUEsBAhQAFAAAAAgAh07iQGCYGAo+AgAASgQAAA4AAAAAAAAAAQAgAAAAIwEAAGRy&#10;cy9lMm9Eb2MueG1sUEsFBgAAAAAGAAYAWQEAANMFAAAAAA==&#10;">
                        <v:fill on="f" focussize="0,0"/>
                        <v:stroke color="#000000 [3200]" joinstyle="round" endarrow="open"/>
                        <v:imagedata o:title=""/>
                        <o:lock v:ext="edit" aspectratio="f"/>
                      </v:shape>
                      <v:shape id="直接箭头连接符 97" o:spid="_x0000_s1026" o:spt="32" type="#_x0000_t32" style="position:absolute;left:2110105;top:2003425;height:214630;width:8255;" filled="f" stroked="t" coordsize="21600,21600" o:gfxdata="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pzWGzUAAAABQEAAA8AAAAAAAAAAQAgAAAAIgAAAGRycy9kb3ducmV2LnhtbFBLAQIUABQAAAAI&#10;AIdO4kBU7BgDKgIAACMEAAAOAAAAAAAAAAEAIAAAACMBAABkcnMvZTJvRG9jLnhtbFBLBQYAAAAA&#10;BgAGAFkBAAC/BQAAAAA=&#10;">
                        <v:fill on="f" focussize="0,0"/>
                        <v:stroke color="#000000 [3200]" joinstyle="round" endarrow="open"/>
                        <v:imagedata o:title=""/>
                        <o:lock v:ext="edit" aspectratio="f"/>
                      </v:shape>
                      <v:shape id="直接箭头连接符 98" o:spid="_x0000_s1026" o:spt="32" type="#_x0000_t32" style="position:absolute;left:2156460;top:3446780;height:209550;width:0;" filled="f" stroked="t" coordsize="21600,21600" o:gfxdata="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nNYbNQAAAAFAQAADwAAAAAAAAABACAAAAAiAAAAZHJzL2Rvd25yZXYueG1sUEsBAhQAFAAAAAgA&#10;h07iQEZmTMUpAgAAIAQAAA4AAAAAAAAAAQAgAAAAIwEAAGRycy9lMm9Eb2MueG1sUEsFBgAAAAAG&#10;AAYAWQEAAL4FAAAAAA==&#10;">
                        <v:fill on="f" focussize="0,0"/>
                        <v:stroke color="#000000 [3200]" joinstyle="round" endarrow="open"/>
                        <v:imagedata o:title=""/>
                        <o:lock v:ext="edit" aspectratio="f"/>
                      </v:shape>
                      <v:rect id="矩形 101" o:spid="_x0000_s1026" o:spt="1" style="position:absolute;left:1703705;top:370395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DMsUx1AAAAAUBAAAPAAAAAAAAAAEAIAAAACIAAABkcnMvZG93bnJldi54&#10;bWxQSwECFAAUAAAACACHTuJA7ZgLj3ACAADOBAAADgAAAAAAAAABACAAAAAjAQAAZHJzL2Uyb0Rv&#10;Yy54bWxQSwUGAAAAAAYABgBZAQAABQYAAAAA&#10;">
                        <v:fill on="f" focussize="0,0"/>
                        <v:stroke weight="1pt" color="#000000 [3213]" joinstyle="round"/>
                        <v:imagedata o:title=""/>
                        <o:lock v:ext="edit" aspectratio="f"/>
                        <v:textbox>
                          <w:txbxContent>
                            <w:p w14:paraId="0013E25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机加工</w:t>
                              </w:r>
                            </w:p>
                          </w:txbxContent>
                        </v:textbox>
                      </v:rect>
                      <v:rect id="矩形 102" o:spid="_x0000_s1026" o:spt="1" style="position:absolute;left:1713230;top:421830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MyxTHUAAAABQEAAA8AAAAAAAAAAQAgAAAAIgAAAGRycy9kb3ducmV2&#10;LnhtbFBLAQIUABQAAAAIAIdO4kBCJ/VrcgIAAM4EAAAOAAAAAAAAAAEAIAAAACMBAABkcnMvZTJv&#10;RG9jLnhtbFBLBQYAAAAABgAGAFkBAAAHBgAAAAA=&#10;">
                        <v:fill on="f" focussize="0,0"/>
                        <v:stroke weight="1pt" color="#000000 [3213]" joinstyle="round"/>
                        <v:imagedata o:title=""/>
                        <o:lock v:ext="edit" aspectratio="f"/>
                        <v:textbox>
                          <w:txbxContent>
                            <w:p w14:paraId="69B86D5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检验</w:t>
                              </w:r>
                            </w:p>
                          </w:txbxContent>
                        </v:textbox>
                      </v:rect>
                      <v:rect id="矩形 103" o:spid="_x0000_s1026" o:spt="1" style="position:absolute;left:1722755;top:475170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MyxTHUAAAABQEAAA8AAAAAAAAAAQAgAAAAIgAAAGRycy9kb3ducmV2&#10;LnhtbFBLAQIUABQAAAAIAIdO4kBVdzdFcgIAAM4EAAAOAAAAAAAAAAEAIAAAACMBAABkcnMvZTJv&#10;RG9jLnhtbFBLBQYAAAAABgAGAFkBAAAHBgAAAAA=&#10;">
                        <v:fill on="f" focussize="0,0"/>
                        <v:stroke weight="1pt" color="#000000 [3213]" joinstyle="round"/>
                        <v:imagedata o:title=""/>
                        <o:lock v:ext="edit" aspectratio="f"/>
                        <v:textbox>
                          <w:txbxContent>
                            <w:p w14:paraId="6968C08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成品入库</w:t>
                              </w:r>
                            </w:p>
                          </w:txbxContent>
                        </v:textbox>
                      </v:rect>
                      <v:shape id="直接箭头连接符 105" o:spid="_x0000_s1026" o:spt="32" type="#_x0000_t32" style="position:absolute;left:2146935;top:4523105;height:238125;width:9525;" filled="f" stroked="t" coordsize="21600,21600" o:gfxdata="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pz&#10;WGzUAAAABQEAAA8AAAAAAAAAAQAgAAAAIgAAAGRycy9kb3ducmV2LnhtbFBLAQIUABQAAAAIAIdO&#10;4kCE92C3JwIAACQEAAAOAAAAAAAAAAEAIAAAACMBAABkcnMvZTJvRG9jLnhtbFBLBQYAAAAABgAG&#10;AFkBAAC8BQAAAAA=&#10;">
                        <v:fill on="f" focussize="0,0"/>
                        <v:stroke color="#000000 [3200]" joinstyle="round" endarrow="open"/>
                        <v:imagedata o:title=""/>
                        <o:lock v:ext="edit" aspectratio="f"/>
                      </v:shape>
                      <v:shape id="直接箭头连接符 106" o:spid="_x0000_s1026" o:spt="32" type="#_x0000_t32" style="position:absolute;left:2148205;top:3955415;height:224790;width:8255;" filled="f" stroked="t" coordsize="21600,21600" o:gfxdata="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c1hs1AAAAAUBAAAPAAAAAAAAAAEAIAAAACIAAABkcnMvZG93bnJldi54bWxQSwECFAAUAAAA&#10;CACHTuJAe9XOpisCAAAkBAAADgAAAAAAAAABACAAAAAjAQAAZHJzL2Uyb0RvYy54bWxQSwUGAAAA&#10;AAYABgBZAQAAwAUAAAAA&#10;">
                        <v:fill on="f" focussize="0,0"/>
                        <v:stroke color="#000000 [3200]" joinstyle="round" endarrow="open"/>
                        <v:imagedata o:title=""/>
                        <o:lock v:ext="edit" aspectratio="f"/>
                      </v:shape>
                      <v:rect id="矩形 108" o:spid="_x0000_s1026" o:spt="1" style="position:absolute;left:2884805;top:1275080;height:266700;width:483235;v-text-anchor:middle;" filled="f" stroked="f" coordsize="21600,21600" o:gfxdata="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AIh5u&#10;0wAAAAUBAAAPAAAAAAAAAAEAIAAAACIAAABkcnMvZG93bnJldi54bWxQSwECFAAUAAAACACHTuJA&#10;mPwpy18CAAClBAAADgAAAAAAAAABACAAAAAiAQAAZHJzL2Uyb0RvYy54bWxQSwUGAAAAAAYABgBZ&#10;AQAA8wUAAAAA&#10;">
                        <v:fill on="f" focussize="0,0"/>
                        <v:stroke on="f" weight="1pt"/>
                        <v:imagedata o:title=""/>
                        <o:lock v:ext="edit" aspectratio="f"/>
                        <v:textbox>
                          <w:txbxContent>
                            <w:p w14:paraId="5A6F73C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G3-2</w:t>
                              </w:r>
                            </w:p>
                          </w:txbxContent>
                        </v:textbox>
                      </v:rect>
                      <v:shape id="直接箭头连接符 110" o:spid="_x0000_s1026" o:spt="32" type="#_x0000_t32" style="position:absolute;left:2602230;top:1381760;flip:y;height:5715;width:285750;" filled="f" stroked="t" coordsize="21600,21600" o:gfxdata="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iVU4h1AAAAAUBAAAPAAAAAAAAAAEAIAAAACIAAABkcnMvZG93bnJldi54bWxQSwEC&#10;FAAUAAAACACHTuJAArMfuzECAAAtBAAADgAAAAAAAAABACAAAAAjAQAAZHJzL2Uyb0RvYy54bWxQ&#10;SwUGAAAAAAYABgBZAQAAxgUAAAAA&#10;">
                        <v:fill on="f" focussize="0,0"/>
                        <v:stroke color="#000000 [3200]" joinstyle="round" dashstyle="dash" endarrow="open"/>
                        <v:imagedata o:title=""/>
                        <o:lock v:ext="edit" aspectratio="f"/>
                      </v:shape>
                      <v:shape id="直接箭头连接符 111" o:spid="_x0000_s1026" o:spt="32" type="#_x0000_t32" style="position:absolute;left:2560955;top:3789680;height:0;width:209550;" filled="f" stroked="t" coordsize="21600,21600" o:gfxdata="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mZO&#10;f9QAAAAFAQAADwAAAAAAAAABACAAAAAiAAAAZHJzL2Rvd25yZXYueG1sUEsBAhQAFAAAAAgAh07i&#10;QH/dW3YmAgAAIAQAAA4AAAAAAAAAAQAgAAAAIwEAAGRycy9lMm9Eb2MueG1sUEsFBgAAAAAGAAYA&#10;WQEAALsFAAAAAA==&#10;">
                        <v:fill on="f" focussize="0,0"/>
                        <v:stroke color="#000000 [3200]" joinstyle="round" dashstyle="dash" endarrow="open"/>
                        <v:imagedata o:title=""/>
                        <o:lock v:ext="edit" aspectratio="f"/>
                      </v:shape>
                      <v:rect id="矩形 120" o:spid="_x0000_s1026" o:spt="1" style="position:absolute;left:4075430;top:3294380;height:716280;width:828040;v-text-anchor:middle;" filled="f" stroked="t" coordsize="21600,21600" o:gfxdata="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0yjf81AAAAAUBAAAPAAAAAAAAAAEAIAAAACIAAABkcnMvZG93bnJldi54&#10;bWxQSwECFAAUAAAACACHTuJAz/smWnACAADQBAAADgAAAAAAAAABACAAAAAjAQAAZHJzL2Uyb0Rv&#10;Yy54bWxQSwUGAAAAAAYABgBZAQAABQYAAAAA&#10;">
                        <v:fill on="f" focussize="0,0"/>
                        <v:stroke weight="1pt" color="#000000 [3213]" joinstyle="round" dashstyle="3 1"/>
                        <v:imagedata o:title=""/>
                        <o:lock v:ext="edit" aspectratio="f"/>
                        <v:textbox>
                          <w:txbxContent>
                            <w:p w14:paraId="05F82D06">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G：废气</w:t>
                              </w:r>
                            </w:p>
                            <w:p w14:paraId="62E0D9D5">
                              <w:pPr>
                                <w:jc w:val="center"/>
                                <w:rPr>
                                  <w:rFonts w:hint="default"/>
                                  <w:lang w:val="en-US" w:eastAsia="zh-CN"/>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W：废水</w:t>
                              </w:r>
                            </w:p>
                            <w:p w14:paraId="1960522D">
                              <w:pPr>
                                <w:pStyle w:val="50"/>
                                <w:ind w:firstLine="180" w:firstLineChars="100"/>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S：固废</w:t>
                              </w:r>
                            </w:p>
                          </w:txbxContent>
                        </v:textbox>
                      </v:rect>
                      <v:rect id="矩形 12" o:spid="_x0000_s1026" o:spt="1" style="position:absolute;left:1684655;top:75120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MyxTHUAAAABQEAAA8AAAAAAAAAAQAgAAAAIgAAAGRycy9kb3ducmV2Lnht&#10;bFBLAQIUABQAAAAIAIdO4kDQdULIbwIAAMwEAAAOAAAAAAAAAAEAIAAAACMBAABkcnMvZTJvRG9j&#10;LnhtbFBLBQYAAAAABgAGAFkBAAAEBgAAAAA=&#10;">
                        <v:fill on="f" focussize="0,0"/>
                        <v:stroke weight="1pt" color="#000000 [3213]" joinstyle="round"/>
                        <v:imagedata o:title=""/>
                        <o:lock v:ext="edit" aspectratio="f"/>
                        <v:textbox>
                          <w:txbxContent>
                            <w:p w14:paraId="4C3C7EC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下料</w:t>
                              </w:r>
                            </w:p>
                          </w:txbxContent>
                        </v:textbox>
                      </v:rect>
                      <v:shape id="直接箭头连接符 13" o:spid="_x0000_s1026" o:spt="32" type="#_x0000_t32" style="position:absolute;left:2065655;top:1008380;flip:x;height:223520;width:5715;" filled="f" stroked="t" coordsize="21600,21600" o:gfxdata="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4uE6fUAAAABQEAAA8AAAAAAAAAAQAgAAAAIgAAAGRycy9kb3ducmV2LnhtbFBLAQIU&#10;ABQAAAAIAIdO4kBFHfDSMAIAAC0EAAAOAAAAAAAAAAEAIAAAACMBAABkcnMvZTJvRG9jLnhtbFBL&#10;BQYAAAAABgAGAFkBAADFBQAAAAA=&#10;">
                        <v:fill on="f" focussize="0,0"/>
                        <v:stroke color="#000000 [3200]" joinstyle="round" endarrow="open"/>
                        <v:imagedata o:title=""/>
                        <o:lock v:ext="edit" aspectratio="f"/>
                      </v:shape>
                      <v:shape id="直接箭头连接符 69" o:spid="_x0000_s1026" o:spt="32" type="#_x0000_t32" style="position:absolute;left:2560955;top:934085;flip:y;height:7620;width:250825;" filled="f" stroked="t" coordsize="21600,21600" o:gfxdata="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VU4h1AAAAAUBAAAPAAAAAAAAAAEAIAAAACIAAABkcnMvZG93bnJldi54bWxQSwECFAAU&#10;AAAACACHTuJAZAL8AS4CAAArBAAADgAAAAAAAAABACAAAAAjAQAAZHJzL2Uyb0RvYy54bWxQSwUG&#10;AAAAAAYABgBZAQAAwwUAAAAA&#10;">
                        <v:fill on="f" focussize="0,0"/>
                        <v:stroke color="#000000 [3200]" joinstyle="round" dashstyle="dash" endarrow="open"/>
                        <v:imagedata o:title=""/>
                        <o:lock v:ext="edit" aspectratio="f"/>
                      </v:shape>
                      <v:rect id="矩形 108" o:spid="_x0000_s1026" o:spt="1" style="position:absolute;left:2780030;top:770255;height:342900;width:1026160;v-text-anchor:middle;" filled="f" stroked="f" coordsize="21600,21600" o:gfxdata="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Ai&#10;Hm7TAAAABQEAAA8AAAAAAAAAAQAgAAAAIgAAAGRycy9kb3ducmV2LnhtbFBLAQIUABQAAAAIAIdO&#10;4kDzRwjDYQIAAKUEAAAOAAAAAAAAAAEAIAAAACIBAABkcnMvZTJvRG9jLnhtbFBLBQYAAAAABgAG&#10;AFkBAAD1BQAAAAA=&#10;">
                        <v:fill on="f" focussize="0,0"/>
                        <v:stroke on="f" weight="1pt"/>
                        <v:imagedata o:title=""/>
                        <o:lock v:ext="edit" aspectratio="f"/>
                        <v:textbox>
                          <w:txbxContent>
                            <w:p w14:paraId="686B3115">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G3-1、S3</w:t>
                              </w:r>
                              <w:r>
                                <w:rPr>
                                  <w:rFonts w:hint="eastAsia" w:eastAsia="宋体"/>
                                  <w:color w:val="000000" w:themeColor="text1"/>
                                  <w:sz w:val="18"/>
                                  <w:szCs w:val="18"/>
                                  <w:lang w:val="en-US" w:eastAsia="zh-CN"/>
                                  <w14:textFill>
                                    <w14:solidFill>
                                      <w14:schemeClr w14:val="tx1"/>
                                    </w14:solidFill>
                                  </w14:textFill>
                                </w:rPr>
                                <w:t>-1</w:t>
                              </w:r>
                            </w:p>
                          </w:txbxContent>
                        </v:textbox>
                      </v:rect>
                      <v:shape id="直接箭头连接符 110" o:spid="_x0000_s1026" o:spt="32" type="#_x0000_t32" style="position:absolute;left:2494280;top:1846580;flip:y;height:5715;width:285750;" filled="f" stroked="t" coordsize="21600,21600" o:gfxdata="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JVTiHUAAAABQEAAA8AAAAAAAAAAQAgAAAAIgAAAGRycy9kb3ducmV2LnhtbFBLAQIU&#10;ABQAAAAIAIdO4kDBncWRMAIAAC0EAAAOAAAAAAAAAAEAIAAAACMBAABkcnMvZTJvRG9jLnhtbFBL&#10;BQYAAAAABgAGAFkBAADFBQAAAAA=&#10;">
                        <v:fill on="f" focussize="0,0"/>
                        <v:stroke color="#000000 [3200]" joinstyle="round" dashstyle="dash" endarrow="open"/>
                        <v:imagedata o:title=""/>
                        <o:lock v:ext="edit" aspectratio="f"/>
                      </v:shape>
                      <v:rect id="矩形 108" o:spid="_x0000_s1026" o:spt="1" style="position:absolute;left:2856230;top:1722755;height:266700;width:483235;v-text-anchor:middle;" filled="f" stroked="f" coordsize="21600,21600" o:gfxdata="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Ai&#10;Hm7TAAAABQEAAA8AAAAAAAAAAQAgAAAAIgAAAGRycy9kb3ducmV2LnhtbFBLAQIUABQAAAAIAIdO&#10;4kBmMgCjYQIAAKUEAAAOAAAAAAAAAAEAIAAAACIBAABkcnMvZTJvRG9jLnhtbFBLBQYAAAAABgAG&#10;AFkBAAD1BQAAAAA=&#10;">
                        <v:fill on="f" focussize="0,0"/>
                        <v:stroke on="f" weight="1pt"/>
                        <v:imagedata o:title=""/>
                        <o:lock v:ext="edit" aspectratio="f"/>
                        <v:textbox>
                          <w:txbxContent>
                            <w:p w14:paraId="57144F7C">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S3-2</w:t>
                              </w:r>
                            </w:p>
                          </w:txbxContent>
                        </v:textbox>
                      </v:rect>
                      <v:shape id="直接箭头连接符 110" o:spid="_x0000_s1026" o:spt="32" type="#_x0000_t32" style="position:absolute;left:2560955;top:4323080;flip:y;height:5715;width:285750;" filled="f" stroked="t" coordsize="21600,21600" o:gfxdata="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iVU4h1AAAAAUBAAAPAAAAAAAAAAEAIAAAACIAAABkcnMvZG93bnJldi54bWxQSwEC&#10;FAAUAAAACACHTuJAfV/oxTECAAAtBAAADgAAAAAAAAABACAAAAAjAQAAZHJzL2Uyb0RvYy54bWxQ&#10;SwUGAAAAAAYABgBZAQAAxgUAAAAA&#10;">
                        <v:fill on="f" focussize="0,0"/>
                        <v:stroke color="#000000 [3200]" joinstyle="round" dashstyle="dash" endarrow="open"/>
                        <v:imagedata o:title=""/>
                        <o:lock v:ext="edit" aspectratio="f"/>
                      </v:shape>
                      <v:rect id="矩形 108" o:spid="_x0000_s1026" o:spt="1" style="position:absolute;left:2675255;top:3608705;height:408940;width:1235710;v-text-anchor:middle;" filled="f" stroked="f" coordsize="21600,21600" o:gfxdata="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A&#10;Ih5u0wAAAAUBAAAPAAAAAAAAAAEAIAAAACIAAABkcnMvZG93bnJldi54bWxQSwECFAAUAAAACACH&#10;TuJA/YH/oGICAACmBAAADgAAAAAAAAABACAAAAAiAQAAZHJzL2Uyb0RvYy54bWxQSwUGAAAAAAYA&#10;BgBZAQAA9gUAAAAA&#10;">
                        <v:fill on="f" focussize="0,0"/>
                        <v:stroke on="f" weight="1pt"/>
                        <v:imagedata o:title=""/>
                        <o:lock v:ext="edit" aspectratio="f"/>
                        <v:textbox>
                          <w:txbxContent>
                            <w:p w14:paraId="657F70BC">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G3-3、S3-4、S3-5</w:t>
                              </w:r>
                            </w:p>
                          </w:txbxContent>
                        </v:textbox>
                      </v:rect>
                      <v:rect id="矩形 108" o:spid="_x0000_s1026" o:spt="1" style="position:absolute;left:2856230;top:4189730;height:266700;width:483235;v-text-anchor:middle;" filled="f" stroked="f" coordsize="21600,21600" o:gfxdata="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AiHm7T&#10;AAAABQEAAA8AAAAAAAAAAQAgAAAAIgAAAGRycy9kb3ducmV2LnhtbFBLAQIUABQAAAAIAIdO4kBK&#10;9mvMXgIAAKUEAAAOAAAAAAAAAAEAIAAAACIBAABkcnMvZTJvRG9jLnhtbFBLBQYAAAAABgAGAFkB&#10;AADyBQAAAAA=&#10;">
                        <v:fill on="f" focussize="0,0"/>
                        <v:stroke on="f" weight="1pt"/>
                        <v:imagedata o:title=""/>
                        <o:lock v:ext="edit" aspectratio="f"/>
                        <v:textbox>
                          <w:txbxContent>
                            <w:p w14:paraId="12A7163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S3-6</w:t>
                              </w:r>
                            </w:p>
                          </w:txbxContent>
                        </v:textbox>
                      </v:rect>
                      <v:rect id="矩形 46" o:spid="_x0000_s1026" o:spt="1" style="position:absolute;left:1684655;top:219900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DMsUx1AAAAAUBAAAPAAAAAAAAAAEAIAAAACIAAABkcnMvZG93bnJldi54&#10;bWxQSwECFAAUAAAACACHTuJA9Uxfb3ACAADNBAAADgAAAAAAAAABACAAAAAjAQAAZHJzL2Uyb0Rv&#10;Yy54bWxQSwUGAAAAAAYABgBZAQAABQYAAAAA&#10;">
                        <v:fill on="f" focussize="0,0"/>
                        <v:stroke weight="1pt" color="#000000 [3213]" joinstyle="round"/>
                        <v:imagedata o:title=""/>
                        <o:lock v:ext="edit" aspectratio="f"/>
                        <v:textbox>
                          <w:txbxContent>
                            <w:p w14:paraId="34BB61D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碾环</w:t>
                              </w:r>
                            </w:p>
                          </w:txbxContent>
                        </v:textbox>
                      </v:rect>
                      <v:shape id="直接箭头连接符 98" o:spid="_x0000_s1026" o:spt="32" type="#_x0000_t32" style="position:absolute;left:2132330;top:2456180;height:209550;width:0;" filled="f" stroked="t" coordsize="21600,21600" o:gfxdata="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pz&#10;WGzUAAAABQEAAA8AAAAAAAAAAQAgAAAAIgAAAGRycy9kb3ducmV2LnhtbFBLAQIUABQAAAAIAIdO&#10;4kBY+1rRJwIAACAEAAAOAAAAAAAAAAEAIAAAACMBAABkcnMvZTJvRG9jLnhtbFBLBQYAAAAABgAG&#10;AFkBAAC8BQAAAAA=&#10;">
                        <v:fill on="f" focussize="0,0"/>
                        <v:stroke color="#000000 [3200]" joinstyle="round" endarrow="open"/>
                        <v:imagedata o:title=""/>
                        <o:lock v:ext="edit" aspectratio="f"/>
                      </v:shape>
                      <v:rect id="矩形 101" o:spid="_x0000_s1026" o:spt="1" style="position:absolute;left:1703705;top:2694305;height:266700;width:828675;v-text-anchor:middle;" filled="f" stroked="t" coordsize="21600,21600" o:gfxdata="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zLFMdQAAAAFAQAADwAAAAAAAAABACAAAAAiAAAAZHJzL2Rvd25yZXYueG1s&#10;UEsBAhQAFAAAAAgAh07iQCZCwnVuAgAAzgQAAA4AAAAAAAAAAQAgAAAAIwEAAGRycy9lMm9Eb2Mu&#10;eG1sUEsFBgAAAAAGAAYAWQEAAAMGAAAAAA==&#10;">
                        <v:fill on="f" focussize="0,0"/>
                        <v:stroke weight="1pt" color="#000000 [3213]" joinstyle="round"/>
                        <v:imagedata o:title=""/>
                        <o:lock v:ext="edit" aspectratio="f"/>
                        <v:textbox>
                          <w:txbxContent>
                            <w:p w14:paraId="1C0B0DF1">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热处理</w:t>
                              </w:r>
                            </w:p>
                          </w:txbxContent>
                        </v:textbox>
                      </v:rect>
                      <v:shape id="直接箭头连接符 98" o:spid="_x0000_s1026" o:spt="32" type="#_x0000_t32" style="position:absolute;left:2151380;top:2970530;height:209550;width:0;" filled="f" stroked="t" coordsize="21600,21600" o:gfxdata="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pz&#10;WGzUAAAABQEAAA8AAAAAAAAAAQAgAAAAIgAAAGRycy9kb3ducmV2LnhtbFBLAQIUABQAAAAIAIdO&#10;4kBB9XB0JwIAACAEAAAOAAAAAAAAAAEAIAAAACMBAABkcnMvZTJvRG9jLnhtbFBLBQYAAAAABgAG&#10;AFkBAAC8BQAAAAA=&#10;">
                        <v:fill on="f" focussize="0,0"/>
                        <v:stroke color="#000000 [3200]" joinstyle="round" endarrow="open"/>
                        <v:imagedata o:title=""/>
                        <o:lock v:ext="edit" aspectratio="f"/>
                      </v:shape>
                      <v:shape id="直接箭头连接符 110" o:spid="_x0000_s1026" o:spt="32" type="#_x0000_t32" style="position:absolute;left:2532380;top:2303780;flip:y;height:5715;width:285750;" filled="f" stroked="t" coordsize="21600,21600" o:gfxdata="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VU4h1AAAAAUBAAAPAAAAAAAAAAEAIAAAACIAAABkcnMvZG93bnJldi54bWxQSwECFAAU&#10;AAAACACHTuJAeRFv1y4CAAAtBAAADgAAAAAAAAABACAAAAAjAQAAZHJzL2Uyb0RvYy54bWxQSwUG&#10;AAAAAAYABgBZAQAAwwUAAAAA&#10;">
                        <v:fill on="f" focussize="0,0"/>
                        <v:stroke color="#000000 [3200]" joinstyle="round" dashstyle="dash" endarrow="open"/>
                        <v:imagedata o:title=""/>
                        <o:lock v:ext="edit" aspectratio="f"/>
                      </v:shape>
                      <v:rect id="矩形 108" o:spid="_x0000_s1026" o:spt="1" style="position:absolute;left:2894330;top:2179955;height:266700;width:483235;v-text-anchor:middle;" filled="f" stroked="f" coordsize="21600,21600" o:gfxdata="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CIe&#10;btMAAAAFAQAADwAAAAAAAAABACAAAAAiAAAAZHJzL2Rvd25yZXYueG1sUEsBAhQAFAAAAAgAh07i&#10;QDfMdW1gAgAApQQAAA4AAAAAAAAAAQAgAAAAIgEAAGRycy9lMm9Eb2MueG1sUEsFBgAAAAAGAAYA&#10;WQEAAPQFAAAAAA==&#10;">
                        <v:fill on="f" focussize="0,0"/>
                        <v:stroke on="f" weight="1pt"/>
                        <v:imagedata o:title=""/>
                        <o:lock v:ext="edit" aspectratio="f"/>
                        <v:textbox>
                          <w:txbxContent>
                            <w:p w14:paraId="43B37180">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S3-3</w:t>
                              </w:r>
                            </w:p>
                          </w:txbxContent>
                        </v:textbox>
                      </v:rect>
                      <w10:wrap type="none"/>
                      <w10:anchorlock/>
                    </v:group>
                  </w:pict>
                </mc:Fallback>
              </mc:AlternateContent>
            </w:r>
          </w:p>
          <w:p w14:paraId="02012A37">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图2-</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环锻</w:t>
            </w:r>
            <w:r>
              <w:rPr>
                <w:rFonts w:hint="default" w:ascii="Times New Roman" w:hAnsi="Times New Roman" w:cs="Times New Roman"/>
                <w:b/>
                <w:bCs/>
                <w:color w:val="auto"/>
                <w:sz w:val="21"/>
                <w:szCs w:val="21"/>
              </w:rPr>
              <w:t>生产工艺及产污节点图</w:t>
            </w:r>
          </w:p>
          <w:p w14:paraId="139C8B38">
            <w:pPr>
              <w:spacing w:line="360" w:lineRule="auto"/>
              <w:ind w:firstLine="422" w:firstLineChars="200"/>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环锻</w:t>
            </w:r>
            <w:r>
              <w:rPr>
                <w:rFonts w:hint="default" w:ascii="Times New Roman" w:hAnsi="Times New Roman" w:cs="Times New Roman"/>
                <w:b/>
                <w:bCs/>
                <w:color w:val="auto"/>
                <w:sz w:val="21"/>
                <w:szCs w:val="21"/>
              </w:rPr>
              <w:t>生产工艺流程及产污环节简述</w:t>
            </w:r>
            <w:r>
              <w:rPr>
                <w:rFonts w:hint="default" w:ascii="Times New Roman" w:hAnsi="Times New Roman" w:cs="Times New Roman"/>
                <w:b/>
                <w:bCs/>
                <w:color w:val="auto"/>
                <w:sz w:val="21"/>
                <w:szCs w:val="21"/>
                <w:lang w:val="en-US" w:eastAsia="zh-CN"/>
              </w:rPr>
              <w:t xml:space="preserve"> </w:t>
            </w:r>
          </w:p>
          <w:p w14:paraId="139C9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val="0"/>
                <w:bCs w:val="0"/>
                <w:color w:val="auto"/>
                <w:sz w:val="21"/>
                <w:szCs w:val="21"/>
                <w:lang w:val="en-US" w:eastAsia="zh-CN"/>
              </w:rPr>
              <w:t>（1）下料</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 xml:space="preserve"> </w:t>
            </w:r>
          </w:p>
          <w:p w14:paraId="3636F69B">
            <w:pPr>
              <w:numPr>
                <w:ilvl w:val="0"/>
                <w:numId w:val="0"/>
              </w:numPr>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根据工艺要求将</w:t>
            </w:r>
            <w:r>
              <w:rPr>
                <w:rFonts w:hint="eastAsia" w:ascii="Times New Roman" w:hAnsi="Times New Roman" w:cs="Times New Roman"/>
                <w:b w:val="0"/>
                <w:bCs w:val="0"/>
                <w:color w:val="auto"/>
                <w:sz w:val="21"/>
                <w:szCs w:val="21"/>
                <w:lang w:val="en-US" w:eastAsia="zh-CN"/>
              </w:rPr>
              <w:t>钢锭、元钢、方钢</w:t>
            </w:r>
            <w:r>
              <w:rPr>
                <w:rFonts w:hint="default" w:ascii="Times New Roman" w:hAnsi="Times New Roman" w:eastAsia="宋体" w:cs="Times New Roman"/>
                <w:b w:val="0"/>
                <w:bCs w:val="0"/>
                <w:color w:val="auto"/>
                <w:sz w:val="21"/>
                <w:szCs w:val="21"/>
                <w:lang w:val="en-US" w:eastAsia="zh-CN"/>
              </w:rPr>
              <w:t>按重量</w:t>
            </w:r>
            <w:r>
              <w:rPr>
                <w:rFonts w:hint="default" w:ascii="Times New Roman" w:hAnsi="Times New Roman" w:cs="Times New Roman"/>
                <w:b w:val="0"/>
                <w:bCs w:val="0"/>
                <w:color w:val="auto"/>
                <w:sz w:val="21"/>
                <w:szCs w:val="21"/>
                <w:lang w:val="en-US" w:eastAsia="zh-CN"/>
              </w:rPr>
              <w:t>自动带锯</w:t>
            </w:r>
            <w:r>
              <w:rPr>
                <w:rFonts w:hint="default" w:ascii="Times New Roman" w:hAnsi="Times New Roman" w:eastAsia="宋体" w:cs="Times New Roman"/>
                <w:b w:val="0"/>
                <w:bCs w:val="0"/>
                <w:color w:val="auto"/>
                <w:sz w:val="21"/>
                <w:szCs w:val="21"/>
                <w:lang w:val="en-US" w:eastAsia="zh-CN"/>
              </w:rPr>
              <w:t>锯切，去多余的帽口和水口，自动带锯锯床使用</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eastAsia="宋体" w:cs="Times New Roman"/>
                <w:b w:val="0"/>
                <w:bCs w:val="0"/>
                <w:color w:val="auto"/>
                <w:sz w:val="21"/>
                <w:szCs w:val="21"/>
                <w:lang w:val="en-US" w:eastAsia="zh-CN"/>
              </w:rPr>
              <w:t>，设备内置</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eastAsia="宋体" w:cs="Times New Roman"/>
                <w:b w:val="0"/>
                <w:bCs w:val="0"/>
                <w:color w:val="auto"/>
                <w:sz w:val="21"/>
                <w:szCs w:val="21"/>
                <w:lang w:val="en-US" w:eastAsia="zh-CN"/>
              </w:rPr>
              <w:t>循环使用系统，</w:t>
            </w:r>
            <w:r>
              <w:rPr>
                <w:rFonts w:hint="eastAsia" w:ascii="Times New Roman" w:hAnsi="Times New Roman" w:cs="Times New Roman"/>
                <w:b w:val="0"/>
                <w:bCs w:val="0"/>
                <w:color w:val="auto"/>
                <w:sz w:val="21"/>
                <w:szCs w:val="21"/>
                <w:lang w:val="en-US" w:eastAsia="zh-CN"/>
              </w:rPr>
              <w:t>切削液</w:t>
            </w:r>
            <w:r>
              <w:rPr>
                <w:rFonts w:hint="default" w:ascii="Times New Roman" w:hAnsi="Times New Roman" w:eastAsia="宋体" w:cs="Times New Roman"/>
                <w:b w:val="0"/>
                <w:bCs w:val="0"/>
                <w:color w:val="auto"/>
                <w:sz w:val="21"/>
                <w:szCs w:val="21"/>
                <w:lang w:val="en-US" w:eastAsia="zh-CN"/>
              </w:rPr>
              <w:t>不与原料接触，然后将锯切的工料</w:t>
            </w:r>
            <w:r>
              <w:rPr>
                <w:rFonts w:hint="eastAsia" w:ascii="Times New Roman" w:hAnsi="Times New Roman" w:cs="Times New Roman"/>
                <w:b w:val="0"/>
                <w:bCs w:val="0"/>
                <w:color w:val="auto"/>
                <w:sz w:val="21"/>
                <w:szCs w:val="21"/>
                <w:lang w:val="en-US" w:eastAsia="zh-CN"/>
              </w:rPr>
              <w:t>经出料机、操作机</w:t>
            </w:r>
            <w:r>
              <w:rPr>
                <w:rFonts w:hint="default" w:ascii="Times New Roman" w:hAnsi="Times New Roman" w:eastAsia="宋体" w:cs="Times New Roman"/>
                <w:b w:val="0"/>
                <w:bCs w:val="0"/>
                <w:color w:val="auto"/>
                <w:sz w:val="21"/>
                <w:szCs w:val="21"/>
                <w:lang w:val="en-US" w:eastAsia="zh-CN"/>
              </w:rPr>
              <w:t>装入天然气加热炉中。</w:t>
            </w:r>
            <w:r>
              <w:rPr>
                <w:rFonts w:hint="default" w:ascii="Times New Roman" w:hAnsi="Times New Roman" w:cs="Times New Roman"/>
                <w:b w:val="0"/>
                <w:bCs w:val="0"/>
                <w:color w:val="auto"/>
                <w:sz w:val="21"/>
                <w:szCs w:val="21"/>
                <w:lang w:val="en-US" w:eastAsia="zh-CN"/>
              </w:rPr>
              <w:t>此过程产生</w:t>
            </w:r>
            <w:r>
              <w:rPr>
                <w:rFonts w:hint="eastAsia" w:ascii="Times New Roman" w:hAnsi="Times New Roman" w:cs="Times New Roman"/>
                <w:b w:val="0"/>
                <w:bCs w:val="0"/>
                <w:color w:val="auto"/>
                <w:sz w:val="21"/>
                <w:szCs w:val="21"/>
                <w:lang w:val="en-US" w:eastAsia="zh-CN"/>
              </w:rPr>
              <w:t>下料废气G3-1、</w:t>
            </w:r>
            <w:r>
              <w:rPr>
                <w:rFonts w:hint="default" w:ascii="Times New Roman" w:hAnsi="Times New Roman" w:cs="Times New Roman"/>
                <w:b w:val="0"/>
                <w:bCs w:val="0"/>
                <w:color w:val="auto"/>
                <w:sz w:val="21"/>
                <w:szCs w:val="21"/>
                <w:lang w:val="en-US" w:eastAsia="zh-CN"/>
              </w:rPr>
              <w:t>废下脚料S</w:t>
            </w:r>
            <w:r>
              <w:rPr>
                <w:rFonts w:hint="eastAsia" w:ascii="Times New Roman" w:hAnsi="Times New Roman"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-1。</w:t>
            </w:r>
          </w:p>
          <w:p w14:paraId="34B6F825">
            <w:pPr>
              <w:numPr>
                <w:ilvl w:val="0"/>
                <w:numId w:val="0"/>
              </w:numPr>
              <w:spacing w:line="360" w:lineRule="auto"/>
              <w:ind w:left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（2）加热</w:t>
            </w:r>
            <w:r>
              <w:rPr>
                <w:rFonts w:hint="default" w:ascii="Times New Roman" w:hAnsi="Times New Roman" w:eastAsia="宋体" w:cs="Times New Roman"/>
                <w:b w:val="0"/>
                <w:bCs w:val="0"/>
                <w:color w:val="auto"/>
                <w:sz w:val="21"/>
                <w:szCs w:val="21"/>
                <w:lang w:val="en-US" w:eastAsia="zh-CN"/>
              </w:rPr>
              <w:t xml:space="preserve">  </w:t>
            </w:r>
          </w:p>
          <w:p w14:paraId="131D20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将自动带锯处理过的原料放入天然气加热炉中加热，天然气加热炉温度控制在1230-1260度</w:t>
            </w:r>
            <w:r>
              <w:rPr>
                <w:rFonts w:hint="default" w:ascii="Times New Roman" w:hAnsi="Times New Roman" w:eastAsia="宋体" w:cs="Times New Roman"/>
                <w:b w:val="0"/>
                <w:bCs w:val="0"/>
                <w:color w:val="auto"/>
                <w:sz w:val="21"/>
                <w:szCs w:val="21"/>
                <w:lang w:val="en-US" w:eastAsia="zh-CN"/>
              </w:rPr>
              <w:t>。此过程产生天然气燃烧废气G</w:t>
            </w:r>
            <w:r>
              <w:rPr>
                <w:rFonts w:hint="eastAsia" w:ascii="Times New Roman" w:hAnsi="Times New Roman"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w:t>
            </w:r>
          </w:p>
          <w:p w14:paraId="5BD2E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（3）锻压</w:t>
            </w:r>
          </w:p>
          <w:p w14:paraId="5E1A6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锻压温度控制在1180-1240度，使用专用机械抓手将加热过后的原材料放到铁毡上进行锻压，锻压设备为电液锤，最后精锻成型。此过程产生废氧化皮S</w:t>
            </w:r>
            <w:r>
              <w:rPr>
                <w:rFonts w:hint="eastAsia" w:ascii="Times New Roman" w:hAnsi="Times New Roman"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-2。</w:t>
            </w:r>
          </w:p>
          <w:p w14:paraId="18C39F9B">
            <w:pPr>
              <w:numPr>
                <w:ilvl w:val="0"/>
                <w:numId w:val="0"/>
              </w:numPr>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（4）碾环</w:t>
            </w:r>
          </w:p>
          <w:p w14:paraId="01602473">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环锻</w:t>
            </w:r>
            <w:r>
              <w:rPr>
                <w:rFonts w:hint="default" w:ascii="Times New Roman" w:hAnsi="Times New Roman" w:eastAsia="宋体" w:cs="Times New Roman"/>
                <w:b w:val="0"/>
                <w:bCs w:val="0"/>
                <w:color w:val="auto"/>
                <w:sz w:val="21"/>
                <w:szCs w:val="21"/>
                <w:lang w:val="en-US" w:eastAsia="zh-CN"/>
              </w:rPr>
              <w:t>温度控制在11</w:t>
            </w:r>
            <w:r>
              <w:rPr>
                <w:rFonts w:hint="eastAsia" w:ascii="Times New Roman" w:hAnsi="Times New Roman"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0-1240度，使用专用机械抓手将加热过后的</w:t>
            </w:r>
            <w:r>
              <w:rPr>
                <w:rFonts w:hint="eastAsia" w:ascii="Times New Roman" w:hAnsi="Times New Roman" w:cs="Times New Roman"/>
                <w:b w:val="0"/>
                <w:bCs w:val="0"/>
                <w:color w:val="auto"/>
                <w:sz w:val="21"/>
                <w:szCs w:val="21"/>
                <w:lang w:val="en-US" w:eastAsia="zh-CN"/>
              </w:rPr>
              <w:t>开坯</w:t>
            </w:r>
            <w:r>
              <w:rPr>
                <w:rFonts w:hint="default" w:ascii="Times New Roman" w:hAnsi="Times New Roman" w:eastAsia="宋体" w:cs="Times New Roman"/>
                <w:b w:val="0"/>
                <w:bCs w:val="0"/>
                <w:color w:val="auto"/>
                <w:sz w:val="21"/>
                <w:szCs w:val="21"/>
                <w:lang w:val="en-US" w:eastAsia="zh-CN"/>
              </w:rPr>
              <w:t>料放到</w:t>
            </w:r>
            <w:r>
              <w:rPr>
                <w:rFonts w:hint="eastAsia" w:ascii="Times New Roman" w:hAnsi="Times New Roman" w:cs="Times New Roman"/>
                <w:b w:val="0"/>
                <w:bCs w:val="0"/>
                <w:color w:val="auto"/>
                <w:sz w:val="21"/>
                <w:szCs w:val="21"/>
                <w:lang w:val="en-US" w:eastAsia="zh-CN"/>
              </w:rPr>
              <w:t>碾环机操作机架</w:t>
            </w:r>
            <w:r>
              <w:rPr>
                <w:rFonts w:hint="default" w:ascii="Times New Roman" w:hAnsi="Times New Roman" w:eastAsia="宋体" w:cs="Times New Roman"/>
                <w:b w:val="0"/>
                <w:bCs w:val="0"/>
                <w:color w:val="auto"/>
                <w:sz w:val="21"/>
                <w:szCs w:val="21"/>
                <w:lang w:val="en-US" w:eastAsia="zh-CN"/>
              </w:rPr>
              <w:t>上，</w:t>
            </w:r>
            <w:r>
              <w:rPr>
                <w:rFonts w:hint="eastAsia" w:ascii="Times New Roman" w:hAnsi="Times New Roman" w:cs="Times New Roman"/>
                <w:b w:val="0"/>
                <w:bCs w:val="0"/>
                <w:color w:val="auto"/>
                <w:sz w:val="21"/>
                <w:szCs w:val="21"/>
                <w:lang w:val="en-US" w:eastAsia="zh-CN"/>
              </w:rPr>
              <w:t>操作碾环机对坯件进行压制成型，环锻</w:t>
            </w:r>
            <w:r>
              <w:rPr>
                <w:rFonts w:hint="default" w:ascii="Times New Roman" w:hAnsi="Times New Roman" w:eastAsia="宋体" w:cs="Times New Roman"/>
                <w:b w:val="0"/>
                <w:bCs w:val="0"/>
                <w:color w:val="auto"/>
                <w:sz w:val="21"/>
                <w:szCs w:val="21"/>
                <w:lang w:val="en-US" w:eastAsia="zh-CN"/>
              </w:rPr>
              <w:t>设备为</w:t>
            </w:r>
            <w:r>
              <w:rPr>
                <w:rFonts w:hint="eastAsia" w:ascii="Times New Roman" w:hAnsi="Times New Roman" w:cs="Times New Roman"/>
                <w:b w:val="0"/>
                <w:bCs w:val="0"/>
                <w:color w:val="auto"/>
                <w:sz w:val="21"/>
                <w:szCs w:val="21"/>
                <w:lang w:val="en-US" w:eastAsia="zh-CN"/>
              </w:rPr>
              <w:t>碾环机机。</w:t>
            </w:r>
            <w:r>
              <w:rPr>
                <w:rFonts w:hint="default" w:ascii="Times New Roman" w:hAnsi="Times New Roman" w:eastAsia="宋体" w:cs="Times New Roman"/>
                <w:b w:val="0"/>
                <w:bCs w:val="0"/>
                <w:color w:val="auto"/>
                <w:sz w:val="21"/>
                <w:szCs w:val="21"/>
                <w:lang w:val="en-US" w:eastAsia="zh-CN"/>
              </w:rPr>
              <w:t>此过程产生废氧化皮S</w:t>
            </w:r>
            <w:r>
              <w:rPr>
                <w:rFonts w:hint="eastAsia" w:ascii="Times New Roman" w:hAnsi="Times New Roman"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3。</w:t>
            </w:r>
          </w:p>
          <w:p w14:paraId="418BA76C">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热处理：若客户订单要求进行热处理，则将锻造后的锻件放入电炉中进行加热处理，加热温度在800℃左右，具体加热温度及时间根据订单要求进行，热处理的作用是提高锻件的硬度和耐磨度，改善锻件工艺性能。如果客户未要求进行热处理，则锻造好的锻件直接进行冷却。</w:t>
            </w:r>
          </w:p>
          <w:p w14:paraId="3EDBB51A">
            <w:pPr>
              <w:numPr>
                <w:ilvl w:val="0"/>
                <w:numId w:val="0"/>
              </w:numPr>
              <w:spacing w:line="360" w:lineRule="auto"/>
              <w:ind w:left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6</w:t>
            </w:r>
            <w:r>
              <w:rPr>
                <w:rFonts w:hint="default" w:ascii="Times New Roman" w:hAnsi="Times New Roman" w:cs="Times New Roman"/>
                <w:b w:val="0"/>
                <w:bCs w:val="0"/>
                <w:color w:val="auto"/>
                <w:sz w:val="21"/>
                <w:szCs w:val="21"/>
                <w:lang w:val="en-US" w:eastAsia="zh-CN"/>
              </w:rPr>
              <w:t>）冷却</w:t>
            </w:r>
          </w:p>
          <w:p w14:paraId="07514E06">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按要求室温冷却，或按要求锻后下水冷却（自来水水池30立方米，无循环），冷却到400度时移走。</w:t>
            </w:r>
          </w:p>
          <w:p w14:paraId="00FD8998">
            <w:pPr>
              <w:numPr>
                <w:ilvl w:val="0"/>
                <w:numId w:val="0"/>
              </w:numPr>
              <w:spacing w:line="360" w:lineRule="auto"/>
              <w:ind w:left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7</w:t>
            </w:r>
            <w:r>
              <w:rPr>
                <w:rFonts w:hint="default" w:ascii="Times New Roman" w:hAnsi="Times New Roman" w:cs="Times New Roman"/>
                <w:b w:val="0"/>
                <w:bCs w:val="0"/>
                <w:color w:val="auto"/>
                <w:sz w:val="21"/>
                <w:szCs w:val="21"/>
                <w:lang w:val="en-US" w:eastAsia="zh-CN"/>
              </w:rPr>
              <w:t>）机加工</w:t>
            </w:r>
          </w:p>
          <w:p w14:paraId="2E0138E3">
            <w:pPr>
              <w:pStyle w:val="17"/>
              <w:pageBreakBefore w:val="0"/>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按照产品要求，</w:t>
            </w:r>
            <w:r>
              <w:rPr>
                <w:rFonts w:hint="default" w:ascii="Times New Roman" w:hAnsi="Times New Roman" w:cs="Times New Roman"/>
                <w:color w:val="auto"/>
                <w:lang w:val="en-US" w:eastAsia="zh-CN"/>
              </w:rPr>
              <w:t>决定是否进行机加</w:t>
            </w:r>
            <w:r>
              <w:rPr>
                <w:rFonts w:hint="default" w:ascii="Times New Roman" w:hAnsi="Times New Roman" w:eastAsia="宋体" w:cs="Times New Roman"/>
                <w:b w:val="0"/>
                <w:bCs w:val="0"/>
                <w:color w:val="auto"/>
                <w:sz w:val="21"/>
                <w:szCs w:val="21"/>
                <w:lang w:val="en-US" w:eastAsia="zh-CN"/>
              </w:rPr>
              <w:t>工，</w:t>
            </w:r>
            <w:r>
              <w:rPr>
                <w:rFonts w:hint="eastAsia" w:ascii="Times New Roman" w:hAnsi="Times New Roman" w:eastAsia="宋体" w:cs="Times New Roman"/>
                <w:b w:val="0"/>
                <w:bCs w:val="0"/>
                <w:color w:val="auto"/>
                <w:sz w:val="21"/>
                <w:szCs w:val="21"/>
                <w:lang w:val="en-US" w:eastAsia="zh-CN"/>
              </w:rPr>
              <w:t>经过锯床、龙门铣、车床、立车进行机加工，机加工</w:t>
            </w:r>
            <w:r>
              <w:rPr>
                <w:rFonts w:hint="eastAsia" w:ascii="Times New Roman" w:hAnsi="Times New Roman" w:cs="Times New Roman"/>
                <w:b w:val="0"/>
                <w:bCs w:val="0"/>
                <w:color w:val="auto"/>
                <w:sz w:val="21"/>
                <w:szCs w:val="21"/>
                <w:lang w:val="en-US" w:eastAsia="zh-CN"/>
              </w:rPr>
              <w:t>过程中</w:t>
            </w:r>
            <w:r>
              <w:rPr>
                <w:rFonts w:hint="eastAsia" w:ascii="Times New Roman" w:hAnsi="Times New Roman" w:eastAsia="宋体" w:cs="Times New Roman"/>
                <w:b w:val="0"/>
                <w:bCs w:val="0"/>
                <w:color w:val="auto"/>
                <w:sz w:val="21"/>
                <w:szCs w:val="21"/>
                <w:lang w:val="en-US" w:eastAsia="zh-CN"/>
              </w:rPr>
              <w:t>会适当加入润滑油、切削液、液压油，</w:t>
            </w:r>
            <w:r>
              <w:rPr>
                <w:rFonts w:hint="eastAsia" w:ascii="Times New Roman" w:hAnsi="Times New Roman" w:cs="Times New Roman"/>
                <w:b w:val="0"/>
                <w:bCs w:val="0"/>
                <w:color w:val="auto"/>
                <w:sz w:val="21"/>
                <w:szCs w:val="21"/>
                <w:lang w:val="en-US" w:eastAsia="zh-CN"/>
              </w:rPr>
              <w:t>启到抑尘作用，故无金属颗粒物产生，只产生含油金属屑。</w:t>
            </w:r>
            <w:r>
              <w:rPr>
                <w:rFonts w:hint="default" w:ascii="Times New Roman" w:hAnsi="Times New Roman" w:cs="Times New Roman"/>
                <w:b w:val="0"/>
                <w:bCs w:val="0"/>
                <w:color w:val="auto"/>
                <w:sz w:val="21"/>
                <w:szCs w:val="21"/>
                <w:lang w:val="en-US" w:eastAsia="zh-CN"/>
              </w:rPr>
              <w:t>此</w:t>
            </w:r>
            <w:r>
              <w:rPr>
                <w:rFonts w:hint="eastAsia" w:ascii="Times New Roman" w:hAnsi="Times New Roman" w:cs="Times New Roman"/>
                <w:b w:val="0"/>
                <w:bCs w:val="0"/>
                <w:color w:val="auto"/>
                <w:sz w:val="21"/>
                <w:szCs w:val="21"/>
                <w:lang w:val="en-US" w:eastAsia="zh-CN"/>
              </w:rPr>
              <w:t>过程</w:t>
            </w:r>
            <w:r>
              <w:rPr>
                <w:rFonts w:hint="default" w:ascii="Times New Roman" w:hAnsi="Times New Roman" w:cs="Times New Roman"/>
                <w:b w:val="0"/>
                <w:bCs w:val="0"/>
                <w:color w:val="auto"/>
                <w:sz w:val="21"/>
                <w:szCs w:val="21"/>
                <w:lang w:val="en-US" w:eastAsia="zh-CN"/>
              </w:rPr>
              <w:t>产生</w:t>
            </w:r>
            <w:r>
              <w:rPr>
                <w:rFonts w:hint="eastAsia" w:ascii="Times New Roman" w:hAnsi="Times New Roman" w:cs="Times New Roman"/>
                <w:b w:val="0"/>
                <w:bCs w:val="0"/>
                <w:color w:val="auto"/>
                <w:sz w:val="21"/>
                <w:szCs w:val="21"/>
                <w:lang w:val="en-US" w:eastAsia="zh-CN"/>
              </w:rPr>
              <w:t>机加工废气G3-3、废边角料</w:t>
            </w:r>
            <w:r>
              <w:rPr>
                <w:rFonts w:hint="default" w:ascii="Times New Roman" w:hAnsi="Times New Roman" w:cs="Times New Roman"/>
                <w:b w:val="0"/>
                <w:bCs w:val="0"/>
                <w:color w:val="auto"/>
                <w:sz w:val="21"/>
                <w:szCs w:val="21"/>
                <w:lang w:val="en-US" w:eastAsia="zh-CN"/>
              </w:rPr>
              <w:t>S</w:t>
            </w:r>
            <w:r>
              <w:rPr>
                <w:rFonts w:hint="eastAsia" w:ascii="Times New Roman" w:hAnsi="Times New Roman"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4、废切削液S3-5、含油金属屑S3-6</w:t>
            </w:r>
            <w:r>
              <w:rPr>
                <w:rFonts w:hint="default" w:ascii="Times New Roman" w:hAnsi="Times New Roman" w:cs="Times New Roman"/>
                <w:color w:val="auto"/>
                <w:sz w:val="21"/>
                <w:szCs w:val="21"/>
                <w:lang w:val="en-US" w:eastAsia="zh-CN"/>
              </w:rPr>
              <w:t>。</w:t>
            </w:r>
          </w:p>
          <w:p w14:paraId="34FD4E1A">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8</w:t>
            </w:r>
            <w:r>
              <w:rPr>
                <w:rFonts w:hint="default" w:ascii="Times New Roman" w:hAnsi="Times New Roman" w:cs="Times New Roman"/>
                <w:b w:val="0"/>
                <w:bCs w:val="0"/>
                <w:color w:val="auto"/>
                <w:sz w:val="21"/>
                <w:szCs w:val="21"/>
                <w:lang w:val="en-US" w:eastAsia="zh-CN"/>
              </w:rPr>
              <w:t>）检验</w:t>
            </w:r>
          </w:p>
          <w:p w14:paraId="2607ADC7">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将产品进行卡尺检尺寸，超声波探伤</w:t>
            </w:r>
            <w:r>
              <w:rPr>
                <w:rFonts w:hint="eastAsia" w:ascii="Times New Roman" w:hAnsi="Times New Roman" w:cs="Times New Roman"/>
                <w:b w:val="0"/>
                <w:bCs w:val="0"/>
                <w:color w:val="auto"/>
                <w:sz w:val="21"/>
                <w:szCs w:val="21"/>
                <w:lang w:val="en-US" w:eastAsia="zh-CN"/>
              </w:rPr>
              <w:t>，超声波探伤原理为：利用超声能透入金属材料的深处，并由一截面进入另一截面时，在界面边缘发生反射的特点来检查零件缺陷的一种方法。当超声波束自零件表面由探头通至金属内部，遇到缺陷与零件底面时就分别发生反射波，在荧光屏上形成脉冲波形，可以通过这些脉冲波形来判断缺陷位置和大小。‌故不产生废气</w:t>
            </w:r>
            <w:r>
              <w:rPr>
                <w:rFonts w:hint="default" w:ascii="Times New Roman" w:hAnsi="Times New Roman" w:cs="Times New Roman"/>
                <w:b w:val="0"/>
                <w:bCs w:val="0"/>
                <w:color w:val="auto"/>
                <w:sz w:val="21"/>
                <w:szCs w:val="21"/>
                <w:lang w:val="en-US" w:eastAsia="zh-CN"/>
              </w:rPr>
              <w:t>，此过程产生不合格品S</w:t>
            </w:r>
            <w:r>
              <w:rPr>
                <w:rFonts w:hint="eastAsia" w:ascii="Times New Roman" w:hAnsi="Times New Roman"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7</w:t>
            </w:r>
            <w:r>
              <w:rPr>
                <w:rFonts w:hint="default" w:ascii="Times New Roman" w:hAnsi="Times New Roman" w:cs="Times New Roman"/>
                <w:b w:val="0"/>
                <w:bCs w:val="0"/>
                <w:color w:val="auto"/>
                <w:sz w:val="21"/>
                <w:szCs w:val="21"/>
                <w:lang w:val="en-US" w:eastAsia="zh-CN"/>
              </w:rPr>
              <w:t>。</w:t>
            </w:r>
          </w:p>
          <w:p w14:paraId="2BB85FBC">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9</w:t>
            </w:r>
            <w:r>
              <w:rPr>
                <w:rFonts w:hint="default" w:ascii="Times New Roman" w:hAnsi="Times New Roman" w:cs="Times New Roman"/>
                <w:b w:val="0"/>
                <w:bCs w:val="0"/>
                <w:color w:val="auto"/>
                <w:sz w:val="21"/>
                <w:szCs w:val="21"/>
                <w:lang w:val="en-US" w:eastAsia="zh-CN"/>
              </w:rPr>
              <w:t>）成品入库</w:t>
            </w:r>
          </w:p>
          <w:p w14:paraId="5F40AFCD">
            <w:pPr>
              <w:numPr>
                <w:ilvl w:val="0"/>
                <w:numId w:val="0"/>
              </w:numPr>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合格产品按要求入库存放。</w:t>
            </w:r>
          </w:p>
          <w:p w14:paraId="1C624A6A">
            <w:pPr>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2、产排污环节</w:t>
            </w:r>
          </w:p>
          <w:p w14:paraId="20C1CC04">
            <w:pPr>
              <w:pStyle w:val="5"/>
              <w:spacing w:line="360" w:lineRule="auto"/>
              <w:ind w:firstLine="48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本项目主要产污环节见表2-6。</w:t>
            </w:r>
          </w:p>
          <w:p w14:paraId="5F17573B">
            <w:pPr>
              <w:pStyle w:val="186"/>
              <w:adjustRightInd w:val="0"/>
              <w:snapToGrid w:val="0"/>
              <w:jc w:val="center"/>
              <w:outlineLvl w:val="9"/>
              <w:rPr>
                <w:rFonts w:hint="default" w:ascii="Times New Roman" w:hAnsi="Times New Roman" w:cs="Times New Roman"/>
                <w:color w:val="auto"/>
                <w:sz w:val="21"/>
                <w:szCs w:val="21"/>
                <w:lang w:eastAsia="zh-CN"/>
              </w:rPr>
            </w:pPr>
            <w:r>
              <w:rPr>
                <w:rFonts w:hint="default" w:ascii="Times New Roman" w:hAnsi="Times New Roman" w:cs="Times New Roman"/>
                <w:b/>
                <w:bCs w:val="0"/>
                <w:color w:val="auto"/>
                <w:sz w:val="21"/>
                <w:szCs w:val="21"/>
                <w:lang w:eastAsia="zh-CN"/>
              </w:rPr>
              <w:t>表2-</w:t>
            </w:r>
            <w:r>
              <w:rPr>
                <w:rFonts w:hint="default" w:ascii="Times New Roman" w:hAnsi="Times New Roman" w:cs="Times New Roman"/>
                <w:b/>
                <w:bCs w:val="0"/>
                <w:color w:val="auto"/>
                <w:sz w:val="21"/>
                <w:szCs w:val="21"/>
                <w:lang w:val="en-US" w:eastAsia="zh-CN"/>
              </w:rPr>
              <w:t>6</w:t>
            </w:r>
            <w:r>
              <w:rPr>
                <w:rFonts w:hint="default" w:ascii="Times New Roman" w:hAnsi="Times New Roman" w:cs="Times New Roman"/>
                <w:b/>
                <w:bCs w:val="0"/>
                <w:color w:val="auto"/>
                <w:sz w:val="21"/>
                <w:szCs w:val="21"/>
                <w:lang w:eastAsia="zh-CN"/>
              </w:rPr>
              <w:t xml:space="preserve"> 产污环节一览表</w:t>
            </w:r>
          </w:p>
          <w:tbl>
            <w:tblPr>
              <w:tblStyle w:val="41"/>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321"/>
              <w:gridCol w:w="1512"/>
              <w:gridCol w:w="1966"/>
              <w:gridCol w:w="2475"/>
            </w:tblGrid>
            <w:tr w14:paraId="575932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998" w:type="dxa"/>
                  <w:noWrap w:val="0"/>
                  <w:vAlign w:val="center"/>
                </w:tcPr>
                <w:p w14:paraId="52B455E5">
                  <w:pPr>
                    <w:pStyle w:val="238"/>
                    <w:adjustRightInd w:val="0"/>
                    <w:snapToGrid w:val="0"/>
                    <w:spacing w:line="240" w:lineRule="exact"/>
                    <w:jc w:val="center"/>
                    <w:rPr>
                      <w:rFonts w:hint="default" w:ascii="Times New Roman" w:hAnsi="Times New Roman" w:cs="Times New Roman"/>
                      <w:b/>
                      <w:snapToGrid w:val="0"/>
                      <w:color w:val="auto"/>
                      <w:sz w:val="21"/>
                      <w:szCs w:val="21"/>
                      <w:lang w:val="en-US"/>
                    </w:rPr>
                  </w:pPr>
                  <w:r>
                    <w:rPr>
                      <w:rFonts w:hint="default" w:ascii="Times New Roman" w:hAnsi="Times New Roman" w:cs="Times New Roman"/>
                      <w:b/>
                      <w:snapToGrid w:val="0"/>
                      <w:color w:val="auto"/>
                      <w:sz w:val="21"/>
                      <w:szCs w:val="21"/>
                      <w:lang w:val="en-US"/>
                    </w:rPr>
                    <w:t>污染类型</w:t>
                  </w:r>
                </w:p>
              </w:tc>
              <w:tc>
                <w:tcPr>
                  <w:tcW w:w="1321" w:type="dxa"/>
                  <w:noWrap w:val="0"/>
                  <w:vAlign w:val="center"/>
                </w:tcPr>
                <w:p w14:paraId="3930EE87">
                  <w:pPr>
                    <w:pStyle w:val="238"/>
                    <w:adjustRightInd w:val="0"/>
                    <w:snapToGrid w:val="0"/>
                    <w:spacing w:line="240" w:lineRule="exact"/>
                    <w:jc w:val="center"/>
                    <w:rPr>
                      <w:rFonts w:hint="default" w:ascii="Times New Roman" w:hAnsi="Times New Roman" w:eastAsia="宋体" w:cs="Times New Roman"/>
                      <w:b/>
                      <w:snapToGrid w:val="0"/>
                      <w:color w:val="auto"/>
                      <w:sz w:val="21"/>
                      <w:szCs w:val="21"/>
                      <w:lang w:val="en-US" w:eastAsia="zh-CN"/>
                    </w:rPr>
                  </w:pPr>
                  <w:r>
                    <w:rPr>
                      <w:rFonts w:hint="default" w:ascii="Times New Roman" w:hAnsi="Times New Roman" w:cs="Times New Roman"/>
                      <w:b/>
                      <w:snapToGrid w:val="0"/>
                      <w:color w:val="auto"/>
                      <w:sz w:val="21"/>
                      <w:szCs w:val="21"/>
                      <w:lang w:val="en-US" w:eastAsia="zh-CN"/>
                    </w:rPr>
                    <w:t>污染物名称</w:t>
                  </w:r>
                </w:p>
              </w:tc>
              <w:tc>
                <w:tcPr>
                  <w:tcW w:w="1512" w:type="dxa"/>
                  <w:noWrap w:val="0"/>
                  <w:vAlign w:val="center"/>
                </w:tcPr>
                <w:p w14:paraId="51A3488B">
                  <w:pPr>
                    <w:pStyle w:val="238"/>
                    <w:adjustRightInd w:val="0"/>
                    <w:snapToGrid w:val="0"/>
                    <w:spacing w:line="240" w:lineRule="exact"/>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产生环节</w:t>
                  </w:r>
                </w:p>
              </w:tc>
              <w:tc>
                <w:tcPr>
                  <w:tcW w:w="1966" w:type="dxa"/>
                  <w:noWrap w:val="0"/>
                  <w:vAlign w:val="center"/>
                </w:tcPr>
                <w:p w14:paraId="6DA6A736">
                  <w:pPr>
                    <w:pStyle w:val="238"/>
                    <w:adjustRightInd w:val="0"/>
                    <w:snapToGrid w:val="0"/>
                    <w:spacing w:line="240" w:lineRule="exact"/>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污染因子</w:t>
                  </w:r>
                </w:p>
              </w:tc>
              <w:tc>
                <w:tcPr>
                  <w:tcW w:w="2475" w:type="dxa"/>
                  <w:noWrap w:val="0"/>
                  <w:vAlign w:val="center"/>
                </w:tcPr>
                <w:p w14:paraId="6C167C1D">
                  <w:pPr>
                    <w:pStyle w:val="238"/>
                    <w:adjustRightInd w:val="0"/>
                    <w:snapToGrid w:val="0"/>
                    <w:spacing w:line="240" w:lineRule="exact"/>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防治措施</w:t>
                  </w:r>
                </w:p>
              </w:tc>
            </w:tr>
            <w:tr w14:paraId="3AF3D9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998" w:type="dxa"/>
                  <w:vMerge w:val="restart"/>
                  <w:noWrap w:val="0"/>
                  <w:vAlign w:val="center"/>
                </w:tcPr>
                <w:p w14:paraId="339D33EF">
                  <w:pPr>
                    <w:pStyle w:val="238"/>
                    <w:adjustRightInd w:val="0"/>
                    <w:snapToGrid w:val="0"/>
                    <w:spacing w:line="240" w:lineRule="exact"/>
                    <w:jc w:val="center"/>
                    <w:rPr>
                      <w:rFonts w:hint="default" w:ascii="Times New Roman" w:hAnsi="Times New Roman" w:cs="Times New Roman"/>
                      <w:snapToGrid w:val="0"/>
                      <w:color w:val="auto"/>
                      <w:sz w:val="21"/>
                      <w:szCs w:val="21"/>
                      <w:lang w:val="en-US"/>
                    </w:rPr>
                  </w:pPr>
                  <w:r>
                    <w:rPr>
                      <w:rFonts w:hint="default" w:ascii="Times New Roman" w:hAnsi="Times New Roman" w:cs="Times New Roman"/>
                      <w:snapToGrid w:val="0"/>
                      <w:color w:val="auto"/>
                      <w:sz w:val="21"/>
                      <w:szCs w:val="21"/>
                      <w:lang w:val="en-US"/>
                    </w:rPr>
                    <w:t>废气</w:t>
                  </w:r>
                </w:p>
              </w:tc>
              <w:tc>
                <w:tcPr>
                  <w:tcW w:w="1321" w:type="dxa"/>
                  <w:noWrap w:val="0"/>
                  <w:vAlign w:val="center"/>
                </w:tcPr>
                <w:p w14:paraId="2FB41368">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color w:val="auto"/>
                      <w:szCs w:val="24"/>
                      <w:lang w:val="en-US" w:eastAsia="zh-CN"/>
                    </w:rPr>
                    <w:t>G1-1、G2-1</w:t>
                  </w:r>
                  <w:r>
                    <w:rPr>
                      <w:rFonts w:hint="eastAsia" w:ascii="Times New Roman" w:hAnsi="Times New Roman" w:cs="Times New Roman"/>
                      <w:color w:val="auto"/>
                      <w:szCs w:val="24"/>
                      <w:lang w:val="en-US" w:eastAsia="zh-CN"/>
                    </w:rPr>
                    <w:t>、G3-1</w:t>
                  </w:r>
                  <w:r>
                    <w:rPr>
                      <w:rFonts w:hint="eastAsia" w:ascii="Times New Roman" w:hAnsi="Times New Roman" w:cs="Times New Roman"/>
                      <w:snapToGrid w:val="0"/>
                      <w:color w:val="auto"/>
                      <w:sz w:val="21"/>
                      <w:szCs w:val="21"/>
                      <w:lang w:val="en-US" w:eastAsia="zh-CN"/>
                    </w:rPr>
                    <w:t>下料废气</w:t>
                  </w:r>
                </w:p>
              </w:tc>
              <w:tc>
                <w:tcPr>
                  <w:tcW w:w="1512" w:type="dxa"/>
                  <w:noWrap w:val="0"/>
                  <w:vAlign w:val="center"/>
                </w:tcPr>
                <w:p w14:paraId="6BB4A067">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下料</w:t>
                  </w:r>
                </w:p>
              </w:tc>
              <w:tc>
                <w:tcPr>
                  <w:tcW w:w="1966" w:type="dxa"/>
                  <w:noWrap w:val="0"/>
                  <w:vAlign w:val="center"/>
                </w:tcPr>
                <w:p w14:paraId="5DAA7FA4">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非甲烷总烃</w:t>
                  </w:r>
                </w:p>
              </w:tc>
              <w:tc>
                <w:tcPr>
                  <w:tcW w:w="2475" w:type="dxa"/>
                  <w:noWrap w:val="0"/>
                  <w:vAlign w:val="center"/>
                </w:tcPr>
                <w:p w14:paraId="2F942CC6">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无组织排放</w:t>
                  </w:r>
                </w:p>
              </w:tc>
            </w:tr>
            <w:tr w14:paraId="7EC452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998" w:type="dxa"/>
                  <w:vMerge w:val="continue"/>
                  <w:noWrap w:val="0"/>
                  <w:vAlign w:val="center"/>
                </w:tcPr>
                <w:p w14:paraId="7C406230">
                  <w:pPr>
                    <w:pStyle w:val="238"/>
                    <w:adjustRightInd w:val="0"/>
                    <w:snapToGrid w:val="0"/>
                    <w:spacing w:line="240" w:lineRule="exact"/>
                    <w:ind w:left="105" w:leftChars="50"/>
                    <w:jc w:val="center"/>
                    <w:rPr>
                      <w:color w:val="auto"/>
                    </w:rPr>
                  </w:pPr>
                </w:p>
              </w:tc>
              <w:tc>
                <w:tcPr>
                  <w:tcW w:w="1321" w:type="dxa"/>
                  <w:noWrap w:val="0"/>
                  <w:vAlign w:val="center"/>
                </w:tcPr>
                <w:p w14:paraId="36FD0DE9">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G1-</w:t>
                  </w:r>
                  <w:r>
                    <w:rPr>
                      <w:rFonts w:hint="eastAsia" w:ascii="Times New Roman" w:hAnsi="Times New Roman" w:cs="Times New Roman"/>
                      <w:color w:val="auto"/>
                      <w:szCs w:val="24"/>
                      <w:lang w:val="en-US" w:eastAsia="zh-CN"/>
                    </w:rPr>
                    <w:t>2</w:t>
                  </w:r>
                  <w:r>
                    <w:rPr>
                      <w:rFonts w:hint="default" w:ascii="Times New Roman" w:hAnsi="Times New Roman" w:cs="Times New Roman"/>
                      <w:color w:val="auto"/>
                      <w:szCs w:val="24"/>
                      <w:lang w:val="en-US" w:eastAsia="zh-CN"/>
                    </w:rPr>
                    <w:t>、G2-</w:t>
                  </w:r>
                  <w:r>
                    <w:rPr>
                      <w:rFonts w:hint="eastAsia" w:ascii="Times New Roman" w:hAnsi="Times New Roman" w:cs="Times New Roman"/>
                      <w:color w:val="auto"/>
                      <w:szCs w:val="24"/>
                      <w:lang w:val="en-US" w:eastAsia="zh-CN"/>
                    </w:rPr>
                    <w:t>2、G3-2</w:t>
                  </w:r>
                  <w:r>
                    <w:rPr>
                      <w:rFonts w:hint="default" w:ascii="Times New Roman" w:hAnsi="Times New Roman" w:cs="Times New Roman"/>
                      <w:color w:val="auto"/>
                      <w:szCs w:val="24"/>
                      <w:lang w:val="en-US" w:eastAsia="zh-CN"/>
                    </w:rPr>
                    <w:t>天然气燃烧废气</w:t>
                  </w:r>
                </w:p>
              </w:tc>
              <w:tc>
                <w:tcPr>
                  <w:tcW w:w="1512" w:type="dxa"/>
                  <w:noWrap w:val="0"/>
                  <w:vAlign w:val="center"/>
                </w:tcPr>
                <w:p w14:paraId="4774CE73">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default" w:ascii="Times New Roman" w:hAnsi="Times New Roman" w:cs="Times New Roman"/>
                      <w:snapToGrid w:val="0"/>
                      <w:color w:val="auto"/>
                      <w:sz w:val="21"/>
                      <w:szCs w:val="21"/>
                      <w:lang w:val="en-US" w:eastAsia="zh-CN"/>
                    </w:rPr>
                    <w:t>加热</w:t>
                  </w:r>
                </w:p>
              </w:tc>
              <w:tc>
                <w:tcPr>
                  <w:tcW w:w="1966" w:type="dxa"/>
                  <w:noWrap w:val="0"/>
                  <w:vAlign w:val="center"/>
                </w:tcPr>
                <w:p w14:paraId="79705E33">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default" w:ascii="Times New Roman" w:hAnsi="Times New Roman" w:cs="Times New Roman"/>
                      <w:snapToGrid w:val="0"/>
                      <w:color w:val="auto"/>
                      <w:sz w:val="21"/>
                      <w:szCs w:val="21"/>
                      <w:lang w:val="en-US" w:eastAsia="zh-CN"/>
                    </w:rPr>
                    <w:t>颗粒物、二氧化硫、氮氧化物</w:t>
                  </w:r>
                </w:p>
              </w:tc>
              <w:tc>
                <w:tcPr>
                  <w:tcW w:w="2475" w:type="dxa"/>
                  <w:noWrap w:val="0"/>
                  <w:vAlign w:val="center"/>
                </w:tcPr>
                <w:p w14:paraId="446B98A3">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default" w:ascii="Times New Roman" w:hAnsi="Times New Roman" w:cs="Times New Roman"/>
                      <w:snapToGrid w:val="0"/>
                      <w:color w:val="auto"/>
                      <w:sz w:val="21"/>
                      <w:szCs w:val="21"/>
                      <w:lang w:val="en-US" w:eastAsia="zh-CN"/>
                    </w:rPr>
                    <w:t>低氮燃烧装置+15米高排气筒排放</w:t>
                  </w:r>
                </w:p>
              </w:tc>
            </w:tr>
            <w:tr w14:paraId="3B184B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6" w:hRule="atLeast"/>
                <w:jc w:val="center"/>
              </w:trPr>
              <w:tc>
                <w:tcPr>
                  <w:tcW w:w="998" w:type="dxa"/>
                  <w:vMerge w:val="continue"/>
                  <w:noWrap w:val="0"/>
                  <w:vAlign w:val="center"/>
                </w:tcPr>
                <w:p w14:paraId="32ECC4D2">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p>
              </w:tc>
              <w:tc>
                <w:tcPr>
                  <w:tcW w:w="1321" w:type="dxa"/>
                  <w:noWrap w:val="0"/>
                  <w:vAlign w:val="center"/>
                </w:tcPr>
                <w:p w14:paraId="7E22DD1E">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G1-</w:t>
                  </w:r>
                  <w:r>
                    <w:rPr>
                      <w:rFonts w:hint="eastAsia" w:ascii="Times New Roman" w:hAnsi="Times New Roman" w:cs="Times New Roman"/>
                      <w:color w:val="auto"/>
                      <w:szCs w:val="24"/>
                      <w:lang w:val="en-US" w:eastAsia="zh-CN"/>
                    </w:rPr>
                    <w:t>3</w:t>
                  </w:r>
                  <w:r>
                    <w:rPr>
                      <w:rFonts w:hint="default" w:ascii="Times New Roman" w:hAnsi="Times New Roman" w:cs="Times New Roman"/>
                      <w:color w:val="auto"/>
                      <w:szCs w:val="24"/>
                      <w:lang w:val="en-US" w:eastAsia="zh-CN"/>
                    </w:rPr>
                    <w:t>、G2-</w:t>
                  </w:r>
                  <w:r>
                    <w:rPr>
                      <w:rFonts w:hint="eastAsia" w:ascii="Times New Roman" w:hAnsi="Times New Roman" w:cs="Times New Roman"/>
                      <w:color w:val="auto"/>
                      <w:szCs w:val="24"/>
                      <w:lang w:val="en-US" w:eastAsia="zh-CN"/>
                    </w:rPr>
                    <w:t>3、G3-3机加工废气</w:t>
                  </w:r>
                </w:p>
              </w:tc>
              <w:tc>
                <w:tcPr>
                  <w:tcW w:w="1512" w:type="dxa"/>
                  <w:noWrap w:val="0"/>
                  <w:vAlign w:val="center"/>
                </w:tcPr>
                <w:p w14:paraId="3CBBA110">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机加工</w:t>
                  </w:r>
                </w:p>
              </w:tc>
              <w:tc>
                <w:tcPr>
                  <w:tcW w:w="1966" w:type="dxa"/>
                  <w:noWrap w:val="0"/>
                  <w:vAlign w:val="center"/>
                </w:tcPr>
                <w:p w14:paraId="1CB189BD">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非甲烷总烃</w:t>
                  </w:r>
                </w:p>
              </w:tc>
              <w:tc>
                <w:tcPr>
                  <w:tcW w:w="2475" w:type="dxa"/>
                  <w:noWrap w:val="0"/>
                  <w:vAlign w:val="center"/>
                </w:tcPr>
                <w:p w14:paraId="35F9B171">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无组织</w:t>
                  </w:r>
                </w:p>
              </w:tc>
            </w:tr>
            <w:tr w14:paraId="53910B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998" w:type="dxa"/>
                  <w:vMerge w:val="continue"/>
                  <w:noWrap w:val="0"/>
                  <w:vAlign w:val="center"/>
                </w:tcPr>
                <w:p w14:paraId="615026A4">
                  <w:pPr>
                    <w:pStyle w:val="238"/>
                    <w:adjustRightInd w:val="0"/>
                    <w:snapToGrid w:val="0"/>
                    <w:spacing w:line="240" w:lineRule="exact"/>
                    <w:ind w:left="105" w:leftChars="50"/>
                    <w:jc w:val="center"/>
                    <w:rPr>
                      <w:color w:val="auto"/>
                    </w:rPr>
                  </w:pPr>
                </w:p>
              </w:tc>
              <w:tc>
                <w:tcPr>
                  <w:tcW w:w="1321" w:type="dxa"/>
                  <w:noWrap w:val="0"/>
                  <w:vAlign w:val="center"/>
                </w:tcPr>
                <w:p w14:paraId="18E4A064">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G2-4模具机加工废气</w:t>
                  </w:r>
                </w:p>
              </w:tc>
              <w:tc>
                <w:tcPr>
                  <w:tcW w:w="1512" w:type="dxa"/>
                  <w:noWrap w:val="0"/>
                  <w:vAlign w:val="center"/>
                </w:tcPr>
                <w:p w14:paraId="482849B5">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机加工</w:t>
                  </w:r>
                </w:p>
              </w:tc>
              <w:tc>
                <w:tcPr>
                  <w:tcW w:w="1966" w:type="dxa"/>
                  <w:noWrap w:val="0"/>
                  <w:vAlign w:val="center"/>
                </w:tcPr>
                <w:p w14:paraId="12E4334B">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非甲烷总烃</w:t>
                  </w:r>
                </w:p>
              </w:tc>
              <w:tc>
                <w:tcPr>
                  <w:tcW w:w="2475" w:type="dxa"/>
                  <w:noWrap w:val="0"/>
                  <w:vAlign w:val="center"/>
                </w:tcPr>
                <w:p w14:paraId="4C6D5749">
                  <w:pPr>
                    <w:pStyle w:val="238"/>
                    <w:adjustRightInd w:val="0"/>
                    <w:snapToGrid w:val="0"/>
                    <w:spacing w:line="240" w:lineRule="exact"/>
                    <w:ind w:left="105" w:leftChars="50"/>
                    <w:jc w:val="center"/>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无组织</w:t>
                  </w:r>
                </w:p>
              </w:tc>
            </w:tr>
            <w:tr w14:paraId="289FD1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998" w:type="dxa"/>
                  <w:noWrap w:val="0"/>
                  <w:vAlign w:val="center"/>
                </w:tcPr>
                <w:p w14:paraId="6293CA04">
                  <w:pPr>
                    <w:pStyle w:val="238"/>
                    <w:adjustRightInd w:val="0"/>
                    <w:snapToGrid w:val="0"/>
                    <w:spacing w:line="240" w:lineRule="exact"/>
                    <w:jc w:val="center"/>
                    <w:rPr>
                      <w:rFonts w:hint="default" w:ascii="Times New Roman" w:hAnsi="Times New Roman" w:cs="Times New Roman"/>
                      <w:snapToGrid w:val="0"/>
                      <w:color w:val="auto"/>
                      <w:sz w:val="21"/>
                      <w:szCs w:val="21"/>
                      <w:lang w:val="en-US"/>
                    </w:rPr>
                  </w:pPr>
                  <w:r>
                    <w:rPr>
                      <w:rFonts w:hint="default" w:ascii="Times New Roman" w:hAnsi="Times New Roman" w:cs="Times New Roman"/>
                      <w:snapToGrid w:val="0"/>
                      <w:color w:val="auto"/>
                      <w:sz w:val="21"/>
                      <w:szCs w:val="21"/>
                      <w:lang w:val="en-US"/>
                    </w:rPr>
                    <w:t>废水</w:t>
                  </w:r>
                </w:p>
              </w:tc>
              <w:tc>
                <w:tcPr>
                  <w:tcW w:w="1321" w:type="dxa"/>
                  <w:noWrap w:val="0"/>
                  <w:vAlign w:val="center"/>
                </w:tcPr>
                <w:p w14:paraId="564C117E">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生活污水</w:t>
                  </w:r>
                </w:p>
              </w:tc>
              <w:tc>
                <w:tcPr>
                  <w:tcW w:w="1512" w:type="dxa"/>
                  <w:noWrap w:val="0"/>
                  <w:vAlign w:val="center"/>
                </w:tcPr>
                <w:p w14:paraId="1833A320">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rPr>
                    <w:t>职工生活</w:t>
                  </w:r>
                </w:p>
              </w:tc>
              <w:tc>
                <w:tcPr>
                  <w:tcW w:w="1966" w:type="dxa"/>
                  <w:noWrap w:val="0"/>
                  <w:vAlign w:val="center"/>
                </w:tcPr>
                <w:p w14:paraId="06A037A5">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rPr>
                    <w:t>COD、SS</w:t>
                  </w:r>
                  <w:r>
                    <w:rPr>
                      <w:rFonts w:hint="default" w:ascii="Times New Roman" w:hAnsi="Times New Roman" w:cs="Times New Roman"/>
                      <w:snapToGrid w:val="0"/>
                      <w:color w:val="auto"/>
                      <w:sz w:val="21"/>
                      <w:szCs w:val="21"/>
                      <w:lang w:val="en-US" w:eastAsia="zh-CN"/>
                    </w:rPr>
                    <w:t>、BOD</w:t>
                  </w:r>
                  <w:r>
                    <w:rPr>
                      <w:rFonts w:hint="default" w:ascii="Times New Roman" w:hAnsi="Times New Roman" w:cs="Times New Roman"/>
                      <w:snapToGrid w:val="0"/>
                      <w:color w:val="auto"/>
                      <w:sz w:val="21"/>
                      <w:szCs w:val="21"/>
                      <w:vertAlign w:val="subscript"/>
                      <w:lang w:val="en-US" w:eastAsia="zh-CN"/>
                    </w:rPr>
                    <w:t>5</w:t>
                  </w:r>
                  <w:r>
                    <w:rPr>
                      <w:rFonts w:hint="default" w:ascii="Times New Roman" w:hAnsi="Times New Roman" w:cs="Times New Roman"/>
                      <w:snapToGrid w:val="0"/>
                      <w:color w:val="auto"/>
                      <w:sz w:val="21"/>
                      <w:szCs w:val="21"/>
                      <w:lang w:val="en-US"/>
                    </w:rPr>
                    <w:t>、氨氮、TP、TN</w:t>
                  </w:r>
                </w:p>
              </w:tc>
              <w:tc>
                <w:tcPr>
                  <w:tcW w:w="2475" w:type="dxa"/>
                  <w:noWrap w:val="0"/>
                  <w:vAlign w:val="center"/>
                </w:tcPr>
                <w:p w14:paraId="1A33DCDD">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bCs/>
                      <w:color w:val="auto"/>
                      <w:sz w:val="21"/>
                      <w:szCs w:val="21"/>
                    </w:rPr>
                    <w:t>经化粪池处理后接管至</w:t>
                  </w:r>
                  <w:r>
                    <w:rPr>
                      <w:rFonts w:hint="default" w:ascii="Times New Roman" w:hAnsi="Times New Roman" w:cs="Times New Roman"/>
                      <w:color w:val="auto"/>
                      <w:sz w:val="21"/>
                      <w:szCs w:val="21"/>
                      <w:lang w:eastAsia="zh-CN"/>
                    </w:rPr>
                    <w:t>海门经济技术开发区污水处理厂</w:t>
                  </w:r>
                </w:p>
              </w:tc>
            </w:tr>
            <w:tr w14:paraId="705808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998" w:type="dxa"/>
                  <w:noWrap w:val="0"/>
                  <w:vAlign w:val="center"/>
                </w:tcPr>
                <w:p w14:paraId="407597CA">
                  <w:pPr>
                    <w:pStyle w:val="238"/>
                    <w:adjustRightInd w:val="0"/>
                    <w:snapToGrid w:val="0"/>
                    <w:spacing w:line="240" w:lineRule="exact"/>
                    <w:jc w:val="center"/>
                    <w:rPr>
                      <w:rFonts w:hint="default" w:ascii="Times New Roman" w:hAnsi="Times New Roman" w:cs="Times New Roman"/>
                      <w:snapToGrid w:val="0"/>
                      <w:color w:val="auto"/>
                      <w:sz w:val="21"/>
                      <w:szCs w:val="21"/>
                      <w:lang w:val="en-US"/>
                    </w:rPr>
                  </w:pPr>
                  <w:r>
                    <w:rPr>
                      <w:rFonts w:hint="default" w:ascii="Times New Roman" w:hAnsi="Times New Roman" w:cs="Times New Roman"/>
                      <w:snapToGrid w:val="0"/>
                      <w:color w:val="auto"/>
                      <w:sz w:val="21"/>
                      <w:szCs w:val="21"/>
                      <w:lang w:val="en-US"/>
                    </w:rPr>
                    <w:t>噪声</w:t>
                  </w:r>
                </w:p>
              </w:tc>
              <w:tc>
                <w:tcPr>
                  <w:tcW w:w="1321" w:type="dxa"/>
                  <w:noWrap w:val="0"/>
                  <w:vAlign w:val="center"/>
                </w:tcPr>
                <w:p w14:paraId="33FD6F5B">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w:t>
                  </w:r>
                </w:p>
              </w:tc>
              <w:tc>
                <w:tcPr>
                  <w:tcW w:w="1512" w:type="dxa"/>
                  <w:noWrap w:val="0"/>
                  <w:vAlign w:val="center"/>
                </w:tcPr>
                <w:p w14:paraId="086BBD35">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生产设备运行</w:t>
                  </w:r>
                </w:p>
              </w:tc>
              <w:tc>
                <w:tcPr>
                  <w:tcW w:w="1966" w:type="dxa"/>
                  <w:noWrap w:val="0"/>
                  <w:vAlign w:val="center"/>
                </w:tcPr>
                <w:p w14:paraId="151DE931">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噪声</w:t>
                  </w:r>
                </w:p>
              </w:tc>
              <w:tc>
                <w:tcPr>
                  <w:tcW w:w="2475" w:type="dxa"/>
                  <w:noWrap w:val="0"/>
                  <w:vAlign w:val="center"/>
                </w:tcPr>
                <w:p w14:paraId="203583BD">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减振、降噪</w:t>
                  </w:r>
                </w:p>
              </w:tc>
            </w:tr>
            <w:tr w14:paraId="787993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98" w:type="dxa"/>
                  <w:vMerge w:val="restart"/>
                  <w:noWrap w:val="0"/>
                  <w:vAlign w:val="center"/>
                </w:tcPr>
                <w:p w14:paraId="76104147">
                  <w:pPr>
                    <w:pStyle w:val="238"/>
                    <w:adjustRightInd w:val="0"/>
                    <w:snapToGrid w:val="0"/>
                    <w:spacing w:line="240" w:lineRule="exact"/>
                    <w:jc w:val="center"/>
                    <w:rPr>
                      <w:rFonts w:hint="default" w:ascii="Times New Roman" w:hAnsi="Times New Roman" w:cs="Times New Roman"/>
                      <w:snapToGrid w:val="0"/>
                      <w:color w:val="auto"/>
                      <w:sz w:val="21"/>
                      <w:szCs w:val="21"/>
                      <w:lang w:val="en-US"/>
                    </w:rPr>
                  </w:pPr>
                  <w:r>
                    <w:rPr>
                      <w:rFonts w:hint="default" w:ascii="Times New Roman" w:hAnsi="Times New Roman" w:cs="Times New Roman"/>
                      <w:snapToGrid w:val="0"/>
                      <w:color w:val="auto"/>
                      <w:sz w:val="21"/>
                      <w:szCs w:val="21"/>
                      <w:lang w:val="en-US"/>
                    </w:rPr>
                    <w:t>固废</w:t>
                  </w:r>
                </w:p>
              </w:tc>
              <w:tc>
                <w:tcPr>
                  <w:tcW w:w="1321" w:type="dxa"/>
                  <w:noWrap w:val="0"/>
                  <w:vAlign w:val="center"/>
                </w:tcPr>
                <w:p w14:paraId="4F8B25CC">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S1-1、S2-1</w:t>
                  </w:r>
                  <w:r>
                    <w:rPr>
                      <w:rFonts w:hint="eastAsia" w:ascii="Times New Roman" w:hAnsi="Times New Roman" w:cs="Times New Roman"/>
                      <w:snapToGrid w:val="0"/>
                      <w:color w:val="auto"/>
                      <w:sz w:val="21"/>
                      <w:szCs w:val="21"/>
                      <w:lang w:val="en-US" w:eastAsia="zh-CN"/>
                    </w:rPr>
                    <w:t>、S3-1</w:t>
                  </w:r>
                  <w:r>
                    <w:rPr>
                      <w:rFonts w:hint="default" w:ascii="Times New Roman" w:hAnsi="Times New Roman" w:cs="Times New Roman"/>
                      <w:snapToGrid w:val="0"/>
                      <w:color w:val="auto"/>
                      <w:sz w:val="21"/>
                      <w:szCs w:val="21"/>
                      <w:lang w:val="en-US" w:eastAsia="zh-CN"/>
                    </w:rPr>
                    <w:t>废下脚料</w:t>
                  </w:r>
                </w:p>
              </w:tc>
              <w:tc>
                <w:tcPr>
                  <w:tcW w:w="1512" w:type="dxa"/>
                  <w:noWrap w:val="0"/>
                  <w:vAlign w:val="center"/>
                </w:tcPr>
                <w:p w14:paraId="7EAD066A">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下料</w:t>
                  </w:r>
                </w:p>
              </w:tc>
              <w:tc>
                <w:tcPr>
                  <w:tcW w:w="1966" w:type="dxa"/>
                  <w:noWrap w:val="0"/>
                  <w:vAlign w:val="center"/>
                </w:tcPr>
                <w:p w14:paraId="0AB0A076">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金属</w:t>
                  </w:r>
                </w:p>
              </w:tc>
              <w:tc>
                <w:tcPr>
                  <w:tcW w:w="2475" w:type="dxa"/>
                  <w:vMerge w:val="restart"/>
                  <w:noWrap w:val="0"/>
                  <w:vAlign w:val="center"/>
                </w:tcPr>
                <w:p w14:paraId="59984130">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合作钢厂回收</w:t>
                  </w:r>
                </w:p>
              </w:tc>
            </w:tr>
            <w:tr w14:paraId="39CF34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998" w:type="dxa"/>
                  <w:vMerge w:val="continue"/>
                  <w:noWrap w:val="0"/>
                  <w:vAlign w:val="center"/>
                </w:tcPr>
                <w:p w14:paraId="1EDB6E23">
                  <w:pPr>
                    <w:pStyle w:val="238"/>
                    <w:adjustRightInd w:val="0"/>
                    <w:snapToGrid w:val="0"/>
                    <w:spacing w:line="240" w:lineRule="exact"/>
                    <w:jc w:val="both"/>
                    <w:rPr>
                      <w:rFonts w:hint="default" w:ascii="Times New Roman" w:hAnsi="Times New Roman" w:cs="Times New Roman"/>
                      <w:snapToGrid w:val="0"/>
                      <w:color w:val="auto"/>
                      <w:sz w:val="21"/>
                      <w:szCs w:val="21"/>
                      <w:lang w:val="en-US"/>
                    </w:rPr>
                  </w:pPr>
                </w:p>
              </w:tc>
              <w:tc>
                <w:tcPr>
                  <w:tcW w:w="1321" w:type="dxa"/>
                  <w:noWrap w:val="0"/>
                  <w:vAlign w:val="center"/>
                </w:tcPr>
                <w:p w14:paraId="3E48747F">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S1-2、S2-2</w:t>
                  </w:r>
                  <w:r>
                    <w:rPr>
                      <w:rFonts w:hint="eastAsia" w:ascii="Times New Roman" w:hAnsi="Times New Roman" w:cs="Times New Roman"/>
                      <w:snapToGrid w:val="0"/>
                      <w:color w:val="auto"/>
                      <w:kern w:val="0"/>
                      <w:sz w:val="21"/>
                      <w:szCs w:val="21"/>
                      <w:lang w:val="en-US" w:eastAsia="zh-CN" w:bidi="ar-SA"/>
                    </w:rPr>
                    <w:t>、S3-2</w:t>
                  </w:r>
                  <w:r>
                    <w:rPr>
                      <w:rFonts w:hint="default" w:ascii="Times New Roman" w:hAnsi="Times New Roman" w:cs="Times New Roman"/>
                      <w:snapToGrid w:val="0"/>
                      <w:color w:val="auto"/>
                      <w:kern w:val="0"/>
                      <w:sz w:val="21"/>
                      <w:szCs w:val="21"/>
                      <w:lang w:val="en-US" w:eastAsia="zh-CN" w:bidi="ar-SA"/>
                    </w:rPr>
                    <w:t>废氧化皮</w:t>
                  </w:r>
                </w:p>
              </w:tc>
              <w:tc>
                <w:tcPr>
                  <w:tcW w:w="1512" w:type="dxa"/>
                  <w:noWrap w:val="0"/>
                  <w:vAlign w:val="center"/>
                </w:tcPr>
                <w:p w14:paraId="7585694F">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color w:val="auto"/>
                      <w:szCs w:val="24"/>
                      <w:lang w:val="en-US" w:eastAsia="zh-CN"/>
                    </w:rPr>
                    <w:t>锻压</w:t>
                  </w:r>
                </w:p>
              </w:tc>
              <w:tc>
                <w:tcPr>
                  <w:tcW w:w="1966" w:type="dxa"/>
                  <w:noWrap w:val="0"/>
                  <w:vAlign w:val="center"/>
                </w:tcPr>
                <w:p w14:paraId="0948361F">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金属</w:t>
                  </w:r>
                </w:p>
              </w:tc>
              <w:tc>
                <w:tcPr>
                  <w:tcW w:w="2475" w:type="dxa"/>
                  <w:vMerge w:val="continue"/>
                  <w:noWrap w:val="0"/>
                  <w:vAlign w:val="center"/>
                </w:tcPr>
                <w:p w14:paraId="0D3A137E">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p>
              </w:tc>
            </w:tr>
            <w:tr w14:paraId="669B58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998" w:type="dxa"/>
                  <w:vMerge w:val="continue"/>
                  <w:noWrap w:val="0"/>
                  <w:vAlign w:val="center"/>
                </w:tcPr>
                <w:p w14:paraId="3001E1ED">
                  <w:pPr>
                    <w:pStyle w:val="238"/>
                    <w:adjustRightInd w:val="0"/>
                    <w:snapToGrid w:val="0"/>
                    <w:spacing w:line="240" w:lineRule="exact"/>
                    <w:ind w:left="105" w:leftChars="50"/>
                    <w:jc w:val="center"/>
                    <w:rPr>
                      <w:color w:val="auto"/>
                    </w:rPr>
                  </w:pPr>
                </w:p>
              </w:tc>
              <w:tc>
                <w:tcPr>
                  <w:tcW w:w="1321" w:type="dxa"/>
                  <w:noWrap w:val="0"/>
                  <w:vAlign w:val="center"/>
                </w:tcPr>
                <w:p w14:paraId="2B1C57F4">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S3-3废氧化皮</w:t>
                  </w:r>
                </w:p>
              </w:tc>
              <w:tc>
                <w:tcPr>
                  <w:tcW w:w="1512" w:type="dxa"/>
                  <w:noWrap w:val="0"/>
                  <w:vAlign w:val="center"/>
                </w:tcPr>
                <w:p w14:paraId="02071B59">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碾环</w:t>
                  </w:r>
                </w:p>
              </w:tc>
              <w:tc>
                <w:tcPr>
                  <w:tcW w:w="1966" w:type="dxa"/>
                  <w:noWrap w:val="0"/>
                  <w:vAlign w:val="center"/>
                </w:tcPr>
                <w:p w14:paraId="4FCA0DFD">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金属</w:t>
                  </w:r>
                </w:p>
              </w:tc>
              <w:tc>
                <w:tcPr>
                  <w:tcW w:w="2475" w:type="dxa"/>
                  <w:vMerge w:val="continue"/>
                  <w:noWrap w:val="0"/>
                  <w:vAlign w:val="center"/>
                </w:tcPr>
                <w:p w14:paraId="010DA1FA">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p>
              </w:tc>
            </w:tr>
            <w:tr w14:paraId="784FD9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998" w:type="dxa"/>
                  <w:vMerge w:val="continue"/>
                  <w:noWrap w:val="0"/>
                  <w:vAlign w:val="center"/>
                </w:tcPr>
                <w:p w14:paraId="35CC1764">
                  <w:pPr>
                    <w:pStyle w:val="238"/>
                    <w:adjustRightInd w:val="0"/>
                    <w:snapToGrid w:val="0"/>
                    <w:spacing w:line="240" w:lineRule="exact"/>
                    <w:jc w:val="both"/>
                    <w:rPr>
                      <w:rFonts w:hint="default" w:ascii="Times New Roman" w:hAnsi="Times New Roman" w:cs="Times New Roman"/>
                      <w:snapToGrid w:val="0"/>
                      <w:color w:val="auto"/>
                      <w:sz w:val="21"/>
                      <w:szCs w:val="21"/>
                      <w:lang w:val="en-US"/>
                    </w:rPr>
                  </w:pPr>
                </w:p>
              </w:tc>
              <w:tc>
                <w:tcPr>
                  <w:tcW w:w="1321" w:type="dxa"/>
                  <w:noWrap w:val="0"/>
                  <w:vAlign w:val="center"/>
                </w:tcPr>
                <w:p w14:paraId="0732424E">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S1-3、S2-3</w:t>
                  </w:r>
                  <w:r>
                    <w:rPr>
                      <w:rFonts w:hint="eastAsia" w:ascii="Times New Roman" w:hAnsi="Times New Roman" w:cs="Times New Roman"/>
                      <w:snapToGrid w:val="0"/>
                      <w:color w:val="auto"/>
                      <w:sz w:val="21"/>
                      <w:szCs w:val="21"/>
                      <w:lang w:val="en-US" w:eastAsia="zh-CN"/>
                    </w:rPr>
                    <w:t>、S2-7、S3-4废边角料</w:t>
                  </w:r>
                </w:p>
              </w:tc>
              <w:tc>
                <w:tcPr>
                  <w:tcW w:w="1512" w:type="dxa"/>
                  <w:noWrap w:val="0"/>
                  <w:vAlign w:val="center"/>
                </w:tcPr>
                <w:p w14:paraId="287D0089">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机加工</w:t>
                  </w:r>
                </w:p>
              </w:tc>
              <w:tc>
                <w:tcPr>
                  <w:tcW w:w="1966" w:type="dxa"/>
                  <w:noWrap w:val="0"/>
                  <w:vAlign w:val="center"/>
                </w:tcPr>
                <w:p w14:paraId="6F0A1CED">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金属</w:t>
                  </w:r>
                </w:p>
              </w:tc>
              <w:tc>
                <w:tcPr>
                  <w:tcW w:w="2475" w:type="dxa"/>
                  <w:vMerge w:val="continue"/>
                  <w:noWrap w:val="0"/>
                  <w:vAlign w:val="center"/>
                </w:tcPr>
                <w:p w14:paraId="452E158C">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p>
              </w:tc>
            </w:tr>
            <w:tr w14:paraId="6F9275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8" w:type="dxa"/>
                  <w:vMerge w:val="continue"/>
                  <w:noWrap w:val="0"/>
                  <w:vAlign w:val="center"/>
                </w:tcPr>
                <w:p w14:paraId="69F532E1">
                  <w:pPr>
                    <w:pStyle w:val="238"/>
                    <w:adjustRightInd w:val="0"/>
                    <w:snapToGrid w:val="0"/>
                    <w:spacing w:line="240" w:lineRule="exact"/>
                    <w:ind w:left="105" w:leftChars="50"/>
                    <w:jc w:val="center"/>
                    <w:rPr>
                      <w:color w:val="auto"/>
                    </w:rPr>
                  </w:pPr>
                </w:p>
              </w:tc>
              <w:tc>
                <w:tcPr>
                  <w:tcW w:w="1321" w:type="dxa"/>
                  <w:noWrap w:val="0"/>
                  <w:vAlign w:val="center"/>
                </w:tcPr>
                <w:p w14:paraId="25D2085B">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S1-5、S2-5、S3-6</w:t>
                  </w:r>
                </w:p>
              </w:tc>
              <w:tc>
                <w:tcPr>
                  <w:tcW w:w="1512" w:type="dxa"/>
                  <w:noWrap w:val="0"/>
                  <w:vAlign w:val="center"/>
                </w:tcPr>
                <w:p w14:paraId="430F895F">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机加工</w:t>
                  </w:r>
                </w:p>
              </w:tc>
              <w:tc>
                <w:tcPr>
                  <w:tcW w:w="1966" w:type="dxa"/>
                  <w:noWrap w:val="0"/>
                  <w:vAlign w:val="center"/>
                </w:tcPr>
                <w:p w14:paraId="02D6ACB1">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含油金属屑</w:t>
                  </w:r>
                </w:p>
              </w:tc>
              <w:tc>
                <w:tcPr>
                  <w:tcW w:w="2475" w:type="dxa"/>
                  <w:noWrap w:val="0"/>
                  <w:vAlign w:val="center"/>
                </w:tcPr>
                <w:p w14:paraId="3158422A">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委托有资质单位处置</w:t>
                  </w:r>
                </w:p>
              </w:tc>
            </w:tr>
            <w:tr w14:paraId="7CFB1E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998" w:type="dxa"/>
                  <w:vMerge w:val="continue"/>
                  <w:noWrap w:val="0"/>
                  <w:vAlign w:val="center"/>
                </w:tcPr>
                <w:p w14:paraId="7E390001">
                  <w:pPr>
                    <w:pStyle w:val="238"/>
                    <w:adjustRightInd w:val="0"/>
                    <w:snapToGrid w:val="0"/>
                    <w:spacing w:line="240" w:lineRule="exact"/>
                    <w:ind w:left="105" w:leftChars="50"/>
                    <w:jc w:val="center"/>
                    <w:rPr>
                      <w:color w:val="auto"/>
                    </w:rPr>
                  </w:pPr>
                </w:p>
              </w:tc>
              <w:tc>
                <w:tcPr>
                  <w:tcW w:w="1321" w:type="dxa"/>
                  <w:noWrap w:val="0"/>
                  <w:vAlign w:val="center"/>
                </w:tcPr>
                <w:p w14:paraId="5EE052A5">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S1-4、S2-3、S3-5废切削液</w:t>
                  </w:r>
                </w:p>
              </w:tc>
              <w:tc>
                <w:tcPr>
                  <w:tcW w:w="1512" w:type="dxa"/>
                  <w:noWrap w:val="0"/>
                  <w:vAlign w:val="center"/>
                </w:tcPr>
                <w:p w14:paraId="68504EEF">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机加工</w:t>
                  </w:r>
                </w:p>
              </w:tc>
              <w:tc>
                <w:tcPr>
                  <w:tcW w:w="1966" w:type="dxa"/>
                  <w:noWrap w:val="0"/>
                  <w:vAlign w:val="center"/>
                </w:tcPr>
                <w:p w14:paraId="0547FDDD">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废切削液</w:t>
                  </w:r>
                </w:p>
              </w:tc>
              <w:tc>
                <w:tcPr>
                  <w:tcW w:w="2475" w:type="dxa"/>
                  <w:noWrap w:val="0"/>
                  <w:vAlign w:val="center"/>
                </w:tcPr>
                <w:p w14:paraId="7DF130FF">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委托有资质单位处置</w:t>
                  </w:r>
                </w:p>
              </w:tc>
            </w:tr>
            <w:tr w14:paraId="26793F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98" w:type="dxa"/>
                  <w:vMerge w:val="continue"/>
                  <w:noWrap w:val="0"/>
                  <w:vAlign w:val="center"/>
                </w:tcPr>
                <w:p w14:paraId="518EF49E">
                  <w:pPr>
                    <w:pStyle w:val="238"/>
                    <w:adjustRightInd w:val="0"/>
                    <w:snapToGrid w:val="0"/>
                    <w:spacing w:line="240" w:lineRule="exact"/>
                    <w:jc w:val="both"/>
                    <w:rPr>
                      <w:rFonts w:hint="default" w:ascii="Times New Roman" w:hAnsi="Times New Roman" w:cs="Times New Roman"/>
                      <w:snapToGrid w:val="0"/>
                      <w:color w:val="auto"/>
                      <w:sz w:val="21"/>
                      <w:szCs w:val="21"/>
                      <w:lang w:val="en-US"/>
                    </w:rPr>
                  </w:pPr>
                </w:p>
              </w:tc>
              <w:tc>
                <w:tcPr>
                  <w:tcW w:w="1321" w:type="dxa"/>
                  <w:noWrap w:val="0"/>
                  <w:vAlign w:val="center"/>
                </w:tcPr>
                <w:p w14:paraId="58D04243">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S1-</w:t>
                  </w:r>
                  <w:r>
                    <w:rPr>
                      <w:rFonts w:hint="eastAsia" w:ascii="Times New Roman" w:hAnsi="Times New Roman" w:cs="Times New Roman"/>
                      <w:snapToGrid w:val="0"/>
                      <w:color w:val="auto"/>
                      <w:kern w:val="0"/>
                      <w:sz w:val="21"/>
                      <w:szCs w:val="21"/>
                      <w:lang w:val="en-US" w:eastAsia="zh-CN" w:bidi="ar-SA"/>
                    </w:rPr>
                    <w:t>6</w:t>
                  </w:r>
                  <w:r>
                    <w:rPr>
                      <w:rFonts w:hint="default" w:ascii="Times New Roman" w:hAnsi="Times New Roman" w:cs="Times New Roman"/>
                      <w:snapToGrid w:val="0"/>
                      <w:color w:val="auto"/>
                      <w:kern w:val="0"/>
                      <w:sz w:val="21"/>
                      <w:szCs w:val="21"/>
                      <w:lang w:val="en-US" w:eastAsia="zh-CN" w:bidi="ar-SA"/>
                    </w:rPr>
                    <w:t>、S2-</w:t>
                  </w:r>
                  <w:r>
                    <w:rPr>
                      <w:rFonts w:hint="eastAsia" w:ascii="Times New Roman" w:hAnsi="Times New Roman" w:cs="Times New Roman"/>
                      <w:snapToGrid w:val="0"/>
                      <w:color w:val="auto"/>
                      <w:kern w:val="0"/>
                      <w:sz w:val="21"/>
                      <w:szCs w:val="21"/>
                      <w:lang w:val="en-US" w:eastAsia="zh-CN" w:bidi="ar-SA"/>
                    </w:rPr>
                    <w:t>6、S3-7</w:t>
                  </w:r>
                  <w:r>
                    <w:rPr>
                      <w:rFonts w:hint="default" w:ascii="Times New Roman" w:hAnsi="Times New Roman" w:cs="Times New Roman"/>
                      <w:snapToGrid w:val="0"/>
                      <w:color w:val="auto"/>
                      <w:kern w:val="0"/>
                      <w:sz w:val="21"/>
                      <w:szCs w:val="21"/>
                      <w:lang w:val="en-US" w:eastAsia="zh-CN" w:bidi="ar-SA"/>
                    </w:rPr>
                    <w:t>不合格品</w:t>
                  </w:r>
                </w:p>
              </w:tc>
              <w:tc>
                <w:tcPr>
                  <w:tcW w:w="1512" w:type="dxa"/>
                  <w:noWrap w:val="0"/>
                  <w:vAlign w:val="center"/>
                </w:tcPr>
                <w:p w14:paraId="1B749907">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检验</w:t>
                  </w:r>
                </w:p>
              </w:tc>
              <w:tc>
                <w:tcPr>
                  <w:tcW w:w="1966" w:type="dxa"/>
                  <w:noWrap w:val="0"/>
                  <w:vAlign w:val="center"/>
                </w:tcPr>
                <w:p w14:paraId="2E2DB29D">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金属</w:t>
                  </w:r>
                </w:p>
              </w:tc>
              <w:tc>
                <w:tcPr>
                  <w:tcW w:w="2475" w:type="dxa"/>
                  <w:noWrap w:val="0"/>
                  <w:vAlign w:val="center"/>
                </w:tcPr>
                <w:p w14:paraId="0E353CFB">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合作钢厂回收</w:t>
                  </w:r>
                </w:p>
              </w:tc>
            </w:tr>
            <w:tr w14:paraId="0A649A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8" w:type="dxa"/>
                  <w:vMerge w:val="continue"/>
                  <w:noWrap w:val="0"/>
                  <w:vAlign w:val="center"/>
                </w:tcPr>
                <w:p w14:paraId="67946F61">
                  <w:pPr>
                    <w:pStyle w:val="238"/>
                    <w:adjustRightInd w:val="0"/>
                    <w:snapToGrid w:val="0"/>
                    <w:spacing w:line="240" w:lineRule="exact"/>
                    <w:jc w:val="both"/>
                    <w:rPr>
                      <w:rFonts w:hint="default" w:ascii="Times New Roman" w:hAnsi="Times New Roman" w:cs="Times New Roman"/>
                      <w:snapToGrid w:val="0"/>
                      <w:color w:val="auto"/>
                      <w:sz w:val="21"/>
                      <w:szCs w:val="21"/>
                      <w:lang w:val="en-US"/>
                    </w:rPr>
                  </w:pPr>
                </w:p>
              </w:tc>
              <w:tc>
                <w:tcPr>
                  <w:tcW w:w="1321" w:type="dxa"/>
                  <w:noWrap w:val="0"/>
                  <w:vAlign w:val="center"/>
                </w:tcPr>
                <w:p w14:paraId="7C649F11">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S</w:t>
                  </w:r>
                  <w:r>
                    <w:rPr>
                      <w:rFonts w:hint="eastAsia" w:ascii="Times New Roman" w:hAnsi="Times New Roman" w:cs="Times New Roman"/>
                      <w:snapToGrid w:val="0"/>
                      <w:color w:val="auto"/>
                      <w:kern w:val="0"/>
                      <w:sz w:val="21"/>
                      <w:szCs w:val="21"/>
                      <w:lang w:val="en-US" w:eastAsia="zh-CN" w:bidi="ar-SA"/>
                    </w:rPr>
                    <w:t>4废液压油</w:t>
                  </w:r>
                </w:p>
              </w:tc>
              <w:tc>
                <w:tcPr>
                  <w:tcW w:w="1512" w:type="dxa"/>
                  <w:noWrap w:val="0"/>
                  <w:vAlign w:val="center"/>
                </w:tcPr>
                <w:p w14:paraId="08967063">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液压动力类设备运行介质</w:t>
                  </w:r>
                </w:p>
              </w:tc>
              <w:tc>
                <w:tcPr>
                  <w:tcW w:w="1966" w:type="dxa"/>
                  <w:noWrap w:val="0"/>
                  <w:vAlign w:val="center"/>
                </w:tcPr>
                <w:p w14:paraId="712E5035">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废液压油</w:t>
                  </w:r>
                </w:p>
              </w:tc>
              <w:tc>
                <w:tcPr>
                  <w:tcW w:w="2475" w:type="dxa"/>
                  <w:noWrap w:val="0"/>
                  <w:vAlign w:val="center"/>
                </w:tcPr>
                <w:p w14:paraId="06C39A15">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委托有资质单位处置</w:t>
                  </w:r>
                </w:p>
              </w:tc>
            </w:tr>
            <w:tr w14:paraId="4C8088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998" w:type="dxa"/>
                  <w:vMerge w:val="continue"/>
                  <w:noWrap w:val="0"/>
                  <w:vAlign w:val="center"/>
                </w:tcPr>
                <w:p w14:paraId="1EC6A62F">
                  <w:pPr>
                    <w:pStyle w:val="238"/>
                    <w:adjustRightInd w:val="0"/>
                    <w:snapToGrid w:val="0"/>
                    <w:spacing w:line="240" w:lineRule="exact"/>
                    <w:jc w:val="both"/>
                    <w:rPr>
                      <w:rFonts w:hint="default" w:ascii="Times New Roman" w:hAnsi="Times New Roman" w:cs="Times New Roman"/>
                      <w:snapToGrid w:val="0"/>
                      <w:color w:val="auto"/>
                      <w:sz w:val="21"/>
                      <w:szCs w:val="21"/>
                      <w:lang w:val="en-US"/>
                    </w:rPr>
                  </w:pPr>
                </w:p>
              </w:tc>
              <w:tc>
                <w:tcPr>
                  <w:tcW w:w="1321" w:type="dxa"/>
                  <w:noWrap w:val="0"/>
                  <w:vAlign w:val="center"/>
                </w:tcPr>
                <w:p w14:paraId="70E4B536">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S</w:t>
                  </w:r>
                  <w:r>
                    <w:rPr>
                      <w:rFonts w:hint="eastAsia" w:ascii="Times New Roman" w:hAnsi="Times New Roman" w:cs="Times New Roman"/>
                      <w:snapToGrid w:val="0"/>
                      <w:color w:val="auto"/>
                      <w:kern w:val="0"/>
                      <w:sz w:val="21"/>
                      <w:szCs w:val="21"/>
                      <w:lang w:val="en-US" w:eastAsia="zh-CN" w:bidi="ar-SA"/>
                    </w:rPr>
                    <w:t>5废润滑油</w:t>
                  </w:r>
                </w:p>
              </w:tc>
              <w:tc>
                <w:tcPr>
                  <w:tcW w:w="1512" w:type="dxa"/>
                  <w:noWrap w:val="0"/>
                  <w:vAlign w:val="center"/>
                </w:tcPr>
                <w:p w14:paraId="064DB05F">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kern w:val="0"/>
                      <w:sz w:val="21"/>
                      <w:szCs w:val="21"/>
                      <w:lang w:val="en-US" w:eastAsia="zh-CN" w:bidi="ar-SA"/>
                    </w:rPr>
                    <w:t>维修</w:t>
                  </w:r>
                </w:p>
              </w:tc>
              <w:tc>
                <w:tcPr>
                  <w:tcW w:w="1966" w:type="dxa"/>
                  <w:noWrap w:val="0"/>
                  <w:vAlign w:val="center"/>
                </w:tcPr>
                <w:p w14:paraId="262E1338">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kern w:val="0"/>
                      <w:sz w:val="21"/>
                      <w:szCs w:val="21"/>
                      <w:lang w:val="en-US" w:eastAsia="zh-CN" w:bidi="ar-SA"/>
                    </w:rPr>
                    <w:t>废润滑油</w:t>
                  </w:r>
                </w:p>
              </w:tc>
              <w:tc>
                <w:tcPr>
                  <w:tcW w:w="2475" w:type="dxa"/>
                  <w:noWrap w:val="0"/>
                  <w:vAlign w:val="center"/>
                </w:tcPr>
                <w:p w14:paraId="108FE36D">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委托有资质单位处置</w:t>
                  </w:r>
                </w:p>
              </w:tc>
            </w:tr>
            <w:tr w14:paraId="51A31C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998" w:type="dxa"/>
                  <w:vMerge w:val="continue"/>
                  <w:noWrap w:val="0"/>
                  <w:vAlign w:val="center"/>
                </w:tcPr>
                <w:p w14:paraId="18860093">
                  <w:pPr>
                    <w:pStyle w:val="238"/>
                    <w:adjustRightInd w:val="0"/>
                    <w:snapToGrid w:val="0"/>
                    <w:spacing w:line="240" w:lineRule="exact"/>
                    <w:ind w:left="105" w:leftChars="50"/>
                    <w:jc w:val="center"/>
                    <w:rPr>
                      <w:color w:val="auto"/>
                    </w:rPr>
                  </w:pPr>
                </w:p>
              </w:tc>
              <w:tc>
                <w:tcPr>
                  <w:tcW w:w="1321" w:type="dxa"/>
                  <w:noWrap w:val="0"/>
                  <w:vAlign w:val="center"/>
                </w:tcPr>
                <w:p w14:paraId="3DE50566">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S6废液压油桶</w:t>
                  </w:r>
                </w:p>
              </w:tc>
              <w:tc>
                <w:tcPr>
                  <w:tcW w:w="1512" w:type="dxa"/>
                  <w:noWrap w:val="0"/>
                  <w:vAlign w:val="center"/>
                </w:tcPr>
                <w:p w14:paraId="7D7E4DD6">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原料</w:t>
                  </w:r>
                </w:p>
              </w:tc>
              <w:tc>
                <w:tcPr>
                  <w:tcW w:w="1966" w:type="dxa"/>
                  <w:noWrap w:val="0"/>
                  <w:vAlign w:val="center"/>
                </w:tcPr>
                <w:p w14:paraId="4A03E0A4">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废液压油</w:t>
                  </w:r>
                </w:p>
              </w:tc>
              <w:tc>
                <w:tcPr>
                  <w:tcW w:w="2475" w:type="dxa"/>
                  <w:noWrap w:val="0"/>
                  <w:vAlign w:val="center"/>
                </w:tcPr>
                <w:p w14:paraId="6495D18B">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委托有资质单位处置</w:t>
                  </w:r>
                </w:p>
              </w:tc>
            </w:tr>
            <w:tr w14:paraId="5C1740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998" w:type="dxa"/>
                  <w:vMerge w:val="continue"/>
                  <w:noWrap w:val="0"/>
                  <w:vAlign w:val="center"/>
                </w:tcPr>
                <w:p w14:paraId="3554A8E1">
                  <w:pPr>
                    <w:pStyle w:val="238"/>
                    <w:adjustRightInd w:val="0"/>
                    <w:snapToGrid w:val="0"/>
                    <w:spacing w:line="240" w:lineRule="exact"/>
                    <w:ind w:left="105" w:leftChars="50"/>
                    <w:jc w:val="center"/>
                    <w:rPr>
                      <w:color w:val="auto"/>
                    </w:rPr>
                  </w:pPr>
                </w:p>
              </w:tc>
              <w:tc>
                <w:tcPr>
                  <w:tcW w:w="1321" w:type="dxa"/>
                  <w:noWrap w:val="0"/>
                  <w:vAlign w:val="center"/>
                </w:tcPr>
                <w:p w14:paraId="7AB2F907">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S7废润滑油桶</w:t>
                  </w:r>
                </w:p>
              </w:tc>
              <w:tc>
                <w:tcPr>
                  <w:tcW w:w="1512" w:type="dxa"/>
                  <w:noWrap w:val="0"/>
                  <w:vAlign w:val="center"/>
                </w:tcPr>
                <w:p w14:paraId="7849C97E">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原料</w:t>
                  </w:r>
                </w:p>
              </w:tc>
              <w:tc>
                <w:tcPr>
                  <w:tcW w:w="1966" w:type="dxa"/>
                  <w:noWrap w:val="0"/>
                  <w:vAlign w:val="center"/>
                </w:tcPr>
                <w:p w14:paraId="73E6FE03">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废润滑油</w:t>
                  </w:r>
                </w:p>
              </w:tc>
              <w:tc>
                <w:tcPr>
                  <w:tcW w:w="2475" w:type="dxa"/>
                  <w:noWrap w:val="0"/>
                  <w:vAlign w:val="center"/>
                </w:tcPr>
                <w:p w14:paraId="72CFCF7D">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委托有资质单位处置</w:t>
                  </w:r>
                </w:p>
              </w:tc>
            </w:tr>
            <w:tr w14:paraId="6A0C3F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998" w:type="dxa"/>
                  <w:vMerge w:val="continue"/>
                  <w:noWrap w:val="0"/>
                  <w:vAlign w:val="center"/>
                </w:tcPr>
                <w:p w14:paraId="0A58294D">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p>
              </w:tc>
              <w:tc>
                <w:tcPr>
                  <w:tcW w:w="1321" w:type="dxa"/>
                  <w:noWrap w:val="0"/>
                  <w:vAlign w:val="center"/>
                </w:tcPr>
                <w:p w14:paraId="1FE5C706">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S8废</w:t>
                  </w:r>
                  <w:r>
                    <w:rPr>
                      <w:rFonts w:hint="eastAsia" w:ascii="Times New Roman" w:hAnsi="Times New Roman" w:cs="Times New Roman"/>
                      <w:snapToGrid w:val="0"/>
                      <w:color w:val="auto"/>
                      <w:sz w:val="21"/>
                      <w:szCs w:val="21"/>
                      <w:lang w:val="en-US" w:eastAsia="zh-CN"/>
                    </w:rPr>
                    <w:t>切削液</w:t>
                  </w:r>
                  <w:r>
                    <w:rPr>
                      <w:rFonts w:hint="eastAsia" w:ascii="Times New Roman" w:hAnsi="Times New Roman" w:cs="Times New Roman"/>
                      <w:snapToGrid w:val="0"/>
                      <w:color w:val="auto"/>
                      <w:kern w:val="0"/>
                      <w:sz w:val="21"/>
                      <w:szCs w:val="21"/>
                      <w:lang w:val="en-US" w:eastAsia="zh-CN" w:bidi="ar-SA"/>
                    </w:rPr>
                    <w:t>桶</w:t>
                  </w:r>
                </w:p>
              </w:tc>
              <w:tc>
                <w:tcPr>
                  <w:tcW w:w="1512" w:type="dxa"/>
                  <w:noWrap w:val="0"/>
                  <w:vAlign w:val="center"/>
                </w:tcPr>
                <w:p w14:paraId="2D765013">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原料</w:t>
                  </w:r>
                </w:p>
              </w:tc>
              <w:tc>
                <w:tcPr>
                  <w:tcW w:w="1966" w:type="dxa"/>
                  <w:noWrap w:val="0"/>
                  <w:vAlign w:val="center"/>
                </w:tcPr>
                <w:p w14:paraId="2E91C624">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废切削液</w:t>
                  </w:r>
                </w:p>
              </w:tc>
              <w:tc>
                <w:tcPr>
                  <w:tcW w:w="2475" w:type="dxa"/>
                  <w:noWrap w:val="0"/>
                  <w:vAlign w:val="center"/>
                </w:tcPr>
                <w:p w14:paraId="7D0E8BF9">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委托有资质单位处置</w:t>
                  </w:r>
                </w:p>
              </w:tc>
            </w:tr>
            <w:tr w14:paraId="7F28E0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998" w:type="dxa"/>
                  <w:vMerge w:val="continue"/>
                  <w:noWrap w:val="0"/>
                  <w:vAlign w:val="center"/>
                </w:tcPr>
                <w:p w14:paraId="4EDB09C4">
                  <w:pPr>
                    <w:pStyle w:val="238"/>
                    <w:adjustRightInd w:val="0"/>
                    <w:snapToGrid w:val="0"/>
                    <w:spacing w:line="240" w:lineRule="exact"/>
                    <w:jc w:val="both"/>
                    <w:rPr>
                      <w:rFonts w:hint="default" w:ascii="Times New Roman" w:hAnsi="Times New Roman" w:cs="Times New Roman"/>
                      <w:snapToGrid w:val="0"/>
                      <w:color w:val="auto"/>
                      <w:sz w:val="21"/>
                      <w:szCs w:val="21"/>
                      <w:lang w:val="en-US"/>
                    </w:rPr>
                  </w:pPr>
                </w:p>
              </w:tc>
              <w:tc>
                <w:tcPr>
                  <w:tcW w:w="1321" w:type="dxa"/>
                  <w:noWrap w:val="0"/>
                  <w:vAlign w:val="center"/>
                </w:tcPr>
                <w:p w14:paraId="5134F807">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S</w:t>
                  </w:r>
                  <w:r>
                    <w:rPr>
                      <w:rFonts w:hint="eastAsia" w:ascii="Times New Roman" w:hAnsi="Times New Roman" w:cs="Times New Roman"/>
                      <w:snapToGrid w:val="0"/>
                      <w:color w:val="auto"/>
                      <w:kern w:val="0"/>
                      <w:sz w:val="21"/>
                      <w:szCs w:val="21"/>
                      <w:lang w:val="en-US" w:eastAsia="zh-CN" w:bidi="ar-SA"/>
                    </w:rPr>
                    <w:t>9</w:t>
                  </w:r>
                  <w:r>
                    <w:rPr>
                      <w:rFonts w:hint="eastAsia" w:ascii="Times New Roman" w:hAnsi="Times New Roman" w:cs="Times New Roman"/>
                      <w:b w:val="0"/>
                      <w:bCs w:val="0"/>
                      <w:color w:val="auto"/>
                      <w:sz w:val="21"/>
                      <w:szCs w:val="21"/>
                      <w:lang w:val="en-US" w:eastAsia="zh-CN"/>
                    </w:rPr>
                    <w:t>含油抹布</w:t>
                  </w:r>
                </w:p>
              </w:tc>
              <w:tc>
                <w:tcPr>
                  <w:tcW w:w="1512" w:type="dxa"/>
                  <w:noWrap w:val="0"/>
                  <w:vAlign w:val="center"/>
                </w:tcPr>
                <w:p w14:paraId="6633DEC7">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设备维护</w:t>
                  </w:r>
                </w:p>
              </w:tc>
              <w:tc>
                <w:tcPr>
                  <w:tcW w:w="1966" w:type="dxa"/>
                  <w:noWrap w:val="0"/>
                  <w:vAlign w:val="center"/>
                </w:tcPr>
                <w:p w14:paraId="47C8C70E">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eastAsia="宋体" w:cs="Times New Roman"/>
                      <w:color w:val="auto"/>
                      <w:sz w:val="21"/>
                      <w:szCs w:val="21"/>
                      <w:lang w:val="en-US" w:eastAsia="zh-CN"/>
                    </w:rPr>
                    <w:t>含油抹布及手套</w:t>
                  </w:r>
                </w:p>
              </w:tc>
              <w:tc>
                <w:tcPr>
                  <w:tcW w:w="2475" w:type="dxa"/>
                  <w:noWrap w:val="0"/>
                  <w:vAlign w:val="center"/>
                </w:tcPr>
                <w:p w14:paraId="662A339C">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委托有资质单位处置</w:t>
                  </w:r>
                </w:p>
              </w:tc>
            </w:tr>
            <w:tr w14:paraId="2FC8DB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98" w:type="dxa"/>
                  <w:vMerge w:val="continue"/>
                  <w:noWrap w:val="0"/>
                  <w:vAlign w:val="center"/>
                </w:tcPr>
                <w:p w14:paraId="1C0AA7BA">
                  <w:pPr>
                    <w:pStyle w:val="238"/>
                    <w:adjustRightInd w:val="0"/>
                    <w:snapToGrid w:val="0"/>
                    <w:spacing w:line="240" w:lineRule="exact"/>
                    <w:jc w:val="both"/>
                    <w:rPr>
                      <w:rFonts w:hint="default" w:ascii="Times New Roman" w:hAnsi="Times New Roman" w:cs="Times New Roman"/>
                      <w:snapToGrid w:val="0"/>
                      <w:color w:val="auto"/>
                      <w:sz w:val="21"/>
                      <w:szCs w:val="21"/>
                      <w:lang w:val="en-US"/>
                    </w:rPr>
                  </w:pPr>
                </w:p>
              </w:tc>
              <w:tc>
                <w:tcPr>
                  <w:tcW w:w="1321" w:type="dxa"/>
                  <w:noWrap w:val="0"/>
                  <w:vAlign w:val="center"/>
                </w:tcPr>
                <w:p w14:paraId="7F24BBEE">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S</w:t>
                  </w:r>
                  <w:r>
                    <w:rPr>
                      <w:rFonts w:hint="eastAsia" w:ascii="Times New Roman" w:hAnsi="Times New Roman" w:cs="Times New Roman"/>
                      <w:snapToGrid w:val="0"/>
                      <w:color w:val="auto"/>
                      <w:kern w:val="0"/>
                      <w:sz w:val="21"/>
                      <w:szCs w:val="21"/>
                      <w:lang w:val="en-US" w:eastAsia="zh-CN" w:bidi="ar-SA"/>
                    </w:rPr>
                    <w:t>10</w:t>
                  </w:r>
                  <w:r>
                    <w:rPr>
                      <w:rFonts w:hint="default" w:ascii="Times New Roman" w:hAnsi="Times New Roman" w:cs="Times New Roman"/>
                      <w:b w:val="0"/>
                      <w:bCs w:val="0"/>
                      <w:color w:val="auto"/>
                      <w:sz w:val="21"/>
                      <w:szCs w:val="21"/>
                      <w:lang w:val="en-US" w:eastAsia="zh-CN"/>
                    </w:rPr>
                    <w:t>生活垃圾</w:t>
                  </w:r>
                </w:p>
              </w:tc>
              <w:tc>
                <w:tcPr>
                  <w:tcW w:w="1512" w:type="dxa"/>
                  <w:noWrap w:val="0"/>
                  <w:vAlign w:val="center"/>
                </w:tcPr>
                <w:p w14:paraId="013AD4CF">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员工生活</w:t>
                  </w:r>
                </w:p>
              </w:tc>
              <w:tc>
                <w:tcPr>
                  <w:tcW w:w="1966" w:type="dxa"/>
                  <w:noWrap w:val="0"/>
                  <w:vAlign w:val="center"/>
                </w:tcPr>
                <w:p w14:paraId="69D0F2EC">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生活垃圾</w:t>
                  </w:r>
                </w:p>
              </w:tc>
              <w:tc>
                <w:tcPr>
                  <w:tcW w:w="2475" w:type="dxa"/>
                  <w:noWrap w:val="0"/>
                  <w:vAlign w:val="center"/>
                </w:tcPr>
                <w:p w14:paraId="629F3AC1">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环卫清运</w:t>
                  </w:r>
                </w:p>
              </w:tc>
            </w:tr>
          </w:tbl>
          <w:p w14:paraId="72554F6A">
            <w:pPr>
              <w:pStyle w:val="4"/>
              <w:rPr>
                <w:rFonts w:hint="default"/>
                <w:color w:val="auto"/>
                <w:lang w:val="en-US"/>
              </w:rPr>
            </w:pPr>
          </w:p>
        </w:tc>
      </w:tr>
    </w:tbl>
    <w:p w14:paraId="2629D92E">
      <w:pPr>
        <w:pStyle w:val="36"/>
        <w:adjustRightInd w:val="0"/>
        <w:snapToGrid w:val="0"/>
        <w:spacing w:before="0" w:beforeAutospacing="0" w:after="0" w:afterAutospacing="0"/>
        <w:jc w:val="center"/>
        <w:rPr>
          <w:rFonts w:hint="default" w:ascii="Times New Roman" w:hAnsi="Times New Roman" w:cs="Times New Roman"/>
          <w:color w:val="auto"/>
          <w:sz w:val="21"/>
          <w:szCs w:val="21"/>
          <w:lang w:val="en-US" w:eastAsia="zh-CN"/>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4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351"/>
      </w:tblGrid>
      <w:tr w14:paraId="475E1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09" w:type="dxa"/>
            <w:noWrap w:val="0"/>
            <w:vAlign w:val="center"/>
          </w:tcPr>
          <w:p w14:paraId="150E9D36">
            <w:pPr>
              <w:pStyle w:val="36"/>
              <w:adjustRightInd w:val="0"/>
              <w:snapToGrid w:val="0"/>
              <w:spacing w:before="0" w:beforeAutospacing="0" w:after="0" w:afterAutospacing="0"/>
              <w:jc w:val="center"/>
              <w:rPr>
                <w:rFonts w:hint="default" w:ascii="Times New Roman" w:hAnsi="Times New Roman" w:cs="Times New Roman"/>
                <w:color w:val="auto"/>
                <w:sz w:val="21"/>
                <w:szCs w:val="21"/>
                <w:lang w:val="en-US" w:eastAsia="zh-CN"/>
              </w:rPr>
            </w:pPr>
            <w:r>
              <w:rPr>
                <w:rFonts w:hint="default" w:ascii="Times New Roman" w:hAnsi="Times New Roman" w:cs="Times New Roman"/>
                <w:bCs/>
                <w:color w:val="auto"/>
                <w:kern w:val="2"/>
                <w:sz w:val="21"/>
                <w:szCs w:val="21"/>
                <w:lang w:val="en-US" w:eastAsia="zh-CN"/>
              </w:rPr>
              <w:t>与项目有关的原有环境污染问题</w:t>
            </w:r>
          </w:p>
        </w:tc>
        <w:tc>
          <w:tcPr>
            <w:tcW w:w="8351" w:type="dxa"/>
            <w:noWrap w:val="0"/>
            <w:vAlign w:val="top"/>
          </w:tcPr>
          <w:p w14:paraId="1EAB9E84">
            <w:pPr>
              <w:numPr>
                <w:ilvl w:val="0"/>
                <w:numId w:val="0"/>
              </w:numPr>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3、出租方基本情况</w:t>
            </w:r>
          </w:p>
          <w:p w14:paraId="1CBEDE88">
            <w:pPr>
              <w:numPr>
                <w:ilvl w:val="0"/>
                <w:numId w:val="0"/>
              </w:numPr>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海门市安得利环锻法兰厂是一家从事环锻件机械（加工、制造、销售）的公司，成立于2006年8月，曾用命海门市安得利服饰厂，从事服装、床上用品（加工、制造、销售）；2007年7月变更为海门市安得利环锻法兰厂，从事环锻件机械(加工、制造、销售)；2007年取得《年产环锻件2000吨新建项目》的环评批复，2010年4月该项目通过环保验收。因疫情经济效益差，于2020年停产并于2021年将厂房租给江苏一重锻造有限公司，生产设备卖给江苏一重锻造有限公司。厂房于2021年闲置至今，故无原有环境问题。</w:t>
            </w:r>
          </w:p>
          <w:p w14:paraId="0FBB785D">
            <w:pPr>
              <w:numPr>
                <w:ilvl w:val="0"/>
                <w:numId w:val="0"/>
              </w:numPr>
              <w:spacing w:line="360" w:lineRule="auto"/>
              <w:ind w:firstLine="420" w:firstLineChars="200"/>
              <w:rPr>
                <w:rFonts w:hint="eastAsia" w:ascii="Times New Roman" w:hAnsi="Times New Roman" w:eastAsia="宋体" w:cs="Times New Roman"/>
                <w:b w:val="0"/>
                <w:bCs w:val="0"/>
                <w:color w:val="auto"/>
                <w:sz w:val="21"/>
                <w:szCs w:val="21"/>
                <w:lang w:val="en-US" w:eastAsia="zh-CN"/>
              </w:rPr>
            </w:pPr>
          </w:p>
          <w:p w14:paraId="0346227E">
            <w:pPr>
              <w:numPr>
                <w:ilvl w:val="0"/>
                <w:numId w:val="0"/>
              </w:numPr>
              <w:spacing w:line="360" w:lineRule="auto"/>
              <w:ind w:firstLine="420" w:firstLineChars="200"/>
              <w:rPr>
                <w:rFonts w:hint="eastAsia" w:ascii="Times New Roman" w:hAnsi="Times New Roman" w:eastAsia="宋体" w:cs="Times New Roman"/>
                <w:b w:val="0"/>
                <w:bCs w:val="0"/>
                <w:color w:val="auto"/>
                <w:sz w:val="21"/>
                <w:szCs w:val="21"/>
                <w:lang w:val="en-US" w:eastAsia="zh-CN"/>
              </w:rPr>
            </w:pPr>
          </w:p>
          <w:p w14:paraId="78D3FFDC">
            <w:pPr>
              <w:numPr>
                <w:ilvl w:val="0"/>
                <w:numId w:val="0"/>
              </w:numPr>
              <w:spacing w:line="360" w:lineRule="auto"/>
              <w:ind w:firstLine="420" w:firstLineChars="200"/>
              <w:rPr>
                <w:rFonts w:hint="eastAsia" w:ascii="Times New Roman" w:hAnsi="Times New Roman" w:eastAsia="宋体" w:cs="Times New Roman"/>
                <w:b w:val="0"/>
                <w:bCs w:val="0"/>
                <w:color w:val="auto"/>
                <w:sz w:val="21"/>
                <w:szCs w:val="21"/>
                <w:lang w:val="en-US" w:eastAsia="zh-CN"/>
              </w:rPr>
            </w:pPr>
          </w:p>
          <w:p w14:paraId="59998CAB">
            <w:pPr>
              <w:pStyle w:val="4"/>
              <w:rPr>
                <w:rFonts w:hint="default"/>
                <w:color w:val="auto"/>
                <w:lang w:val="en-US" w:eastAsia="zh-CN"/>
              </w:rPr>
            </w:pPr>
          </w:p>
        </w:tc>
      </w:tr>
    </w:tbl>
    <w:p w14:paraId="70C02811">
      <w:pPr>
        <w:pStyle w:val="36"/>
        <w:jc w:val="both"/>
        <w:rPr>
          <w:rFonts w:hint="default" w:ascii="Times New Roman" w:hAnsi="Times New Roman" w:eastAsia="黑体"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28092A65">
      <w:pPr>
        <w:pStyle w:val="36"/>
        <w:adjustRightInd w:val="0"/>
        <w:snapToGrid w:val="0"/>
        <w:spacing w:before="0" w:beforeAutospacing="0" w:after="0" w:afterAutospacing="0" w:line="14" w:lineRule="auto"/>
        <w:jc w:val="center"/>
        <w:outlineLvl w:val="0"/>
        <w:rPr>
          <w:rFonts w:hint="default" w:ascii="Times New Roman" w:hAnsi="Times New Roman" w:eastAsia="黑体" w:cs="Times New Roman"/>
          <w:snapToGrid w:val="0"/>
          <w:color w:val="auto"/>
          <w:sz w:val="30"/>
          <w:szCs w:val="30"/>
        </w:rPr>
      </w:pPr>
    </w:p>
    <w:p w14:paraId="75F2AE1C">
      <w:pPr>
        <w:pStyle w:val="36"/>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41"/>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4"/>
        <w:gridCol w:w="8674"/>
      </w:tblGrid>
      <w:tr w14:paraId="29FB2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424" w:type="dxa"/>
            <w:noWrap w:val="0"/>
            <w:vAlign w:val="center"/>
          </w:tcPr>
          <w:p w14:paraId="077B9B9E">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区域</w:t>
            </w:r>
          </w:p>
          <w:p w14:paraId="4D7386E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w:t>
            </w:r>
          </w:p>
          <w:p w14:paraId="23247C77">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质量</w:t>
            </w:r>
          </w:p>
          <w:p w14:paraId="3AF61FA5">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现状</w:t>
            </w:r>
          </w:p>
        </w:tc>
        <w:tc>
          <w:tcPr>
            <w:tcW w:w="8674" w:type="dxa"/>
            <w:noWrap w:val="0"/>
            <w:vAlign w:val="center"/>
          </w:tcPr>
          <w:p w14:paraId="292246BB">
            <w:pPr>
              <w:pStyle w:val="4"/>
              <w:spacing w:before="0" w:after="0" w:line="360" w:lineRule="auto"/>
              <w:ind w:left="420" w:left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1、大气环境</w:t>
            </w:r>
          </w:p>
          <w:p w14:paraId="2853A6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（1）环境质量达标区判定</w:t>
            </w:r>
          </w:p>
          <w:p w14:paraId="3E0A4C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根据指南</w:t>
            </w:r>
            <w:r>
              <w:rPr>
                <w:rFonts w:hint="default" w:ascii="Times New Roman" w:hAnsi="Times New Roman" w:cs="Times New Roman"/>
                <w:color w:val="auto"/>
                <w:sz w:val="21"/>
                <w:szCs w:val="21"/>
              </w:rPr>
              <w:t>，项目所在区域达标情况判定优先采用国家或地方生态环境主管部门公开发布的环境质量公告或环境质量报告中的数据和结论。根据《</w:t>
            </w:r>
            <w:r>
              <w:rPr>
                <w:rFonts w:hint="default" w:ascii="Times New Roman" w:hAnsi="Times New Roman" w:cs="Times New Roman"/>
                <w:color w:val="auto"/>
                <w:sz w:val="21"/>
                <w:szCs w:val="21"/>
                <w:lang w:eastAsia="zh-CN"/>
              </w:rPr>
              <w:t>南通市生态环境状况公报</w:t>
            </w:r>
            <w:r>
              <w:rPr>
                <w:rFonts w:hint="default" w:ascii="Times New Roman" w:hAnsi="Times New Roman" w:cs="Times New Roman"/>
                <w:color w:val="auto"/>
                <w:sz w:val="21"/>
                <w:szCs w:val="21"/>
              </w:rPr>
              <w:t>》（20</w:t>
            </w:r>
            <w:r>
              <w:rPr>
                <w:rFonts w:hint="default"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val="en-US" w:eastAsia="zh-CN"/>
              </w:rPr>
              <w:t>年</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南通市</w:t>
            </w:r>
            <w:r>
              <w:rPr>
                <w:rFonts w:hint="default" w:ascii="Times New Roman" w:hAnsi="Times New Roman" w:cs="Times New Roman"/>
                <w:color w:val="auto"/>
                <w:sz w:val="21"/>
                <w:szCs w:val="21"/>
              </w:rPr>
              <w:t>海门</w:t>
            </w:r>
            <w:r>
              <w:rPr>
                <w:rFonts w:hint="default" w:ascii="Times New Roman" w:hAnsi="Times New Roman" w:cs="Times New Roman"/>
                <w:color w:val="auto"/>
                <w:sz w:val="21"/>
                <w:szCs w:val="21"/>
                <w:lang w:eastAsia="zh-CN"/>
              </w:rPr>
              <w:t>区空气环境质量现状见表</w:t>
            </w:r>
            <w:r>
              <w:rPr>
                <w:rFonts w:hint="default" w:ascii="Times New Roman" w:hAnsi="Times New Roman" w:cs="Times New Roman"/>
                <w:color w:val="auto"/>
                <w:sz w:val="21"/>
                <w:szCs w:val="21"/>
              </w:rPr>
              <w:t>3-1。</w:t>
            </w:r>
          </w:p>
          <w:p w14:paraId="0A6093E5">
            <w:pPr>
              <w:autoSpaceDE w:val="0"/>
              <w:autoSpaceDN w:val="0"/>
              <w:adjustRightInd w:val="0"/>
              <w:ind w:firstLine="48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表3-1  大气环境质量现状监测     单位：μg/m</w:t>
            </w:r>
            <w:r>
              <w:rPr>
                <w:rFonts w:hint="default" w:ascii="Times New Roman" w:hAnsi="Times New Roman" w:cs="Times New Roman"/>
                <w:b/>
                <w:bCs/>
                <w:color w:val="auto"/>
                <w:sz w:val="21"/>
                <w:szCs w:val="21"/>
                <w:vertAlign w:val="superscript"/>
              </w:rPr>
              <w:t>3</w:t>
            </w:r>
          </w:p>
          <w:tbl>
            <w:tblPr>
              <w:tblStyle w:val="4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448"/>
              <w:gridCol w:w="1296"/>
              <w:gridCol w:w="1296"/>
              <w:gridCol w:w="1328"/>
              <w:gridCol w:w="1178"/>
            </w:tblGrid>
            <w:tr w14:paraId="702BD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auto" w:sz="12" w:space="0"/>
                    <w:bottom w:val="single" w:color="auto" w:sz="4" w:space="0"/>
                    <w:right w:val="single" w:color="auto" w:sz="4" w:space="0"/>
                  </w:tcBorders>
                  <w:vAlign w:val="center"/>
                </w:tcPr>
                <w:p w14:paraId="792ECA44">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w:t>
                  </w:r>
                </w:p>
              </w:tc>
              <w:tc>
                <w:tcPr>
                  <w:tcW w:w="1447" w:type="pct"/>
                  <w:tcBorders>
                    <w:top w:val="single" w:color="auto" w:sz="12" w:space="0"/>
                    <w:left w:val="single" w:color="auto" w:sz="4" w:space="0"/>
                    <w:bottom w:val="single" w:color="auto" w:sz="4" w:space="0"/>
                    <w:right w:val="single" w:color="auto" w:sz="4" w:space="0"/>
                  </w:tcBorders>
                  <w:vAlign w:val="center"/>
                </w:tcPr>
                <w:p w14:paraId="1DE69F27">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年评价指标</w:t>
                  </w:r>
                </w:p>
              </w:tc>
              <w:tc>
                <w:tcPr>
                  <w:tcW w:w="766" w:type="pct"/>
                  <w:tcBorders>
                    <w:top w:val="single" w:color="auto" w:sz="12" w:space="0"/>
                    <w:left w:val="single" w:color="auto" w:sz="4" w:space="0"/>
                    <w:bottom w:val="single" w:color="auto" w:sz="4" w:space="0"/>
                    <w:right w:val="single" w:color="auto" w:sz="4" w:space="0"/>
                  </w:tcBorders>
                  <w:vAlign w:val="center"/>
                </w:tcPr>
                <w:p w14:paraId="7EEBFE53">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现状浓度(ug/m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766" w:type="pct"/>
                  <w:tcBorders>
                    <w:top w:val="single" w:color="auto" w:sz="12" w:space="0"/>
                    <w:left w:val="single" w:color="auto" w:sz="4" w:space="0"/>
                    <w:bottom w:val="single" w:color="auto" w:sz="4" w:space="0"/>
                    <w:right w:val="single" w:color="auto" w:sz="4" w:space="0"/>
                  </w:tcBorders>
                  <w:vAlign w:val="center"/>
                </w:tcPr>
                <w:p w14:paraId="0906BF4D">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标准值</w:t>
                  </w:r>
                </w:p>
                <w:p w14:paraId="22087076">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(ug/m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785" w:type="pct"/>
                  <w:tcBorders>
                    <w:top w:val="single" w:color="auto" w:sz="12" w:space="0"/>
                    <w:left w:val="single" w:color="auto" w:sz="4" w:space="0"/>
                    <w:bottom w:val="single" w:color="auto" w:sz="4" w:space="0"/>
                    <w:right w:val="single" w:color="auto" w:sz="4" w:space="0"/>
                  </w:tcBorders>
                  <w:vAlign w:val="center"/>
                </w:tcPr>
                <w:p w14:paraId="677D7780">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占标率%</w:t>
                  </w:r>
                </w:p>
              </w:tc>
              <w:tc>
                <w:tcPr>
                  <w:tcW w:w="696" w:type="pct"/>
                  <w:tcBorders>
                    <w:top w:val="single" w:color="auto" w:sz="12" w:space="0"/>
                    <w:left w:val="single" w:color="auto" w:sz="4" w:space="0"/>
                    <w:bottom w:val="single" w:color="auto" w:sz="4" w:space="0"/>
                  </w:tcBorders>
                  <w:vAlign w:val="center"/>
                </w:tcPr>
                <w:p w14:paraId="50F4BEF3">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达标情况</w:t>
                  </w:r>
                </w:p>
              </w:tc>
            </w:tr>
            <w:tr w14:paraId="1A0C3F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auto" w:sz="4" w:space="0"/>
                    <w:bottom w:val="single" w:color="auto" w:sz="4" w:space="0"/>
                    <w:right w:val="single" w:color="auto" w:sz="4" w:space="0"/>
                  </w:tcBorders>
                  <w:vAlign w:val="center"/>
                </w:tcPr>
                <w:p w14:paraId="2118219C">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p>
              </w:tc>
              <w:tc>
                <w:tcPr>
                  <w:tcW w:w="1447" w:type="pct"/>
                  <w:tcBorders>
                    <w:top w:val="single" w:color="auto" w:sz="4" w:space="0"/>
                    <w:left w:val="single" w:color="auto" w:sz="4" w:space="0"/>
                    <w:bottom w:val="single" w:color="auto" w:sz="4" w:space="0"/>
                    <w:right w:val="single" w:color="auto" w:sz="4" w:space="0"/>
                  </w:tcBorders>
                  <w:vAlign w:val="center"/>
                </w:tcPr>
                <w:p w14:paraId="546C9E36">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年均值</w:t>
                  </w:r>
                </w:p>
              </w:tc>
              <w:tc>
                <w:tcPr>
                  <w:tcW w:w="766" w:type="pct"/>
                  <w:tcBorders>
                    <w:top w:val="single" w:color="auto" w:sz="4" w:space="0"/>
                    <w:left w:val="single" w:color="auto" w:sz="4" w:space="0"/>
                    <w:bottom w:val="single" w:color="auto" w:sz="4" w:space="0"/>
                    <w:right w:val="single" w:color="auto" w:sz="4" w:space="0"/>
                  </w:tcBorders>
                  <w:vAlign w:val="center"/>
                </w:tcPr>
                <w:p w14:paraId="4AB266FB">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766" w:type="pct"/>
                  <w:tcBorders>
                    <w:top w:val="single" w:color="auto" w:sz="4" w:space="0"/>
                    <w:left w:val="single" w:color="auto" w:sz="4" w:space="0"/>
                    <w:bottom w:val="single" w:color="auto" w:sz="4" w:space="0"/>
                    <w:right w:val="single" w:color="auto" w:sz="4" w:space="0"/>
                  </w:tcBorders>
                  <w:vAlign w:val="center"/>
                </w:tcPr>
                <w:p w14:paraId="18199E80">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785" w:type="pct"/>
                  <w:tcBorders>
                    <w:top w:val="single" w:color="auto" w:sz="4" w:space="0"/>
                    <w:left w:val="single" w:color="auto" w:sz="4" w:space="0"/>
                    <w:bottom w:val="single" w:color="auto" w:sz="4" w:space="0"/>
                    <w:right w:val="single" w:color="auto" w:sz="4" w:space="0"/>
                  </w:tcBorders>
                  <w:vAlign w:val="center"/>
                </w:tcPr>
                <w:p w14:paraId="62DE8183">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96" w:type="pct"/>
                  <w:tcBorders>
                    <w:top w:val="single" w:color="auto" w:sz="4" w:space="0"/>
                    <w:left w:val="single" w:color="auto" w:sz="4" w:space="0"/>
                    <w:bottom w:val="single" w:color="auto" w:sz="4" w:space="0"/>
                  </w:tcBorders>
                  <w:vAlign w:val="center"/>
                </w:tcPr>
                <w:p w14:paraId="27485D6D">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2AD80C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auto" w:sz="4" w:space="0"/>
                    <w:bottom w:val="single" w:color="auto" w:sz="4" w:space="0"/>
                    <w:right w:val="single" w:color="auto" w:sz="4" w:space="0"/>
                  </w:tcBorders>
                  <w:vAlign w:val="center"/>
                </w:tcPr>
                <w:p w14:paraId="5FFB616F">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NO</w:t>
                  </w:r>
                  <w:r>
                    <w:rPr>
                      <w:rFonts w:hint="default" w:ascii="Times New Roman" w:hAnsi="Times New Roman" w:cs="Times New Roman"/>
                      <w:color w:val="auto"/>
                      <w:szCs w:val="21"/>
                      <w:vertAlign w:val="subscript"/>
                    </w:rPr>
                    <w:t>2</w:t>
                  </w:r>
                </w:p>
              </w:tc>
              <w:tc>
                <w:tcPr>
                  <w:tcW w:w="1447" w:type="pct"/>
                  <w:tcBorders>
                    <w:top w:val="single" w:color="auto" w:sz="4" w:space="0"/>
                    <w:left w:val="single" w:color="auto" w:sz="4" w:space="0"/>
                    <w:bottom w:val="single" w:color="auto" w:sz="4" w:space="0"/>
                    <w:right w:val="single" w:color="auto" w:sz="4" w:space="0"/>
                  </w:tcBorders>
                  <w:vAlign w:val="center"/>
                </w:tcPr>
                <w:p w14:paraId="3DF69501">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年均值</w:t>
                  </w:r>
                </w:p>
              </w:tc>
              <w:tc>
                <w:tcPr>
                  <w:tcW w:w="766" w:type="pct"/>
                  <w:tcBorders>
                    <w:top w:val="single" w:color="auto" w:sz="4" w:space="0"/>
                    <w:left w:val="single" w:color="auto" w:sz="4" w:space="0"/>
                    <w:bottom w:val="single" w:color="auto" w:sz="4" w:space="0"/>
                    <w:right w:val="single" w:color="auto" w:sz="4" w:space="0"/>
                  </w:tcBorders>
                  <w:vAlign w:val="center"/>
                </w:tcPr>
                <w:p w14:paraId="4FEB544B">
                  <w:pPr>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20</w:t>
                  </w:r>
                </w:p>
              </w:tc>
              <w:tc>
                <w:tcPr>
                  <w:tcW w:w="766" w:type="pct"/>
                  <w:tcBorders>
                    <w:top w:val="single" w:color="auto" w:sz="4" w:space="0"/>
                    <w:left w:val="single" w:color="auto" w:sz="4" w:space="0"/>
                    <w:bottom w:val="single" w:color="auto" w:sz="4" w:space="0"/>
                    <w:right w:val="single" w:color="auto" w:sz="4" w:space="0"/>
                  </w:tcBorders>
                  <w:vAlign w:val="center"/>
                </w:tcPr>
                <w:p w14:paraId="44D4A018">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785" w:type="pct"/>
                  <w:tcBorders>
                    <w:top w:val="single" w:color="auto" w:sz="4" w:space="0"/>
                    <w:left w:val="single" w:color="auto" w:sz="4" w:space="0"/>
                    <w:bottom w:val="single" w:color="auto" w:sz="4" w:space="0"/>
                    <w:right w:val="single" w:color="auto" w:sz="4" w:space="0"/>
                  </w:tcBorders>
                  <w:vAlign w:val="center"/>
                </w:tcPr>
                <w:p w14:paraId="4471CC3E">
                  <w:pPr>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50</w:t>
                  </w:r>
                </w:p>
              </w:tc>
              <w:tc>
                <w:tcPr>
                  <w:tcW w:w="696" w:type="pct"/>
                  <w:tcBorders>
                    <w:top w:val="single" w:color="auto" w:sz="4" w:space="0"/>
                    <w:left w:val="single" w:color="auto" w:sz="4" w:space="0"/>
                    <w:bottom w:val="single" w:color="auto" w:sz="4" w:space="0"/>
                  </w:tcBorders>
                  <w:vAlign w:val="center"/>
                </w:tcPr>
                <w:p w14:paraId="1F2CFBF2">
                  <w:pPr>
                    <w:spacing w:line="400" w:lineRule="exact"/>
                    <w:jc w:val="center"/>
                    <w:rPr>
                      <w:rFonts w:hint="default" w:ascii="Times New Roman" w:hAnsi="Times New Roman" w:cs="Times New Roman"/>
                      <w:color w:val="auto"/>
                    </w:rPr>
                  </w:pPr>
                  <w:r>
                    <w:rPr>
                      <w:rFonts w:hint="default" w:ascii="Times New Roman" w:hAnsi="Times New Roman" w:cs="Times New Roman"/>
                      <w:color w:val="auto"/>
                      <w:szCs w:val="21"/>
                    </w:rPr>
                    <w:t>达标</w:t>
                  </w:r>
                </w:p>
              </w:tc>
            </w:tr>
            <w:tr w14:paraId="7C9012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auto" w:sz="4" w:space="0"/>
                    <w:bottom w:val="single" w:color="auto" w:sz="4" w:space="0"/>
                    <w:right w:val="single" w:color="auto" w:sz="4" w:space="0"/>
                  </w:tcBorders>
                  <w:vAlign w:val="center"/>
                </w:tcPr>
                <w:p w14:paraId="6F0B4775">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1447" w:type="pct"/>
                  <w:tcBorders>
                    <w:top w:val="single" w:color="auto" w:sz="4" w:space="0"/>
                    <w:left w:val="single" w:color="auto" w:sz="4" w:space="0"/>
                    <w:bottom w:val="single" w:color="auto" w:sz="4" w:space="0"/>
                    <w:right w:val="single" w:color="auto" w:sz="4" w:space="0"/>
                  </w:tcBorders>
                  <w:vAlign w:val="center"/>
                </w:tcPr>
                <w:p w14:paraId="3CAFD58B">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年均值</w:t>
                  </w:r>
                </w:p>
              </w:tc>
              <w:tc>
                <w:tcPr>
                  <w:tcW w:w="766" w:type="pct"/>
                  <w:tcBorders>
                    <w:top w:val="single" w:color="auto" w:sz="4" w:space="0"/>
                    <w:left w:val="single" w:color="auto" w:sz="4" w:space="0"/>
                    <w:bottom w:val="single" w:color="auto" w:sz="4" w:space="0"/>
                    <w:right w:val="single" w:color="auto" w:sz="4" w:space="0"/>
                  </w:tcBorders>
                  <w:vAlign w:val="center"/>
                </w:tcPr>
                <w:p w14:paraId="0595B6B8">
                  <w:pPr>
                    <w:spacing w:line="400" w:lineRule="exac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4</w:t>
                  </w:r>
                  <w:r>
                    <w:rPr>
                      <w:rFonts w:hint="default" w:ascii="Times New Roman" w:hAnsi="Times New Roman" w:cs="Times New Roman"/>
                      <w:color w:val="auto"/>
                      <w:szCs w:val="21"/>
                      <w:lang w:val="en-US" w:eastAsia="zh-CN"/>
                    </w:rPr>
                    <w:t>5</w:t>
                  </w:r>
                </w:p>
              </w:tc>
              <w:tc>
                <w:tcPr>
                  <w:tcW w:w="766" w:type="pct"/>
                  <w:tcBorders>
                    <w:top w:val="single" w:color="auto" w:sz="4" w:space="0"/>
                    <w:left w:val="single" w:color="auto" w:sz="4" w:space="0"/>
                    <w:bottom w:val="single" w:color="auto" w:sz="4" w:space="0"/>
                    <w:right w:val="single" w:color="auto" w:sz="4" w:space="0"/>
                  </w:tcBorders>
                  <w:vAlign w:val="center"/>
                </w:tcPr>
                <w:p w14:paraId="504FE6E3">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70</w:t>
                  </w:r>
                </w:p>
              </w:tc>
              <w:tc>
                <w:tcPr>
                  <w:tcW w:w="785" w:type="pct"/>
                  <w:tcBorders>
                    <w:top w:val="single" w:color="auto" w:sz="4" w:space="0"/>
                    <w:left w:val="single" w:color="auto" w:sz="4" w:space="0"/>
                    <w:bottom w:val="single" w:color="auto" w:sz="4" w:space="0"/>
                    <w:right w:val="single" w:color="auto" w:sz="4" w:space="0"/>
                  </w:tcBorders>
                  <w:vAlign w:val="center"/>
                </w:tcPr>
                <w:p w14:paraId="2C3B6F92">
                  <w:pPr>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6</w:t>
                  </w:r>
                  <w:r>
                    <w:rPr>
                      <w:rFonts w:hint="default" w:ascii="Times New Roman" w:hAnsi="Times New Roman" w:cs="Times New Roman"/>
                      <w:color w:val="auto"/>
                      <w:szCs w:val="21"/>
                      <w:lang w:val="en-US" w:eastAsia="zh-CN"/>
                    </w:rPr>
                    <w:t>4.3</w:t>
                  </w:r>
                </w:p>
              </w:tc>
              <w:tc>
                <w:tcPr>
                  <w:tcW w:w="696" w:type="pct"/>
                  <w:tcBorders>
                    <w:top w:val="single" w:color="auto" w:sz="4" w:space="0"/>
                    <w:left w:val="single" w:color="auto" w:sz="4" w:space="0"/>
                    <w:bottom w:val="single" w:color="auto" w:sz="4" w:space="0"/>
                  </w:tcBorders>
                  <w:vAlign w:val="center"/>
                </w:tcPr>
                <w:p w14:paraId="630863BB">
                  <w:pPr>
                    <w:spacing w:line="400" w:lineRule="exact"/>
                    <w:jc w:val="center"/>
                    <w:rPr>
                      <w:rFonts w:hint="default" w:ascii="Times New Roman" w:hAnsi="Times New Roman" w:cs="Times New Roman"/>
                      <w:color w:val="auto"/>
                    </w:rPr>
                  </w:pPr>
                  <w:r>
                    <w:rPr>
                      <w:rFonts w:hint="default" w:ascii="Times New Roman" w:hAnsi="Times New Roman" w:cs="Times New Roman"/>
                      <w:color w:val="auto"/>
                      <w:szCs w:val="21"/>
                    </w:rPr>
                    <w:t>达标</w:t>
                  </w:r>
                </w:p>
              </w:tc>
            </w:tr>
            <w:tr w14:paraId="4B769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auto" w:sz="4" w:space="0"/>
                    <w:bottom w:val="single" w:color="auto" w:sz="4" w:space="0"/>
                    <w:right w:val="single" w:color="auto" w:sz="4" w:space="0"/>
                  </w:tcBorders>
                  <w:vAlign w:val="center"/>
                </w:tcPr>
                <w:p w14:paraId="2B82B4A1">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2.5</w:t>
                  </w:r>
                </w:p>
              </w:tc>
              <w:tc>
                <w:tcPr>
                  <w:tcW w:w="1447" w:type="pct"/>
                  <w:tcBorders>
                    <w:top w:val="single" w:color="auto" w:sz="4" w:space="0"/>
                    <w:left w:val="single" w:color="auto" w:sz="4" w:space="0"/>
                    <w:bottom w:val="single" w:color="auto" w:sz="4" w:space="0"/>
                    <w:right w:val="single" w:color="auto" w:sz="4" w:space="0"/>
                  </w:tcBorders>
                  <w:vAlign w:val="center"/>
                </w:tcPr>
                <w:p w14:paraId="75F3F908">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年均值</w:t>
                  </w:r>
                </w:p>
              </w:tc>
              <w:tc>
                <w:tcPr>
                  <w:tcW w:w="766" w:type="pct"/>
                  <w:tcBorders>
                    <w:top w:val="single" w:color="auto" w:sz="4" w:space="0"/>
                    <w:left w:val="single" w:color="auto" w:sz="4" w:space="0"/>
                    <w:bottom w:val="single" w:color="auto" w:sz="4" w:space="0"/>
                    <w:right w:val="single" w:color="auto" w:sz="4" w:space="0"/>
                  </w:tcBorders>
                  <w:vAlign w:val="center"/>
                </w:tcPr>
                <w:p w14:paraId="5A3A708A">
                  <w:pPr>
                    <w:spacing w:line="400" w:lineRule="exac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2</w:t>
                  </w:r>
                  <w:r>
                    <w:rPr>
                      <w:rFonts w:hint="default" w:ascii="Times New Roman" w:hAnsi="Times New Roman" w:cs="Times New Roman"/>
                      <w:color w:val="auto"/>
                      <w:szCs w:val="21"/>
                      <w:lang w:val="en-US" w:eastAsia="zh-CN"/>
                    </w:rPr>
                    <w:t>7</w:t>
                  </w:r>
                </w:p>
              </w:tc>
              <w:tc>
                <w:tcPr>
                  <w:tcW w:w="766" w:type="pct"/>
                  <w:tcBorders>
                    <w:top w:val="single" w:color="auto" w:sz="4" w:space="0"/>
                    <w:left w:val="single" w:color="auto" w:sz="4" w:space="0"/>
                    <w:bottom w:val="single" w:color="auto" w:sz="4" w:space="0"/>
                    <w:right w:val="single" w:color="auto" w:sz="4" w:space="0"/>
                  </w:tcBorders>
                  <w:vAlign w:val="center"/>
                </w:tcPr>
                <w:p w14:paraId="3AE20D9E">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785" w:type="pct"/>
                  <w:tcBorders>
                    <w:top w:val="single" w:color="auto" w:sz="4" w:space="0"/>
                    <w:left w:val="single" w:color="auto" w:sz="4" w:space="0"/>
                    <w:bottom w:val="single" w:color="auto" w:sz="4" w:space="0"/>
                    <w:right w:val="single" w:color="auto" w:sz="4" w:space="0"/>
                  </w:tcBorders>
                  <w:vAlign w:val="center"/>
                </w:tcPr>
                <w:p w14:paraId="55A3EE84">
                  <w:pPr>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77.1</w:t>
                  </w:r>
                </w:p>
              </w:tc>
              <w:tc>
                <w:tcPr>
                  <w:tcW w:w="696" w:type="pct"/>
                  <w:tcBorders>
                    <w:top w:val="single" w:color="auto" w:sz="4" w:space="0"/>
                    <w:left w:val="single" w:color="auto" w:sz="4" w:space="0"/>
                    <w:bottom w:val="single" w:color="auto" w:sz="4" w:space="0"/>
                  </w:tcBorders>
                  <w:vAlign w:val="center"/>
                </w:tcPr>
                <w:p w14:paraId="4F83D9E4">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3F8A29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auto" w:sz="4" w:space="0"/>
                    <w:bottom w:val="single" w:color="auto" w:sz="4" w:space="0"/>
                    <w:right w:val="single" w:color="auto" w:sz="4" w:space="0"/>
                  </w:tcBorders>
                  <w:vAlign w:val="center"/>
                </w:tcPr>
                <w:p w14:paraId="2564B7E3">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O</w:t>
                  </w:r>
                  <w:r>
                    <w:rPr>
                      <w:rFonts w:hint="default" w:ascii="Times New Roman" w:hAnsi="Times New Roman" w:cs="Times New Roman"/>
                      <w:color w:val="auto"/>
                      <w:szCs w:val="21"/>
                      <w:vertAlign w:val="subscript"/>
                    </w:rPr>
                    <w:t>3</w:t>
                  </w:r>
                </w:p>
              </w:tc>
              <w:tc>
                <w:tcPr>
                  <w:tcW w:w="1447" w:type="pct"/>
                  <w:tcBorders>
                    <w:top w:val="single" w:color="auto" w:sz="4" w:space="0"/>
                    <w:left w:val="single" w:color="auto" w:sz="4" w:space="0"/>
                    <w:bottom w:val="single" w:color="auto" w:sz="4" w:space="0"/>
                    <w:right w:val="single" w:color="auto" w:sz="4" w:space="0"/>
                  </w:tcBorders>
                  <w:vAlign w:val="center"/>
                </w:tcPr>
                <w:p w14:paraId="576FECD0">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日最大8小时滑动平均值第90百分位数</w:t>
                  </w:r>
                </w:p>
              </w:tc>
              <w:tc>
                <w:tcPr>
                  <w:tcW w:w="766" w:type="pct"/>
                  <w:tcBorders>
                    <w:top w:val="single" w:color="auto" w:sz="4" w:space="0"/>
                    <w:left w:val="single" w:color="auto" w:sz="4" w:space="0"/>
                    <w:bottom w:val="single" w:color="auto" w:sz="4" w:space="0"/>
                    <w:right w:val="single" w:color="auto" w:sz="4" w:space="0"/>
                  </w:tcBorders>
                  <w:vAlign w:val="center"/>
                </w:tcPr>
                <w:p w14:paraId="6D105990">
                  <w:pPr>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168</w:t>
                  </w:r>
                </w:p>
              </w:tc>
              <w:tc>
                <w:tcPr>
                  <w:tcW w:w="766" w:type="pct"/>
                  <w:tcBorders>
                    <w:top w:val="single" w:color="auto" w:sz="4" w:space="0"/>
                    <w:left w:val="single" w:color="auto" w:sz="4" w:space="0"/>
                    <w:bottom w:val="single" w:color="auto" w:sz="4" w:space="0"/>
                    <w:right w:val="single" w:color="auto" w:sz="4" w:space="0"/>
                  </w:tcBorders>
                  <w:vAlign w:val="center"/>
                </w:tcPr>
                <w:p w14:paraId="3230CA2A">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160</w:t>
                  </w:r>
                </w:p>
              </w:tc>
              <w:tc>
                <w:tcPr>
                  <w:tcW w:w="785" w:type="pct"/>
                  <w:tcBorders>
                    <w:top w:val="single" w:color="auto" w:sz="4" w:space="0"/>
                    <w:left w:val="single" w:color="auto" w:sz="4" w:space="0"/>
                    <w:bottom w:val="single" w:color="auto" w:sz="4" w:space="0"/>
                    <w:right w:val="single" w:color="auto" w:sz="4" w:space="0"/>
                  </w:tcBorders>
                  <w:vAlign w:val="center"/>
                </w:tcPr>
                <w:p w14:paraId="30409671">
                  <w:pPr>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105</w:t>
                  </w:r>
                </w:p>
              </w:tc>
              <w:tc>
                <w:tcPr>
                  <w:tcW w:w="696" w:type="pct"/>
                  <w:tcBorders>
                    <w:top w:val="single" w:color="auto" w:sz="4" w:space="0"/>
                    <w:left w:val="single" w:color="auto" w:sz="4" w:space="0"/>
                    <w:bottom w:val="single" w:color="auto" w:sz="4" w:space="0"/>
                  </w:tcBorders>
                  <w:vAlign w:val="center"/>
                </w:tcPr>
                <w:p w14:paraId="5913AC43">
                  <w:pPr>
                    <w:spacing w:line="400" w:lineRule="exact"/>
                    <w:jc w:val="center"/>
                    <w:rPr>
                      <w:rFonts w:hint="default" w:ascii="Times New Roman" w:hAnsi="Times New Roman" w:cs="Times New Roman"/>
                      <w:color w:val="auto"/>
                    </w:rPr>
                  </w:pPr>
                  <w:r>
                    <w:rPr>
                      <w:rFonts w:hint="default" w:ascii="Times New Roman" w:hAnsi="Times New Roman" w:cs="Times New Roman"/>
                      <w:color w:val="auto"/>
                      <w:szCs w:val="21"/>
                    </w:rPr>
                    <w:t>不达标</w:t>
                  </w:r>
                </w:p>
              </w:tc>
            </w:tr>
            <w:tr w14:paraId="4F8B96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auto" w:sz="4" w:space="0"/>
                    <w:bottom w:val="single" w:color="auto" w:sz="12" w:space="0"/>
                    <w:right w:val="single" w:color="auto" w:sz="4" w:space="0"/>
                  </w:tcBorders>
                  <w:vAlign w:val="center"/>
                </w:tcPr>
                <w:p w14:paraId="5BB21F58">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CO</w:t>
                  </w:r>
                </w:p>
              </w:tc>
              <w:tc>
                <w:tcPr>
                  <w:tcW w:w="1447" w:type="pct"/>
                  <w:tcBorders>
                    <w:top w:val="single" w:color="auto" w:sz="4" w:space="0"/>
                    <w:left w:val="single" w:color="auto" w:sz="4" w:space="0"/>
                    <w:bottom w:val="single" w:color="auto" w:sz="12" w:space="0"/>
                    <w:right w:val="single" w:color="auto" w:sz="4" w:space="0"/>
                  </w:tcBorders>
                  <w:vAlign w:val="center"/>
                </w:tcPr>
                <w:p w14:paraId="51ADB58E">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日平均第95百分位数</w:t>
                  </w:r>
                </w:p>
              </w:tc>
              <w:tc>
                <w:tcPr>
                  <w:tcW w:w="766" w:type="pct"/>
                  <w:tcBorders>
                    <w:top w:val="single" w:color="auto" w:sz="4" w:space="0"/>
                    <w:left w:val="single" w:color="auto" w:sz="4" w:space="0"/>
                    <w:bottom w:val="single" w:color="auto" w:sz="12" w:space="0"/>
                    <w:right w:val="single" w:color="auto" w:sz="4" w:space="0"/>
                  </w:tcBorders>
                  <w:vAlign w:val="center"/>
                </w:tcPr>
                <w:p w14:paraId="0E5C5B7C">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1000</w:t>
                  </w:r>
                </w:p>
              </w:tc>
              <w:tc>
                <w:tcPr>
                  <w:tcW w:w="766" w:type="pct"/>
                  <w:tcBorders>
                    <w:top w:val="single" w:color="auto" w:sz="4" w:space="0"/>
                    <w:left w:val="single" w:color="auto" w:sz="4" w:space="0"/>
                    <w:bottom w:val="single" w:color="auto" w:sz="12" w:space="0"/>
                    <w:right w:val="single" w:color="auto" w:sz="4" w:space="0"/>
                  </w:tcBorders>
                  <w:vAlign w:val="center"/>
                </w:tcPr>
                <w:p w14:paraId="6072F057">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4000</w:t>
                  </w:r>
                </w:p>
              </w:tc>
              <w:tc>
                <w:tcPr>
                  <w:tcW w:w="785" w:type="pct"/>
                  <w:tcBorders>
                    <w:top w:val="single" w:color="auto" w:sz="4" w:space="0"/>
                    <w:left w:val="single" w:color="auto" w:sz="4" w:space="0"/>
                    <w:bottom w:val="single" w:color="auto" w:sz="12" w:space="0"/>
                    <w:right w:val="single" w:color="auto" w:sz="4" w:space="0"/>
                  </w:tcBorders>
                  <w:vAlign w:val="center"/>
                </w:tcPr>
                <w:p w14:paraId="69D91F70">
                  <w:pPr>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696" w:type="pct"/>
                  <w:tcBorders>
                    <w:top w:val="single" w:color="auto" w:sz="4" w:space="0"/>
                    <w:left w:val="single" w:color="auto" w:sz="4" w:space="0"/>
                    <w:bottom w:val="single" w:color="auto" w:sz="12" w:space="0"/>
                  </w:tcBorders>
                  <w:vAlign w:val="center"/>
                </w:tcPr>
                <w:p w14:paraId="6636FEB0">
                  <w:pPr>
                    <w:spacing w:line="400" w:lineRule="exact"/>
                    <w:jc w:val="center"/>
                    <w:rPr>
                      <w:rFonts w:hint="default" w:ascii="Times New Roman" w:hAnsi="Times New Roman" w:cs="Times New Roman"/>
                      <w:color w:val="auto"/>
                    </w:rPr>
                  </w:pPr>
                  <w:r>
                    <w:rPr>
                      <w:rFonts w:hint="default" w:ascii="Times New Roman" w:hAnsi="Times New Roman" w:cs="Times New Roman"/>
                      <w:color w:val="auto"/>
                      <w:szCs w:val="21"/>
                    </w:rPr>
                    <w:t>达标</w:t>
                  </w:r>
                </w:p>
              </w:tc>
            </w:tr>
          </w:tbl>
          <w:p w14:paraId="65EB80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根据大气环境功能区划，项目所在地区为二类区，大气环境质量执行《环境空气质量标准》（GB3095-2012）中的二级标准。</w:t>
            </w:r>
          </w:p>
          <w:p w14:paraId="68A9EF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本项目所在区域SO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、NO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、CO、PM</w:t>
            </w:r>
            <w:r>
              <w:rPr>
                <w:rFonts w:hint="default" w:ascii="Times New Roman" w:hAnsi="Times New Roman" w:eastAsia="宋体" w:cs="Times New Roman"/>
                <w:color w:val="auto"/>
                <w:sz w:val="21"/>
                <w:szCs w:val="21"/>
                <w:vertAlign w:val="subscript"/>
                <w:lang w:val="en-US" w:eastAsia="zh-CN"/>
              </w:rPr>
              <w:t>2.5</w:t>
            </w:r>
            <w:r>
              <w:rPr>
                <w:rFonts w:hint="default" w:ascii="Times New Roman" w:hAnsi="Times New Roman" w:eastAsia="宋体" w:cs="Times New Roman"/>
                <w:color w:val="auto"/>
                <w:sz w:val="21"/>
                <w:szCs w:val="21"/>
                <w:lang w:val="en-US" w:eastAsia="zh-CN"/>
              </w:rPr>
              <w:t>及PM</w:t>
            </w:r>
            <w:r>
              <w:rPr>
                <w:rFonts w:hint="default" w:ascii="Times New Roman" w:hAnsi="Times New Roman" w:eastAsia="宋体" w:cs="Times New Roman"/>
                <w:color w:val="auto"/>
                <w:sz w:val="21"/>
                <w:szCs w:val="21"/>
                <w:vertAlign w:val="subscript"/>
                <w:lang w:val="en-US" w:eastAsia="zh-CN"/>
              </w:rPr>
              <w:t>10</w:t>
            </w:r>
            <w:r>
              <w:rPr>
                <w:rFonts w:hint="default" w:ascii="Times New Roman" w:hAnsi="Times New Roman" w:eastAsia="宋体" w:cs="Times New Roman"/>
                <w:color w:val="auto"/>
                <w:sz w:val="21"/>
                <w:szCs w:val="21"/>
                <w:lang w:val="en-US" w:eastAsia="zh-CN"/>
              </w:rPr>
              <w:t>相关指标符合《环境空气质量标准》（GB3095-2012）二级标准，O</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的日最大8小时滑动平均值第90百分位数浓度超过《环境空气质量标准》（GB3095-2012）二级标准浓度限值。因此区域属于大气环境质量不达标区，</w:t>
            </w:r>
            <w:r>
              <w:rPr>
                <w:rFonts w:hint="default" w:ascii="Times New Roman" w:hAnsi="Times New Roman" w:cs="Times New Roman"/>
                <w:color w:val="auto"/>
                <w:kern w:val="0"/>
                <w:lang w:val="zh-CN"/>
              </w:rPr>
              <w:t>坚持生态优先、绿色发展，推进大气环境治理体系和治理能力现代化建设。突出源头治理，坚持精准治污、科学治污、依法治污，强化减污降碳协同、臭氧和PM</w:t>
            </w:r>
            <w:r>
              <w:rPr>
                <w:rFonts w:hint="default" w:ascii="Times New Roman" w:hAnsi="Times New Roman" w:cs="Times New Roman"/>
                <w:color w:val="auto"/>
                <w:kern w:val="0"/>
                <w:vertAlign w:val="subscript"/>
                <w:lang w:val="zh-CN"/>
              </w:rPr>
              <w:t>2.5</w:t>
            </w:r>
            <w:r>
              <w:rPr>
                <w:rFonts w:hint="default" w:ascii="Times New Roman" w:hAnsi="Times New Roman" w:cs="Times New Roman"/>
                <w:color w:val="auto"/>
                <w:kern w:val="0"/>
                <w:lang w:val="zh-CN"/>
              </w:rPr>
              <w:t>防治协同、区域联防联控协同“三大协同”，持续改善环境空气质量</w:t>
            </w:r>
            <w:r>
              <w:rPr>
                <w:rFonts w:hint="default" w:ascii="Times New Roman" w:hAnsi="Times New Roman" w:eastAsia="宋体" w:cs="Times New Roman"/>
                <w:color w:val="auto"/>
                <w:sz w:val="21"/>
                <w:szCs w:val="21"/>
                <w:lang w:val="en-US" w:eastAsia="zh-CN"/>
              </w:rPr>
              <w:t>。</w:t>
            </w:r>
          </w:p>
          <w:p w14:paraId="566FE3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r>
              <w:rPr>
                <w:rFonts w:hint="default" w:ascii="Times New Roman" w:hAnsi="Times New Roman" w:cs="Times New Roman"/>
                <w:color w:val="auto"/>
              </w:rPr>
              <w:t>特征污染物环境质量现状</w:t>
            </w:r>
          </w:p>
          <w:p w14:paraId="07AE9F65">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本项目特征因子为氮氧化物，引用《上海电气集团恒羲光伏科支(南通)有限公司年产 1.2GW高效异质结光伏电池以及1.2GW光伏组件新建项目环境影响评价报告书》中项目所在地(位于苏州路南、扬子江路西，本项目西北侧2.5km处，监测时间 2023.7.19-2023.7.25的监测数据。</w:t>
            </w:r>
          </w:p>
          <w:p w14:paraId="18B00491">
            <w:pPr>
              <w:pStyle w:val="4"/>
              <w:spacing w:before="0" w:after="0" w:line="360" w:lineRule="auto"/>
              <w:ind w:left="420" w:left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大气环境质量监测结果见表 3-2。</w:t>
            </w:r>
          </w:p>
          <w:p w14:paraId="1C905DCD">
            <w:pPr>
              <w:autoSpaceDE w:val="0"/>
              <w:autoSpaceDN w:val="0"/>
              <w:adjustRightInd w:val="0"/>
              <w:ind w:firstLine="482"/>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 3-2 大气环境质量监测结果单位:mgm</w:t>
            </w:r>
            <w:r>
              <w:rPr>
                <w:rFonts w:hint="default" w:ascii="Times New Roman" w:hAnsi="Times New Roman" w:eastAsia="宋体" w:cs="Times New Roman"/>
                <w:b/>
                <w:bCs/>
                <w:color w:val="auto"/>
                <w:sz w:val="21"/>
                <w:szCs w:val="21"/>
                <w:vertAlign w:val="superscript"/>
                <w:lang w:val="en-US" w:eastAsia="zh-CN"/>
              </w:rPr>
              <w:t>3</w:t>
            </w:r>
          </w:p>
          <w:tbl>
            <w:tblPr>
              <w:tblStyle w:val="42"/>
              <w:tblW w:w="84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900"/>
              <w:gridCol w:w="780"/>
              <w:gridCol w:w="660"/>
              <w:gridCol w:w="810"/>
              <w:gridCol w:w="1305"/>
              <w:gridCol w:w="1141"/>
              <w:gridCol w:w="773"/>
              <w:gridCol w:w="776"/>
            </w:tblGrid>
            <w:tr w14:paraId="138D70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3" w:type="dxa"/>
                  <w:vMerge w:val="restart"/>
                  <w:tcBorders>
                    <w:tl2br w:val="nil"/>
                    <w:tr2bl w:val="nil"/>
                  </w:tcBorders>
                  <w:vAlign w:val="center"/>
                </w:tcPr>
                <w:p w14:paraId="7D4373E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bCs/>
                      <w:color w:val="auto"/>
                      <w:sz w:val="21"/>
                      <w:szCs w:val="21"/>
                      <w:lang w:val="en-US" w:eastAsia="zh-CN"/>
                    </w:rPr>
                    <w:t>监测点编号</w:t>
                  </w:r>
                </w:p>
              </w:tc>
              <w:tc>
                <w:tcPr>
                  <w:tcW w:w="1680" w:type="dxa"/>
                  <w:gridSpan w:val="2"/>
                  <w:tcBorders>
                    <w:tl2br w:val="nil"/>
                    <w:tr2bl w:val="nil"/>
                  </w:tcBorders>
                  <w:vAlign w:val="center"/>
                </w:tcPr>
                <w:p w14:paraId="4C195449">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监测点位坐标</w:t>
                  </w:r>
                </w:p>
              </w:tc>
              <w:tc>
                <w:tcPr>
                  <w:tcW w:w="660" w:type="dxa"/>
                  <w:vMerge w:val="restart"/>
                  <w:tcBorders>
                    <w:tl2br w:val="nil"/>
                    <w:tr2bl w:val="nil"/>
                  </w:tcBorders>
                  <w:vAlign w:val="center"/>
                </w:tcPr>
                <w:p w14:paraId="1D8AC16D">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污染物</w:t>
                  </w:r>
                </w:p>
              </w:tc>
              <w:tc>
                <w:tcPr>
                  <w:tcW w:w="810" w:type="dxa"/>
                  <w:vMerge w:val="restart"/>
                  <w:tcBorders>
                    <w:tl2br w:val="nil"/>
                    <w:tr2bl w:val="nil"/>
                  </w:tcBorders>
                  <w:vAlign w:val="center"/>
                </w:tcPr>
                <w:p w14:paraId="150088D4">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平均时间</w:t>
                  </w:r>
                </w:p>
              </w:tc>
              <w:tc>
                <w:tcPr>
                  <w:tcW w:w="1305" w:type="dxa"/>
                  <w:vMerge w:val="restart"/>
                  <w:tcBorders>
                    <w:tl2br w:val="nil"/>
                    <w:tr2bl w:val="nil"/>
                  </w:tcBorders>
                  <w:vAlign w:val="center"/>
                </w:tcPr>
                <w:p w14:paraId="642075EC">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评价标准</w:t>
                  </w:r>
                  <w:r>
                    <w:rPr>
                      <w:rFonts w:hint="eastAsia"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lang w:val="en-US" w:eastAsia="zh-CN"/>
                    </w:rPr>
                    <w:t>g/m</w:t>
                  </w:r>
                  <w:r>
                    <w:rPr>
                      <w:rFonts w:hint="default"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lang w:val="en-US" w:eastAsia="zh-CN"/>
                    </w:rPr>
                    <w:t>）</w:t>
                  </w:r>
                </w:p>
              </w:tc>
              <w:tc>
                <w:tcPr>
                  <w:tcW w:w="1141" w:type="dxa"/>
                  <w:vMerge w:val="restart"/>
                  <w:tcBorders>
                    <w:tl2br w:val="nil"/>
                    <w:tr2bl w:val="nil"/>
                  </w:tcBorders>
                  <w:vAlign w:val="center"/>
                </w:tcPr>
                <w:p w14:paraId="69887637">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监测浓度范围</w:t>
                  </w:r>
                  <w:r>
                    <w:rPr>
                      <w:rFonts w:hint="eastAsia"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lang w:val="en-US" w:eastAsia="zh-CN"/>
                    </w:rPr>
                    <w:t>g/m</w:t>
                  </w:r>
                  <w:r>
                    <w:rPr>
                      <w:rFonts w:hint="default"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lang w:val="en-US" w:eastAsia="zh-CN"/>
                    </w:rPr>
                    <w:t>）</w:t>
                  </w:r>
                </w:p>
              </w:tc>
              <w:tc>
                <w:tcPr>
                  <w:tcW w:w="773" w:type="dxa"/>
                  <w:vMerge w:val="restart"/>
                  <w:tcBorders>
                    <w:tl2br w:val="nil"/>
                    <w:tr2bl w:val="nil"/>
                  </w:tcBorders>
                  <w:vAlign w:val="center"/>
                </w:tcPr>
                <w:p w14:paraId="57E03B48">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最大浓度占标率/%</w:t>
                  </w:r>
                </w:p>
              </w:tc>
              <w:tc>
                <w:tcPr>
                  <w:tcW w:w="776" w:type="dxa"/>
                  <w:vMerge w:val="restart"/>
                  <w:tcBorders>
                    <w:tl2br w:val="nil"/>
                    <w:tr2bl w:val="nil"/>
                  </w:tcBorders>
                  <w:vAlign w:val="center"/>
                </w:tcPr>
                <w:p w14:paraId="69DF3AA4">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达标情况</w:t>
                  </w:r>
                </w:p>
              </w:tc>
            </w:tr>
            <w:tr w14:paraId="247D59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3" w:type="dxa"/>
                  <w:vMerge w:val="continue"/>
                  <w:tcBorders>
                    <w:tl2br w:val="nil"/>
                    <w:tr2bl w:val="nil"/>
                  </w:tcBorders>
                  <w:vAlign w:val="center"/>
                </w:tcPr>
                <w:p w14:paraId="51B53B83">
                  <w:pPr>
                    <w:jc w:val="center"/>
                    <w:rPr>
                      <w:color w:val="auto"/>
                    </w:rPr>
                  </w:pPr>
                </w:p>
              </w:tc>
              <w:tc>
                <w:tcPr>
                  <w:tcW w:w="900" w:type="dxa"/>
                  <w:tcBorders>
                    <w:tl2br w:val="nil"/>
                    <w:tr2bl w:val="nil"/>
                  </w:tcBorders>
                  <w:vAlign w:val="center"/>
                </w:tcPr>
                <w:p w14:paraId="5D8CDD46">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E</w:t>
                  </w:r>
                </w:p>
              </w:tc>
              <w:tc>
                <w:tcPr>
                  <w:tcW w:w="780" w:type="dxa"/>
                  <w:tcBorders>
                    <w:tl2br w:val="nil"/>
                    <w:tr2bl w:val="nil"/>
                  </w:tcBorders>
                  <w:vAlign w:val="center"/>
                </w:tcPr>
                <w:p w14:paraId="1F9B7BA7">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N</w:t>
                  </w:r>
                </w:p>
              </w:tc>
              <w:tc>
                <w:tcPr>
                  <w:tcW w:w="660" w:type="dxa"/>
                  <w:vMerge w:val="continue"/>
                  <w:tcBorders>
                    <w:tl2br w:val="nil"/>
                    <w:tr2bl w:val="nil"/>
                  </w:tcBorders>
                  <w:vAlign w:val="center"/>
                </w:tcPr>
                <w:p w14:paraId="174ABC87">
                  <w:pPr>
                    <w:jc w:val="center"/>
                    <w:rPr>
                      <w:rFonts w:hint="eastAsia" w:ascii="Times New Roman" w:hAnsi="Times New Roman" w:eastAsia="宋体" w:cs="Times New Roman"/>
                      <w:b/>
                      <w:bCs/>
                      <w:color w:val="auto"/>
                      <w:sz w:val="21"/>
                      <w:szCs w:val="21"/>
                      <w:lang w:val="en-US" w:eastAsia="zh-CN"/>
                    </w:rPr>
                  </w:pPr>
                </w:p>
              </w:tc>
              <w:tc>
                <w:tcPr>
                  <w:tcW w:w="810" w:type="dxa"/>
                  <w:vMerge w:val="continue"/>
                  <w:tcBorders>
                    <w:tl2br w:val="nil"/>
                    <w:tr2bl w:val="nil"/>
                  </w:tcBorders>
                  <w:vAlign w:val="center"/>
                </w:tcPr>
                <w:p w14:paraId="743CCA0D">
                  <w:pPr>
                    <w:jc w:val="center"/>
                    <w:rPr>
                      <w:rFonts w:hint="eastAsia" w:ascii="Times New Roman" w:hAnsi="Times New Roman" w:eastAsia="宋体" w:cs="Times New Roman"/>
                      <w:b/>
                      <w:bCs/>
                      <w:color w:val="auto"/>
                      <w:sz w:val="21"/>
                      <w:szCs w:val="21"/>
                      <w:lang w:val="en-US" w:eastAsia="zh-CN"/>
                    </w:rPr>
                  </w:pPr>
                </w:p>
              </w:tc>
              <w:tc>
                <w:tcPr>
                  <w:tcW w:w="1305" w:type="dxa"/>
                  <w:vMerge w:val="continue"/>
                  <w:tcBorders>
                    <w:tl2br w:val="nil"/>
                    <w:tr2bl w:val="nil"/>
                  </w:tcBorders>
                  <w:vAlign w:val="center"/>
                </w:tcPr>
                <w:p w14:paraId="47E74F92">
                  <w:pPr>
                    <w:jc w:val="center"/>
                    <w:rPr>
                      <w:rFonts w:hint="eastAsia" w:ascii="Times New Roman" w:hAnsi="Times New Roman" w:eastAsia="宋体" w:cs="Times New Roman"/>
                      <w:b/>
                      <w:bCs/>
                      <w:color w:val="auto"/>
                      <w:sz w:val="21"/>
                      <w:szCs w:val="21"/>
                      <w:lang w:val="en-US" w:eastAsia="zh-CN"/>
                    </w:rPr>
                  </w:pPr>
                </w:p>
              </w:tc>
              <w:tc>
                <w:tcPr>
                  <w:tcW w:w="1141" w:type="dxa"/>
                  <w:vMerge w:val="continue"/>
                  <w:tcBorders>
                    <w:tl2br w:val="nil"/>
                    <w:tr2bl w:val="nil"/>
                  </w:tcBorders>
                  <w:vAlign w:val="center"/>
                </w:tcPr>
                <w:p w14:paraId="4971B08F">
                  <w:pPr>
                    <w:jc w:val="center"/>
                    <w:rPr>
                      <w:rFonts w:hint="eastAsia" w:ascii="Times New Roman" w:hAnsi="Times New Roman" w:eastAsia="宋体" w:cs="Times New Roman"/>
                      <w:b/>
                      <w:bCs/>
                      <w:color w:val="auto"/>
                      <w:sz w:val="21"/>
                      <w:szCs w:val="21"/>
                      <w:lang w:val="en-US" w:eastAsia="zh-CN"/>
                    </w:rPr>
                  </w:pPr>
                </w:p>
              </w:tc>
              <w:tc>
                <w:tcPr>
                  <w:tcW w:w="773" w:type="dxa"/>
                  <w:vMerge w:val="continue"/>
                  <w:tcBorders>
                    <w:tl2br w:val="nil"/>
                    <w:tr2bl w:val="nil"/>
                  </w:tcBorders>
                  <w:vAlign w:val="center"/>
                </w:tcPr>
                <w:p w14:paraId="286CA94C">
                  <w:pPr>
                    <w:jc w:val="center"/>
                    <w:rPr>
                      <w:rFonts w:hint="eastAsia" w:ascii="Times New Roman" w:hAnsi="Times New Roman" w:eastAsia="宋体" w:cs="Times New Roman"/>
                      <w:b/>
                      <w:bCs/>
                      <w:color w:val="auto"/>
                      <w:sz w:val="21"/>
                      <w:szCs w:val="21"/>
                      <w:lang w:val="en-US" w:eastAsia="zh-CN"/>
                    </w:rPr>
                  </w:pPr>
                </w:p>
              </w:tc>
              <w:tc>
                <w:tcPr>
                  <w:tcW w:w="776" w:type="dxa"/>
                  <w:vMerge w:val="continue"/>
                  <w:tcBorders>
                    <w:tl2br w:val="nil"/>
                    <w:tr2bl w:val="nil"/>
                  </w:tcBorders>
                  <w:vAlign w:val="center"/>
                </w:tcPr>
                <w:p w14:paraId="33CDC67C">
                  <w:pPr>
                    <w:jc w:val="center"/>
                    <w:rPr>
                      <w:rFonts w:hint="eastAsia" w:ascii="Times New Roman" w:hAnsi="Times New Roman" w:eastAsia="宋体" w:cs="Times New Roman"/>
                      <w:b/>
                      <w:bCs/>
                      <w:color w:val="auto"/>
                      <w:sz w:val="21"/>
                      <w:szCs w:val="21"/>
                      <w:lang w:val="en-US" w:eastAsia="zh-CN"/>
                    </w:rPr>
                  </w:pPr>
                </w:p>
              </w:tc>
            </w:tr>
            <w:tr w14:paraId="3520F6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13" w:type="dxa"/>
                  <w:tcBorders>
                    <w:tl2br w:val="nil"/>
                    <w:tr2bl w:val="nil"/>
                  </w:tcBorders>
                  <w:vAlign w:val="center"/>
                </w:tcPr>
                <w:p w14:paraId="076A336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上海电气集团恒羲光伏科支(南通)有限公司</w:t>
                  </w:r>
                </w:p>
              </w:tc>
              <w:tc>
                <w:tcPr>
                  <w:tcW w:w="900" w:type="dxa"/>
                  <w:tcBorders>
                    <w:tl2br w:val="nil"/>
                    <w:tr2bl w:val="nil"/>
                  </w:tcBorders>
                  <w:vAlign w:val="center"/>
                </w:tcPr>
                <w:p w14:paraId="747F898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121.109563</w:t>
                  </w:r>
                </w:p>
              </w:tc>
              <w:tc>
                <w:tcPr>
                  <w:tcW w:w="780" w:type="dxa"/>
                  <w:tcBorders>
                    <w:tl2br w:val="nil"/>
                    <w:tr2bl w:val="nil"/>
                  </w:tcBorders>
                  <w:vAlign w:val="center"/>
                </w:tcPr>
                <w:p w14:paraId="78873C2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31.824368</w:t>
                  </w:r>
                </w:p>
              </w:tc>
              <w:tc>
                <w:tcPr>
                  <w:tcW w:w="660" w:type="dxa"/>
                  <w:tcBorders>
                    <w:tl2br w:val="nil"/>
                    <w:tr2bl w:val="nil"/>
                  </w:tcBorders>
                  <w:vAlign w:val="center"/>
                </w:tcPr>
                <w:p w14:paraId="008EA43E">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氮氧化物</w:t>
                  </w:r>
                </w:p>
              </w:tc>
              <w:tc>
                <w:tcPr>
                  <w:tcW w:w="810" w:type="dxa"/>
                  <w:tcBorders>
                    <w:tl2br w:val="nil"/>
                    <w:tr2bl w:val="nil"/>
                  </w:tcBorders>
                  <w:vAlign w:val="center"/>
                </w:tcPr>
                <w:p w14:paraId="106DCA8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1h</w:t>
                  </w:r>
                </w:p>
              </w:tc>
              <w:tc>
                <w:tcPr>
                  <w:tcW w:w="1305" w:type="dxa"/>
                  <w:tcBorders>
                    <w:tl2br w:val="nil"/>
                    <w:tr2bl w:val="nil"/>
                  </w:tcBorders>
                  <w:vAlign w:val="center"/>
                </w:tcPr>
                <w:p w14:paraId="6C7F3B25">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0.25</w:t>
                  </w:r>
                </w:p>
              </w:tc>
              <w:tc>
                <w:tcPr>
                  <w:tcW w:w="1141" w:type="dxa"/>
                  <w:tcBorders>
                    <w:tl2br w:val="nil"/>
                    <w:tr2bl w:val="nil"/>
                  </w:tcBorders>
                  <w:vAlign w:val="center"/>
                </w:tcPr>
                <w:p w14:paraId="1FBF364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0.016~0.050</w:t>
                  </w:r>
                </w:p>
              </w:tc>
              <w:tc>
                <w:tcPr>
                  <w:tcW w:w="773" w:type="dxa"/>
                  <w:tcBorders>
                    <w:tl2br w:val="nil"/>
                    <w:tr2bl w:val="nil"/>
                  </w:tcBorders>
                  <w:vAlign w:val="center"/>
                </w:tcPr>
                <w:p w14:paraId="0675518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776" w:type="dxa"/>
                  <w:tcBorders>
                    <w:tl2br w:val="nil"/>
                    <w:tr2bl w:val="nil"/>
                  </w:tcBorders>
                  <w:vAlign w:val="center"/>
                </w:tcPr>
                <w:p w14:paraId="4468A63A">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r>
          </w:tbl>
          <w:p w14:paraId="5C9CE6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由上表可知，</w:t>
            </w:r>
            <w:r>
              <w:rPr>
                <w:rFonts w:hint="eastAsia" w:ascii="Times New Roman" w:hAnsi="Times New Roman" w:eastAsia="宋体" w:cs="Times New Roman"/>
                <w:color w:val="auto"/>
                <w:sz w:val="21"/>
                <w:szCs w:val="21"/>
                <w:lang w:val="en-US" w:eastAsia="zh-CN"/>
              </w:rPr>
              <w:t>氮氧化物</w:t>
            </w:r>
            <w:r>
              <w:rPr>
                <w:rFonts w:hint="default" w:ascii="Times New Roman" w:hAnsi="Times New Roman" w:eastAsia="宋体" w:cs="Times New Roman"/>
                <w:color w:val="auto"/>
                <w:sz w:val="21"/>
                <w:szCs w:val="21"/>
                <w:lang w:val="en-US" w:eastAsia="zh-CN"/>
              </w:rPr>
              <w:t>在监测期间监测浓度值均达到《环境空气质量标准》</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（GB3095-2012）二级标准。</w:t>
            </w:r>
          </w:p>
          <w:p w14:paraId="5DB2C669">
            <w:pPr>
              <w:pStyle w:val="4"/>
              <w:spacing w:before="0" w:after="0" w:line="360" w:lineRule="auto"/>
              <w:ind w:left="420" w:left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2、地表水环境</w:t>
            </w:r>
          </w:p>
          <w:p w14:paraId="237FB3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南通市生态环境状况公报》（2023年），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6.03亿吨，饮用水源地水质达标率均为100%。</w:t>
            </w:r>
          </w:p>
          <w:p w14:paraId="355917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年，长江（南通段）水质为Ⅱ类，水质优良。其中，姚港（左岸）、团结闸（左岸）、小李港（左岸）断面水质保持Ⅱ类。南通市境内主要内河中，焦港河、通吕运河、如海运河、九圩港河、通启运河、新江海河、通扬运河、新通扬运河、栟茶运河、北凌河、如泰运河、遥望港水质基本达到Ⅲ类标准。市区濠河水质总体达到地表水Ⅲ类标准，水质良好；各县（市、区）城区水质在地表水Ⅲ～Ⅳ类之间波动。</w:t>
            </w:r>
          </w:p>
          <w:p w14:paraId="111CD7BA">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3、声环境</w:t>
            </w:r>
          </w:p>
          <w:p w14:paraId="7B3D0C06">
            <w:pPr>
              <w:adjustRightInd w:val="0"/>
              <w:snapToGrid w:val="0"/>
              <w:spacing w:line="360" w:lineRule="auto"/>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根据《建设项目环境影响报告表编制技术指南（污染影响类）（试行）》（环办环评[2020]33号）中关于声环境质量现状评价要求，“厂界外周边50米范围内存在声环境保护目标的建设项目，应监测保护目标声环境质量现状并评价达标情况”，本项目厂界外50米范围内无声环境保护目标，故不开展声环境质量现状调查。</w:t>
            </w:r>
          </w:p>
          <w:p w14:paraId="7CB3FD19">
            <w:pPr>
              <w:adjustRightInd w:val="0"/>
              <w:snapToGrid w:val="0"/>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4、生态环境质量</w:t>
            </w:r>
          </w:p>
          <w:p w14:paraId="6BDA88DF">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根据《南通市生态环境状况公报》（202</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年），2023年南通市生态质量指数为53.51，类别为“三类”，各县（市、区）生态质量指数介于 44.83~58.28之间。南通市共有7个县（市、区）参与生态质量评价，其中如东、启东、海安为“二类”，通州、崇川、海门、如皋为“三类”。2023年南通全市除启东、海门、通州上升0.60、0.23和0.18外，其余4个区县EQI均下降；其中如皋、海安、如东、崇川EQI下降分别为-1.01、-0.73、-0.53和-0.03。由于生物多样性指数全省统一值，各县区该指标无差别；崇川生态胁迫指数最高，为100；如东生态格局指数最高，为37.31；海安生态功能指数最高，为83.23。</w:t>
            </w:r>
          </w:p>
          <w:p w14:paraId="663B648B">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本项目位于海门经济开发区内，不属于新增用地项目，且用地范围内不含有生态环境保护目标，因此，不需要进行生态现状调查。</w:t>
            </w:r>
          </w:p>
          <w:p w14:paraId="35C93778">
            <w:pPr>
              <w:adjustRightInd w:val="0"/>
              <w:snapToGrid w:val="0"/>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5、地下水环境质量</w:t>
            </w:r>
          </w:p>
          <w:p w14:paraId="14550C3D">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根据《南通市生态环境状况公报》（202</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年），2023年，南通市省控以上23个地下水区域监测点位，水质达Ⅲ类的6个，满足Ⅳ类标准的14个，水质为Ⅴ类的3个，分别占比 26.1%、60.9%、13.0%，与2022年相比，地下水水质总体有所好转，Ⅳ类及以上水质占比为87.0%，增加13.3个百分点，相应Ⅴ类比例减少13.3个百分点。</w:t>
            </w:r>
          </w:p>
          <w:p w14:paraId="6F1CF045">
            <w:pPr>
              <w:adjustRightInd w:val="0"/>
              <w:snapToGrid w:val="0"/>
              <w:spacing w:line="360" w:lineRule="auto"/>
              <w:ind w:firstLine="420" w:firstLineChars="20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本项目所属国民经济行业类别为</w:t>
            </w:r>
            <w:r>
              <w:rPr>
                <w:rFonts w:hint="default" w:ascii="Times New Roman" w:hAnsi="Times New Roman" w:cs="Times New Roman"/>
                <w:color w:val="auto"/>
                <w:spacing w:val="0"/>
                <w:kern w:val="11"/>
                <w:sz w:val="21"/>
                <w:szCs w:val="21"/>
                <w:highlight w:val="none"/>
                <w:lang w:val="en-US" w:eastAsia="zh-CN"/>
              </w:rPr>
              <w:t>C3393锻件及粉末冶金制品制造</w:t>
            </w:r>
            <w:r>
              <w:rPr>
                <w:rFonts w:hint="default" w:ascii="Times New Roman" w:hAnsi="Times New Roman" w:cs="Times New Roman"/>
                <w:color w:val="auto"/>
                <w:sz w:val="21"/>
                <w:szCs w:val="21"/>
              </w:rPr>
              <w:t>，非化工行业，</w:t>
            </w:r>
            <w:r>
              <w:rPr>
                <w:rFonts w:hint="default" w:ascii="Times New Roman" w:hAnsi="Times New Roman" w:cs="Times New Roman"/>
                <w:color w:val="auto"/>
                <w:sz w:val="21"/>
                <w:szCs w:val="21"/>
                <w:lang w:eastAsia="zh-CN"/>
              </w:rPr>
              <w:t>建设项目建成后全厂地面进行硬质化，</w:t>
            </w:r>
            <w:r>
              <w:rPr>
                <w:rFonts w:hint="default" w:ascii="Times New Roman" w:hAnsi="Times New Roman" w:cs="Times New Roman"/>
                <w:color w:val="auto"/>
                <w:sz w:val="21"/>
                <w:szCs w:val="21"/>
              </w:rPr>
              <w:t>在</w:t>
            </w:r>
            <w:r>
              <w:rPr>
                <w:rFonts w:hint="default" w:ascii="Times New Roman" w:hAnsi="Times New Roman" w:cs="Times New Roman"/>
                <w:color w:val="auto"/>
                <w:sz w:val="21"/>
                <w:szCs w:val="21"/>
                <w:lang w:eastAsia="zh-CN"/>
              </w:rPr>
              <w:t>采取有效</w:t>
            </w:r>
            <w:r>
              <w:rPr>
                <w:rFonts w:hint="default" w:ascii="Times New Roman" w:hAnsi="Times New Roman" w:cs="Times New Roman"/>
                <w:color w:val="auto"/>
                <w:sz w:val="21"/>
                <w:szCs w:val="21"/>
              </w:rPr>
              <w:t>防渗措施条件下，通过加强日常管理，对区域地下水环境污染较小，因此，暂不开展地下水环境现状调查</w:t>
            </w:r>
            <w:r>
              <w:rPr>
                <w:rFonts w:hint="default" w:ascii="Times New Roman" w:hAnsi="Times New Roman" w:cs="Times New Roman"/>
                <w:color w:val="auto"/>
                <w:sz w:val="21"/>
                <w:szCs w:val="21"/>
                <w:lang w:eastAsia="zh-CN"/>
              </w:rPr>
              <w:t>。</w:t>
            </w:r>
          </w:p>
          <w:p w14:paraId="25547D3E">
            <w:pPr>
              <w:adjustRightInd w:val="0"/>
              <w:snapToGrid w:val="0"/>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6、土壤环境质量</w:t>
            </w:r>
          </w:p>
          <w:p w14:paraId="3CBDB420">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根据《南通市生态环境状况公报》（202</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年），2023年南通市共监测96个国家网土壤环境监测点，包括88个基础点和8个背景点，均为耕地类型，土壤环境质量状况总体良好。与“十三五”期间相比，土壤环境质量未发生显著变化。</w:t>
            </w:r>
          </w:p>
          <w:p w14:paraId="3EE00BF9">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本项目所属国民经济行业类别为</w:t>
            </w:r>
            <w:r>
              <w:rPr>
                <w:rFonts w:hint="default" w:ascii="Times New Roman" w:hAnsi="Times New Roman" w:cs="Times New Roman"/>
                <w:color w:val="auto"/>
                <w:spacing w:val="0"/>
                <w:kern w:val="11"/>
                <w:sz w:val="21"/>
                <w:szCs w:val="21"/>
                <w:highlight w:val="none"/>
                <w:lang w:val="en-US" w:eastAsia="zh-CN"/>
              </w:rPr>
              <w:t>C3393锻件及粉末冶金制品制造</w:t>
            </w:r>
            <w:r>
              <w:rPr>
                <w:rFonts w:hint="default" w:ascii="Times New Roman" w:hAnsi="Times New Roman" w:cs="Times New Roman"/>
                <w:color w:val="auto"/>
                <w:sz w:val="21"/>
                <w:szCs w:val="21"/>
              </w:rPr>
              <w:t>，非化工行业，</w:t>
            </w:r>
            <w:r>
              <w:rPr>
                <w:rFonts w:hint="default" w:ascii="Times New Roman" w:hAnsi="Times New Roman" w:cs="Times New Roman"/>
                <w:color w:val="auto"/>
                <w:sz w:val="21"/>
                <w:szCs w:val="21"/>
                <w:lang w:eastAsia="zh-CN"/>
              </w:rPr>
              <w:t>建设项目建成后全厂地面进行硬质化，</w:t>
            </w:r>
            <w:r>
              <w:rPr>
                <w:rFonts w:hint="default" w:ascii="Times New Roman" w:hAnsi="Times New Roman" w:cs="Times New Roman"/>
                <w:color w:val="auto"/>
                <w:sz w:val="21"/>
                <w:szCs w:val="21"/>
              </w:rPr>
              <w:t>在</w:t>
            </w:r>
            <w:r>
              <w:rPr>
                <w:rFonts w:hint="default" w:ascii="Times New Roman" w:hAnsi="Times New Roman" w:cs="Times New Roman"/>
                <w:color w:val="auto"/>
                <w:sz w:val="21"/>
                <w:szCs w:val="21"/>
                <w:lang w:eastAsia="zh-CN"/>
              </w:rPr>
              <w:t>采取有效</w:t>
            </w:r>
            <w:r>
              <w:rPr>
                <w:rFonts w:hint="default" w:ascii="Times New Roman" w:hAnsi="Times New Roman" w:cs="Times New Roman"/>
                <w:color w:val="auto"/>
                <w:sz w:val="21"/>
                <w:szCs w:val="21"/>
              </w:rPr>
              <w:t>防渗措施条件下，通过加强日常管理，对区域</w:t>
            </w:r>
            <w:r>
              <w:rPr>
                <w:rFonts w:hint="default" w:ascii="Times New Roman" w:hAnsi="Times New Roman" w:cs="Times New Roman"/>
                <w:color w:val="auto"/>
                <w:sz w:val="21"/>
                <w:szCs w:val="21"/>
                <w:lang w:eastAsia="zh-CN"/>
              </w:rPr>
              <w:t>土壤</w:t>
            </w:r>
            <w:r>
              <w:rPr>
                <w:rFonts w:hint="default" w:ascii="Times New Roman" w:hAnsi="Times New Roman" w:cs="Times New Roman"/>
                <w:color w:val="auto"/>
                <w:sz w:val="21"/>
                <w:szCs w:val="21"/>
              </w:rPr>
              <w:t>环境污染较小，因此，暂不开展</w:t>
            </w:r>
            <w:r>
              <w:rPr>
                <w:rFonts w:hint="default" w:ascii="Times New Roman" w:hAnsi="Times New Roman" w:cs="Times New Roman"/>
                <w:color w:val="auto"/>
                <w:sz w:val="21"/>
                <w:szCs w:val="21"/>
                <w:lang w:eastAsia="zh-CN"/>
              </w:rPr>
              <w:t>土壤</w:t>
            </w:r>
            <w:r>
              <w:rPr>
                <w:rFonts w:hint="default" w:ascii="Times New Roman" w:hAnsi="Times New Roman" w:cs="Times New Roman"/>
                <w:color w:val="auto"/>
                <w:sz w:val="21"/>
                <w:szCs w:val="21"/>
              </w:rPr>
              <w:t>环境现状调查。</w:t>
            </w:r>
          </w:p>
        </w:tc>
      </w:tr>
      <w:tr w14:paraId="3504D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24" w:type="dxa"/>
            <w:noWrap w:val="0"/>
            <w:vAlign w:val="center"/>
          </w:tcPr>
          <w:p w14:paraId="44C7E6BD">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w:t>
            </w:r>
          </w:p>
          <w:p w14:paraId="6888E6A2">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保护</w:t>
            </w:r>
          </w:p>
          <w:p w14:paraId="4FEBCD55">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目标</w:t>
            </w:r>
          </w:p>
        </w:tc>
        <w:tc>
          <w:tcPr>
            <w:tcW w:w="8674" w:type="dxa"/>
            <w:noWrap w:val="0"/>
            <w:vAlign w:val="center"/>
          </w:tcPr>
          <w:p w14:paraId="5D1D7807">
            <w:pPr>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1、大气环境</w:t>
            </w:r>
          </w:p>
          <w:p w14:paraId="1DF8C62E">
            <w:pPr>
              <w:spacing w:line="360" w:lineRule="auto"/>
              <w:ind w:firstLine="420" w:firstLineChars="200"/>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rPr>
              <w:t>项目周边500m范围内无大气环境保护目标</w:t>
            </w:r>
            <w:r>
              <w:rPr>
                <w:rFonts w:hint="default" w:ascii="Times New Roman" w:hAnsi="Times New Roman" w:eastAsia="宋体" w:cs="Times New Roman"/>
                <w:bCs/>
                <w:color w:val="auto"/>
                <w:szCs w:val="21"/>
                <w:lang w:eastAsia="zh-CN"/>
              </w:rPr>
              <w:t>。</w:t>
            </w:r>
          </w:p>
          <w:p w14:paraId="7E83DA15">
            <w:pPr>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2、声环境</w:t>
            </w:r>
          </w:p>
          <w:p w14:paraId="1EA4211C">
            <w:pPr>
              <w:spacing w:line="360" w:lineRule="auto"/>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项目周边50米范围内无声环境保护目标。</w:t>
            </w:r>
          </w:p>
          <w:p w14:paraId="084B1069">
            <w:pPr>
              <w:spacing w:line="360" w:lineRule="auto"/>
              <w:ind w:firstLine="422" w:firstLineChars="200"/>
              <w:rPr>
                <w:rFonts w:hint="default" w:ascii="Times New Roman" w:hAnsi="Times New Roman" w:cs="Times New Roman"/>
                <w:b/>
                <w:color w:val="auto"/>
                <w:sz w:val="21"/>
                <w:szCs w:val="21"/>
              </w:rPr>
            </w:pPr>
            <w:r>
              <w:rPr>
                <w:rFonts w:hint="eastAsia" w:ascii="Times New Roman" w:hAnsi="Times New Roman" w:cs="Times New Roman"/>
                <w:b/>
                <w:color w:val="auto"/>
                <w:sz w:val="21"/>
                <w:szCs w:val="21"/>
                <w:lang w:val="en-US" w:eastAsia="zh-CN"/>
              </w:rPr>
              <w:t>3</w:t>
            </w:r>
            <w:r>
              <w:rPr>
                <w:rFonts w:hint="default" w:ascii="Times New Roman" w:hAnsi="Times New Roman" w:cs="Times New Roman"/>
                <w:b/>
                <w:color w:val="auto"/>
                <w:sz w:val="21"/>
                <w:szCs w:val="21"/>
              </w:rPr>
              <w:t>、地下水环境</w:t>
            </w:r>
          </w:p>
          <w:p w14:paraId="480C5F73">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厂界外 500 米范围内无地下水集中式饮用水水源和热水、矿泉水、温泉等特殊地下水资源。</w:t>
            </w:r>
          </w:p>
          <w:p w14:paraId="3EE0A3D4">
            <w:pPr>
              <w:spacing w:line="360" w:lineRule="auto"/>
              <w:ind w:firstLine="422" w:firstLineChars="200"/>
              <w:rPr>
                <w:rFonts w:hint="default" w:ascii="Times New Roman" w:hAnsi="Times New Roman" w:cs="Times New Roman"/>
                <w:b/>
                <w:color w:val="auto"/>
                <w:sz w:val="21"/>
                <w:szCs w:val="21"/>
              </w:rPr>
            </w:pPr>
            <w:r>
              <w:rPr>
                <w:rFonts w:hint="eastAsia" w:ascii="Times New Roman" w:hAnsi="Times New Roman" w:cs="Times New Roman"/>
                <w:b/>
                <w:color w:val="auto"/>
                <w:sz w:val="21"/>
                <w:szCs w:val="21"/>
                <w:lang w:val="en-US" w:eastAsia="zh-CN"/>
              </w:rPr>
              <w:t>4</w:t>
            </w:r>
            <w:r>
              <w:rPr>
                <w:rFonts w:hint="default" w:ascii="Times New Roman" w:hAnsi="Times New Roman" w:cs="Times New Roman"/>
                <w:b/>
                <w:color w:val="auto"/>
                <w:sz w:val="21"/>
                <w:szCs w:val="21"/>
              </w:rPr>
              <w:t>、生态环境</w:t>
            </w:r>
          </w:p>
          <w:p w14:paraId="37AAD70C">
            <w:pPr>
              <w:adjustRightInd w:val="0"/>
              <w:snapToGrid w:val="0"/>
              <w:spacing w:line="360" w:lineRule="auto"/>
              <w:ind w:firstLine="420" w:firstLineChars="200"/>
              <w:jc w:val="left"/>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本项目用地范围内不含有生态环境保护目标，</w:t>
            </w:r>
            <w:r>
              <w:rPr>
                <w:rFonts w:hint="default" w:ascii="Times New Roman" w:hAnsi="Times New Roman" w:cs="Times New Roman"/>
                <w:color w:val="auto"/>
                <w:sz w:val="21"/>
                <w:szCs w:val="21"/>
                <w:lang w:val="en-US" w:eastAsia="zh-CN"/>
              </w:rPr>
              <w:t>因此不进行生态调查</w:t>
            </w:r>
            <w:r>
              <w:rPr>
                <w:rFonts w:hint="default" w:ascii="Times New Roman" w:hAnsi="Times New Roman" w:cs="Times New Roman"/>
                <w:color w:val="auto"/>
                <w:sz w:val="21"/>
                <w:szCs w:val="21"/>
              </w:rPr>
              <w:t>。</w:t>
            </w:r>
          </w:p>
        </w:tc>
      </w:tr>
      <w:tr w14:paraId="7E2DB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21" w:hRule="atLeast"/>
          <w:jc w:val="center"/>
        </w:trPr>
        <w:tc>
          <w:tcPr>
            <w:tcW w:w="424" w:type="dxa"/>
            <w:noWrap w:val="0"/>
            <w:tcMar>
              <w:left w:w="28" w:type="dxa"/>
              <w:right w:w="28" w:type="dxa"/>
            </w:tcMar>
            <w:vAlign w:val="center"/>
          </w:tcPr>
          <w:p w14:paraId="5C17D707">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w:t>
            </w:r>
          </w:p>
          <w:p w14:paraId="7C4D0103">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物排</w:t>
            </w:r>
          </w:p>
          <w:p w14:paraId="53FA74B2">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放控</w:t>
            </w:r>
          </w:p>
          <w:p w14:paraId="740D1A3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制标</w:t>
            </w:r>
          </w:p>
          <w:p w14:paraId="56F7F9D7">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准</w:t>
            </w:r>
          </w:p>
        </w:tc>
        <w:tc>
          <w:tcPr>
            <w:tcW w:w="8674" w:type="dxa"/>
            <w:noWrap w:val="0"/>
            <w:vAlign w:val="center"/>
          </w:tcPr>
          <w:p w14:paraId="16BF102C">
            <w:pPr>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1、废气排放标准</w:t>
            </w:r>
          </w:p>
          <w:p w14:paraId="24420353">
            <w:pPr>
              <w:spacing w:line="360" w:lineRule="auto"/>
              <w:ind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val="en-US" w:eastAsia="zh-CN"/>
              </w:rPr>
              <w:t>天然气燃烧产生的SO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、NOx、颗粒物执行《工业炉窑大气污染物排放标准》（DB32/3728—2020）中表1相关标准限值</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工业炉窑无组织排放总悬浮颗粒物排放</w:t>
            </w:r>
            <w:r>
              <w:rPr>
                <w:rFonts w:hint="eastAsia" w:ascii="Times New Roman" w:hAnsi="Times New Roman" w:eastAsia="宋体" w:cs="Times New Roman"/>
                <w:color w:val="auto"/>
                <w:sz w:val="21"/>
                <w:szCs w:val="21"/>
                <w:lang w:val="en-US" w:eastAsia="zh-CN"/>
              </w:rPr>
              <w:t>浓度执行</w:t>
            </w:r>
            <w:r>
              <w:rPr>
                <w:rFonts w:hint="default" w:ascii="Times New Roman" w:hAnsi="Times New Roman" w:eastAsia="宋体" w:cs="Times New Roman"/>
                <w:color w:val="auto"/>
                <w:sz w:val="21"/>
                <w:szCs w:val="21"/>
                <w:lang w:val="en-US" w:eastAsia="zh-CN"/>
              </w:rPr>
              <w:t>《工业炉窑大气污染物排放标准》（DB32/3728—2020）中表</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相关标准限值</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下料、</w:t>
            </w:r>
            <w:r>
              <w:rPr>
                <w:rFonts w:hint="eastAsia" w:ascii="Times New Roman" w:hAnsi="Times New Roman" w:eastAsia="宋体" w:cs="Times New Roman"/>
                <w:color w:val="auto"/>
                <w:sz w:val="21"/>
                <w:szCs w:val="21"/>
                <w:lang w:val="en-US" w:eastAsia="zh-CN"/>
              </w:rPr>
              <w:t>机加工产生的无组织非甲烷总烃执行</w:t>
            </w:r>
            <w:r>
              <w:rPr>
                <w:rFonts w:hint="eastAsia" w:ascii="Times New Roman" w:hAnsi="Times New Roman" w:eastAsia="宋体" w:cs="Times New Roman"/>
                <w:color w:val="auto"/>
                <w:sz w:val="21"/>
                <w:szCs w:val="21"/>
              </w:rPr>
              <w:t>《大气污染物综合排放标准》（DB32/4041-2021）表3标准限值</w:t>
            </w:r>
            <w:r>
              <w:rPr>
                <w:rFonts w:hint="default" w:ascii="Times New Roman" w:hAnsi="Times New Roman" w:eastAsia="宋体" w:cs="Times New Roman"/>
                <w:color w:val="auto"/>
                <w:sz w:val="21"/>
                <w:szCs w:val="21"/>
              </w:rPr>
              <w:t>。厂区</w:t>
            </w:r>
            <w:r>
              <w:rPr>
                <w:rFonts w:hint="eastAsia" w:ascii="Times New Roman" w:hAnsi="Times New Roman" w:eastAsia="宋体" w:cs="Times New Roman"/>
                <w:color w:val="auto"/>
                <w:sz w:val="21"/>
                <w:szCs w:val="21"/>
                <w:lang w:eastAsia="zh-CN"/>
              </w:rPr>
              <w:t>内</w:t>
            </w:r>
            <w:r>
              <w:rPr>
                <w:rFonts w:hint="default" w:ascii="Times New Roman" w:hAnsi="Times New Roman" w:eastAsia="宋体" w:cs="Times New Roman"/>
                <w:color w:val="auto"/>
                <w:sz w:val="21"/>
                <w:szCs w:val="21"/>
              </w:rPr>
              <w:t>无组织非甲烷总烃执行《大气污染物综合排放标准》（DB32/4041-2021）表2标准限值。</w:t>
            </w:r>
          </w:p>
          <w:p w14:paraId="74A9A1EE">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w:t>
            </w:r>
            <w:r>
              <w:rPr>
                <w:rFonts w:hint="eastAsia" w:ascii="Times New Roman" w:hAnsi="Times New Roman" w:cs="Times New Roman"/>
                <w:b/>
                <w:color w:val="auto"/>
                <w:sz w:val="21"/>
                <w:szCs w:val="21"/>
                <w:lang w:val="en-US" w:eastAsia="zh-CN"/>
              </w:rPr>
              <w:t>3</w:t>
            </w:r>
            <w:r>
              <w:rPr>
                <w:rFonts w:hint="default" w:ascii="Times New Roman" w:hAnsi="Times New Roman" w:cs="Times New Roman"/>
                <w:b/>
                <w:color w:val="auto"/>
                <w:sz w:val="21"/>
                <w:szCs w:val="21"/>
              </w:rPr>
              <w:t>工业炉窑大气污染物排放标准</w:t>
            </w:r>
          </w:p>
          <w:tbl>
            <w:tblPr>
              <w:tblStyle w:val="42"/>
              <w:tblW w:w="8458" w:type="dxa"/>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19"/>
              <w:gridCol w:w="2819"/>
              <w:gridCol w:w="2820"/>
            </w:tblGrid>
            <w:tr w14:paraId="7549D8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819" w:type="dxa"/>
                  <w:tcBorders>
                    <w:tl2br w:val="nil"/>
                    <w:tr2bl w:val="nil"/>
                  </w:tcBorders>
                  <w:vAlign w:val="center"/>
                </w:tcPr>
                <w:p w14:paraId="3E58C4B5">
                  <w:pPr>
                    <w:jc w:val="center"/>
                    <w:rPr>
                      <w:rFonts w:hint="default" w:ascii="Times New Roman" w:hAnsi="Times New Roman" w:cs="Times New Roman"/>
                      <w:b/>
                      <w:color w:val="auto"/>
                      <w:sz w:val="21"/>
                      <w:szCs w:val="21"/>
                      <w:vertAlign w:val="baseline"/>
                    </w:rPr>
                  </w:pPr>
                  <w:r>
                    <w:rPr>
                      <w:rFonts w:hint="default" w:ascii="Times New Roman" w:hAnsi="Times New Roman" w:cs="Times New Roman"/>
                      <w:b/>
                      <w:color w:val="auto"/>
                      <w:sz w:val="21"/>
                      <w:szCs w:val="21"/>
                    </w:rPr>
                    <w:t>污染物</w:t>
                  </w:r>
                </w:p>
              </w:tc>
              <w:tc>
                <w:tcPr>
                  <w:tcW w:w="2819" w:type="dxa"/>
                  <w:tcBorders>
                    <w:tl2br w:val="nil"/>
                    <w:tr2bl w:val="nil"/>
                  </w:tcBorders>
                  <w:vAlign w:val="center"/>
                </w:tcPr>
                <w:p w14:paraId="3A195387">
                  <w:pPr>
                    <w:jc w:val="center"/>
                    <w:rPr>
                      <w:rFonts w:hint="eastAsia" w:ascii="Times New Roman" w:hAnsi="Times New Roman" w:eastAsia="宋体" w:cs="Times New Roman"/>
                      <w:b/>
                      <w:color w:val="auto"/>
                      <w:sz w:val="21"/>
                      <w:szCs w:val="21"/>
                      <w:vertAlign w:val="baseline"/>
                      <w:lang w:eastAsia="zh-CN"/>
                    </w:rPr>
                  </w:pPr>
                  <w:r>
                    <w:rPr>
                      <w:rFonts w:hint="eastAsia" w:ascii="Times New Roman" w:hAnsi="Times New Roman" w:cs="Times New Roman"/>
                      <w:b/>
                      <w:color w:val="auto"/>
                      <w:sz w:val="21"/>
                      <w:szCs w:val="21"/>
                      <w:vertAlign w:val="baseline"/>
                      <w:lang w:eastAsia="zh-CN"/>
                    </w:rPr>
                    <w:t>排放浓度限值</w:t>
                  </w:r>
                </w:p>
              </w:tc>
              <w:tc>
                <w:tcPr>
                  <w:tcW w:w="2820" w:type="dxa"/>
                  <w:tcBorders>
                    <w:tl2br w:val="nil"/>
                    <w:tr2bl w:val="nil"/>
                  </w:tcBorders>
                  <w:vAlign w:val="center"/>
                </w:tcPr>
                <w:p w14:paraId="0BDC29B8">
                  <w:pPr>
                    <w:jc w:val="center"/>
                    <w:rPr>
                      <w:rFonts w:hint="default" w:ascii="Times New Roman" w:hAnsi="Times New Roman" w:cs="Times New Roman"/>
                      <w:b/>
                      <w:color w:val="auto"/>
                      <w:sz w:val="21"/>
                      <w:szCs w:val="21"/>
                      <w:vertAlign w:val="baseline"/>
                    </w:rPr>
                  </w:pPr>
                  <w:r>
                    <w:rPr>
                      <w:rFonts w:hint="default" w:ascii="Times New Roman" w:hAnsi="Times New Roman" w:cs="Times New Roman"/>
                      <w:b/>
                      <w:color w:val="auto"/>
                      <w:sz w:val="21"/>
                      <w:szCs w:val="21"/>
                    </w:rPr>
                    <w:t>污染物排放控制位置</w:t>
                  </w:r>
                </w:p>
              </w:tc>
            </w:tr>
            <w:tr w14:paraId="31496E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819" w:type="dxa"/>
                  <w:tcBorders>
                    <w:tl2br w:val="nil"/>
                    <w:tr2bl w:val="nil"/>
                  </w:tcBorders>
                  <w:vAlign w:val="center"/>
                </w:tcPr>
                <w:p w14:paraId="65C784E3">
                  <w:pPr>
                    <w:tabs>
                      <w:tab w:val="left" w:pos="5142"/>
                    </w:tabs>
                    <w:snapToGrid w:val="0"/>
                    <w:jc w:val="center"/>
                    <w:rPr>
                      <w:rFonts w:hint="default" w:ascii="Times New Roman" w:hAnsi="Times New Roman" w:cs="Times New Roman"/>
                      <w:b/>
                      <w:color w:val="auto"/>
                      <w:sz w:val="21"/>
                      <w:szCs w:val="21"/>
                      <w:vertAlign w:val="baseline"/>
                    </w:rPr>
                  </w:pPr>
                  <w:r>
                    <w:rPr>
                      <w:rFonts w:hint="default" w:ascii="Times New Roman" w:hAnsi="Times New Roman" w:cs="Times New Roman"/>
                      <w:color w:val="auto"/>
                      <w:sz w:val="21"/>
                      <w:szCs w:val="21"/>
                      <w:lang w:eastAsia="zh-CN"/>
                    </w:rPr>
                    <w:t>颗粒物</w:t>
                  </w:r>
                </w:p>
              </w:tc>
              <w:tc>
                <w:tcPr>
                  <w:tcW w:w="2819" w:type="dxa"/>
                  <w:tcBorders>
                    <w:tl2br w:val="nil"/>
                    <w:tr2bl w:val="nil"/>
                  </w:tcBorders>
                  <w:vAlign w:val="center"/>
                </w:tcPr>
                <w:p w14:paraId="26CD3505">
                  <w:pPr>
                    <w:jc w:val="center"/>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lang w:val="en-US" w:eastAsia="zh-CN"/>
                    </w:rPr>
                    <w:t>20</w:t>
                  </w:r>
                  <w:r>
                    <w:rPr>
                      <w:rFonts w:hint="default" w:ascii="Times New Roman" w:hAnsi="Times New Roman" w:cs="Times New Roman"/>
                      <w:b w:val="0"/>
                      <w:bCs w:val="0"/>
                      <w:color w:val="auto"/>
                      <w:sz w:val="21"/>
                      <w:szCs w:val="21"/>
                    </w:rPr>
                    <w:t>mg/m</w:t>
                  </w:r>
                  <w:r>
                    <w:rPr>
                      <w:rFonts w:hint="default" w:ascii="Times New Roman" w:hAnsi="Times New Roman" w:cs="Times New Roman"/>
                      <w:b w:val="0"/>
                      <w:bCs w:val="0"/>
                      <w:color w:val="auto"/>
                      <w:sz w:val="21"/>
                      <w:szCs w:val="21"/>
                      <w:vertAlign w:val="superscript"/>
                    </w:rPr>
                    <w:t>3</w:t>
                  </w:r>
                </w:p>
              </w:tc>
              <w:tc>
                <w:tcPr>
                  <w:tcW w:w="2820" w:type="dxa"/>
                  <w:vMerge w:val="restart"/>
                  <w:tcBorders>
                    <w:tl2br w:val="nil"/>
                    <w:tr2bl w:val="nil"/>
                  </w:tcBorders>
                  <w:vAlign w:val="center"/>
                </w:tcPr>
                <w:p w14:paraId="2651F2A9">
                  <w:pPr>
                    <w:jc w:val="center"/>
                    <w:rPr>
                      <w:rFonts w:hint="default" w:ascii="Times New Roman" w:hAnsi="Times New Roman" w:cs="Times New Roman"/>
                      <w:b/>
                      <w:color w:val="auto"/>
                      <w:sz w:val="21"/>
                      <w:szCs w:val="21"/>
                      <w:vertAlign w:val="baseline"/>
                    </w:rPr>
                  </w:pPr>
                  <w:r>
                    <w:rPr>
                      <w:color w:val="auto"/>
                    </w:rPr>
                    <w:t>车间或生产设施排气筒</w:t>
                  </w:r>
                </w:p>
              </w:tc>
            </w:tr>
            <w:tr w14:paraId="0E5B7A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819" w:type="dxa"/>
                  <w:tcBorders>
                    <w:tl2br w:val="nil"/>
                    <w:tr2bl w:val="nil"/>
                  </w:tcBorders>
                  <w:vAlign w:val="center"/>
                </w:tcPr>
                <w:p w14:paraId="43857799">
                  <w:pPr>
                    <w:tabs>
                      <w:tab w:val="left" w:pos="5142"/>
                    </w:tabs>
                    <w:snapToGrid w:val="0"/>
                    <w:jc w:val="center"/>
                    <w:rPr>
                      <w:rFonts w:hint="default" w:ascii="Times New Roman" w:hAnsi="Times New Roman" w:cs="Times New Roman"/>
                      <w:b/>
                      <w:color w:val="auto"/>
                      <w:sz w:val="21"/>
                      <w:szCs w:val="21"/>
                      <w:vertAlign w:val="baseline"/>
                    </w:rPr>
                  </w:pPr>
                  <w:r>
                    <w:rPr>
                      <w:rFonts w:hint="default" w:ascii="Times New Roman" w:hAnsi="Times New Roman" w:cs="Times New Roman" w:eastAsiaTheme="minorEastAsia"/>
                      <w:color w:val="auto"/>
                      <w:sz w:val="21"/>
                      <w:szCs w:val="21"/>
                      <w:lang w:val="en-US" w:eastAsia="zh-CN"/>
                    </w:rPr>
                    <w:t>SO</w:t>
                  </w:r>
                  <w:r>
                    <w:rPr>
                      <w:rFonts w:hint="default" w:ascii="Times New Roman" w:hAnsi="Times New Roman" w:cs="Times New Roman" w:eastAsiaTheme="minorEastAsia"/>
                      <w:color w:val="auto"/>
                      <w:sz w:val="21"/>
                      <w:szCs w:val="21"/>
                      <w:vertAlign w:val="subscript"/>
                      <w:lang w:val="en-US" w:eastAsia="zh-CN"/>
                    </w:rPr>
                    <w:t>2</w:t>
                  </w:r>
                </w:p>
              </w:tc>
              <w:tc>
                <w:tcPr>
                  <w:tcW w:w="2819" w:type="dxa"/>
                  <w:tcBorders>
                    <w:tl2br w:val="nil"/>
                    <w:tr2bl w:val="nil"/>
                  </w:tcBorders>
                  <w:vAlign w:val="center"/>
                </w:tcPr>
                <w:p w14:paraId="1E83B2B1">
                  <w:pPr>
                    <w:jc w:val="center"/>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lang w:val="en-US" w:eastAsia="zh-CN"/>
                    </w:rPr>
                    <w:t>80</w:t>
                  </w:r>
                  <w:r>
                    <w:rPr>
                      <w:rFonts w:hint="default" w:ascii="Times New Roman" w:hAnsi="Times New Roman" w:cs="Times New Roman"/>
                      <w:b w:val="0"/>
                      <w:bCs w:val="0"/>
                      <w:color w:val="auto"/>
                      <w:sz w:val="21"/>
                      <w:szCs w:val="21"/>
                    </w:rPr>
                    <w:t>mg/m</w:t>
                  </w:r>
                  <w:r>
                    <w:rPr>
                      <w:rFonts w:hint="default" w:ascii="Times New Roman" w:hAnsi="Times New Roman" w:cs="Times New Roman"/>
                      <w:b w:val="0"/>
                      <w:bCs w:val="0"/>
                      <w:color w:val="auto"/>
                      <w:sz w:val="21"/>
                      <w:szCs w:val="21"/>
                      <w:vertAlign w:val="superscript"/>
                    </w:rPr>
                    <w:t>3</w:t>
                  </w:r>
                </w:p>
              </w:tc>
              <w:tc>
                <w:tcPr>
                  <w:tcW w:w="2820" w:type="dxa"/>
                  <w:vMerge w:val="continue"/>
                  <w:tcBorders>
                    <w:tl2br w:val="nil"/>
                    <w:tr2bl w:val="nil"/>
                  </w:tcBorders>
                  <w:vAlign w:val="center"/>
                </w:tcPr>
                <w:p w14:paraId="55929D90">
                  <w:pPr>
                    <w:jc w:val="center"/>
                    <w:rPr>
                      <w:rFonts w:hint="default" w:ascii="Times New Roman" w:hAnsi="Times New Roman" w:cs="Times New Roman"/>
                      <w:b/>
                      <w:color w:val="auto"/>
                      <w:sz w:val="21"/>
                      <w:szCs w:val="21"/>
                      <w:vertAlign w:val="baseline"/>
                    </w:rPr>
                  </w:pPr>
                </w:p>
              </w:tc>
            </w:tr>
            <w:tr w14:paraId="26B5A7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819" w:type="dxa"/>
                  <w:tcBorders>
                    <w:tl2br w:val="nil"/>
                    <w:tr2bl w:val="nil"/>
                  </w:tcBorders>
                  <w:vAlign w:val="center"/>
                </w:tcPr>
                <w:p w14:paraId="777BE132">
                  <w:pPr>
                    <w:tabs>
                      <w:tab w:val="left" w:pos="5142"/>
                    </w:tabs>
                    <w:snapToGrid w:val="0"/>
                    <w:jc w:val="center"/>
                    <w:rPr>
                      <w:rFonts w:hint="default" w:ascii="Times New Roman" w:hAnsi="Times New Roman" w:cs="Times New Roman"/>
                      <w:b/>
                      <w:color w:val="auto"/>
                      <w:sz w:val="21"/>
                      <w:szCs w:val="21"/>
                      <w:vertAlign w:val="baseline"/>
                    </w:rPr>
                  </w:pPr>
                  <w:r>
                    <w:rPr>
                      <w:rFonts w:hint="default" w:ascii="Times New Roman" w:hAnsi="Times New Roman" w:cs="Times New Roman" w:eastAsiaTheme="minorEastAsia"/>
                      <w:color w:val="auto"/>
                      <w:sz w:val="21"/>
                      <w:szCs w:val="21"/>
                      <w:vertAlign w:val="baseline"/>
                      <w:lang w:val="en-US" w:eastAsia="zh-CN"/>
                    </w:rPr>
                    <w:t>NOx</w:t>
                  </w:r>
                </w:p>
              </w:tc>
              <w:tc>
                <w:tcPr>
                  <w:tcW w:w="2819" w:type="dxa"/>
                  <w:tcBorders>
                    <w:tl2br w:val="nil"/>
                    <w:tr2bl w:val="nil"/>
                  </w:tcBorders>
                  <w:vAlign w:val="center"/>
                </w:tcPr>
                <w:p w14:paraId="4E7422B3">
                  <w:pPr>
                    <w:jc w:val="center"/>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lang w:val="en-US" w:eastAsia="zh-CN"/>
                    </w:rPr>
                    <w:t>180</w:t>
                  </w:r>
                  <w:r>
                    <w:rPr>
                      <w:rFonts w:hint="default" w:ascii="Times New Roman" w:hAnsi="Times New Roman" w:cs="Times New Roman"/>
                      <w:b w:val="0"/>
                      <w:bCs w:val="0"/>
                      <w:color w:val="auto"/>
                      <w:sz w:val="21"/>
                      <w:szCs w:val="21"/>
                    </w:rPr>
                    <w:t>mg/m</w:t>
                  </w:r>
                  <w:r>
                    <w:rPr>
                      <w:rFonts w:hint="default" w:ascii="Times New Roman" w:hAnsi="Times New Roman" w:cs="Times New Roman"/>
                      <w:b w:val="0"/>
                      <w:bCs w:val="0"/>
                      <w:color w:val="auto"/>
                      <w:sz w:val="21"/>
                      <w:szCs w:val="21"/>
                      <w:vertAlign w:val="superscript"/>
                    </w:rPr>
                    <w:t>3</w:t>
                  </w:r>
                </w:p>
              </w:tc>
              <w:tc>
                <w:tcPr>
                  <w:tcW w:w="2820" w:type="dxa"/>
                  <w:vMerge w:val="continue"/>
                  <w:tcBorders>
                    <w:tl2br w:val="nil"/>
                    <w:tr2bl w:val="nil"/>
                  </w:tcBorders>
                  <w:vAlign w:val="center"/>
                </w:tcPr>
                <w:p w14:paraId="2EA00318">
                  <w:pPr>
                    <w:jc w:val="center"/>
                    <w:rPr>
                      <w:rFonts w:hint="default" w:ascii="Times New Roman" w:hAnsi="Times New Roman" w:cs="Times New Roman"/>
                      <w:b/>
                      <w:color w:val="auto"/>
                      <w:sz w:val="21"/>
                      <w:szCs w:val="21"/>
                      <w:vertAlign w:val="baseline"/>
                    </w:rPr>
                  </w:pPr>
                </w:p>
              </w:tc>
            </w:tr>
            <w:tr w14:paraId="73B385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2819" w:type="dxa"/>
                  <w:tcBorders>
                    <w:tl2br w:val="nil"/>
                    <w:tr2bl w:val="nil"/>
                  </w:tcBorders>
                  <w:vAlign w:val="center"/>
                </w:tcPr>
                <w:p w14:paraId="49950130">
                  <w:pPr>
                    <w:tabs>
                      <w:tab w:val="left" w:pos="5142"/>
                    </w:tabs>
                    <w:snapToGrid w:val="0"/>
                    <w:jc w:val="center"/>
                    <w:rPr>
                      <w:rFonts w:hint="default" w:ascii="Times New Roman" w:hAnsi="Times New Roman" w:cs="Times New Roman"/>
                      <w:b/>
                      <w:color w:val="auto"/>
                      <w:sz w:val="21"/>
                      <w:szCs w:val="21"/>
                      <w:vertAlign w:val="baseline"/>
                    </w:rPr>
                  </w:pPr>
                  <w:r>
                    <w:rPr>
                      <w:rFonts w:hint="default" w:ascii="Times New Roman" w:hAnsi="Times New Roman" w:cs="Times New Roman" w:eastAsiaTheme="minorEastAsia"/>
                      <w:color w:val="auto"/>
                      <w:sz w:val="21"/>
                      <w:szCs w:val="21"/>
                      <w:vertAlign w:val="baseline"/>
                      <w:lang w:val="en-US" w:eastAsia="zh-CN"/>
                    </w:rPr>
                    <w:t>林格曼黑度</w:t>
                  </w:r>
                </w:p>
              </w:tc>
              <w:tc>
                <w:tcPr>
                  <w:tcW w:w="2819" w:type="dxa"/>
                  <w:tcBorders>
                    <w:tl2br w:val="nil"/>
                    <w:tr2bl w:val="nil"/>
                  </w:tcBorders>
                  <w:vAlign w:val="center"/>
                </w:tcPr>
                <w:p w14:paraId="15D17D24">
                  <w:pPr>
                    <w:jc w:val="center"/>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lang w:val="en-US" w:eastAsia="zh-CN"/>
                    </w:rPr>
                    <w:t>1级</w:t>
                  </w:r>
                </w:p>
              </w:tc>
              <w:tc>
                <w:tcPr>
                  <w:tcW w:w="2820" w:type="dxa"/>
                  <w:vMerge w:val="continue"/>
                  <w:tcBorders>
                    <w:tl2br w:val="nil"/>
                    <w:tr2bl w:val="nil"/>
                  </w:tcBorders>
                  <w:vAlign w:val="center"/>
                </w:tcPr>
                <w:p w14:paraId="65687F47">
                  <w:pPr>
                    <w:jc w:val="center"/>
                    <w:rPr>
                      <w:rFonts w:hint="default" w:ascii="Times New Roman" w:hAnsi="Times New Roman" w:cs="Times New Roman"/>
                      <w:b/>
                      <w:color w:val="auto"/>
                      <w:sz w:val="21"/>
                      <w:szCs w:val="21"/>
                      <w:vertAlign w:val="baseline"/>
                    </w:rPr>
                  </w:pPr>
                </w:p>
              </w:tc>
            </w:tr>
          </w:tbl>
          <w:p w14:paraId="2FDF926C">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表3-4 大气污染物综合排放标准</w:t>
            </w:r>
          </w:p>
          <w:tbl>
            <w:tblPr>
              <w:tblStyle w:val="41"/>
              <w:tblW w:w="445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365"/>
              <w:gridCol w:w="1350"/>
              <w:gridCol w:w="1125"/>
              <w:gridCol w:w="1170"/>
              <w:gridCol w:w="1170"/>
            </w:tblGrid>
            <w:tr w14:paraId="63C181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97" w:type="pct"/>
                  <w:noWrap w:val="0"/>
                  <w:tcMar>
                    <w:left w:w="0" w:type="dxa"/>
                    <w:right w:w="0" w:type="dxa"/>
                  </w:tcMar>
                  <w:vAlign w:val="center"/>
                </w:tcPr>
                <w:p w14:paraId="2E976A29">
                  <w:pPr>
                    <w:tabs>
                      <w:tab w:val="left" w:pos="5142"/>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w:t>
                  </w:r>
                </w:p>
              </w:tc>
              <w:tc>
                <w:tcPr>
                  <w:tcW w:w="906" w:type="pct"/>
                  <w:noWrap w:val="0"/>
                  <w:tcMar>
                    <w:left w:w="0" w:type="dxa"/>
                    <w:right w:w="0" w:type="dxa"/>
                  </w:tcMar>
                  <w:vAlign w:val="center"/>
                </w:tcPr>
                <w:p w14:paraId="1FB3EB65">
                  <w:pPr>
                    <w:tabs>
                      <w:tab w:val="left" w:pos="5142"/>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最高允许排放浓度(mg/m</w:t>
                  </w:r>
                  <w:r>
                    <w:rPr>
                      <w:rFonts w:hint="default" w:ascii="Times New Roman" w:hAnsi="Times New Roman" w:cs="Times New Roman"/>
                      <w:b/>
                      <w:color w:val="auto"/>
                      <w:sz w:val="21"/>
                      <w:szCs w:val="21"/>
                      <w:vertAlign w:val="superscript"/>
                    </w:rPr>
                    <w:t>3</w:t>
                  </w:r>
                  <w:r>
                    <w:rPr>
                      <w:rFonts w:hint="default" w:ascii="Times New Roman" w:hAnsi="Times New Roman" w:cs="Times New Roman"/>
                      <w:b/>
                      <w:color w:val="auto"/>
                      <w:sz w:val="21"/>
                      <w:szCs w:val="21"/>
                    </w:rPr>
                    <w:t>)</w:t>
                  </w:r>
                </w:p>
              </w:tc>
              <w:tc>
                <w:tcPr>
                  <w:tcW w:w="896" w:type="pct"/>
                  <w:noWrap w:val="0"/>
                  <w:tcMar>
                    <w:left w:w="0" w:type="dxa"/>
                    <w:right w:w="0" w:type="dxa"/>
                  </w:tcMar>
                  <w:vAlign w:val="center"/>
                </w:tcPr>
                <w:p w14:paraId="5D43941C">
                  <w:pPr>
                    <w:tabs>
                      <w:tab w:val="left" w:pos="5142"/>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最高允许排放速率（kg/h）</w:t>
                  </w:r>
                </w:p>
              </w:tc>
              <w:tc>
                <w:tcPr>
                  <w:tcW w:w="746" w:type="pct"/>
                  <w:noWrap w:val="0"/>
                  <w:tcMar>
                    <w:left w:w="0" w:type="dxa"/>
                    <w:right w:w="0" w:type="dxa"/>
                  </w:tcMar>
                  <w:vAlign w:val="center"/>
                </w:tcPr>
                <w:p w14:paraId="6C376F3E">
                  <w:pPr>
                    <w:tabs>
                      <w:tab w:val="left" w:pos="5142"/>
                    </w:tabs>
                    <w:snapToGrid w:val="0"/>
                    <w:jc w:val="center"/>
                    <w:rPr>
                      <w:rFonts w:hint="eastAsia" w:ascii="Times New Roman" w:hAnsi="Times New Roman" w:eastAsia="宋体" w:cs="Times New Roman"/>
                      <w:b/>
                      <w:color w:val="auto"/>
                      <w:sz w:val="21"/>
                      <w:szCs w:val="21"/>
                      <w:lang w:eastAsia="zh-CN"/>
                    </w:rPr>
                  </w:pPr>
                  <w:r>
                    <w:rPr>
                      <w:rFonts w:hint="eastAsia" w:ascii="Times New Roman" w:hAnsi="Times New Roman" w:cs="Times New Roman"/>
                      <w:b/>
                      <w:color w:val="auto"/>
                      <w:sz w:val="21"/>
                      <w:szCs w:val="21"/>
                      <w:lang w:eastAsia="zh-CN"/>
                    </w:rPr>
                    <w:t>无组织排放监控浓度限值</w:t>
                  </w:r>
                  <w:r>
                    <w:rPr>
                      <w:rFonts w:hint="default" w:ascii="Times New Roman" w:hAnsi="Times New Roman" w:cs="Times New Roman"/>
                      <w:b/>
                      <w:bCs/>
                      <w:color w:val="auto"/>
                      <w:sz w:val="21"/>
                      <w:szCs w:val="21"/>
                    </w:rPr>
                    <w:t>（mg/m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776" w:type="pct"/>
                  <w:noWrap w:val="0"/>
                  <w:tcMar>
                    <w:left w:w="0" w:type="dxa"/>
                    <w:right w:w="0" w:type="dxa"/>
                  </w:tcMar>
                  <w:vAlign w:val="center"/>
                </w:tcPr>
                <w:p w14:paraId="211D2FA7">
                  <w:pPr>
                    <w:tabs>
                      <w:tab w:val="left" w:pos="5142"/>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污染物排放控制位置</w:t>
                  </w:r>
                </w:p>
              </w:tc>
              <w:tc>
                <w:tcPr>
                  <w:tcW w:w="776" w:type="pct"/>
                  <w:noWrap w:val="0"/>
                  <w:tcMar>
                    <w:left w:w="0" w:type="dxa"/>
                    <w:right w:w="0" w:type="dxa"/>
                  </w:tcMar>
                  <w:vAlign w:val="center"/>
                </w:tcPr>
                <w:p w14:paraId="76B64413">
                  <w:pPr>
                    <w:tabs>
                      <w:tab w:val="left" w:pos="5142"/>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标准来源</w:t>
                  </w:r>
                </w:p>
              </w:tc>
            </w:tr>
            <w:tr w14:paraId="6078B7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97" w:type="pct"/>
                  <w:noWrap w:val="0"/>
                  <w:tcMar>
                    <w:left w:w="0" w:type="dxa"/>
                    <w:right w:w="0" w:type="dxa"/>
                  </w:tcMar>
                  <w:vAlign w:val="center"/>
                </w:tcPr>
                <w:p w14:paraId="35F55E4B">
                  <w:pPr>
                    <w:tabs>
                      <w:tab w:val="left" w:pos="5142"/>
                    </w:tabs>
                    <w:snapToGrid w:val="0"/>
                    <w:jc w:val="center"/>
                    <w:rPr>
                      <w:rFonts w:hint="default" w:ascii="Times New Roman" w:hAnsi="Times New Roman" w:cs="Times New Roman"/>
                      <w:color w:val="auto"/>
                      <w:sz w:val="21"/>
                      <w:szCs w:val="21"/>
                      <w:lang w:eastAsia="zh-CN"/>
                    </w:rPr>
                  </w:pPr>
                  <w:r>
                    <w:rPr>
                      <w:rFonts w:hint="eastAsia" w:ascii="Times New Roman" w:hAnsi="Times New Roman" w:cs="Times New Roman" w:eastAsiaTheme="minorEastAsia"/>
                      <w:color w:val="auto"/>
                      <w:sz w:val="21"/>
                      <w:szCs w:val="21"/>
                      <w:vertAlign w:val="baseline"/>
                      <w:lang w:val="en-US" w:eastAsia="zh-CN"/>
                    </w:rPr>
                    <w:t>非甲烷总烃</w:t>
                  </w:r>
                </w:p>
              </w:tc>
              <w:tc>
                <w:tcPr>
                  <w:tcW w:w="906" w:type="pct"/>
                  <w:noWrap w:val="0"/>
                  <w:tcMar>
                    <w:left w:w="0" w:type="dxa"/>
                    <w:right w:w="0" w:type="dxa"/>
                  </w:tcMar>
                  <w:vAlign w:val="center"/>
                </w:tcPr>
                <w:p w14:paraId="73858103">
                  <w:pPr>
                    <w:pStyle w:val="39"/>
                    <w:adjustRightInd w:val="0"/>
                    <w:snapToGrid w:val="0"/>
                    <w:spacing w:after="0"/>
                    <w:ind w:right="0" w:rightChars="0" w:firstLine="210" w:firstLineChars="10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896" w:type="pct"/>
                  <w:noWrap w:val="0"/>
                  <w:tcMar>
                    <w:left w:w="0" w:type="dxa"/>
                    <w:right w:w="0" w:type="dxa"/>
                  </w:tcMar>
                  <w:vAlign w:val="center"/>
                </w:tcPr>
                <w:p w14:paraId="59B9571E">
                  <w:pPr>
                    <w:pStyle w:val="174"/>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746" w:type="pct"/>
                  <w:noWrap w:val="0"/>
                  <w:tcMar>
                    <w:left w:w="0" w:type="dxa"/>
                    <w:right w:w="0" w:type="dxa"/>
                  </w:tcMar>
                  <w:vAlign w:val="center"/>
                </w:tcPr>
                <w:p w14:paraId="64EFF1EC">
                  <w:pPr>
                    <w:pStyle w:val="174"/>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776" w:type="pct"/>
                  <w:noWrap w:val="0"/>
                  <w:tcMar>
                    <w:left w:w="0" w:type="dxa"/>
                    <w:right w:w="0" w:type="dxa"/>
                  </w:tcMar>
                  <w:vAlign w:val="center"/>
                </w:tcPr>
                <w:p w14:paraId="694C04EB">
                  <w:pPr>
                    <w:tabs>
                      <w:tab w:val="left" w:pos="5142"/>
                    </w:tabs>
                    <w:snapToGrid w:val="0"/>
                    <w:jc w:val="center"/>
                    <w:rPr>
                      <w:rFonts w:hint="default" w:ascii="Times New Roman" w:hAnsi="Times New Roman" w:cs="Times New Roman"/>
                      <w:color w:val="auto"/>
                      <w:kern w:val="0"/>
                      <w:sz w:val="21"/>
                      <w:szCs w:val="21"/>
                    </w:rPr>
                  </w:pPr>
                  <w:r>
                    <w:rPr>
                      <w:rFonts w:hint="eastAsia"/>
                      <w:color w:val="auto"/>
                    </w:rPr>
                    <w:t>边界外浓度最高点</w:t>
                  </w:r>
                </w:p>
              </w:tc>
              <w:tc>
                <w:tcPr>
                  <w:tcW w:w="776" w:type="pct"/>
                  <w:noWrap w:val="0"/>
                  <w:tcMar>
                    <w:left w:w="0" w:type="dxa"/>
                    <w:right w:w="0" w:type="dxa"/>
                  </w:tcMar>
                  <w:vAlign w:val="center"/>
                </w:tcPr>
                <w:p w14:paraId="7DF34131">
                  <w:pPr>
                    <w:tabs>
                      <w:tab w:val="left" w:pos="5142"/>
                    </w:tabs>
                    <w:snapToGrid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eastAsia="宋体" w:cs="Times New Roman"/>
                      <w:color w:val="auto"/>
                      <w:sz w:val="21"/>
                      <w:szCs w:val="21"/>
                    </w:rPr>
                    <w:t>《大气污染物综合排放标准》（DB32/4041-2021）</w:t>
                  </w:r>
                </w:p>
              </w:tc>
            </w:tr>
          </w:tbl>
          <w:p w14:paraId="6541693A">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rPr>
              <w:t>3-</w:t>
            </w:r>
            <w:r>
              <w:rPr>
                <w:rFonts w:hint="eastAsia" w:ascii="Times New Roman" w:hAnsi="Times New Roman" w:eastAsia="宋体" w:cs="Times New Roman"/>
                <w:b/>
                <w:color w:val="auto"/>
                <w:sz w:val="21"/>
                <w:szCs w:val="21"/>
                <w:lang w:val="en-US" w:eastAsia="zh-CN"/>
              </w:rPr>
              <w:t>5</w:t>
            </w:r>
            <w:r>
              <w:rPr>
                <w:rFonts w:hint="eastAsia" w:ascii="Times New Roman" w:hAnsi="Times New Roman" w:eastAsia="宋体" w:cs="Times New Roman"/>
                <w:b/>
                <w:color w:val="auto"/>
                <w:sz w:val="21"/>
                <w:szCs w:val="21"/>
              </w:rPr>
              <w:t xml:space="preserve">  </w:t>
            </w:r>
            <w:r>
              <w:rPr>
                <w:rFonts w:hint="default" w:ascii="Times New Roman" w:hAnsi="Times New Roman" w:eastAsia="宋体" w:cs="Times New Roman"/>
                <w:b/>
                <w:color w:val="auto"/>
                <w:sz w:val="21"/>
                <w:szCs w:val="21"/>
              </w:rPr>
              <w:t>厂区内无组织非甲烷总烃排放限值表</w:t>
            </w:r>
          </w:p>
          <w:tbl>
            <w:tblPr>
              <w:tblStyle w:val="41"/>
              <w:tblW w:w="4997"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33"/>
              <w:gridCol w:w="1319"/>
              <w:gridCol w:w="2506"/>
              <w:gridCol w:w="1245"/>
              <w:gridCol w:w="2050"/>
            </w:tblGrid>
            <w:tr w14:paraId="34A8A2B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88" w:type="pct"/>
                  <w:noWrap w:val="0"/>
                  <w:vAlign w:val="center"/>
                </w:tcPr>
                <w:p w14:paraId="3B65E96F">
                  <w:pPr>
                    <w:tabs>
                      <w:tab w:val="left" w:pos="5142"/>
                    </w:tabs>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污染物项目</w:t>
                  </w:r>
                </w:p>
              </w:tc>
              <w:tc>
                <w:tcPr>
                  <w:tcW w:w="780" w:type="pct"/>
                  <w:noWrap w:val="0"/>
                  <w:vAlign w:val="center"/>
                </w:tcPr>
                <w:p w14:paraId="1074DD66">
                  <w:pPr>
                    <w:tabs>
                      <w:tab w:val="left" w:pos="5142"/>
                    </w:tabs>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特别排放限值（mg/m</w:t>
                  </w:r>
                  <w:r>
                    <w:rPr>
                      <w:rFonts w:hint="default" w:ascii="Times New Roman" w:hAnsi="Times New Roman" w:eastAsia="宋体" w:cs="Times New Roman"/>
                      <w:b/>
                      <w:bCs/>
                      <w:color w:val="auto"/>
                      <w:sz w:val="21"/>
                      <w:szCs w:val="21"/>
                      <w:vertAlign w:val="superscript"/>
                      <w:lang w:eastAsia="zh-CN"/>
                    </w:rPr>
                    <w:t>3</w:t>
                  </w:r>
                  <w:r>
                    <w:rPr>
                      <w:rFonts w:hint="default" w:ascii="Times New Roman" w:hAnsi="Times New Roman" w:eastAsia="宋体" w:cs="Times New Roman"/>
                      <w:b/>
                      <w:bCs/>
                      <w:color w:val="auto"/>
                      <w:sz w:val="21"/>
                      <w:szCs w:val="21"/>
                      <w:lang w:eastAsia="zh-CN"/>
                    </w:rPr>
                    <w:t>）</w:t>
                  </w:r>
                </w:p>
              </w:tc>
              <w:tc>
                <w:tcPr>
                  <w:tcW w:w="1482" w:type="pct"/>
                  <w:noWrap w:val="0"/>
                  <w:vAlign w:val="center"/>
                </w:tcPr>
                <w:p w14:paraId="78694C30">
                  <w:pPr>
                    <w:tabs>
                      <w:tab w:val="left" w:pos="5142"/>
                    </w:tabs>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限值含义</w:t>
                  </w:r>
                </w:p>
              </w:tc>
              <w:tc>
                <w:tcPr>
                  <w:tcW w:w="736" w:type="pct"/>
                  <w:noWrap w:val="0"/>
                  <w:vAlign w:val="center"/>
                </w:tcPr>
                <w:p w14:paraId="03AC3EA2">
                  <w:pPr>
                    <w:tabs>
                      <w:tab w:val="left" w:pos="5142"/>
                    </w:tabs>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无组织排放监控位置</w:t>
                  </w:r>
                </w:p>
              </w:tc>
              <w:tc>
                <w:tcPr>
                  <w:tcW w:w="1212" w:type="pct"/>
                  <w:noWrap w:val="0"/>
                  <w:vAlign w:val="center"/>
                </w:tcPr>
                <w:p w14:paraId="6A9FEFA4">
                  <w:pPr>
                    <w:tabs>
                      <w:tab w:val="left" w:pos="5142"/>
                    </w:tabs>
                    <w:snapToGrid w:val="0"/>
                    <w:jc w:val="center"/>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执行标准</w:t>
                  </w:r>
                </w:p>
              </w:tc>
            </w:tr>
            <w:tr w14:paraId="3E78615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88" w:type="pct"/>
                  <w:vMerge w:val="restart"/>
                  <w:noWrap w:val="0"/>
                  <w:vAlign w:val="center"/>
                </w:tcPr>
                <w:p w14:paraId="36BCE77A">
                  <w:pPr>
                    <w:tabs>
                      <w:tab w:val="left" w:pos="5142"/>
                    </w:tabs>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非甲烷总烃</w:t>
                  </w:r>
                </w:p>
              </w:tc>
              <w:tc>
                <w:tcPr>
                  <w:tcW w:w="780" w:type="pct"/>
                  <w:noWrap w:val="0"/>
                  <w:vAlign w:val="center"/>
                </w:tcPr>
                <w:p w14:paraId="63840D5F">
                  <w:pPr>
                    <w:tabs>
                      <w:tab w:val="left" w:pos="5142"/>
                    </w:tabs>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6</w:t>
                  </w:r>
                </w:p>
              </w:tc>
              <w:tc>
                <w:tcPr>
                  <w:tcW w:w="1482" w:type="pct"/>
                  <w:noWrap w:val="0"/>
                  <w:vAlign w:val="center"/>
                </w:tcPr>
                <w:p w14:paraId="25117C38">
                  <w:pPr>
                    <w:tabs>
                      <w:tab w:val="left" w:pos="5142"/>
                    </w:tabs>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监控点处1h平均浓度值</w:t>
                  </w:r>
                </w:p>
              </w:tc>
              <w:tc>
                <w:tcPr>
                  <w:tcW w:w="736" w:type="pct"/>
                  <w:vMerge w:val="restart"/>
                  <w:noWrap w:val="0"/>
                  <w:vAlign w:val="center"/>
                </w:tcPr>
                <w:p w14:paraId="77019484">
                  <w:pPr>
                    <w:tabs>
                      <w:tab w:val="left" w:pos="5142"/>
                    </w:tabs>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在厂房外设置监控点</w:t>
                  </w:r>
                </w:p>
              </w:tc>
              <w:tc>
                <w:tcPr>
                  <w:tcW w:w="1212" w:type="pct"/>
                  <w:vMerge w:val="restart"/>
                  <w:noWrap w:val="0"/>
                  <w:vAlign w:val="center"/>
                </w:tcPr>
                <w:p w14:paraId="64A7FB6A">
                  <w:pPr>
                    <w:tabs>
                      <w:tab w:val="left" w:pos="5142"/>
                    </w:tabs>
                    <w:snapToGrid w:val="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《大气污染物综合排放标准》（DB32/4041-2021）表2标准限值</w:t>
                  </w:r>
                </w:p>
              </w:tc>
            </w:tr>
            <w:tr w14:paraId="2C416AC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88" w:type="pct"/>
                  <w:vMerge w:val="continue"/>
                  <w:noWrap w:val="0"/>
                  <w:vAlign w:val="center"/>
                </w:tcPr>
                <w:p w14:paraId="58A7429F">
                  <w:pPr>
                    <w:jc w:val="center"/>
                    <w:rPr>
                      <w:color w:val="auto"/>
                    </w:rPr>
                  </w:pPr>
                </w:p>
              </w:tc>
              <w:tc>
                <w:tcPr>
                  <w:tcW w:w="780" w:type="pct"/>
                  <w:noWrap w:val="0"/>
                  <w:vAlign w:val="center"/>
                </w:tcPr>
                <w:p w14:paraId="6D9B077B">
                  <w:pPr>
                    <w:tabs>
                      <w:tab w:val="left" w:pos="5142"/>
                    </w:tabs>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w:t>
                  </w:r>
                </w:p>
              </w:tc>
              <w:tc>
                <w:tcPr>
                  <w:tcW w:w="1482" w:type="pct"/>
                  <w:noWrap w:val="0"/>
                  <w:vAlign w:val="center"/>
                </w:tcPr>
                <w:p w14:paraId="3A671783">
                  <w:pPr>
                    <w:tabs>
                      <w:tab w:val="left" w:pos="5142"/>
                    </w:tabs>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监控点处任意一次浓度值</w:t>
                  </w:r>
                </w:p>
              </w:tc>
              <w:tc>
                <w:tcPr>
                  <w:tcW w:w="736" w:type="pct"/>
                  <w:vMerge w:val="continue"/>
                  <w:noWrap w:val="0"/>
                  <w:vAlign w:val="center"/>
                </w:tcPr>
                <w:p w14:paraId="5B225CC0">
                  <w:pPr>
                    <w:jc w:val="center"/>
                    <w:rPr>
                      <w:color w:val="auto"/>
                    </w:rPr>
                  </w:pPr>
                </w:p>
              </w:tc>
              <w:tc>
                <w:tcPr>
                  <w:tcW w:w="1212" w:type="pct"/>
                  <w:vMerge w:val="continue"/>
                  <w:noWrap w:val="0"/>
                  <w:vAlign w:val="center"/>
                </w:tcPr>
                <w:p w14:paraId="79B4CDB5">
                  <w:pPr>
                    <w:adjustRightInd w:val="0"/>
                    <w:snapToGrid w:val="0"/>
                    <w:jc w:val="center"/>
                    <w:rPr>
                      <w:color w:val="auto"/>
                    </w:rPr>
                  </w:pPr>
                </w:p>
              </w:tc>
            </w:tr>
          </w:tbl>
          <w:p w14:paraId="7C92C77F">
            <w:pPr>
              <w:adjustRightInd w:val="0"/>
              <w:snapToGrid w:val="0"/>
              <w:spacing w:line="360" w:lineRule="auto"/>
              <w:ind w:firstLine="422" w:firstLineChars="20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 3-</w:t>
            </w: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rPr>
              <w:t xml:space="preserve"> 工业炉窑无组织排放总悬浮颗粒物浓度限值(单位 </w:t>
            </w:r>
            <w:r>
              <w:rPr>
                <w:rFonts w:hint="default" w:ascii="Times New Roman" w:hAnsi="Times New Roman" w:eastAsia="宋体" w:cs="Times New Roman"/>
                <w:b/>
                <w:bCs/>
                <w:color w:val="auto"/>
                <w:sz w:val="21"/>
                <w:szCs w:val="21"/>
                <w:lang w:eastAsia="zh-CN"/>
              </w:rPr>
              <w:t>mg/m</w:t>
            </w:r>
            <w:r>
              <w:rPr>
                <w:rFonts w:hint="default" w:ascii="Times New Roman" w:hAnsi="Times New Roman" w:eastAsia="宋体" w:cs="Times New Roman"/>
                <w:b/>
                <w:bCs/>
                <w:color w:val="auto"/>
                <w:sz w:val="21"/>
                <w:szCs w:val="21"/>
                <w:vertAlign w:val="superscript"/>
                <w:lang w:eastAsia="zh-CN"/>
              </w:rPr>
              <w:t>3</w:t>
            </w:r>
            <w:r>
              <w:rPr>
                <w:rFonts w:hint="default" w:ascii="Times New Roman" w:hAnsi="Times New Roman" w:cs="Times New Roman"/>
                <w:b/>
                <w:color w:val="auto"/>
                <w:sz w:val="21"/>
                <w:szCs w:val="21"/>
              </w:rPr>
              <w:t>)</w:t>
            </w:r>
          </w:p>
          <w:tbl>
            <w:tblPr>
              <w:tblStyle w:val="42"/>
              <w:tblW w:w="84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2819"/>
              <w:gridCol w:w="2820"/>
            </w:tblGrid>
            <w:tr w14:paraId="0B56F0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19" w:type="dxa"/>
                  <w:tcBorders>
                    <w:tl2br w:val="nil"/>
                    <w:tr2bl w:val="nil"/>
                  </w:tcBorders>
                </w:tcPr>
                <w:p w14:paraId="793EF883">
                  <w:pPr>
                    <w:adjustRightInd w:val="0"/>
                    <w:snapToGrid w:val="0"/>
                    <w:spacing w:line="360" w:lineRule="auto"/>
                    <w:jc w:val="left"/>
                    <w:rPr>
                      <w:rFonts w:hint="default" w:ascii="Times New Roman" w:hAnsi="Times New Roman" w:cs="Times New Roman"/>
                      <w:b/>
                      <w:bCs w:val="0"/>
                      <w:color w:val="auto"/>
                      <w:sz w:val="21"/>
                      <w:szCs w:val="21"/>
                      <w:vertAlign w:val="baseline"/>
                    </w:rPr>
                  </w:pPr>
                  <w:r>
                    <w:rPr>
                      <w:rFonts w:hint="default" w:ascii="Times New Roman" w:hAnsi="Times New Roman" w:cs="Times New Roman"/>
                      <w:b/>
                      <w:bCs w:val="0"/>
                      <w:color w:val="auto"/>
                      <w:sz w:val="21"/>
                      <w:szCs w:val="21"/>
                      <w:vertAlign w:val="baseline"/>
                    </w:rPr>
                    <w:t>工业</w:t>
                  </w:r>
                  <w:r>
                    <w:rPr>
                      <w:rFonts w:hint="eastAsia" w:ascii="Times New Roman" w:hAnsi="Times New Roman" w:cs="Times New Roman"/>
                      <w:b/>
                      <w:bCs w:val="0"/>
                      <w:color w:val="auto"/>
                      <w:sz w:val="21"/>
                      <w:szCs w:val="21"/>
                      <w:vertAlign w:val="baseline"/>
                      <w:lang w:eastAsia="zh-CN"/>
                    </w:rPr>
                    <w:t>炉窑</w:t>
                  </w:r>
                  <w:r>
                    <w:rPr>
                      <w:rFonts w:hint="default" w:ascii="Times New Roman" w:hAnsi="Times New Roman" w:cs="Times New Roman"/>
                      <w:b/>
                      <w:bCs w:val="0"/>
                      <w:color w:val="auto"/>
                      <w:sz w:val="21"/>
                      <w:szCs w:val="21"/>
                      <w:vertAlign w:val="baseline"/>
                    </w:rPr>
                    <w:t>安装位置</w:t>
                  </w:r>
                </w:p>
              </w:tc>
              <w:tc>
                <w:tcPr>
                  <w:tcW w:w="2819" w:type="dxa"/>
                  <w:tcBorders>
                    <w:tl2br w:val="nil"/>
                    <w:tr2bl w:val="nil"/>
                  </w:tcBorders>
                </w:tcPr>
                <w:p w14:paraId="1F8943B8">
                  <w:pPr>
                    <w:adjustRightInd w:val="0"/>
                    <w:snapToGrid w:val="0"/>
                    <w:spacing w:line="360" w:lineRule="auto"/>
                    <w:jc w:val="left"/>
                    <w:rPr>
                      <w:rFonts w:hint="default" w:ascii="Times New Roman" w:hAnsi="Times New Roman" w:cs="Times New Roman"/>
                      <w:b/>
                      <w:bCs w:val="0"/>
                      <w:color w:val="auto"/>
                      <w:sz w:val="21"/>
                      <w:szCs w:val="21"/>
                      <w:vertAlign w:val="baseline"/>
                    </w:rPr>
                  </w:pPr>
                  <w:r>
                    <w:rPr>
                      <w:rFonts w:hint="default" w:ascii="Times New Roman" w:hAnsi="Times New Roman" w:cs="Times New Roman"/>
                      <w:b/>
                      <w:bCs w:val="0"/>
                      <w:color w:val="auto"/>
                      <w:sz w:val="21"/>
                      <w:szCs w:val="21"/>
                      <w:vertAlign w:val="baseline"/>
                    </w:rPr>
                    <w:t>工业炉窑类别</w:t>
                  </w:r>
                </w:p>
              </w:tc>
              <w:tc>
                <w:tcPr>
                  <w:tcW w:w="2820" w:type="dxa"/>
                  <w:tcBorders>
                    <w:tl2br w:val="nil"/>
                    <w:tr2bl w:val="nil"/>
                  </w:tcBorders>
                </w:tcPr>
                <w:p w14:paraId="2F4F3E63">
                  <w:pPr>
                    <w:adjustRightInd w:val="0"/>
                    <w:snapToGrid w:val="0"/>
                    <w:spacing w:line="360" w:lineRule="auto"/>
                    <w:jc w:val="left"/>
                    <w:rPr>
                      <w:rFonts w:hint="default" w:ascii="Times New Roman" w:hAnsi="Times New Roman" w:cs="Times New Roman"/>
                      <w:b/>
                      <w:bCs w:val="0"/>
                      <w:color w:val="auto"/>
                      <w:sz w:val="21"/>
                      <w:szCs w:val="21"/>
                      <w:vertAlign w:val="baseline"/>
                    </w:rPr>
                  </w:pPr>
                  <w:r>
                    <w:rPr>
                      <w:rFonts w:hint="default" w:ascii="Times New Roman" w:hAnsi="Times New Roman" w:cs="Times New Roman"/>
                      <w:b/>
                      <w:bCs w:val="0"/>
                      <w:color w:val="auto"/>
                      <w:sz w:val="21"/>
                      <w:szCs w:val="21"/>
                      <w:vertAlign w:val="baseline"/>
                    </w:rPr>
                    <w:t>总悬浮颗粒物浓度限值</w:t>
                  </w:r>
                </w:p>
              </w:tc>
            </w:tr>
            <w:tr w14:paraId="24535F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19" w:type="dxa"/>
                  <w:tcBorders>
                    <w:tl2br w:val="nil"/>
                    <w:tr2bl w:val="nil"/>
                  </w:tcBorders>
                </w:tcPr>
                <w:p w14:paraId="60774CDC">
                  <w:pPr>
                    <w:adjustRightInd w:val="0"/>
                    <w:snapToGrid w:val="0"/>
                    <w:spacing w:line="360" w:lineRule="auto"/>
                    <w:jc w:val="left"/>
                    <w:rPr>
                      <w:rFonts w:hint="default" w:ascii="Times New Roman" w:hAnsi="Times New Roman" w:cs="Times New Roman"/>
                      <w:b w:val="0"/>
                      <w:bCs/>
                      <w:color w:val="auto"/>
                      <w:sz w:val="21"/>
                      <w:szCs w:val="21"/>
                      <w:vertAlign w:val="baseline"/>
                    </w:rPr>
                  </w:pPr>
                  <w:r>
                    <w:rPr>
                      <w:rFonts w:hint="default" w:ascii="Times New Roman" w:hAnsi="Times New Roman" w:cs="Times New Roman"/>
                      <w:b w:val="0"/>
                      <w:bCs/>
                      <w:color w:val="auto"/>
                      <w:sz w:val="21"/>
                      <w:szCs w:val="21"/>
                      <w:vertAlign w:val="baseline"/>
                    </w:rPr>
                    <w:t>有厂房生产车间</w:t>
                  </w:r>
                </w:p>
              </w:tc>
              <w:tc>
                <w:tcPr>
                  <w:tcW w:w="2819" w:type="dxa"/>
                  <w:tcBorders>
                    <w:tl2br w:val="nil"/>
                    <w:tr2bl w:val="nil"/>
                  </w:tcBorders>
                </w:tcPr>
                <w:p w14:paraId="7B177A99">
                  <w:pPr>
                    <w:adjustRightInd w:val="0"/>
                    <w:snapToGrid w:val="0"/>
                    <w:spacing w:line="360" w:lineRule="auto"/>
                    <w:jc w:val="left"/>
                    <w:rPr>
                      <w:rFonts w:hint="default" w:ascii="Times New Roman" w:hAnsi="Times New Roman" w:cs="Times New Roman"/>
                      <w:b w:val="0"/>
                      <w:bCs/>
                      <w:color w:val="auto"/>
                      <w:sz w:val="21"/>
                      <w:szCs w:val="21"/>
                      <w:vertAlign w:val="baseline"/>
                    </w:rPr>
                  </w:pPr>
                  <w:r>
                    <w:rPr>
                      <w:rFonts w:hint="default" w:ascii="Times New Roman" w:hAnsi="Times New Roman" w:cs="Times New Roman"/>
                      <w:b w:val="0"/>
                      <w:bCs/>
                      <w:color w:val="auto"/>
                      <w:sz w:val="21"/>
                      <w:szCs w:val="21"/>
                      <w:vertAlign w:val="baseline"/>
                    </w:rPr>
                    <w:t>其他</w:t>
                  </w:r>
                </w:p>
              </w:tc>
              <w:tc>
                <w:tcPr>
                  <w:tcW w:w="2820" w:type="dxa"/>
                  <w:tcBorders>
                    <w:tl2br w:val="nil"/>
                    <w:tr2bl w:val="nil"/>
                  </w:tcBorders>
                </w:tcPr>
                <w:p w14:paraId="7EE669B5">
                  <w:pPr>
                    <w:adjustRightInd w:val="0"/>
                    <w:snapToGrid w:val="0"/>
                    <w:spacing w:line="360" w:lineRule="auto"/>
                    <w:jc w:val="left"/>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5.0</w:t>
                  </w:r>
                </w:p>
              </w:tc>
            </w:tr>
          </w:tbl>
          <w:p w14:paraId="078DD064">
            <w:pPr>
              <w:adjustRightInd w:val="0"/>
              <w:snapToGrid w:val="0"/>
              <w:spacing w:line="360" w:lineRule="auto"/>
              <w:ind w:firstLine="422" w:firstLineChars="20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w:t>
            </w:r>
            <w:r>
              <w:rPr>
                <w:rFonts w:hint="eastAsia" w:ascii="Times New Roman" w:hAnsi="Times New Roman" w:cs="Times New Roman"/>
                <w:b/>
                <w:color w:val="auto"/>
                <w:sz w:val="21"/>
                <w:szCs w:val="21"/>
                <w:lang w:val="en-US" w:eastAsia="zh-CN"/>
              </w:rPr>
              <w:t>-7</w:t>
            </w:r>
            <w:r>
              <w:rPr>
                <w:rFonts w:hint="default" w:ascii="Times New Roman" w:hAnsi="Times New Roman" w:cs="Times New Roman"/>
                <w:b/>
                <w:color w:val="auto"/>
                <w:sz w:val="21"/>
                <w:szCs w:val="21"/>
              </w:rPr>
              <w:t xml:space="preserve"> 工业炉窑基准氧含量要求</w:t>
            </w:r>
          </w:p>
          <w:tbl>
            <w:tblPr>
              <w:tblStyle w:val="4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29"/>
            </w:tblGrid>
            <w:tr w14:paraId="24AB5D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29" w:type="dxa"/>
                  <w:tcBorders>
                    <w:tl2br w:val="nil"/>
                    <w:tr2bl w:val="nil"/>
                  </w:tcBorders>
                  <w:vAlign w:val="center"/>
                </w:tcPr>
                <w:p w14:paraId="5FA9B4CF">
                  <w:pPr>
                    <w:adjustRightInd w:val="0"/>
                    <w:snapToGrid w:val="0"/>
                    <w:spacing w:line="360" w:lineRule="auto"/>
                    <w:jc w:val="center"/>
                    <w:rPr>
                      <w:rFonts w:hint="default" w:ascii="Times New Roman" w:hAnsi="Times New Roman" w:cs="Times New Roman"/>
                      <w:b/>
                      <w:bCs w:val="0"/>
                      <w:color w:val="auto"/>
                      <w:sz w:val="21"/>
                      <w:szCs w:val="21"/>
                      <w:vertAlign w:val="baseline"/>
                    </w:rPr>
                  </w:pPr>
                  <w:r>
                    <w:rPr>
                      <w:rFonts w:hint="default" w:ascii="Times New Roman" w:hAnsi="Times New Roman" w:cs="Times New Roman"/>
                      <w:b/>
                      <w:bCs w:val="0"/>
                      <w:color w:val="auto"/>
                      <w:sz w:val="21"/>
                      <w:szCs w:val="21"/>
                      <w:vertAlign w:val="baseline"/>
                    </w:rPr>
                    <w:t>工业炉窑类别</w:t>
                  </w:r>
                </w:p>
              </w:tc>
              <w:tc>
                <w:tcPr>
                  <w:tcW w:w="4229" w:type="dxa"/>
                  <w:tcBorders>
                    <w:tl2br w:val="nil"/>
                    <w:tr2bl w:val="nil"/>
                  </w:tcBorders>
                  <w:vAlign w:val="center"/>
                </w:tcPr>
                <w:p w14:paraId="2B771114">
                  <w:pPr>
                    <w:adjustRightInd w:val="0"/>
                    <w:snapToGrid w:val="0"/>
                    <w:spacing w:line="360" w:lineRule="auto"/>
                    <w:jc w:val="center"/>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干</w:t>
                  </w:r>
                  <w:r>
                    <w:rPr>
                      <w:rFonts w:hint="default" w:ascii="Times New Roman" w:hAnsi="Times New Roman" w:cs="Times New Roman"/>
                      <w:b/>
                      <w:bCs w:val="0"/>
                      <w:color w:val="auto"/>
                      <w:sz w:val="21"/>
                      <w:szCs w:val="21"/>
                      <w:vertAlign w:val="baseline"/>
                    </w:rPr>
                    <w:t>烟气基准氧含量</w:t>
                  </w:r>
                  <w:r>
                    <w:rPr>
                      <w:rFonts w:hint="eastAsia" w:ascii="Times New Roman" w:hAnsi="Times New Roman" w:cs="Times New Roman"/>
                      <w:b/>
                      <w:bCs w:val="0"/>
                      <w:color w:val="auto"/>
                      <w:sz w:val="21"/>
                      <w:szCs w:val="21"/>
                      <w:vertAlign w:val="baseline"/>
                      <w:lang w:eastAsia="zh-CN"/>
                    </w:rPr>
                    <w:t>（</w:t>
                  </w:r>
                  <w:r>
                    <w:rPr>
                      <w:rFonts w:hint="eastAsia" w:ascii="Times New Roman" w:hAnsi="Times New Roman" w:cs="Times New Roman"/>
                      <w:b/>
                      <w:bCs w:val="0"/>
                      <w:color w:val="auto"/>
                      <w:sz w:val="21"/>
                      <w:szCs w:val="21"/>
                      <w:vertAlign w:val="baseline"/>
                      <w:lang w:val="en-US" w:eastAsia="zh-CN"/>
                    </w:rPr>
                    <w:t>0</w:t>
                  </w:r>
                  <w:r>
                    <w:rPr>
                      <w:rFonts w:hint="eastAsia" w:ascii="Times New Roman" w:hAnsi="Times New Roman" w:cs="Times New Roman"/>
                      <w:b/>
                      <w:bCs w:val="0"/>
                      <w:color w:val="auto"/>
                      <w:sz w:val="21"/>
                      <w:szCs w:val="21"/>
                      <w:vertAlign w:val="subscript"/>
                      <w:lang w:val="en-US" w:eastAsia="zh-CN"/>
                    </w:rPr>
                    <w:t>基</w:t>
                  </w:r>
                  <w:r>
                    <w:rPr>
                      <w:rFonts w:hint="eastAsia" w:ascii="Times New Roman" w:hAnsi="Times New Roman" w:cs="Times New Roman"/>
                      <w:b/>
                      <w:bCs w:val="0"/>
                      <w:color w:val="auto"/>
                      <w:sz w:val="21"/>
                      <w:szCs w:val="21"/>
                      <w:vertAlign w:val="baseline"/>
                      <w:lang w:eastAsia="zh-CN"/>
                    </w:rPr>
                    <w:t>）</w:t>
                  </w:r>
                  <w:r>
                    <w:rPr>
                      <w:rFonts w:hint="default" w:ascii="Times New Roman" w:hAnsi="Times New Roman" w:cs="Times New Roman"/>
                      <w:b/>
                      <w:bCs w:val="0"/>
                      <w:color w:val="auto"/>
                      <w:sz w:val="21"/>
                      <w:szCs w:val="21"/>
                      <w:vertAlign w:val="baseline"/>
                    </w:rPr>
                    <w:t>/%</w:t>
                  </w:r>
                </w:p>
              </w:tc>
            </w:tr>
            <w:tr w14:paraId="5CCBC0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29" w:type="dxa"/>
                  <w:tcBorders>
                    <w:tl2br w:val="nil"/>
                    <w:tr2bl w:val="nil"/>
                  </w:tcBorders>
                  <w:vAlign w:val="center"/>
                </w:tcPr>
                <w:p w14:paraId="1BCEEFDE">
                  <w:pPr>
                    <w:adjustRightInd w:val="0"/>
                    <w:snapToGrid w:val="0"/>
                    <w:spacing w:line="360" w:lineRule="auto"/>
                    <w:jc w:val="center"/>
                    <w:rPr>
                      <w:rFonts w:hint="default" w:ascii="Times New Roman" w:hAnsi="Times New Roman" w:cs="Times New Roman"/>
                      <w:b w:val="0"/>
                      <w:bCs/>
                      <w:color w:val="auto"/>
                      <w:sz w:val="21"/>
                      <w:szCs w:val="21"/>
                      <w:vertAlign w:val="baseline"/>
                    </w:rPr>
                  </w:pPr>
                  <w:r>
                    <w:rPr>
                      <w:rFonts w:hint="default" w:ascii="Times New Roman" w:hAnsi="Times New Roman" w:cs="Times New Roman"/>
                      <w:b w:val="0"/>
                      <w:bCs/>
                      <w:color w:val="auto"/>
                      <w:sz w:val="21"/>
                      <w:szCs w:val="21"/>
                      <w:vertAlign w:val="baseline"/>
                    </w:rPr>
                    <w:t>其他工业炉窑</w:t>
                  </w:r>
                </w:p>
              </w:tc>
              <w:tc>
                <w:tcPr>
                  <w:tcW w:w="4229" w:type="dxa"/>
                  <w:tcBorders>
                    <w:tl2br w:val="nil"/>
                    <w:tr2bl w:val="nil"/>
                  </w:tcBorders>
                  <w:vAlign w:val="center"/>
                </w:tcPr>
                <w:p w14:paraId="40C9B7DA">
                  <w:pPr>
                    <w:adjustRightInd w:val="0"/>
                    <w:snapToGrid w:val="0"/>
                    <w:spacing w:line="360" w:lineRule="auto"/>
                    <w:jc w:val="center"/>
                    <w:rPr>
                      <w:rFonts w:hint="eastAsia" w:ascii="Times New Roman" w:hAnsi="Times New Roman" w:eastAsia="宋体"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9</w:t>
                  </w:r>
                </w:p>
              </w:tc>
            </w:tr>
          </w:tbl>
          <w:p w14:paraId="12148B85">
            <w:pPr>
              <w:adjustRightInd w:val="0"/>
              <w:snapToGrid w:val="0"/>
              <w:spacing w:line="360" w:lineRule="auto"/>
              <w:ind w:firstLine="422" w:firstLineChars="200"/>
              <w:jc w:val="left"/>
              <w:rPr>
                <w:rFonts w:hint="default" w:ascii="Times New Roman" w:hAnsi="Times New Roman" w:cs="Times New Roman"/>
                <w:b/>
                <w:color w:val="auto"/>
                <w:sz w:val="21"/>
                <w:szCs w:val="21"/>
              </w:rPr>
            </w:pPr>
          </w:p>
          <w:p w14:paraId="43B1122F">
            <w:pPr>
              <w:adjustRightInd w:val="0"/>
              <w:snapToGrid w:val="0"/>
              <w:spacing w:line="360" w:lineRule="auto"/>
              <w:ind w:firstLine="422" w:firstLineChars="200"/>
              <w:jc w:val="left"/>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2、废水排放标准</w:t>
            </w:r>
          </w:p>
          <w:p w14:paraId="29FDFFC2">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本项目实施雨污分流，雨水收集后排入市政雨水管网。雨水排放参照《关于印发</w:t>
            </w:r>
            <w:r>
              <w:rPr>
                <w:rFonts w:hint="default" w:ascii="Times New Roman" w:hAnsi="Times New Roman" w:eastAsia="宋体" w:cs="Times New Roman"/>
                <w:color w:val="auto"/>
                <w:sz w:val="21"/>
                <w:szCs w:val="21"/>
                <w:lang w:val="en-US" w:eastAsia="zh-CN"/>
              </w:rPr>
              <w:t>&lt;</w:t>
            </w:r>
            <w:r>
              <w:rPr>
                <w:rFonts w:hint="default" w:ascii="Times New Roman" w:hAnsi="Times New Roman" w:eastAsia="宋体" w:cs="Times New Roman"/>
                <w:color w:val="auto"/>
                <w:sz w:val="21"/>
                <w:szCs w:val="21"/>
              </w:rPr>
              <w:t>江苏省重点行业工业企业雨水排放环境管理办法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试行</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&gt;的通知》</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苏污防攻坚指办</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2023</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71号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进行管理，全厂设置雨水收集系统，实现雨水收集系统全覆盖，实施雨污分流，严禁将生产废水和生活污水接入雨水收集系统，或出现溢流、渗漏进雨水收集管网的现象。</w:t>
            </w:r>
          </w:p>
          <w:p w14:paraId="2D50D032">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本项目雨水通过雨水管网收集后排入项目</w:t>
            </w:r>
            <w:r>
              <w:rPr>
                <w:rFonts w:hint="eastAsia" w:ascii="Times New Roman" w:hAnsi="Times New Roman" w:cs="Times New Roman"/>
                <w:color w:val="auto"/>
                <w:sz w:val="21"/>
                <w:szCs w:val="21"/>
                <w:lang w:val="en-US" w:eastAsia="zh-CN"/>
              </w:rPr>
              <w:t>东</w:t>
            </w:r>
            <w:r>
              <w:rPr>
                <w:rFonts w:hint="default" w:ascii="Times New Roman" w:hAnsi="Times New Roman" w:eastAsia="宋体" w:cs="Times New Roman"/>
                <w:color w:val="auto"/>
                <w:sz w:val="21"/>
                <w:szCs w:val="21"/>
              </w:rPr>
              <w:t>侧</w:t>
            </w:r>
            <w:r>
              <w:rPr>
                <w:rFonts w:hint="eastAsia" w:ascii="Times New Roman" w:hAnsi="Times New Roman" w:cs="Times New Roman"/>
                <w:color w:val="auto"/>
                <w:sz w:val="21"/>
                <w:szCs w:val="21"/>
                <w:lang w:val="en-US" w:eastAsia="zh-CN"/>
              </w:rPr>
              <w:t>488</w:t>
            </w:r>
            <w:r>
              <w:rPr>
                <w:rFonts w:hint="default" w:ascii="Times New Roman" w:hAnsi="Times New Roman" w:eastAsia="宋体" w:cs="Times New Roman"/>
                <w:color w:val="auto"/>
                <w:sz w:val="21"/>
                <w:szCs w:val="21"/>
              </w:rPr>
              <w:t>m处的</w:t>
            </w:r>
            <w:r>
              <w:rPr>
                <w:rFonts w:hint="eastAsia" w:ascii="Times New Roman" w:hAnsi="Times New Roman" w:cs="Times New Roman"/>
                <w:color w:val="auto"/>
                <w:sz w:val="21"/>
                <w:szCs w:val="21"/>
                <w:lang w:eastAsia="zh-CN"/>
              </w:rPr>
              <w:t>浒通河</w:t>
            </w:r>
            <w:r>
              <w:rPr>
                <w:rFonts w:hint="default" w:ascii="Times New Roman" w:hAnsi="Times New Roman" w:eastAsia="宋体" w:cs="Times New Roman"/>
                <w:color w:val="auto"/>
                <w:sz w:val="21"/>
                <w:szCs w:val="21"/>
              </w:rPr>
              <w:t>，根据《关于印发</w:t>
            </w:r>
            <w:r>
              <w:rPr>
                <w:rFonts w:hint="default" w:ascii="Times New Roman" w:hAnsi="Times New Roman" w:eastAsia="宋体" w:cs="Times New Roman"/>
                <w:color w:val="auto"/>
                <w:sz w:val="21"/>
                <w:szCs w:val="21"/>
                <w:lang w:val="en-US" w:eastAsia="zh-CN"/>
              </w:rPr>
              <w:t>&lt;</w:t>
            </w:r>
            <w:r>
              <w:rPr>
                <w:rFonts w:hint="default" w:ascii="Times New Roman" w:hAnsi="Times New Roman" w:eastAsia="宋体" w:cs="Times New Roman"/>
                <w:color w:val="auto"/>
                <w:sz w:val="21"/>
                <w:szCs w:val="21"/>
              </w:rPr>
              <w:t>江苏省重点行业工业企业雨水排放环境管理办法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试行</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&gt;的通知》</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苏污防攻坚指办</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2023</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71号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，排放标准参照执行雨水受体长洪河水功能区目标管控要求。根据《江苏省地表水（环境）功能区划（2021-2030）》及“十四五”地表水考核断面设置情况，该河流执行Ⅲ类水质标准。</w:t>
            </w:r>
          </w:p>
          <w:p w14:paraId="175287C5">
            <w:pPr>
              <w:adjustRightInd w:val="0"/>
              <w:snapToGrid w:val="0"/>
              <w:spacing w:line="360" w:lineRule="auto"/>
              <w:ind w:firstLine="420" w:firstLineChars="200"/>
              <w:jc w:val="left"/>
              <w:rPr>
                <w:rFonts w:hint="default" w:ascii="Times New Roman" w:hAnsi="Times New Roman" w:cs="Times New Roman"/>
                <w:bCs/>
                <w:color w:val="auto"/>
                <w:sz w:val="21"/>
                <w:szCs w:val="21"/>
              </w:rPr>
            </w:pPr>
            <w:r>
              <w:rPr>
                <w:rFonts w:hint="default" w:ascii="Times New Roman" w:hAnsi="Times New Roman" w:eastAsia="宋体" w:cs="Times New Roman"/>
                <w:color w:val="auto"/>
                <w:sz w:val="21"/>
                <w:szCs w:val="21"/>
              </w:rPr>
              <w:t>本项目营运期生活废水经化粪池处理后，接管至</w:t>
            </w:r>
            <w:r>
              <w:rPr>
                <w:rFonts w:hint="default" w:ascii="Times New Roman" w:hAnsi="Times New Roman" w:cs="Times New Roman"/>
                <w:color w:val="auto"/>
                <w:sz w:val="21"/>
                <w:szCs w:val="21"/>
                <w:lang w:eastAsia="zh-CN"/>
              </w:rPr>
              <w:t>海门经济技术开发区污水处理厂</w:t>
            </w:r>
            <w:r>
              <w:rPr>
                <w:rFonts w:hint="default" w:ascii="Times New Roman" w:hAnsi="Times New Roman" w:eastAsia="宋体" w:cs="Times New Roman"/>
                <w:color w:val="auto"/>
                <w:sz w:val="21"/>
                <w:szCs w:val="21"/>
              </w:rPr>
              <w:t>处理</w:t>
            </w:r>
            <w:r>
              <w:rPr>
                <w:rFonts w:hint="default" w:ascii="Times New Roman" w:hAnsi="Times New Roman" w:cs="Times New Roman"/>
                <w:bCs/>
                <w:color w:val="auto"/>
                <w:sz w:val="21"/>
                <w:szCs w:val="21"/>
              </w:rPr>
              <w:t>，废水排放执行《污水综合排放标准》（GB8978-1996）中表4三级标准及污水处理厂接管要求。</w:t>
            </w:r>
            <w:r>
              <w:rPr>
                <w:rFonts w:hint="default" w:ascii="Times New Roman" w:hAnsi="Times New Roman" w:cs="Times New Roman"/>
                <w:bCs/>
                <w:color w:val="auto"/>
                <w:sz w:val="21"/>
                <w:szCs w:val="21"/>
                <w:lang w:eastAsia="zh-CN"/>
              </w:rPr>
              <w:t>海门经济技术开发区污水处理厂</w:t>
            </w:r>
            <w:r>
              <w:rPr>
                <w:rFonts w:hint="default" w:ascii="Times New Roman" w:hAnsi="Times New Roman" w:cs="Times New Roman"/>
                <w:bCs/>
                <w:color w:val="auto"/>
                <w:sz w:val="21"/>
                <w:szCs w:val="21"/>
              </w:rPr>
              <w:t>尾水排放执行</w:t>
            </w:r>
            <w:r>
              <w:rPr>
                <w:rFonts w:hint="default" w:ascii="Times New Roman" w:hAnsi="Times New Roman" w:cs="Times New Roman"/>
                <w:bCs/>
                <w:color w:val="auto"/>
                <w:szCs w:val="21"/>
                <w:lang w:eastAsia="zh-CN"/>
              </w:rPr>
              <w:t>《地表水环境质量标准》（GB3838-2002）Ⅳ类水标准及《城镇污水处理厂污染物排放标准》（GB18918-2002）</w:t>
            </w:r>
            <w:r>
              <w:rPr>
                <w:rFonts w:hint="default" w:ascii="Times New Roman" w:hAnsi="Times New Roman" w:cs="Times New Roman"/>
                <w:bCs/>
                <w:color w:val="auto"/>
                <w:szCs w:val="21"/>
              </w:rPr>
              <w:t>表1中</w:t>
            </w:r>
            <w:r>
              <w:rPr>
                <w:rFonts w:hint="default" w:ascii="Times New Roman" w:hAnsi="Times New Roman" w:cs="Times New Roman"/>
                <w:bCs/>
                <w:color w:val="auto"/>
                <w:szCs w:val="21"/>
                <w:lang w:eastAsia="zh-CN"/>
              </w:rPr>
              <w:t>一级A标准</w:t>
            </w:r>
            <w:r>
              <w:rPr>
                <w:rFonts w:hint="default" w:ascii="Times New Roman" w:hAnsi="Times New Roman" w:cs="Times New Roman"/>
                <w:bCs/>
                <w:color w:val="auto"/>
                <w:sz w:val="21"/>
                <w:szCs w:val="21"/>
                <w:lang w:eastAsia="zh-CN"/>
              </w:rPr>
              <w:t>，</w:t>
            </w:r>
            <w:r>
              <w:rPr>
                <w:rFonts w:hint="default" w:ascii="Times New Roman" w:hAnsi="Times New Roman" w:cs="Times New Roman"/>
                <w:color w:val="auto"/>
                <w:sz w:val="21"/>
                <w:szCs w:val="21"/>
              </w:rPr>
              <w:t>见表3-</w:t>
            </w:r>
            <w:r>
              <w:rPr>
                <w:rFonts w:hint="eastAsia"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lang w:val="en-US" w:eastAsia="zh-CN"/>
              </w:rPr>
              <w:t>。</w:t>
            </w:r>
          </w:p>
          <w:p w14:paraId="1D1EE4FE">
            <w:pPr>
              <w:pStyle w:val="224"/>
              <w:shd w:val="clear" w:color="auto" w:fill="auto"/>
              <w:spacing w:after="0"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7</w:t>
            </w:r>
            <w:r>
              <w:rPr>
                <w:rFonts w:hint="default" w:ascii="Times New Roman" w:hAnsi="Times New Roman" w:eastAsia="宋体" w:cs="Times New Roman"/>
                <w:b/>
                <w:bCs/>
                <w:color w:val="auto"/>
                <w:sz w:val="21"/>
                <w:szCs w:val="21"/>
              </w:rPr>
              <w:t xml:space="preserve">  水污染物排放标准</w:t>
            </w:r>
          </w:p>
          <w:tbl>
            <w:tblPr>
              <w:tblStyle w:val="4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444"/>
              <w:gridCol w:w="2168"/>
              <w:gridCol w:w="1534"/>
              <w:gridCol w:w="1973"/>
            </w:tblGrid>
            <w:tr w14:paraId="664762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restart"/>
                  <w:noWrap w:val="0"/>
                  <w:vAlign w:val="center"/>
                </w:tcPr>
                <w:p w14:paraId="2C4A2A12">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项目</w:t>
                  </w:r>
                </w:p>
              </w:tc>
              <w:tc>
                <w:tcPr>
                  <w:tcW w:w="2136" w:type="pct"/>
                  <w:gridSpan w:val="2"/>
                  <w:noWrap w:val="0"/>
                  <w:vAlign w:val="center"/>
                </w:tcPr>
                <w:p w14:paraId="034B451D">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项目废水接管标准</w:t>
                  </w:r>
                </w:p>
              </w:tc>
              <w:tc>
                <w:tcPr>
                  <w:tcW w:w="2073" w:type="pct"/>
                  <w:gridSpan w:val="2"/>
                  <w:noWrap w:val="0"/>
                  <w:tcMar>
                    <w:top w:w="0" w:type="dxa"/>
                    <w:left w:w="0" w:type="dxa"/>
                    <w:bottom w:w="0" w:type="dxa"/>
                    <w:right w:w="0" w:type="dxa"/>
                  </w:tcMar>
                  <w:vAlign w:val="center"/>
                </w:tcPr>
                <w:p w14:paraId="0B0E7924">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污水处理厂尾水排放标准</w:t>
                  </w:r>
                </w:p>
              </w:tc>
            </w:tr>
            <w:tr w14:paraId="0353A2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noWrap w:val="0"/>
                  <w:vAlign w:val="center"/>
                </w:tcPr>
                <w:p w14:paraId="35F31B21">
                  <w:pPr>
                    <w:jc w:val="center"/>
                    <w:rPr>
                      <w:rFonts w:hint="default" w:ascii="Times New Roman" w:hAnsi="Times New Roman" w:cs="Times New Roman"/>
                      <w:b/>
                      <w:bCs/>
                      <w:color w:val="auto"/>
                      <w:sz w:val="21"/>
                      <w:szCs w:val="21"/>
                      <w:highlight w:val="none"/>
                    </w:rPr>
                  </w:pPr>
                </w:p>
              </w:tc>
              <w:tc>
                <w:tcPr>
                  <w:tcW w:w="853" w:type="pct"/>
                  <w:noWrap w:val="0"/>
                  <w:vAlign w:val="center"/>
                </w:tcPr>
                <w:p w14:paraId="0983D367">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接管标准限值</w:t>
                  </w:r>
                </w:p>
              </w:tc>
              <w:tc>
                <w:tcPr>
                  <w:tcW w:w="1282" w:type="pct"/>
                  <w:noWrap w:val="0"/>
                  <w:vAlign w:val="center"/>
                </w:tcPr>
                <w:p w14:paraId="1781324B">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标准来源</w:t>
                  </w:r>
                </w:p>
              </w:tc>
              <w:tc>
                <w:tcPr>
                  <w:tcW w:w="907" w:type="pct"/>
                  <w:noWrap w:val="0"/>
                  <w:tcMar>
                    <w:top w:w="0" w:type="dxa"/>
                    <w:left w:w="0" w:type="dxa"/>
                    <w:bottom w:w="0" w:type="dxa"/>
                    <w:right w:w="0" w:type="dxa"/>
                  </w:tcMar>
                  <w:vAlign w:val="center"/>
                </w:tcPr>
                <w:p w14:paraId="048F10AE">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排放标准限值</w:t>
                  </w:r>
                </w:p>
              </w:tc>
              <w:tc>
                <w:tcPr>
                  <w:tcW w:w="1166" w:type="pct"/>
                  <w:noWrap w:val="0"/>
                  <w:vAlign w:val="center"/>
                </w:tcPr>
                <w:p w14:paraId="61D272FF">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标准来源</w:t>
                  </w:r>
                </w:p>
              </w:tc>
            </w:tr>
            <w:tr w14:paraId="75F13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noWrap w:val="0"/>
                  <w:vAlign w:val="center"/>
                </w:tcPr>
                <w:p w14:paraId="746A641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p>
              </w:tc>
              <w:tc>
                <w:tcPr>
                  <w:tcW w:w="853" w:type="pct"/>
                  <w:noWrap w:val="0"/>
                  <w:vAlign w:val="center"/>
                </w:tcPr>
                <w:p w14:paraId="00230B1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1282" w:type="pct"/>
                  <w:vMerge w:val="restart"/>
                  <w:noWrap w:val="0"/>
                  <w:vAlign w:val="center"/>
                </w:tcPr>
                <w:p w14:paraId="44B1811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污水处理厂设计</w:t>
                  </w:r>
                  <w:r>
                    <w:rPr>
                      <w:rFonts w:hint="default" w:ascii="Times New Roman" w:hAnsi="Times New Roman" w:cs="Times New Roman"/>
                      <w:color w:val="auto"/>
                      <w:sz w:val="21"/>
                      <w:szCs w:val="21"/>
                      <w:highlight w:val="none"/>
                      <w:lang w:val="en-US" w:eastAsia="zh-CN"/>
                    </w:rPr>
                    <w:t>进水</w:t>
                  </w:r>
                  <w:r>
                    <w:rPr>
                      <w:rFonts w:hint="default" w:ascii="Times New Roman" w:hAnsi="Times New Roman" w:cs="Times New Roman"/>
                      <w:color w:val="auto"/>
                      <w:sz w:val="21"/>
                      <w:szCs w:val="21"/>
                      <w:highlight w:val="none"/>
                    </w:rPr>
                    <w:t>水质</w:t>
                  </w:r>
                </w:p>
              </w:tc>
              <w:tc>
                <w:tcPr>
                  <w:tcW w:w="907" w:type="pct"/>
                  <w:noWrap w:val="0"/>
                  <w:vAlign w:val="center"/>
                </w:tcPr>
                <w:p w14:paraId="16BC6B7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1166" w:type="pct"/>
                  <w:vMerge w:val="restart"/>
                  <w:noWrap w:val="0"/>
                  <w:vAlign w:val="center"/>
                </w:tcPr>
                <w:p w14:paraId="2948329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《城镇污水处理厂污染物排放标准》(GB18918-2002)表1中的一级A标准及《地表水环境质量标准》（GB3838-2002）Ⅳ类水标准</w:t>
                  </w:r>
                </w:p>
              </w:tc>
            </w:tr>
            <w:tr w14:paraId="274F24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noWrap w:val="0"/>
                  <w:vAlign w:val="center"/>
                </w:tcPr>
                <w:p w14:paraId="06D2351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w:t>
                  </w:r>
                </w:p>
              </w:tc>
              <w:tc>
                <w:tcPr>
                  <w:tcW w:w="853" w:type="pct"/>
                  <w:noWrap w:val="0"/>
                  <w:vAlign w:val="center"/>
                </w:tcPr>
                <w:p w14:paraId="7548F0E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500</w:t>
                  </w:r>
                </w:p>
              </w:tc>
              <w:tc>
                <w:tcPr>
                  <w:tcW w:w="1282" w:type="pct"/>
                  <w:vMerge w:val="continue"/>
                  <w:noWrap w:val="0"/>
                  <w:vAlign w:val="center"/>
                </w:tcPr>
                <w:p w14:paraId="75ADEEA3">
                  <w:pPr>
                    <w:jc w:val="center"/>
                    <w:rPr>
                      <w:rFonts w:hint="default" w:ascii="Times New Roman" w:hAnsi="Times New Roman" w:cs="Times New Roman"/>
                      <w:color w:val="auto"/>
                      <w:sz w:val="21"/>
                      <w:szCs w:val="21"/>
                      <w:highlight w:val="none"/>
                    </w:rPr>
                  </w:pPr>
                </w:p>
              </w:tc>
              <w:tc>
                <w:tcPr>
                  <w:tcW w:w="907" w:type="pct"/>
                  <w:noWrap w:val="0"/>
                  <w:vAlign w:val="center"/>
                </w:tcPr>
                <w:p w14:paraId="2C7F367D">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1166" w:type="pct"/>
                  <w:vMerge w:val="continue"/>
                  <w:noWrap w:val="0"/>
                  <w:vAlign w:val="center"/>
                </w:tcPr>
                <w:p w14:paraId="0B94E1B6">
                  <w:pPr>
                    <w:jc w:val="center"/>
                    <w:rPr>
                      <w:rFonts w:hint="default" w:ascii="Times New Roman" w:hAnsi="Times New Roman" w:cs="Times New Roman"/>
                      <w:color w:val="auto"/>
                      <w:sz w:val="21"/>
                      <w:szCs w:val="21"/>
                      <w:highlight w:val="none"/>
                    </w:rPr>
                  </w:pPr>
                </w:p>
              </w:tc>
            </w:tr>
            <w:tr w14:paraId="0A5FCF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noWrap w:val="0"/>
                  <w:vAlign w:val="center"/>
                </w:tcPr>
                <w:p w14:paraId="01595FCB">
                  <w:pPr>
                    <w:jc w:val="center"/>
                    <w:rPr>
                      <w:rFonts w:hint="default" w:ascii="Times New Roman" w:hAnsi="Times New Roman" w:eastAsia="宋体" w:cs="Times New Roman"/>
                      <w:color w:val="auto"/>
                      <w:sz w:val="21"/>
                      <w:szCs w:val="21"/>
                      <w:highlight w:val="none"/>
                      <w:vertAlign w:val="subscript"/>
                      <w:lang w:val="en-US" w:eastAsia="zh-CN"/>
                    </w:rPr>
                  </w:pPr>
                  <w:r>
                    <w:rPr>
                      <w:rFonts w:hint="default" w:ascii="Times New Roman" w:hAnsi="Times New Roman" w:cs="Times New Roman"/>
                      <w:color w:val="auto"/>
                      <w:sz w:val="21"/>
                      <w:szCs w:val="21"/>
                      <w:highlight w:val="none"/>
                      <w:lang w:val="en-US" w:eastAsia="zh-CN"/>
                    </w:rPr>
                    <w:t>BOD</w:t>
                  </w:r>
                  <w:r>
                    <w:rPr>
                      <w:rFonts w:hint="default" w:ascii="Times New Roman" w:hAnsi="Times New Roman" w:cs="Times New Roman"/>
                      <w:color w:val="auto"/>
                      <w:sz w:val="21"/>
                      <w:szCs w:val="21"/>
                      <w:highlight w:val="none"/>
                      <w:vertAlign w:val="subscript"/>
                      <w:lang w:val="en-US" w:eastAsia="zh-CN"/>
                    </w:rPr>
                    <w:t>5</w:t>
                  </w:r>
                </w:p>
              </w:tc>
              <w:tc>
                <w:tcPr>
                  <w:tcW w:w="853" w:type="pct"/>
                  <w:noWrap w:val="0"/>
                  <w:vAlign w:val="center"/>
                </w:tcPr>
                <w:p w14:paraId="29FEA75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200</w:t>
                  </w:r>
                </w:p>
              </w:tc>
              <w:tc>
                <w:tcPr>
                  <w:tcW w:w="1282" w:type="pct"/>
                  <w:vMerge w:val="continue"/>
                  <w:noWrap w:val="0"/>
                  <w:vAlign w:val="center"/>
                </w:tcPr>
                <w:p w14:paraId="027915FB">
                  <w:pPr>
                    <w:jc w:val="center"/>
                    <w:rPr>
                      <w:rFonts w:hint="default" w:ascii="Times New Roman" w:hAnsi="Times New Roman" w:cs="Times New Roman"/>
                      <w:color w:val="auto"/>
                      <w:sz w:val="21"/>
                      <w:szCs w:val="21"/>
                      <w:highlight w:val="none"/>
                    </w:rPr>
                  </w:pPr>
                </w:p>
              </w:tc>
              <w:tc>
                <w:tcPr>
                  <w:tcW w:w="907" w:type="pct"/>
                  <w:noWrap w:val="0"/>
                  <w:vAlign w:val="center"/>
                </w:tcPr>
                <w:p w14:paraId="15FC588B">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1166" w:type="pct"/>
                  <w:vMerge w:val="continue"/>
                  <w:noWrap w:val="0"/>
                  <w:vAlign w:val="center"/>
                </w:tcPr>
                <w:p w14:paraId="2D153152">
                  <w:pPr>
                    <w:jc w:val="center"/>
                    <w:rPr>
                      <w:rFonts w:hint="default" w:ascii="Times New Roman" w:hAnsi="Times New Roman" w:cs="Times New Roman"/>
                      <w:color w:val="auto"/>
                      <w:sz w:val="21"/>
                      <w:szCs w:val="21"/>
                      <w:highlight w:val="none"/>
                    </w:rPr>
                  </w:pPr>
                </w:p>
              </w:tc>
            </w:tr>
            <w:tr w14:paraId="4EF257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noWrap w:val="0"/>
                  <w:vAlign w:val="center"/>
                </w:tcPr>
                <w:p w14:paraId="5E3F006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853" w:type="pct"/>
                  <w:noWrap w:val="0"/>
                  <w:vAlign w:val="center"/>
                </w:tcPr>
                <w:p w14:paraId="208EC9A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400</w:t>
                  </w:r>
                </w:p>
              </w:tc>
              <w:tc>
                <w:tcPr>
                  <w:tcW w:w="1282" w:type="pct"/>
                  <w:vMerge w:val="continue"/>
                  <w:noWrap w:val="0"/>
                  <w:vAlign w:val="center"/>
                </w:tcPr>
                <w:p w14:paraId="3BA3B949">
                  <w:pPr>
                    <w:jc w:val="center"/>
                    <w:rPr>
                      <w:rFonts w:hint="default" w:ascii="Times New Roman" w:hAnsi="Times New Roman" w:cs="Times New Roman"/>
                      <w:color w:val="auto"/>
                      <w:sz w:val="21"/>
                      <w:szCs w:val="21"/>
                      <w:highlight w:val="none"/>
                    </w:rPr>
                  </w:pPr>
                </w:p>
              </w:tc>
              <w:tc>
                <w:tcPr>
                  <w:tcW w:w="907" w:type="pct"/>
                  <w:noWrap w:val="0"/>
                  <w:vAlign w:val="center"/>
                </w:tcPr>
                <w:p w14:paraId="2339CF25">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1166" w:type="pct"/>
                  <w:vMerge w:val="continue"/>
                  <w:noWrap w:val="0"/>
                  <w:vAlign w:val="center"/>
                </w:tcPr>
                <w:p w14:paraId="7B25DDC5">
                  <w:pPr>
                    <w:jc w:val="center"/>
                    <w:rPr>
                      <w:rFonts w:hint="default" w:ascii="Times New Roman" w:hAnsi="Times New Roman" w:cs="Times New Roman"/>
                      <w:color w:val="auto"/>
                      <w:sz w:val="21"/>
                      <w:szCs w:val="21"/>
                      <w:highlight w:val="none"/>
                    </w:rPr>
                  </w:pPr>
                </w:p>
              </w:tc>
            </w:tr>
            <w:tr w14:paraId="3A0D74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noWrap w:val="0"/>
                  <w:vAlign w:val="center"/>
                </w:tcPr>
                <w:p w14:paraId="67AF2D6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氨氮</w:t>
                  </w:r>
                </w:p>
              </w:tc>
              <w:tc>
                <w:tcPr>
                  <w:tcW w:w="853" w:type="pct"/>
                  <w:noWrap w:val="0"/>
                  <w:vAlign w:val="center"/>
                </w:tcPr>
                <w:p w14:paraId="7E018A4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45</w:t>
                  </w:r>
                </w:p>
              </w:tc>
              <w:tc>
                <w:tcPr>
                  <w:tcW w:w="1282" w:type="pct"/>
                  <w:vMerge w:val="continue"/>
                  <w:noWrap w:val="0"/>
                  <w:vAlign w:val="center"/>
                </w:tcPr>
                <w:p w14:paraId="237AD540">
                  <w:pPr>
                    <w:jc w:val="center"/>
                    <w:rPr>
                      <w:rFonts w:hint="default" w:ascii="Times New Roman" w:hAnsi="Times New Roman" w:cs="Times New Roman"/>
                      <w:color w:val="auto"/>
                      <w:sz w:val="21"/>
                      <w:szCs w:val="21"/>
                      <w:highlight w:val="none"/>
                    </w:rPr>
                  </w:pPr>
                </w:p>
              </w:tc>
              <w:tc>
                <w:tcPr>
                  <w:tcW w:w="907" w:type="pct"/>
                  <w:noWrap w:val="0"/>
                  <w:vAlign w:val="center"/>
                </w:tcPr>
                <w:p w14:paraId="47C3924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1.5</w:t>
                  </w:r>
                </w:p>
              </w:tc>
              <w:tc>
                <w:tcPr>
                  <w:tcW w:w="1166" w:type="pct"/>
                  <w:vMerge w:val="continue"/>
                  <w:noWrap w:val="0"/>
                  <w:vAlign w:val="center"/>
                </w:tcPr>
                <w:p w14:paraId="67C78074">
                  <w:pPr>
                    <w:jc w:val="center"/>
                    <w:rPr>
                      <w:rFonts w:hint="default" w:ascii="Times New Roman" w:hAnsi="Times New Roman" w:cs="Times New Roman"/>
                      <w:color w:val="auto"/>
                      <w:sz w:val="21"/>
                      <w:szCs w:val="21"/>
                      <w:highlight w:val="none"/>
                    </w:rPr>
                  </w:pPr>
                </w:p>
              </w:tc>
            </w:tr>
            <w:tr w14:paraId="1C97A8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noWrap w:val="0"/>
                  <w:vAlign w:val="center"/>
                </w:tcPr>
                <w:p w14:paraId="1D31727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总磷</w:t>
                  </w:r>
                </w:p>
              </w:tc>
              <w:tc>
                <w:tcPr>
                  <w:tcW w:w="853" w:type="pct"/>
                  <w:noWrap w:val="0"/>
                  <w:vAlign w:val="center"/>
                </w:tcPr>
                <w:p w14:paraId="68C12B9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8</w:t>
                  </w:r>
                </w:p>
              </w:tc>
              <w:tc>
                <w:tcPr>
                  <w:tcW w:w="1282" w:type="pct"/>
                  <w:vMerge w:val="continue"/>
                  <w:noWrap w:val="0"/>
                  <w:vAlign w:val="center"/>
                </w:tcPr>
                <w:p w14:paraId="02CD5560">
                  <w:pPr>
                    <w:jc w:val="center"/>
                    <w:rPr>
                      <w:rFonts w:hint="default" w:ascii="Times New Roman" w:hAnsi="Times New Roman" w:cs="Times New Roman"/>
                      <w:color w:val="auto"/>
                      <w:sz w:val="21"/>
                      <w:szCs w:val="21"/>
                      <w:highlight w:val="none"/>
                    </w:rPr>
                  </w:pPr>
                </w:p>
              </w:tc>
              <w:tc>
                <w:tcPr>
                  <w:tcW w:w="907" w:type="pct"/>
                  <w:noWrap w:val="0"/>
                  <w:vAlign w:val="center"/>
                </w:tcPr>
                <w:p w14:paraId="1F40C87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0.3</w:t>
                  </w:r>
                </w:p>
              </w:tc>
              <w:tc>
                <w:tcPr>
                  <w:tcW w:w="1166" w:type="pct"/>
                  <w:vMerge w:val="continue"/>
                  <w:noWrap w:val="0"/>
                  <w:vAlign w:val="center"/>
                </w:tcPr>
                <w:p w14:paraId="0559E897">
                  <w:pPr>
                    <w:jc w:val="center"/>
                    <w:rPr>
                      <w:rFonts w:hint="default" w:ascii="Times New Roman" w:hAnsi="Times New Roman" w:cs="Times New Roman"/>
                      <w:color w:val="auto"/>
                      <w:sz w:val="21"/>
                      <w:szCs w:val="21"/>
                      <w:highlight w:val="none"/>
                    </w:rPr>
                  </w:pPr>
                </w:p>
              </w:tc>
            </w:tr>
            <w:tr w14:paraId="548F74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noWrap w:val="0"/>
                  <w:vAlign w:val="center"/>
                </w:tcPr>
                <w:p w14:paraId="0EBB8EB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总氮</w:t>
                  </w:r>
                </w:p>
              </w:tc>
              <w:tc>
                <w:tcPr>
                  <w:tcW w:w="853" w:type="pct"/>
                  <w:noWrap w:val="0"/>
                  <w:vAlign w:val="center"/>
                </w:tcPr>
                <w:p w14:paraId="68C0102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55</w:t>
                  </w:r>
                </w:p>
              </w:tc>
              <w:tc>
                <w:tcPr>
                  <w:tcW w:w="1282" w:type="pct"/>
                  <w:vMerge w:val="continue"/>
                  <w:noWrap w:val="0"/>
                  <w:vAlign w:val="center"/>
                </w:tcPr>
                <w:p w14:paraId="2CA61D44">
                  <w:pPr>
                    <w:jc w:val="center"/>
                    <w:rPr>
                      <w:rFonts w:hint="default" w:ascii="Times New Roman" w:hAnsi="Times New Roman" w:cs="Times New Roman"/>
                      <w:color w:val="auto"/>
                      <w:sz w:val="21"/>
                      <w:szCs w:val="21"/>
                      <w:highlight w:val="none"/>
                    </w:rPr>
                  </w:pPr>
                </w:p>
              </w:tc>
              <w:tc>
                <w:tcPr>
                  <w:tcW w:w="907" w:type="pct"/>
                  <w:noWrap w:val="0"/>
                  <w:vAlign w:val="center"/>
                </w:tcPr>
                <w:p w14:paraId="2AA7FF7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15</w:t>
                  </w:r>
                </w:p>
              </w:tc>
              <w:tc>
                <w:tcPr>
                  <w:tcW w:w="1166" w:type="pct"/>
                  <w:vMerge w:val="continue"/>
                  <w:noWrap w:val="0"/>
                  <w:vAlign w:val="center"/>
                </w:tcPr>
                <w:p w14:paraId="3DD1CA4F">
                  <w:pPr>
                    <w:jc w:val="center"/>
                    <w:rPr>
                      <w:rFonts w:hint="default" w:ascii="Times New Roman" w:hAnsi="Times New Roman" w:cs="Times New Roman"/>
                      <w:color w:val="auto"/>
                      <w:sz w:val="21"/>
                      <w:szCs w:val="21"/>
                      <w:highlight w:val="none"/>
                    </w:rPr>
                  </w:pPr>
                </w:p>
              </w:tc>
            </w:tr>
          </w:tbl>
          <w:p w14:paraId="1F2676B9">
            <w:pPr>
              <w:adjustRightInd w:val="0"/>
              <w:snapToGrid w:val="0"/>
              <w:spacing w:line="360" w:lineRule="auto"/>
              <w:ind w:firstLine="422"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后期雨水排放管理要求</w:t>
            </w:r>
            <w:r>
              <w:rPr>
                <w:rFonts w:hint="default" w:ascii="Times New Roman" w:hAnsi="Times New Roman" w:eastAsia="宋体" w:cs="Times New Roman"/>
                <w:color w:val="auto"/>
                <w:sz w:val="21"/>
                <w:szCs w:val="21"/>
              </w:rPr>
              <w:t>：根据关于印发《江苏省重点行业工业企业雨水排放环境管理办法（试行）》的通知（苏污防攻坚指办〔2023〕71号），后期雨水应满足以下要求：</w:t>
            </w:r>
          </w:p>
          <w:p w14:paraId="363EA085">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①初期雨水收集到位后，应做好后期雨水的收集、监控和排放。</w:t>
            </w:r>
          </w:p>
          <w:p w14:paraId="4C1C8C5D">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后期雨水可直接排放或纳管市政雨水管网。雨水排放口水质应保持稳定、清洁。严禁将后期雨水排入污水收集处理设施，借道污水排口排放的，不得在污水排放监控点之前汇入，避免影响污水处理设施效能或产生稀释排污的嫌疑。</w:t>
            </w:r>
          </w:p>
          <w:p w14:paraId="3EFB7D55">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③工业企业原则上一个厂区只允许设置一个雨水排放口。确需设置两个及以上雨水排放口的，应书面告知生态环境部门。</w:t>
            </w:r>
          </w:p>
          <w:p w14:paraId="21452EF0">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④工业企业雨水排放口前须设置明渠或取样监测观察井。明渠长度一般不小于1.5米，检查井长宽不小于0.5米，检查井底部要低于管渠底部0.3米以上，内侧贴白色瓷砖。</w:t>
            </w:r>
          </w:p>
          <w:p w14:paraId="6770390D">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⑤工业企业雨水排放口应设立标志牌，标志牌安放位置醒目，保持清洁，不得污损、破坏。</w:t>
            </w:r>
          </w:p>
          <w:p w14:paraId="0DCD5A4F">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⑥工业企业雨水排放口应按相关规定和管理要求安装视频监控设备或水质在线监控设备，并与生态环境部门联网。水质在线监控因子由生态环境部门根据环境影响评价、排污许可管理、接管集中式污水处理厂去除能力，以及下游水功能区、国省考断面、饮用水源地等敏感目标管理要求等确定。</w:t>
            </w:r>
          </w:p>
          <w:p w14:paraId="3CEFB471">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⑦为有效防范后期雨水异常排放，必要时在雨水排放口前应安装自动紧急切断装置，并与水质在线监控设备连锁。发现雨水排放口水质异常，如监控因子浓度出现明显升高，或超过受纳水体水功能区目标等管控要求时，应立即启动工业企业突发环境事件应急预案，立即停止排水并排查超标原因，达到相关要求后方可恢复排水。</w:t>
            </w:r>
          </w:p>
          <w:p w14:paraId="47A13031">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⑧无降雨时，工业企业雨水排放口原则上应保持干燥；降雨后应及时排出积水，降雨停止1至3日后一般不应再出现对外排水。</w:t>
            </w:r>
          </w:p>
          <w:p w14:paraId="23E22B52">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3、噪声排放标准</w:t>
            </w:r>
          </w:p>
          <w:p w14:paraId="4CD982CC">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本项目营运期厂界四周噪声执行《工业企业厂界环境噪声排放标准》（GB12348－2008）</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类标准，具体见表3-</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rPr>
              <w:t>。</w:t>
            </w:r>
          </w:p>
          <w:p w14:paraId="2E750953">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w:t>
            </w:r>
            <w:r>
              <w:rPr>
                <w:rFonts w:hint="eastAsia" w:ascii="Times New Roman" w:hAnsi="Times New Roman" w:cs="Times New Roman"/>
                <w:b/>
                <w:color w:val="auto"/>
                <w:sz w:val="21"/>
                <w:szCs w:val="21"/>
                <w:lang w:val="en-US" w:eastAsia="zh-CN"/>
              </w:rPr>
              <w:t>8</w:t>
            </w:r>
            <w:r>
              <w:rPr>
                <w:rFonts w:hint="default" w:ascii="Times New Roman" w:hAnsi="Times New Roman" w:cs="Times New Roman"/>
                <w:b/>
                <w:color w:val="auto"/>
                <w:sz w:val="21"/>
                <w:szCs w:val="21"/>
              </w:rPr>
              <w:t xml:space="preserve"> 工业企业厂界环境噪声排放标准值    单位：dB(A)</w:t>
            </w:r>
          </w:p>
          <w:tbl>
            <w:tblPr>
              <w:tblStyle w:val="4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2758"/>
              <w:gridCol w:w="2759"/>
            </w:tblGrid>
            <w:tr w14:paraId="33E3FC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57" w:type="dxa"/>
                  <w:noWrap w:val="0"/>
                  <w:vAlign w:val="center"/>
                </w:tcPr>
                <w:p w14:paraId="7EA212E3">
                  <w:pPr>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类别</w:t>
                  </w:r>
                </w:p>
              </w:tc>
              <w:tc>
                <w:tcPr>
                  <w:tcW w:w="2758" w:type="dxa"/>
                  <w:noWrap w:val="0"/>
                  <w:vAlign w:val="center"/>
                </w:tcPr>
                <w:p w14:paraId="6B8EF59F">
                  <w:pPr>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昼间</w:t>
                  </w:r>
                </w:p>
              </w:tc>
              <w:tc>
                <w:tcPr>
                  <w:tcW w:w="2759" w:type="dxa"/>
                  <w:noWrap w:val="0"/>
                  <w:vAlign w:val="center"/>
                </w:tcPr>
                <w:p w14:paraId="44FDA12E">
                  <w:pPr>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夜间</w:t>
                  </w:r>
                </w:p>
              </w:tc>
            </w:tr>
            <w:tr w14:paraId="4E3F0F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757" w:type="dxa"/>
                  <w:noWrap w:val="0"/>
                  <w:vAlign w:val="center"/>
                </w:tcPr>
                <w:p w14:paraId="3DCE47F6">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3</w:t>
                  </w:r>
                </w:p>
              </w:tc>
              <w:tc>
                <w:tcPr>
                  <w:tcW w:w="2758" w:type="dxa"/>
                  <w:noWrap w:val="0"/>
                  <w:vAlign w:val="center"/>
                </w:tcPr>
                <w:p w14:paraId="48679FCF">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en-US" w:eastAsia="zh-CN"/>
                    </w:rPr>
                    <w:t>5</w:t>
                  </w:r>
                </w:p>
              </w:tc>
              <w:tc>
                <w:tcPr>
                  <w:tcW w:w="2759" w:type="dxa"/>
                  <w:noWrap w:val="0"/>
                  <w:vAlign w:val="center"/>
                </w:tcPr>
                <w:p w14:paraId="16955020">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5</w:t>
                  </w:r>
                  <w:r>
                    <w:rPr>
                      <w:rFonts w:hint="default" w:ascii="Times New Roman" w:hAnsi="Times New Roman" w:cs="Times New Roman"/>
                      <w:color w:val="auto"/>
                      <w:sz w:val="21"/>
                      <w:szCs w:val="21"/>
                      <w:lang w:val="en-US" w:eastAsia="zh-CN"/>
                    </w:rPr>
                    <w:t>5</w:t>
                  </w:r>
                </w:p>
              </w:tc>
            </w:tr>
          </w:tbl>
          <w:p w14:paraId="74838677">
            <w:pPr>
              <w:pStyle w:val="5"/>
              <w:topLinePunct/>
              <w:adjustRightInd w:val="0"/>
              <w:snapToGrid w:val="0"/>
              <w:spacing w:line="360" w:lineRule="auto"/>
              <w:ind w:firstLine="482"/>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4、固废</w:t>
            </w:r>
          </w:p>
          <w:p w14:paraId="6AFC99B4">
            <w:pPr>
              <w:adjustRightInd w:val="0"/>
              <w:snapToGrid w:val="0"/>
              <w:spacing w:line="360" w:lineRule="auto"/>
              <w:ind w:firstLine="420" w:firstLineChars="200"/>
              <w:jc w:val="lef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本项目产生的一般工业固体废物贮存执行《一般工业固体废物贮存和填埋污染控制标准》（GB 18599-2020）</w:t>
            </w:r>
            <w:r>
              <w:rPr>
                <w:rFonts w:hint="default" w:ascii="Times New Roman" w:hAnsi="Times New Roman" w:cs="Times New Roman"/>
                <w:color w:val="auto"/>
                <w:kern w:val="0"/>
                <w:sz w:val="21"/>
                <w:szCs w:val="21"/>
                <w:lang w:eastAsia="zh-CN"/>
              </w:rPr>
              <w:t>及</w:t>
            </w:r>
            <w:r>
              <w:rPr>
                <w:rFonts w:hint="default" w:ascii="Times New Roman" w:hAnsi="Times New Roman" w:cs="Times New Roman"/>
                <w:color w:val="auto"/>
                <w:kern w:val="0"/>
                <w:sz w:val="21"/>
                <w:szCs w:val="21"/>
              </w:rPr>
              <w:t>《江苏省固体废物全过程环境监管工作意见》（苏环办〔20</w:t>
            </w:r>
            <w:r>
              <w:rPr>
                <w:rFonts w:hint="default" w:ascii="Times New Roman" w:hAnsi="Times New Roman" w:cs="Times New Roman"/>
                <w:color w:val="auto"/>
                <w:kern w:val="0"/>
                <w:sz w:val="21"/>
                <w:szCs w:val="21"/>
                <w:lang w:val="en-US" w:eastAsia="zh-CN"/>
              </w:rPr>
              <w:t>24</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16</w:t>
            </w:r>
            <w:r>
              <w:rPr>
                <w:rFonts w:hint="default" w:ascii="Times New Roman" w:hAnsi="Times New Roman" w:cs="Times New Roman"/>
                <w:color w:val="auto"/>
                <w:kern w:val="0"/>
                <w:sz w:val="21"/>
                <w:szCs w:val="21"/>
              </w:rPr>
              <w:t>号）相关要求。生活垃圾处理执行《城市生活垃圾处理及污染防治技术政策》（建城〔20</w:t>
            </w:r>
            <w:r>
              <w:rPr>
                <w:rFonts w:hint="default" w:ascii="Times New Roman" w:hAnsi="Times New Roman" w:cs="Times New Roman"/>
                <w:color w:val="auto"/>
                <w:kern w:val="0"/>
                <w:sz w:val="21"/>
                <w:szCs w:val="21"/>
                <w:lang w:val="en-US" w:eastAsia="zh-CN"/>
              </w:rPr>
              <w:t>0</w:t>
            </w:r>
            <w:r>
              <w:rPr>
                <w:rFonts w:hint="default" w:ascii="Times New Roman" w:hAnsi="Times New Roman" w:cs="Times New Roman"/>
                <w:color w:val="auto"/>
                <w:kern w:val="0"/>
                <w:sz w:val="21"/>
                <w:szCs w:val="21"/>
              </w:rPr>
              <w:t>0〕120号）和《生活垃圾处理技术指南》（建城〔20</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0〕61号）以及国家、省市关于固体废物污染环境防治的法律法规</w:t>
            </w:r>
            <w:r>
              <w:rPr>
                <w:rFonts w:hint="default" w:ascii="Times New Roman" w:hAnsi="Times New Roman" w:cs="Times New Roman"/>
                <w:color w:val="auto"/>
                <w:kern w:val="0"/>
                <w:sz w:val="21"/>
                <w:szCs w:val="21"/>
                <w:lang w:eastAsia="zh-CN"/>
              </w:rPr>
              <w:t>。</w:t>
            </w:r>
          </w:p>
          <w:p w14:paraId="695B3C05">
            <w:pPr>
              <w:adjustRightInd w:val="0"/>
              <w:snapToGrid w:val="0"/>
              <w:spacing w:line="360" w:lineRule="auto"/>
              <w:ind w:firstLine="420" w:firstLineChars="200"/>
              <w:jc w:val="left"/>
              <w:rPr>
                <w:rFonts w:hint="default" w:ascii="Times New Roman" w:hAnsi="Times New Roman" w:cs="Times New Roman"/>
                <w:color w:val="auto"/>
                <w:kern w:val="0"/>
                <w:sz w:val="21"/>
                <w:szCs w:val="21"/>
              </w:rPr>
            </w:pPr>
          </w:p>
        </w:tc>
      </w:tr>
      <w:tr w14:paraId="2BD2B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24" w:type="dxa"/>
            <w:noWrap w:val="0"/>
            <w:vAlign w:val="center"/>
          </w:tcPr>
          <w:p w14:paraId="40D99244">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总量</w:t>
            </w:r>
          </w:p>
          <w:p w14:paraId="0C2C41AB">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控制</w:t>
            </w:r>
          </w:p>
          <w:p w14:paraId="2F16DCAD">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指标</w:t>
            </w:r>
          </w:p>
        </w:tc>
        <w:tc>
          <w:tcPr>
            <w:tcW w:w="8674" w:type="dxa"/>
            <w:noWrap w:val="0"/>
            <w:vAlign w:val="center"/>
          </w:tcPr>
          <w:p w14:paraId="216847C4">
            <w:pPr>
              <w:autoSpaceDE w:val="0"/>
              <w:autoSpaceDN w:val="0"/>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本项目</w:t>
            </w:r>
            <w:r>
              <w:rPr>
                <w:rFonts w:hint="default" w:ascii="Times New Roman" w:hAnsi="Times New Roman" w:cs="Times New Roman"/>
                <w:bCs/>
                <w:color w:val="auto"/>
                <w:sz w:val="21"/>
                <w:szCs w:val="21"/>
              </w:rPr>
              <w:t>污染物达标排放量见表3-</w:t>
            </w:r>
            <w:r>
              <w:rPr>
                <w:rFonts w:hint="eastAsia" w:ascii="Times New Roman" w:hAnsi="Times New Roman" w:cs="Times New Roman"/>
                <w:bCs/>
                <w:color w:val="auto"/>
                <w:sz w:val="21"/>
                <w:szCs w:val="21"/>
                <w:lang w:val="en-US" w:eastAsia="zh-CN"/>
              </w:rPr>
              <w:t>9</w:t>
            </w:r>
            <w:r>
              <w:rPr>
                <w:rFonts w:hint="default" w:ascii="Times New Roman" w:hAnsi="Times New Roman" w:cs="Times New Roman"/>
                <w:bCs/>
                <w:color w:val="auto"/>
                <w:sz w:val="21"/>
                <w:szCs w:val="21"/>
              </w:rPr>
              <w:t>。</w:t>
            </w:r>
          </w:p>
          <w:p w14:paraId="5AB5DCD1">
            <w:pPr>
              <w:spacing w:line="360" w:lineRule="exact"/>
              <w:jc w:val="center"/>
              <w:outlineLvl w:val="0"/>
              <w:rPr>
                <w:rFonts w:hint="default"/>
                <w:color w:val="auto"/>
              </w:rPr>
            </w:pPr>
            <w:r>
              <w:rPr>
                <w:rFonts w:hint="default" w:ascii="Times New Roman" w:hAnsi="Times New Roman" w:cs="Times New Roman"/>
                <w:b/>
                <w:bCs/>
                <w:color w:val="auto"/>
                <w:sz w:val="21"/>
                <w:szCs w:val="21"/>
              </w:rPr>
              <w:t>表3-</w:t>
            </w:r>
            <w:r>
              <w:rPr>
                <w:rFonts w:hint="eastAsia" w:ascii="Times New Roman" w:hAnsi="Times New Roman" w:cs="Times New Roman"/>
                <w:b/>
                <w:bCs/>
                <w:color w:val="auto"/>
                <w:sz w:val="21"/>
                <w:szCs w:val="21"/>
                <w:lang w:val="en-US" w:eastAsia="zh-CN"/>
              </w:rPr>
              <w:t>9</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eastAsia="zh-CN"/>
              </w:rPr>
              <w:t>本项目</w:t>
            </w:r>
            <w:r>
              <w:rPr>
                <w:rFonts w:hint="default" w:ascii="Times New Roman" w:hAnsi="Times New Roman" w:cs="Times New Roman"/>
                <w:b/>
                <w:bCs/>
                <w:color w:val="auto"/>
                <w:sz w:val="21"/>
                <w:szCs w:val="21"/>
              </w:rPr>
              <w:t>污染物达标排放量  （单位：t/a）</w:t>
            </w:r>
          </w:p>
          <w:tbl>
            <w:tblPr>
              <w:tblStyle w:val="41"/>
              <w:tblW w:w="4793"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9"/>
              <w:gridCol w:w="540"/>
              <w:gridCol w:w="1429"/>
              <w:gridCol w:w="910"/>
              <w:gridCol w:w="1545"/>
              <w:gridCol w:w="1665"/>
              <w:gridCol w:w="1320"/>
            </w:tblGrid>
            <w:tr w14:paraId="51DB5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431" w:type="pct"/>
                  <w:noWrap w:val="0"/>
                  <w:vAlign w:val="center"/>
                </w:tcPr>
                <w:p w14:paraId="70ED8C0A">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种类</w:t>
                  </w:r>
                </w:p>
              </w:tc>
              <w:tc>
                <w:tcPr>
                  <w:tcW w:w="1214" w:type="pct"/>
                  <w:gridSpan w:val="2"/>
                  <w:noWrap w:val="0"/>
                  <w:vAlign w:val="center"/>
                </w:tcPr>
                <w:p w14:paraId="62B818E9">
                  <w:pPr>
                    <w:jc w:val="center"/>
                    <w:rPr>
                      <w:rFonts w:hint="default" w:ascii="Times New Roman" w:hAnsi="Times New Roman" w:eastAsia="宋体" w:cs="Times New Roman"/>
                      <w:b/>
                      <w:bCs/>
                      <w:color w:val="auto"/>
                      <w:sz w:val="21"/>
                      <w:szCs w:val="21"/>
                      <w:lang w:val="en-US" w:eastAsia="zh-CN"/>
                    </w:rPr>
                  </w:pPr>
                </w:p>
                <w:p w14:paraId="31830595">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污染物名称</w:t>
                  </w:r>
                </w:p>
              </w:tc>
              <w:tc>
                <w:tcPr>
                  <w:tcW w:w="561" w:type="pct"/>
                  <w:noWrap w:val="0"/>
                  <w:vAlign w:val="center"/>
                </w:tcPr>
                <w:p w14:paraId="0F6274CE">
                  <w:pPr>
                    <w:jc w:val="center"/>
                    <w:rPr>
                      <w:rFonts w:hint="eastAsia" w:ascii="Times New Roman" w:hAnsi="Times New Roman" w:eastAsia="宋体" w:cs="Times New Roman"/>
                      <w:b/>
                      <w:bCs/>
                      <w:color w:val="auto"/>
                      <w:sz w:val="21"/>
                      <w:szCs w:val="21"/>
                      <w:lang w:val="en-US" w:eastAsia="zh-CN"/>
                    </w:rPr>
                  </w:pPr>
                </w:p>
                <w:p w14:paraId="54B51880">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产生量</w:t>
                  </w:r>
                </w:p>
              </w:tc>
              <w:tc>
                <w:tcPr>
                  <w:tcW w:w="952" w:type="pct"/>
                  <w:noWrap w:val="0"/>
                  <w:vAlign w:val="center"/>
                </w:tcPr>
                <w:p w14:paraId="1360A8A7">
                  <w:pPr>
                    <w:jc w:val="center"/>
                    <w:rPr>
                      <w:rFonts w:hint="default" w:ascii="Times New Roman" w:hAnsi="Times New Roman" w:eastAsia="宋体" w:cs="Times New Roman"/>
                      <w:b/>
                      <w:bCs/>
                      <w:color w:val="auto"/>
                      <w:sz w:val="21"/>
                      <w:szCs w:val="21"/>
                      <w:lang w:val="en-US" w:eastAsia="zh-CN"/>
                    </w:rPr>
                  </w:pPr>
                </w:p>
                <w:p w14:paraId="6349A041">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消减量</w:t>
                  </w:r>
                </w:p>
              </w:tc>
              <w:tc>
                <w:tcPr>
                  <w:tcW w:w="1026" w:type="pct"/>
                  <w:noWrap w:val="0"/>
                  <w:vAlign w:val="center"/>
                </w:tcPr>
                <w:p w14:paraId="24A7811C">
                  <w:pPr>
                    <w:jc w:val="center"/>
                    <w:rPr>
                      <w:rFonts w:hint="default" w:ascii="Times New Roman" w:hAnsi="Times New Roman" w:eastAsia="宋体" w:cs="Times New Roman"/>
                      <w:b/>
                      <w:bCs/>
                      <w:color w:val="auto"/>
                      <w:sz w:val="21"/>
                      <w:szCs w:val="21"/>
                      <w:lang w:val="en-US" w:eastAsia="zh-CN"/>
                    </w:rPr>
                  </w:pPr>
                </w:p>
                <w:p w14:paraId="603E4C57">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排放量</w:t>
                  </w:r>
                </w:p>
              </w:tc>
              <w:tc>
                <w:tcPr>
                  <w:tcW w:w="814" w:type="pct"/>
                  <w:noWrap w:val="0"/>
                  <w:vAlign w:val="center"/>
                </w:tcPr>
                <w:p w14:paraId="1EEC586F">
                  <w:pPr>
                    <w:jc w:val="center"/>
                    <w:rPr>
                      <w:rFonts w:hint="default" w:ascii="Times New Roman" w:hAnsi="Times New Roman" w:eastAsia="宋体" w:cs="Times New Roman"/>
                      <w:b/>
                      <w:bCs/>
                      <w:color w:val="auto"/>
                      <w:sz w:val="21"/>
                      <w:szCs w:val="21"/>
                      <w:lang w:val="en-US" w:eastAsia="zh-CN"/>
                    </w:rPr>
                  </w:pPr>
                </w:p>
                <w:p w14:paraId="0A01752F">
                  <w:pPr>
                    <w:ind w:firstLine="211" w:firstLineChars="100"/>
                    <w:jc w:val="both"/>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外排量</w:t>
                  </w:r>
                </w:p>
              </w:tc>
            </w:tr>
            <w:tr w14:paraId="13825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431" w:type="pct"/>
                  <w:vMerge w:val="restart"/>
                  <w:noWrap w:val="0"/>
                  <w:vAlign w:val="center"/>
                </w:tcPr>
                <w:p w14:paraId="33938AB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tc>
              <w:tc>
                <w:tcPr>
                  <w:tcW w:w="333" w:type="pct"/>
                  <w:vMerge w:val="restart"/>
                  <w:noWrap w:val="0"/>
                  <w:vAlign w:val="center"/>
                </w:tcPr>
                <w:p w14:paraId="607E33A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w:t>
                  </w:r>
                </w:p>
              </w:tc>
              <w:tc>
                <w:tcPr>
                  <w:tcW w:w="881" w:type="pct"/>
                  <w:noWrap w:val="0"/>
                  <w:vAlign w:val="center"/>
                </w:tcPr>
                <w:p w14:paraId="04048C2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561" w:type="pct"/>
                  <w:noWrap w:val="0"/>
                  <w:vAlign w:val="center"/>
                </w:tcPr>
                <w:p w14:paraId="7C034AA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0.7436</w:t>
                  </w:r>
                </w:p>
              </w:tc>
              <w:tc>
                <w:tcPr>
                  <w:tcW w:w="952" w:type="pct"/>
                  <w:noWrap w:val="0"/>
                  <w:vAlign w:val="center"/>
                </w:tcPr>
                <w:p w14:paraId="4A9B3CF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c>
                <w:tcPr>
                  <w:tcW w:w="1026" w:type="pct"/>
                  <w:noWrap w:val="0"/>
                  <w:vAlign w:val="center"/>
                </w:tcPr>
                <w:p w14:paraId="2E33CFC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0.7436</w:t>
                  </w:r>
                </w:p>
              </w:tc>
              <w:tc>
                <w:tcPr>
                  <w:tcW w:w="814" w:type="pct"/>
                  <w:noWrap w:val="0"/>
                  <w:vAlign w:val="center"/>
                </w:tcPr>
                <w:p w14:paraId="53CC8C6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0.7436</w:t>
                  </w:r>
                </w:p>
              </w:tc>
            </w:tr>
            <w:tr w14:paraId="2FCDCA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31" w:type="pct"/>
                  <w:vMerge w:val="continue"/>
                  <w:noWrap w:val="0"/>
                  <w:vAlign w:val="center"/>
                </w:tcPr>
                <w:p w14:paraId="359D95E6">
                  <w:pPr>
                    <w:jc w:val="center"/>
                    <w:rPr>
                      <w:rFonts w:hint="default" w:ascii="Times New Roman" w:hAnsi="Times New Roman" w:eastAsia="宋体" w:cs="Times New Roman"/>
                      <w:color w:val="auto"/>
                      <w:sz w:val="21"/>
                      <w:szCs w:val="21"/>
                      <w:lang w:val="en-US" w:eastAsia="zh-CN"/>
                    </w:rPr>
                  </w:pPr>
                </w:p>
              </w:tc>
              <w:tc>
                <w:tcPr>
                  <w:tcW w:w="333" w:type="pct"/>
                  <w:vMerge w:val="continue"/>
                  <w:noWrap w:val="0"/>
                  <w:vAlign w:val="center"/>
                </w:tcPr>
                <w:p w14:paraId="08BDBDE7">
                  <w:pPr>
                    <w:jc w:val="center"/>
                    <w:rPr>
                      <w:rFonts w:hint="default" w:ascii="Times New Roman" w:hAnsi="Times New Roman" w:eastAsia="宋体" w:cs="Times New Roman"/>
                      <w:color w:val="auto"/>
                      <w:sz w:val="21"/>
                      <w:szCs w:val="21"/>
                      <w:lang w:val="en-US" w:eastAsia="zh-CN"/>
                    </w:rPr>
                  </w:pPr>
                </w:p>
              </w:tc>
              <w:tc>
                <w:tcPr>
                  <w:tcW w:w="881" w:type="pct"/>
                  <w:noWrap w:val="0"/>
                  <w:vAlign w:val="center"/>
                </w:tcPr>
                <w:p w14:paraId="49B74FE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二氧化硫</w:t>
                  </w:r>
                </w:p>
              </w:tc>
              <w:tc>
                <w:tcPr>
                  <w:tcW w:w="561" w:type="pct"/>
                  <w:noWrap w:val="0"/>
                  <w:vAlign w:val="center"/>
                </w:tcPr>
                <w:p w14:paraId="2E9F6256">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0.52</w:t>
                  </w:r>
                </w:p>
              </w:tc>
              <w:tc>
                <w:tcPr>
                  <w:tcW w:w="952" w:type="pct"/>
                  <w:noWrap w:val="0"/>
                  <w:vAlign w:val="center"/>
                </w:tcPr>
                <w:p w14:paraId="5C944E12">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c>
                <w:tcPr>
                  <w:tcW w:w="1026" w:type="pct"/>
                  <w:noWrap w:val="0"/>
                  <w:vAlign w:val="center"/>
                </w:tcPr>
                <w:p w14:paraId="43405F6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0.52</w:t>
                  </w:r>
                </w:p>
              </w:tc>
              <w:tc>
                <w:tcPr>
                  <w:tcW w:w="814" w:type="pct"/>
                  <w:noWrap w:val="0"/>
                  <w:vAlign w:val="center"/>
                </w:tcPr>
                <w:p w14:paraId="063A0FC2">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0.52</w:t>
                  </w:r>
                </w:p>
              </w:tc>
            </w:tr>
            <w:tr w14:paraId="048951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431" w:type="pct"/>
                  <w:vMerge w:val="continue"/>
                  <w:noWrap w:val="0"/>
                  <w:vAlign w:val="center"/>
                </w:tcPr>
                <w:p w14:paraId="126C7125">
                  <w:pPr>
                    <w:jc w:val="center"/>
                    <w:rPr>
                      <w:rFonts w:hint="default" w:ascii="Times New Roman" w:hAnsi="Times New Roman" w:eastAsia="宋体" w:cs="Times New Roman"/>
                      <w:color w:val="auto"/>
                      <w:sz w:val="21"/>
                      <w:szCs w:val="21"/>
                      <w:lang w:val="en-US" w:eastAsia="zh-CN"/>
                    </w:rPr>
                  </w:pPr>
                </w:p>
              </w:tc>
              <w:tc>
                <w:tcPr>
                  <w:tcW w:w="333" w:type="pct"/>
                  <w:vMerge w:val="continue"/>
                  <w:noWrap w:val="0"/>
                  <w:vAlign w:val="center"/>
                </w:tcPr>
                <w:p w14:paraId="313745DA">
                  <w:pPr>
                    <w:jc w:val="center"/>
                    <w:rPr>
                      <w:rFonts w:hint="default" w:ascii="Times New Roman" w:hAnsi="Times New Roman" w:eastAsia="宋体" w:cs="Times New Roman"/>
                      <w:color w:val="auto"/>
                      <w:sz w:val="21"/>
                      <w:szCs w:val="21"/>
                      <w:lang w:val="en-US" w:eastAsia="zh-CN"/>
                    </w:rPr>
                  </w:pPr>
                </w:p>
              </w:tc>
              <w:tc>
                <w:tcPr>
                  <w:tcW w:w="881" w:type="pct"/>
                  <w:noWrap w:val="0"/>
                  <w:vAlign w:val="center"/>
                </w:tcPr>
                <w:p w14:paraId="26BC19A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氮氧化物</w:t>
                  </w:r>
                </w:p>
              </w:tc>
              <w:tc>
                <w:tcPr>
                  <w:tcW w:w="561" w:type="pct"/>
                  <w:noWrap w:val="0"/>
                  <w:vAlign w:val="center"/>
                </w:tcPr>
                <w:p w14:paraId="7AA2AEC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4.862</w:t>
                  </w:r>
                </w:p>
              </w:tc>
              <w:tc>
                <w:tcPr>
                  <w:tcW w:w="952" w:type="pct"/>
                  <w:noWrap w:val="0"/>
                  <w:vAlign w:val="center"/>
                </w:tcPr>
                <w:p w14:paraId="1FE31D3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2.431</w:t>
                  </w:r>
                </w:p>
              </w:tc>
              <w:tc>
                <w:tcPr>
                  <w:tcW w:w="1026" w:type="pct"/>
                  <w:noWrap w:val="0"/>
                  <w:vAlign w:val="center"/>
                </w:tcPr>
                <w:p w14:paraId="66E997E7">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2.431</w:t>
                  </w:r>
                </w:p>
              </w:tc>
              <w:tc>
                <w:tcPr>
                  <w:tcW w:w="814" w:type="pct"/>
                  <w:noWrap w:val="0"/>
                  <w:vAlign w:val="center"/>
                </w:tcPr>
                <w:p w14:paraId="04F61B0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2.431</w:t>
                  </w:r>
                </w:p>
              </w:tc>
            </w:tr>
            <w:tr w14:paraId="74A948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431" w:type="pct"/>
                  <w:vMerge w:val="continue"/>
                  <w:noWrap w:val="0"/>
                  <w:vAlign w:val="center"/>
                </w:tcPr>
                <w:p w14:paraId="48817F3D">
                  <w:pPr>
                    <w:jc w:val="center"/>
                    <w:rPr>
                      <w:color w:val="auto"/>
                    </w:rPr>
                  </w:pPr>
                </w:p>
              </w:tc>
              <w:tc>
                <w:tcPr>
                  <w:tcW w:w="333" w:type="pct"/>
                  <w:noWrap w:val="0"/>
                  <w:vAlign w:val="center"/>
                </w:tcPr>
                <w:p w14:paraId="568EF00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无组织</w:t>
                  </w:r>
                </w:p>
              </w:tc>
              <w:tc>
                <w:tcPr>
                  <w:tcW w:w="881" w:type="pct"/>
                  <w:noWrap w:val="0"/>
                  <w:vAlign w:val="center"/>
                </w:tcPr>
                <w:p w14:paraId="7A6A20E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w:t>
                  </w:r>
                </w:p>
              </w:tc>
              <w:tc>
                <w:tcPr>
                  <w:tcW w:w="561" w:type="pct"/>
                  <w:noWrap w:val="0"/>
                  <w:vAlign w:val="center"/>
                </w:tcPr>
                <w:p w14:paraId="051D167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0.06204</w:t>
                  </w:r>
                </w:p>
              </w:tc>
              <w:tc>
                <w:tcPr>
                  <w:tcW w:w="952" w:type="pct"/>
                  <w:noWrap w:val="0"/>
                  <w:vAlign w:val="center"/>
                </w:tcPr>
                <w:p w14:paraId="63C416C9">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c>
                <w:tcPr>
                  <w:tcW w:w="1026" w:type="pct"/>
                  <w:noWrap w:val="0"/>
                  <w:vAlign w:val="center"/>
                </w:tcPr>
                <w:p w14:paraId="3D31E28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0.06204</w:t>
                  </w:r>
                </w:p>
              </w:tc>
              <w:tc>
                <w:tcPr>
                  <w:tcW w:w="814" w:type="pct"/>
                  <w:noWrap w:val="0"/>
                  <w:vAlign w:val="center"/>
                </w:tcPr>
                <w:p w14:paraId="4281783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0.06204</w:t>
                  </w:r>
                </w:p>
              </w:tc>
            </w:tr>
            <w:tr w14:paraId="2FD5C1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restart"/>
                  <w:noWrap w:val="0"/>
                  <w:vAlign w:val="center"/>
                </w:tcPr>
                <w:p w14:paraId="757958F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1214" w:type="pct"/>
                  <w:gridSpan w:val="2"/>
                  <w:noWrap w:val="0"/>
                  <w:vAlign w:val="center"/>
                </w:tcPr>
                <w:p w14:paraId="08E11AE4">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排水量</w:t>
                  </w:r>
                </w:p>
              </w:tc>
              <w:tc>
                <w:tcPr>
                  <w:tcW w:w="561" w:type="pct"/>
                  <w:noWrap w:val="0"/>
                  <w:vAlign w:val="center"/>
                </w:tcPr>
                <w:p w14:paraId="6AAFFF57">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2169</w:t>
                  </w:r>
                </w:p>
              </w:tc>
              <w:tc>
                <w:tcPr>
                  <w:tcW w:w="952" w:type="pct"/>
                  <w:noWrap w:val="0"/>
                  <w:vAlign w:val="center"/>
                </w:tcPr>
                <w:p w14:paraId="1383D42A">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w:t>
                  </w:r>
                </w:p>
              </w:tc>
              <w:tc>
                <w:tcPr>
                  <w:tcW w:w="1026" w:type="pct"/>
                  <w:noWrap w:val="0"/>
                  <w:vAlign w:val="center"/>
                </w:tcPr>
                <w:p w14:paraId="1F192938">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2169</w:t>
                  </w:r>
                </w:p>
              </w:tc>
              <w:tc>
                <w:tcPr>
                  <w:tcW w:w="814" w:type="pct"/>
                  <w:noWrap w:val="0"/>
                  <w:vAlign w:val="center"/>
                </w:tcPr>
                <w:p w14:paraId="707C7056">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2169</w:t>
                  </w:r>
                </w:p>
              </w:tc>
            </w:tr>
            <w:tr w14:paraId="716EBD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00BE242F">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5822601D">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COD</w:t>
                  </w:r>
                </w:p>
              </w:tc>
              <w:tc>
                <w:tcPr>
                  <w:tcW w:w="561" w:type="pct"/>
                  <w:noWrap w:val="0"/>
                  <w:vAlign w:val="center"/>
                </w:tcPr>
                <w:p w14:paraId="1BC7FA78">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0.8009</w:t>
                  </w:r>
                </w:p>
              </w:tc>
              <w:tc>
                <w:tcPr>
                  <w:tcW w:w="952" w:type="pct"/>
                  <w:noWrap w:val="0"/>
                  <w:vAlign w:val="center"/>
                </w:tcPr>
                <w:p w14:paraId="0E3FEF2F">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0.219</w:t>
                  </w:r>
                </w:p>
              </w:tc>
              <w:tc>
                <w:tcPr>
                  <w:tcW w:w="1026" w:type="pct"/>
                  <w:noWrap w:val="0"/>
                  <w:vAlign w:val="center"/>
                </w:tcPr>
                <w:p w14:paraId="38782E63">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0.5819</w:t>
                  </w:r>
                </w:p>
              </w:tc>
              <w:tc>
                <w:tcPr>
                  <w:tcW w:w="814" w:type="pct"/>
                  <w:noWrap w:val="0"/>
                  <w:vAlign w:val="center"/>
                </w:tcPr>
                <w:p w14:paraId="71F8C328">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0.06507</w:t>
                  </w:r>
                </w:p>
              </w:tc>
            </w:tr>
            <w:tr w14:paraId="584D5F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3125EA4F">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7CEBD8F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561" w:type="pct"/>
                  <w:noWrap w:val="0"/>
                  <w:vAlign w:val="center"/>
                </w:tcPr>
                <w:p w14:paraId="40D2F49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0.219</w:t>
                  </w:r>
                </w:p>
              </w:tc>
              <w:tc>
                <w:tcPr>
                  <w:tcW w:w="952" w:type="pct"/>
                  <w:noWrap w:val="0"/>
                  <w:vAlign w:val="center"/>
                </w:tcPr>
                <w:p w14:paraId="4357CD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026" w:type="pct"/>
                  <w:noWrap w:val="0"/>
                  <w:vAlign w:val="center"/>
                </w:tcPr>
                <w:p w14:paraId="77632D5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0.219</w:t>
                  </w:r>
                </w:p>
              </w:tc>
              <w:tc>
                <w:tcPr>
                  <w:tcW w:w="814" w:type="pct"/>
                  <w:noWrap w:val="0"/>
                  <w:vAlign w:val="center"/>
                </w:tcPr>
                <w:p w14:paraId="6F0EF5C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0.00876</w:t>
                  </w:r>
                </w:p>
              </w:tc>
            </w:tr>
            <w:tr w14:paraId="0A91CB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4094CE2D">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28E00AB6">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SS</w:t>
                  </w:r>
                </w:p>
              </w:tc>
              <w:tc>
                <w:tcPr>
                  <w:tcW w:w="561" w:type="pct"/>
                  <w:noWrap w:val="0"/>
                  <w:vAlign w:val="center"/>
                </w:tcPr>
                <w:p w14:paraId="7E972FB1">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0.78672</w:t>
                  </w:r>
                </w:p>
              </w:tc>
              <w:tc>
                <w:tcPr>
                  <w:tcW w:w="952" w:type="pct"/>
                  <w:noWrap w:val="0"/>
                  <w:vAlign w:val="center"/>
                </w:tcPr>
                <w:p w14:paraId="67D8F892">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0.146</w:t>
                  </w:r>
                </w:p>
              </w:tc>
              <w:tc>
                <w:tcPr>
                  <w:tcW w:w="1026" w:type="pct"/>
                  <w:noWrap w:val="0"/>
                  <w:vAlign w:val="center"/>
                </w:tcPr>
                <w:p w14:paraId="1C39FB14">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0.64072</w:t>
                  </w:r>
                </w:p>
              </w:tc>
              <w:tc>
                <w:tcPr>
                  <w:tcW w:w="814" w:type="pct"/>
                  <w:noWrap w:val="0"/>
                  <w:vAlign w:val="center"/>
                </w:tcPr>
                <w:p w14:paraId="122132C9">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0.02169</w:t>
                  </w:r>
                </w:p>
              </w:tc>
            </w:tr>
            <w:tr w14:paraId="2B7E86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39602C6F">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6FCE08B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561" w:type="pct"/>
                  <w:noWrap w:val="0"/>
                  <w:vAlign w:val="center"/>
                </w:tcPr>
                <w:p w14:paraId="5870918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c>
                <w:tcPr>
                  <w:tcW w:w="952" w:type="pct"/>
                  <w:noWrap w:val="0"/>
                  <w:vAlign w:val="center"/>
                </w:tcPr>
                <w:p w14:paraId="0D9EF8C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026" w:type="pct"/>
                  <w:noWrap w:val="0"/>
                  <w:vAlign w:val="center"/>
                </w:tcPr>
                <w:p w14:paraId="509FFDD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c>
                <w:tcPr>
                  <w:tcW w:w="814" w:type="pct"/>
                  <w:noWrap w:val="0"/>
                  <w:vAlign w:val="center"/>
                </w:tcPr>
                <w:p w14:paraId="1CA288E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0.00219</w:t>
                  </w:r>
                </w:p>
              </w:tc>
            </w:tr>
            <w:tr w14:paraId="719CB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0EB50311">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0AA9828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TP</w:t>
                  </w:r>
                </w:p>
              </w:tc>
              <w:tc>
                <w:tcPr>
                  <w:tcW w:w="561" w:type="pct"/>
                  <w:noWrap w:val="0"/>
                  <w:vAlign w:val="center"/>
                </w:tcPr>
                <w:p w14:paraId="2831790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0.0073</w:t>
                  </w:r>
                </w:p>
              </w:tc>
              <w:tc>
                <w:tcPr>
                  <w:tcW w:w="952" w:type="pct"/>
                  <w:noWrap w:val="0"/>
                  <w:vAlign w:val="center"/>
                </w:tcPr>
                <w:p w14:paraId="1C60F49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026" w:type="pct"/>
                  <w:noWrap w:val="0"/>
                  <w:vAlign w:val="center"/>
                </w:tcPr>
                <w:p w14:paraId="2B2D479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0.0073</w:t>
                  </w:r>
                </w:p>
              </w:tc>
              <w:tc>
                <w:tcPr>
                  <w:tcW w:w="814" w:type="pct"/>
                  <w:noWrap w:val="0"/>
                  <w:vAlign w:val="center"/>
                </w:tcPr>
                <w:p w14:paraId="476BE36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0.000438</w:t>
                  </w:r>
                </w:p>
              </w:tc>
            </w:tr>
            <w:tr w14:paraId="1B146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6C5CBBD5">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208A402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TN</w:t>
                  </w:r>
                </w:p>
              </w:tc>
              <w:tc>
                <w:tcPr>
                  <w:tcW w:w="561" w:type="pct"/>
                  <w:noWrap w:val="0"/>
                  <w:vAlign w:val="center"/>
                </w:tcPr>
                <w:p w14:paraId="35AEA5A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0.0584</w:t>
                  </w:r>
                </w:p>
              </w:tc>
              <w:tc>
                <w:tcPr>
                  <w:tcW w:w="952" w:type="pct"/>
                  <w:noWrap w:val="0"/>
                  <w:vAlign w:val="center"/>
                </w:tcPr>
                <w:p w14:paraId="6488FD2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0.0142</w:t>
                  </w:r>
                </w:p>
              </w:tc>
              <w:tc>
                <w:tcPr>
                  <w:tcW w:w="1026" w:type="pct"/>
                  <w:noWrap w:val="0"/>
                  <w:vAlign w:val="center"/>
                </w:tcPr>
                <w:p w14:paraId="4B2A928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c>
                <w:tcPr>
                  <w:tcW w:w="814" w:type="pct"/>
                  <w:noWrap w:val="0"/>
                  <w:vAlign w:val="center"/>
                </w:tcPr>
                <w:p w14:paraId="3A16AAD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0.0219</w:t>
                  </w:r>
                </w:p>
              </w:tc>
            </w:tr>
            <w:tr w14:paraId="0564FD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restart"/>
                  <w:noWrap w:val="0"/>
                  <w:vAlign w:val="center"/>
                </w:tcPr>
                <w:p w14:paraId="76C96E6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固废</w:t>
                  </w:r>
                </w:p>
              </w:tc>
              <w:tc>
                <w:tcPr>
                  <w:tcW w:w="1214" w:type="pct"/>
                  <w:gridSpan w:val="2"/>
                  <w:noWrap w:val="0"/>
                  <w:vAlign w:val="center"/>
                </w:tcPr>
                <w:p w14:paraId="40C4F23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561" w:type="pct"/>
                  <w:noWrap w:val="0"/>
                  <w:vAlign w:val="center"/>
                </w:tcPr>
                <w:p w14:paraId="4336B17A">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19</w:t>
                  </w:r>
                  <w:r>
                    <w:rPr>
                      <w:rFonts w:hint="eastAsia" w:ascii="Times New Roman" w:hAnsi="Times New Roman" w:eastAsia="宋体" w:cs="Times New Roman"/>
                      <w:color w:val="auto"/>
                      <w:sz w:val="21"/>
                      <w:szCs w:val="21"/>
                      <w:lang w:val="en-US" w:eastAsia="zh-CN"/>
                    </w:rPr>
                    <w:t>1.12</w:t>
                  </w:r>
                </w:p>
              </w:tc>
              <w:tc>
                <w:tcPr>
                  <w:tcW w:w="952" w:type="pct"/>
                  <w:noWrap w:val="0"/>
                  <w:vAlign w:val="center"/>
                </w:tcPr>
                <w:p w14:paraId="6DACBC1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19</w:t>
                  </w:r>
                  <w:r>
                    <w:rPr>
                      <w:rFonts w:hint="eastAsia" w:ascii="Times New Roman" w:hAnsi="Times New Roman" w:eastAsia="宋体" w:cs="Times New Roman"/>
                      <w:color w:val="auto"/>
                      <w:sz w:val="21"/>
                      <w:szCs w:val="21"/>
                      <w:lang w:val="en-US" w:eastAsia="zh-CN"/>
                    </w:rPr>
                    <w:t>1.12</w:t>
                  </w:r>
                </w:p>
              </w:tc>
              <w:tc>
                <w:tcPr>
                  <w:tcW w:w="1026" w:type="pct"/>
                  <w:noWrap w:val="0"/>
                  <w:vAlign w:val="center"/>
                </w:tcPr>
                <w:p w14:paraId="297FC42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814" w:type="pct"/>
                  <w:noWrap w:val="0"/>
                  <w:vAlign w:val="center"/>
                </w:tcPr>
                <w:p w14:paraId="3FFFB88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0C9617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7234DE42">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32B82DF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w:t>
                  </w:r>
                  <w:r>
                    <w:rPr>
                      <w:rFonts w:hint="eastAsia" w:ascii="Times New Roman" w:hAnsi="Times New Roman" w:eastAsia="宋体" w:cs="Times New Roman"/>
                      <w:color w:val="auto"/>
                      <w:sz w:val="21"/>
                      <w:szCs w:val="21"/>
                      <w:lang w:val="en-US" w:eastAsia="zh-CN"/>
                    </w:rPr>
                    <w:t>固废</w:t>
                  </w:r>
                </w:p>
              </w:tc>
              <w:tc>
                <w:tcPr>
                  <w:tcW w:w="561" w:type="pct"/>
                  <w:noWrap w:val="0"/>
                  <w:vAlign w:val="center"/>
                </w:tcPr>
                <w:p w14:paraId="4038C865">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9600</w:t>
                  </w:r>
                </w:p>
              </w:tc>
              <w:tc>
                <w:tcPr>
                  <w:tcW w:w="952" w:type="pct"/>
                  <w:noWrap w:val="0"/>
                  <w:vAlign w:val="center"/>
                </w:tcPr>
                <w:p w14:paraId="30C7F4B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9600</w:t>
                  </w:r>
                </w:p>
              </w:tc>
              <w:tc>
                <w:tcPr>
                  <w:tcW w:w="1026" w:type="pct"/>
                  <w:noWrap w:val="0"/>
                  <w:vAlign w:val="center"/>
                </w:tcPr>
                <w:p w14:paraId="38611D0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814" w:type="pct"/>
                  <w:noWrap w:val="0"/>
                  <w:vAlign w:val="center"/>
                </w:tcPr>
                <w:p w14:paraId="5800288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54ADB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31" w:type="pct"/>
                  <w:vMerge w:val="continue"/>
                  <w:noWrap w:val="0"/>
                  <w:vAlign w:val="center"/>
                </w:tcPr>
                <w:p w14:paraId="36064867">
                  <w:pPr>
                    <w:jc w:val="center"/>
                    <w:rPr>
                      <w:rFonts w:hint="default" w:ascii="Times New Roman" w:hAnsi="Times New Roman" w:eastAsia="宋体" w:cs="Times New Roman"/>
                      <w:color w:val="auto"/>
                      <w:sz w:val="21"/>
                      <w:szCs w:val="21"/>
                      <w:lang w:val="en-US" w:eastAsia="zh-CN"/>
                    </w:rPr>
                  </w:pPr>
                </w:p>
              </w:tc>
              <w:tc>
                <w:tcPr>
                  <w:tcW w:w="1214" w:type="pct"/>
                  <w:gridSpan w:val="2"/>
                  <w:noWrap w:val="0"/>
                  <w:vAlign w:val="center"/>
                </w:tcPr>
                <w:p w14:paraId="0C7D0C8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w:t>
                  </w:r>
                </w:p>
              </w:tc>
              <w:tc>
                <w:tcPr>
                  <w:tcW w:w="561" w:type="pct"/>
                  <w:noWrap w:val="0"/>
                  <w:vAlign w:val="center"/>
                </w:tcPr>
                <w:p w14:paraId="28718DA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9.125</w:t>
                  </w:r>
                </w:p>
              </w:tc>
              <w:tc>
                <w:tcPr>
                  <w:tcW w:w="952" w:type="pct"/>
                  <w:noWrap w:val="0"/>
                  <w:vAlign w:val="center"/>
                </w:tcPr>
                <w:p w14:paraId="15B5011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9.125</w:t>
                  </w:r>
                </w:p>
              </w:tc>
              <w:tc>
                <w:tcPr>
                  <w:tcW w:w="1026" w:type="pct"/>
                  <w:noWrap w:val="0"/>
                  <w:vAlign w:val="center"/>
                </w:tcPr>
                <w:p w14:paraId="49F0D5C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814" w:type="pct"/>
                  <w:noWrap w:val="0"/>
                  <w:vAlign w:val="center"/>
                </w:tcPr>
                <w:p w14:paraId="2A8875E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bl>
          <w:p w14:paraId="7F7E507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本项目污染物排放总量控制建议指标如下：</w:t>
            </w:r>
          </w:p>
          <w:p w14:paraId="1077F161">
            <w:pPr>
              <w:pStyle w:val="215"/>
              <w:adjustRightInd w:val="0"/>
              <w:snapToGrid w:val="0"/>
              <w:spacing w:line="360" w:lineRule="auto"/>
              <w:ind w:firstLine="480"/>
              <w:rPr>
                <w:rFonts w:hint="eastAsia"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kern w:val="2"/>
                <w:sz w:val="21"/>
                <w:szCs w:val="21"/>
                <w:lang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14:textFill>
                  <w14:solidFill>
                    <w14:schemeClr w14:val="tx1"/>
                  </w14:solidFill>
                </w14:textFill>
              </w:rPr>
              <w:t>1</w:t>
            </w:r>
            <w:r>
              <w:rPr>
                <w:rFonts w:hint="eastAsia" w:ascii="Times New Roman" w:hAnsi="Times New Roman" w:cs="Times New Roman"/>
                <w:color w:val="000000" w:themeColor="text1"/>
                <w:kern w:val="2"/>
                <w:sz w:val="21"/>
                <w:szCs w:val="21"/>
                <w:lang w:eastAsia="zh-CN"/>
                <w14:textFill>
                  <w14:solidFill>
                    <w14:schemeClr w14:val="tx1"/>
                  </w14:solidFill>
                </w14:textFill>
              </w:rPr>
              <w:t>）废水：</w:t>
            </w:r>
          </w:p>
          <w:p w14:paraId="77B9675E">
            <w:pPr>
              <w:pStyle w:val="215"/>
              <w:adjustRightInd w:val="0"/>
              <w:snapToGrid w:val="0"/>
              <w:spacing w:line="360" w:lineRule="auto"/>
              <w:ind w:firstLine="480"/>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eastAsia="zh-CN"/>
                <w14:textFill>
                  <w14:solidFill>
                    <w14:schemeClr w14:val="tx1"/>
                  </w14:solidFill>
                </w14:textFill>
              </w:rPr>
              <w:t>本项目废水涉及生活污水、初期雨水，生活污水、初期雨水在海门经济技术开发区污水处理厂内平衡</w:t>
            </w:r>
            <w:r>
              <w:rPr>
                <w:rFonts w:hint="eastAsia" w:ascii="Times New Roman" w:hAnsi="Times New Roman" w:cs="Times New Roman"/>
                <w:color w:val="000000" w:themeColor="text1"/>
                <w:kern w:val="2"/>
                <w:sz w:val="21"/>
                <w:szCs w:val="21"/>
                <w:lang w:val="en-US" w:eastAsia="zh-CN"/>
                <w14:textFill>
                  <w14:solidFill>
                    <w14:schemeClr w14:val="tx1"/>
                  </w14:solidFill>
                </w14:textFill>
              </w:rPr>
              <w:t>。</w:t>
            </w:r>
          </w:p>
          <w:p w14:paraId="621F18C4">
            <w:pPr>
              <w:pStyle w:val="215"/>
              <w:adjustRightInd w:val="0"/>
              <w:snapToGrid w:val="0"/>
              <w:spacing w:line="360" w:lineRule="auto"/>
              <w:ind w:firstLine="480"/>
              <w:rPr>
                <w:rFonts w:hint="eastAsia"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kern w:val="2"/>
                <w:sz w:val="21"/>
                <w:szCs w:val="21"/>
                <w:lang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14:textFill>
                  <w14:solidFill>
                    <w14:schemeClr w14:val="tx1"/>
                  </w14:solidFill>
                </w14:textFill>
              </w:rPr>
              <w:t>2</w:t>
            </w:r>
            <w:r>
              <w:rPr>
                <w:rFonts w:hint="eastAsia" w:ascii="Times New Roman" w:hAnsi="Times New Roman" w:cs="Times New Roman"/>
                <w:color w:val="000000" w:themeColor="text1"/>
                <w:kern w:val="2"/>
                <w:sz w:val="21"/>
                <w:szCs w:val="21"/>
                <w:lang w:eastAsia="zh-CN"/>
                <w14:textFill>
                  <w14:solidFill>
                    <w14:schemeClr w14:val="tx1"/>
                  </w14:solidFill>
                </w14:textFill>
              </w:rPr>
              <w:t>）废气：</w:t>
            </w:r>
          </w:p>
          <w:p w14:paraId="4B779CF8">
            <w:pPr>
              <w:pStyle w:val="215"/>
              <w:adjustRightInd w:val="0"/>
              <w:snapToGrid w:val="0"/>
              <w:spacing w:line="360" w:lineRule="auto"/>
              <w:ind w:firstLine="480"/>
              <w:rPr>
                <w:rFonts w:hint="default" w:ascii="Times New Roman" w:hAnsi="Times New Roman"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eastAsia="zh-CN"/>
                <w14:textFill>
                  <w14:solidFill>
                    <w14:schemeClr w14:val="tx1"/>
                  </w14:solidFill>
                </w14:textFill>
              </w:rPr>
              <w:t>本项目有组织排放颗粒物</w:t>
            </w:r>
            <w:r>
              <w:rPr>
                <w:rFonts w:hint="eastAsia" w:ascii="Times New Roman" w:hAnsi="Times New Roman" w:cs="Times New Roman"/>
                <w:color w:val="000000" w:themeColor="text1"/>
                <w:kern w:val="2"/>
                <w:sz w:val="21"/>
                <w:szCs w:val="21"/>
                <w:lang w:val="en-US" w:eastAsia="zh-CN"/>
                <w14:textFill>
                  <w14:solidFill>
                    <w14:schemeClr w14:val="tx1"/>
                  </w14:solidFill>
                </w14:textFill>
              </w:rPr>
              <w:t>0.7436t/a、二氧化硫0.52t/a、氮氧化物2.431t/a，无组织排放非甲烷总烃</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0.06204</w:t>
            </w:r>
            <w:r>
              <w:rPr>
                <w:rFonts w:hint="eastAsia" w:ascii="Times New Roman" w:hAnsi="Times New Roman" w:cs="Times New Roman"/>
                <w:color w:val="000000" w:themeColor="text1"/>
                <w:kern w:val="2"/>
                <w:sz w:val="21"/>
                <w:szCs w:val="21"/>
                <w:lang w:val="en-US" w:eastAsia="zh-CN"/>
                <w14:textFill>
                  <w14:solidFill>
                    <w14:schemeClr w14:val="tx1"/>
                  </w14:solidFill>
                </w14:textFill>
              </w:rPr>
              <w:t>t/a，大气污染物在海门区范围内平衡。</w:t>
            </w:r>
          </w:p>
          <w:p w14:paraId="66B041DA">
            <w:pPr>
              <w:pStyle w:val="215"/>
              <w:adjustRightInd w:val="0"/>
              <w:snapToGrid w:val="0"/>
              <w:spacing w:line="360" w:lineRule="auto"/>
              <w:ind w:firstLine="480"/>
              <w:rPr>
                <w:rFonts w:hint="eastAsia"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kern w:val="2"/>
                <w:sz w:val="21"/>
                <w:szCs w:val="21"/>
                <w:lang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14:textFill>
                  <w14:solidFill>
                    <w14:schemeClr w14:val="tx1"/>
                  </w14:solidFill>
                </w14:textFill>
              </w:rPr>
              <w:t>3</w:t>
            </w:r>
            <w:r>
              <w:rPr>
                <w:rFonts w:hint="eastAsia" w:ascii="Times New Roman" w:hAnsi="Times New Roman" w:cs="Times New Roman"/>
                <w:color w:val="000000" w:themeColor="text1"/>
                <w:kern w:val="2"/>
                <w:sz w:val="21"/>
                <w:szCs w:val="21"/>
                <w:lang w:eastAsia="zh-CN"/>
                <w14:textFill>
                  <w14:solidFill>
                    <w14:schemeClr w14:val="tx1"/>
                  </w14:solidFill>
                </w14:textFill>
              </w:rPr>
              <w:t>）固废：</w:t>
            </w:r>
          </w:p>
          <w:p w14:paraId="49DA7A45">
            <w:pPr>
              <w:pStyle w:val="215"/>
              <w:adjustRightInd w:val="0"/>
              <w:snapToGrid w:val="0"/>
              <w:spacing w:line="360" w:lineRule="auto"/>
              <w:ind w:firstLine="480"/>
              <w:rPr>
                <w:rFonts w:hint="eastAsia"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kern w:val="2"/>
                <w:sz w:val="21"/>
                <w:szCs w:val="21"/>
                <w:lang w:eastAsia="zh-CN"/>
                <w14:textFill>
                  <w14:solidFill>
                    <w14:schemeClr w14:val="tx1"/>
                  </w14:solidFill>
                </w14:textFill>
              </w:rPr>
              <w:t>本项目固体废物均能得到有效利用和处置，固废实现“零”排放。</w:t>
            </w:r>
          </w:p>
          <w:p w14:paraId="39C7D713">
            <w:pPr>
              <w:pStyle w:val="215"/>
              <w:adjustRightInd w:val="0"/>
              <w:snapToGrid w:val="0"/>
              <w:spacing w:line="360" w:lineRule="auto"/>
              <w:ind w:firstLine="480"/>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根据</w:t>
            </w:r>
            <w:r>
              <w:rPr>
                <w:rFonts w:hint="default" w:ascii="Times New Roman" w:hAnsi="Times New Roman" w:cs="Times New Roman"/>
                <w:color w:val="000000" w:themeColor="text1"/>
                <w:sz w:val="21"/>
                <w:szCs w:val="21"/>
                <w:lang w:val="en-US" w:eastAsia="zh-CN"/>
                <w14:textFill>
                  <w14:solidFill>
                    <w14:schemeClr w14:val="tx1"/>
                  </w14:solidFill>
                </w14:textFill>
              </w:rPr>
              <w:t>《关于进一步优化建设项目排污总量指标管理提升环评审批效能的意见（试行）》（通环办[2023]132号），并根据</w:t>
            </w:r>
            <w:r>
              <w:rPr>
                <w:rFonts w:hint="default" w:ascii="Times New Roman" w:hAnsi="Times New Roman" w:cs="Times New Roman"/>
                <w:color w:val="000000" w:themeColor="text1"/>
                <w:kern w:val="2"/>
                <w:sz w:val="21"/>
                <w:szCs w:val="21"/>
                <w14:textFill>
                  <w14:solidFill>
                    <w14:schemeClr w14:val="tx1"/>
                  </w14:solidFill>
                </w14:textFill>
              </w:rPr>
              <w:t>《固定污染源排污许可分类管理名录》（2019年版），</w:t>
            </w:r>
            <w:r>
              <w:rPr>
                <w:rFonts w:hint="default" w:ascii="Times New Roman" w:hAnsi="Times New Roman" w:cs="Times New Roman"/>
                <w:color w:val="000000" w:themeColor="text1"/>
                <w:kern w:val="2"/>
                <w:sz w:val="21"/>
                <w:szCs w:val="21"/>
                <w:lang w:val="en-US" w:eastAsia="zh-CN"/>
                <w14:textFill>
                  <w14:solidFill>
                    <w14:schemeClr w14:val="tx1"/>
                  </w14:solidFill>
                </w14:textFill>
              </w:rPr>
              <w:t>本项目属于排污许可</w:t>
            </w:r>
            <w:r>
              <w:rPr>
                <w:rFonts w:hint="eastAsia" w:ascii="Times New Roman" w:hAnsi="Times New Roman" w:cs="Times New Roman"/>
                <w:color w:val="000000" w:themeColor="text1"/>
                <w:kern w:val="2"/>
                <w:sz w:val="21"/>
                <w:szCs w:val="21"/>
                <w:lang w:val="en-US" w:eastAsia="zh-CN"/>
                <w14:textFill>
                  <w14:solidFill>
                    <w14:schemeClr w14:val="tx1"/>
                  </w14:solidFill>
                </w14:textFill>
              </w:rPr>
              <w:t>登记</w:t>
            </w:r>
            <w:r>
              <w:rPr>
                <w:rFonts w:hint="default" w:ascii="Times New Roman" w:hAnsi="Times New Roman" w:cs="Times New Roman"/>
                <w:color w:val="000000" w:themeColor="text1"/>
                <w:kern w:val="2"/>
                <w:sz w:val="21"/>
                <w:szCs w:val="21"/>
                <w:lang w:val="en-US" w:eastAsia="zh-CN"/>
                <w14:textFill>
                  <w14:solidFill>
                    <w14:schemeClr w14:val="tx1"/>
                  </w14:solidFill>
                </w14:textFill>
              </w:rPr>
              <w:t>管理</w:t>
            </w:r>
            <w:r>
              <w:rPr>
                <w:rFonts w:hint="eastAsia" w:ascii="Times New Roman" w:hAnsi="Times New Roman" w:cs="Times New Roman"/>
                <w:color w:val="000000" w:themeColor="text1"/>
                <w:kern w:val="2"/>
                <w:sz w:val="21"/>
                <w:szCs w:val="21"/>
                <w:lang w:val="en-US" w:eastAsia="zh-CN"/>
                <w14:textFill>
                  <w14:solidFill>
                    <w14:schemeClr w14:val="tx1"/>
                  </w14:solidFill>
                </w14:textFill>
              </w:rPr>
              <w:t>，无需进行总量指标审核</w:t>
            </w: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p>
          <w:p w14:paraId="48B296F5">
            <w:pPr>
              <w:pStyle w:val="215"/>
              <w:adjustRightInd w:val="0"/>
              <w:snapToGrid w:val="0"/>
              <w:spacing w:line="360" w:lineRule="auto"/>
              <w:ind w:firstLine="480"/>
              <w:rPr>
                <w:rFonts w:hint="default" w:ascii="Times New Roman" w:hAnsi="Times New Roman" w:cs="Times New Roman"/>
                <w:bCs/>
                <w:color w:val="auto"/>
                <w:sz w:val="21"/>
                <w:szCs w:val="21"/>
              </w:rPr>
            </w:pPr>
          </w:p>
        </w:tc>
      </w:tr>
    </w:tbl>
    <w:p w14:paraId="3274CD63">
      <w:pPr>
        <w:pStyle w:val="36"/>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Style w:val="4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487"/>
      </w:tblGrid>
      <w:tr w14:paraId="02048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94" w:type="dxa"/>
            <w:noWrap w:val="0"/>
            <w:tcMar>
              <w:left w:w="28" w:type="dxa"/>
              <w:right w:w="28" w:type="dxa"/>
            </w:tcMar>
            <w:vAlign w:val="center"/>
          </w:tcPr>
          <w:p w14:paraId="3CD6E6F7">
            <w:pPr>
              <w:pStyle w:val="36"/>
              <w:adjustRightInd w:val="0"/>
              <w:snapToGrid w:val="0"/>
              <w:spacing w:before="0" w:beforeAutospacing="0" w:after="0" w:afterAutospacing="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施工</w:t>
            </w:r>
          </w:p>
          <w:p w14:paraId="45BDF2A6">
            <w:pPr>
              <w:pStyle w:val="36"/>
              <w:adjustRightInd w:val="0"/>
              <w:snapToGrid w:val="0"/>
              <w:spacing w:before="0" w:beforeAutospacing="0" w:after="0" w:afterAutospacing="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期环</w:t>
            </w:r>
          </w:p>
          <w:p w14:paraId="7AFDFA8F">
            <w:pPr>
              <w:pStyle w:val="36"/>
              <w:adjustRightInd w:val="0"/>
              <w:snapToGrid w:val="0"/>
              <w:spacing w:before="0" w:beforeAutospacing="0" w:after="0" w:afterAutospacing="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境保</w:t>
            </w:r>
          </w:p>
          <w:p w14:paraId="667F54A8">
            <w:pPr>
              <w:pStyle w:val="36"/>
              <w:adjustRightInd w:val="0"/>
              <w:snapToGrid w:val="0"/>
              <w:spacing w:before="0" w:beforeAutospacing="0" w:after="0" w:afterAutospacing="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护措</w:t>
            </w:r>
          </w:p>
          <w:p w14:paraId="2F6CF82E">
            <w:pPr>
              <w:pStyle w:val="36"/>
              <w:adjustRightInd w:val="0"/>
              <w:snapToGrid w:val="0"/>
              <w:spacing w:before="0" w:beforeAutospacing="0" w:after="0" w:afterAutospacing="0"/>
              <w:jc w:val="center"/>
              <w:rPr>
                <w:rFonts w:hint="default" w:ascii="Times New Roman" w:hAnsi="Times New Roman" w:cs="Times New Roman"/>
                <w:bCs/>
                <w:color w:val="auto"/>
                <w:kern w:val="2"/>
                <w:sz w:val="21"/>
                <w:szCs w:val="21"/>
                <w:lang w:val="en-US" w:eastAsia="zh-CN"/>
              </w:rPr>
            </w:pPr>
            <w:r>
              <w:rPr>
                <w:rFonts w:hint="default" w:ascii="Times New Roman" w:hAnsi="Times New Roman" w:cs="Times New Roman"/>
                <w:color w:val="auto"/>
                <w:kern w:val="2"/>
                <w:sz w:val="21"/>
                <w:szCs w:val="21"/>
                <w:lang w:val="en-US" w:eastAsia="zh-CN"/>
              </w:rPr>
              <w:t>施</w:t>
            </w:r>
          </w:p>
        </w:tc>
        <w:tc>
          <w:tcPr>
            <w:tcW w:w="8487" w:type="dxa"/>
            <w:noWrap w:val="0"/>
            <w:vAlign w:val="center"/>
          </w:tcPr>
          <w:p w14:paraId="0E49F227">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bCs/>
                <w:color w:val="auto"/>
              </w:rPr>
              <w:t>本项目利用原有厂房建设，</w:t>
            </w:r>
            <w:r>
              <w:rPr>
                <w:rFonts w:hint="default" w:ascii="Times New Roman" w:hAnsi="Times New Roman" w:cs="Times New Roman"/>
                <w:color w:val="auto"/>
              </w:rPr>
              <w:t>施工期仅为设备的安装，无施工期污染情况，本环评在此不作分析</w:t>
            </w:r>
            <w:r>
              <w:rPr>
                <w:rFonts w:hint="default" w:ascii="Times New Roman" w:hAnsi="Times New Roman" w:cs="Times New Roman"/>
                <w:color w:val="auto"/>
                <w:szCs w:val="21"/>
              </w:rPr>
              <w:t>。</w:t>
            </w:r>
          </w:p>
        </w:tc>
      </w:tr>
      <w:tr w14:paraId="6F31F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94" w:type="dxa"/>
            <w:noWrap w:val="0"/>
            <w:tcMar>
              <w:left w:w="28" w:type="dxa"/>
              <w:right w:w="28" w:type="dxa"/>
            </w:tcMar>
            <w:vAlign w:val="center"/>
          </w:tcPr>
          <w:p w14:paraId="7CEBDAB1">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运营</w:t>
            </w:r>
          </w:p>
          <w:p w14:paraId="7C317138">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期环</w:t>
            </w:r>
          </w:p>
          <w:p w14:paraId="03FE7621">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境影</w:t>
            </w:r>
          </w:p>
          <w:p w14:paraId="3EC1FAD5">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响和</w:t>
            </w:r>
          </w:p>
          <w:p w14:paraId="4217491B">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保护</w:t>
            </w:r>
          </w:p>
          <w:p w14:paraId="0152ADF6">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措施</w:t>
            </w:r>
          </w:p>
        </w:tc>
        <w:tc>
          <w:tcPr>
            <w:tcW w:w="8487" w:type="dxa"/>
            <w:noWrap w:val="0"/>
            <w:vAlign w:val="center"/>
          </w:tcPr>
          <w:p w14:paraId="579FB802">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1、废气</w:t>
            </w:r>
          </w:p>
          <w:p w14:paraId="1A51E3A7">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（1）污染工序及源强分析</w:t>
            </w:r>
          </w:p>
          <w:p w14:paraId="567E12AB">
            <w:pPr>
              <w:numPr>
                <w:ilvl w:val="0"/>
                <w:numId w:val="0"/>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①天然气燃烧废气</w:t>
            </w:r>
          </w:p>
          <w:p w14:paraId="0EBF0578">
            <w:pPr>
              <w:numPr>
                <w:ilvl w:val="0"/>
                <w:numId w:val="0"/>
              </w:numPr>
              <w:bidi w:val="0"/>
              <w:spacing w:line="360" w:lineRule="auto"/>
              <w:ind w:firstLine="420" w:firstLineChars="200"/>
              <w:rPr>
                <w:rFonts w:hint="default" w:ascii="Times New Roman" w:hAnsi="Times New Roman" w:cs="Times New Roman"/>
                <w:color w:val="auto"/>
                <w:lang w:val="en-US" w:eastAsia="zh-CN"/>
              </w:rPr>
            </w:pPr>
            <w:r>
              <w:rPr>
                <w:rFonts w:hint="default" w:ascii="Times New Roman" w:hAnsi="Times New Roman" w:cs="Times New Roman"/>
                <w:b w:val="0"/>
                <w:bCs w:val="0"/>
                <w:color w:val="auto"/>
                <w:sz w:val="21"/>
                <w:szCs w:val="21"/>
                <w:lang w:val="en-US" w:eastAsia="zh-CN"/>
              </w:rPr>
              <w:t>本项目加热过程使用天然气，年使用量</w:t>
            </w:r>
            <w:r>
              <w:rPr>
                <w:rFonts w:hint="eastAsia" w:ascii="Times New Roman" w:hAnsi="Times New Roman" w:cs="Times New Roman"/>
                <w:b w:val="0"/>
                <w:bCs w:val="0"/>
                <w:color w:val="auto"/>
                <w:sz w:val="21"/>
                <w:szCs w:val="21"/>
                <w:lang w:val="en-US" w:eastAsia="zh-CN"/>
              </w:rPr>
              <w:t>260</w:t>
            </w:r>
            <w:r>
              <w:rPr>
                <w:rFonts w:hint="default" w:ascii="Times New Roman" w:hAnsi="Times New Roman" w:cs="Times New Roman"/>
                <w:b w:val="0"/>
                <w:bCs w:val="0"/>
                <w:color w:val="auto"/>
                <w:sz w:val="21"/>
                <w:szCs w:val="21"/>
                <w:lang w:val="en-US" w:eastAsia="zh-CN"/>
              </w:rPr>
              <w:t>万</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/a，天然气燃烧废气中污染物的产污系数参照《排放源统计调查产污核算方法和系数手册》中</w:t>
            </w:r>
            <w:r>
              <w:rPr>
                <w:rFonts w:hint="default" w:ascii="Times New Roman" w:hAnsi="Times New Roman" w:eastAsia="宋体" w:cs="Times New Roman"/>
                <w:color w:val="auto"/>
                <w:kern w:val="2"/>
                <w:sz w:val="21"/>
                <w:szCs w:val="21"/>
                <w:highlight w:val="none"/>
                <w:lang w:val="en-US" w:eastAsia="zh-CN" w:bidi="ar-SA"/>
              </w:rPr>
              <w:t>“33-37，431-434行业系数手册，</w:t>
            </w:r>
            <w:r>
              <w:rPr>
                <w:rFonts w:hint="default" w:ascii="Times New Roman" w:hAnsi="Times New Roman" w:cs="Times New Roman"/>
                <w:color w:val="auto"/>
                <w:kern w:val="2"/>
                <w:sz w:val="21"/>
                <w:szCs w:val="21"/>
                <w:highlight w:val="none"/>
                <w:lang w:val="en-US" w:eastAsia="zh-CN" w:bidi="ar-SA"/>
              </w:rPr>
              <w:t>02锻造</w:t>
            </w:r>
            <w:r>
              <w:rPr>
                <w:rFonts w:hint="default" w:ascii="Times New Roman" w:hAnsi="Times New Roman" w:cs="Times New Roman"/>
                <w:color w:val="auto"/>
                <w:lang w:val="en-US" w:eastAsia="zh-CN"/>
              </w:rPr>
              <w:t>，锻坯加热过程二氧化硫产生量：0.0002千克/立方米-原料（S取100）、颗粒物产生量0.000286千克/立方米-原料，氮氧化物产生量：0.00187千克/立方米-原料、工业废气量：13.6 立方米/立方米-原料。”具体产污情况见表4-1。本项目低氮燃烧装置处理效率取50%。</w:t>
            </w:r>
          </w:p>
          <w:p w14:paraId="2764E2DD">
            <w:pPr>
              <w:pStyle w:val="16"/>
              <w:numPr>
                <w:ilvl w:val="0"/>
                <w:numId w:val="0"/>
              </w:numPr>
              <w:spacing w:line="240" w:lineRule="auto"/>
              <w:ind w:right="113" w:rightChars="0" w:firstLine="422"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bCs/>
                <w:color w:val="auto"/>
                <w:sz w:val="21"/>
                <w:szCs w:val="21"/>
                <w:lang w:val="en-US" w:eastAsia="zh-CN"/>
              </w:rPr>
              <w:t>表4-1 天然气燃烧烟气产生及排放情况</w:t>
            </w:r>
          </w:p>
          <w:tbl>
            <w:tblPr>
              <w:tblStyle w:val="41"/>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0" w:type="dxa"/>
                <w:bottom w:w="0" w:type="dxa"/>
                <w:right w:w="0" w:type="dxa"/>
              </w:tblCellMar>
            </w:tblPr>
            <w:tblGrid>
              <w:gridCol w:w="1507"/>
              <w:gridCol w:w="2268"/>
              <w:gridCol w:w="1592"/>
              <w:gridCol w:w="1219"/>
              <w:gridCol w:w="1682"/>
            </w:tblGrid>
            <w:tr w14:paraId="171787F0">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165" w:hRule="atLeast"/>
                <w:jc w:val="center"/>
              </w:trPr>
              <w:tc>
                <w:tcPr>
                  <w:tcW w:w="911" w:type="pct"/>
                  <w:tcBorders>
                    <w:tl2br w:val="nil"/>
                    <w:tr2bl w:val="nil"/>
                  </w:tcBorders>
                  <w:noWrap w:val="0"/>
                  <w:vAlign w:val="center"/>
                </w:tcPr>
                <w:p w14:paraId="1AAC6A37">
                  <w:pPr>
                    <w:adjustRightInd w:val="0"/>
                    <w:snapToGrid w:val="0"/>
                    <w:spacing w:line="240" w:lineRule="exact"/>
                    <w:jc w:val="center"/>
                    <w:rPr>
                      <w:rFonts w:hint="default" w:ascii="Times New Roman" w:hAnsi="Times New Roman" w:eastAsia="宋体" w:cs="Times New Roman"/>
                      <w:b/>
                      <w:bCs/>
                      <w:snapToGrid w:val="0"/>
                      <w:color w:val="auto"/>
                      <w:kern w:val="0"/>
                      <w:szCs w:val="21"/>
                      <w:lang w:eastAsia="zh-CN"/>
                    </w:rPr>
                  </w:pPr>
                  <w:r>
                    <w:rPr>
                      <w:rFonts w:hint="default" w:ascii="Times New Roman" w:hAnsi="Times New Roman" w:eastAsia="宋体" w:cs="Times New Roman"/>
                      <w:b/>
                      <w:bCs/>
                      <w:snapToGrid w:val="0"/>
                      <w:color w:val="auto"/>
                      <w:kern w:val="0"/>
                      <w:szCs w:val="21"/>
                      <w:lang w:eastAsia="zh-CN"/>
                    </w:rPr>
                    <w:t>污染物指标</w:t>
                  </w:r>
                </w:p>
              </w:tc>
              <w:tc>
                <w:tcPr>
                  <w:tcW w:w="1371" w:type="pct"/>
                  <w:tcBorders>
                    <w:tl2br w:val="nil"/>
                    <w:tr2bl w:val="nil"/>
                  </w:tcBorders>
                  <w:noWrap w:val="0"/>
                  <w:vAlign w:val="center"/>
                </w:tcPr>
                <w:p w14:paraId="6FE94152">
                  <w:pPr>
                    <w:adjustRightInd w:val="0"/>
                    <w:snapToGrid w:val="0"/>
                    <w:spacing w:line="240" w:lineRule="exact"/>
                    <w:jc w:val="center"/>
                    <w:rPr>
                      <w:rFonts w:hint="default" w:ascii="Times New Roman" w:hAnsi="Times New Roman" w:eastAsia="宋体" w:cs="Times New Roman"/>
                      <w:b/>
                      <w:bCs/>
                      <w:snapToGrid w:val="0"/>
                      <w:color w:val="auto"/>
                      <w:kern w:val="0"/>
                      <w:szCs w:val="21"/>
                      <w:lang w:val="en-US" w:eastAsia="zh-CN"/>
                    </w:rPr>
                  </w:pPr>
                  <w:r>
                    <w:rPr>
                      <w:rFonts w:hint="default" w:ascii="Times New Roman" w:hAnsi="Times New Roman" w:cs="Times New Roman"/>
                      <w:b/>
                      <w:bCs/>
                      <w:snapToGrid w:val="0"/>
                      <w:color w:val="auto"/>
                      <w:kern w:val="0"/>
                      <w:szCs w:val="21"/>
                      <w:lang w:val="en-US" w:eastAsia="zh-CN"/>
                    </w:rPr>
                    <w:t>产污系数（kg/m</w:t>
                  </w:r>
                  <w:r>
                    <w:rPr>
                      <w:rFonts w:hint="default" w:ascii="Times New Roman" w:hAnsi="Times New Roman" w:cs="Times New Roman"/>
                      <w:b/>
                      <w:bCs/>
                      <w:snapToGrid w:val="0"/>
                      <w:color w:val="auto"/>
                      <w:kern w:val="0"/>
                      <w:szCs w:val="21"/>
                      <w:vertAlign w:val="superscript"/>
                      <w:lang w:val="en-US" w:eastAsia="zh-CN"/>
                    </w:rPr>
                    <w:t>3</w:t>
                  </w:r>
                  <w:r>
                    <w:rPr>
                      <w:rFonts w:hint="default" w:ascii="Times New Roman" w:hAnsi="Times New Roman" w:cs="Times New Roman"/>
                      <w:b/>
                      <w:bCs/>
                      <w:snapToGrid w:val="0"/>
                      <w:color w:val="auto"/>
                      <w:kern w:val="0"/>
                      <w:szCs w:val="21"/>
                      <w:lang w:val="en-US" w:eastAsia="zh-CN"/>
                    </w:rPr>
                    <w:t>）</w:t>
                  </w:r>
                </w:p>
              </w:tc>
              <w:tc>
                <w:tcPr>
                  <w:tcW w:w="962" w:type="pct"/>
                  <w:tcBorders>
                    <w:tl2br w:val="nil"/>
                    <w:tr2bl w:val="nil"/>
                  </w:tcBorders>
                  <w:noWrap w:val="0"/>
                  <w:vAlign w:val="center"/>
                </w:tcPr>
                <w:p w14:paraId="7DF75823">
                  <w:pPr>
                    <w:adjustRightInd w:val="0"/>
                    <w:snapToGrid w:val="0"/>
                    <w:spacing w:line="240" w:lineRule="exact"/>
                    <w:jc w:val="center"/>
                    <w:rPr>
                      <w:rFonts w:hint="default" w:ascii="Times New Roman" w:hAnsi="Times New Roman" w:eastAsia="宋体" w:cs="Times New Roman"/>
                      <w:b/>
                      <w:bCs/>
                      <w:snapToGrid w:val="0"/>
                      <w:color w:val="auto"/>
                      <w:kern w:val="0"/>
                      <w:szCs w:val="21"/>
                      <w:lang w:val="en-US" w:eastAsia="zh-CN"/>
                    </w:rPr>
                  </w:pPr>
                  <w:r>
                    <w:rPr>
                      <w:rFonts w:hint="default" w:ascii="Times New Roman" w:hAnsi="Times New Roman" w:cs="Times New Roman"/>
                      <w:b/>
                      <w:bCs/>
                      <w:snapToGrid w:val="0"/>
                      <w:color w:val="auto"/>
                      <w:kern w:val="0"/>
                      <w:szCs w:val="21"/>
                      <w:lang w:val="en-US" w:eastAsia="zh-CN"/>
                    </w:rPr>
                    <w:t>产生量</w:t>
                  </w:r>
                </w:p>
              </w:tc>
              <w:tc>
                <w:tcPr>
                  <w:tcW w:w="737" w:type="pct"/>
                  <w:tcBorders>
                    <w:tl2br w:val="nil"/>
                    <w:tr2bl w:val="nil"/>
                  </w:tcBorders>
                  <w:noWrap w:val="0"/>
                  <w:vAlign w:val="center"/>
                </w:tcPr>
                <w:p w14:paraId="5011F548">
                  <w:pPr>
                    <w:adjustRightInd w:val="0"/>
                    <w:snapToGrid w:val="0"/>
                    <w:spacing w:line="240" w:lineRule="exact"/>
                    <w:jc w:val="center"/>
                    <w:rPr>
                      <w:rFonts w:hint="default" w:ascii="Times New Roman" w:hAnsi="Times New Roman" w:eastAsia="宋体" w:cs="Times New Roman"/>
                      <w:b/>
                      <w:bCs/>
                      <w:snapToGrid w:val="0"/>
                      <w:color w:val="auto"/>
                      <w:kern w:val="0"/>
                      <w:szCs w:val="21"/>
                      <w:lang w:val="en-US" w:eastAsia="zh-CN"/>
                    </w:rPr>
                  </w:pPr>
                  <w:r>
                    <w:rPr>
                      <w:rFonts w:hint="default" w:ascii="Times New Roman" w:hAnsi="Times New Roman" w:cs="Times New Roman"/>
                      <w:b/>
                      <w:bCs/>
                      <w:snapToGrid w:val="0"/>
                      <w:color w:val="auto"/>
                      <w:kern w:val="0"/>
                      <w:szCs w:val="21"/>
                      <w:lang w:val="en-US" w:eastAsia="zh-CN"/>
                    </w:rPr>
                    <w:t>防治措施</w:t>
                  </w:r>
                </w:p>
              </w:tc>
              <w:tc>
                <w:tcPr>
                  <w:tcW w:w="1017" w:type="pct"/>
                  <w:tcBorders>
                    <w:tl2br w:val="nil"/>
                    <w:tr2bl w:val="nil"/>
                  </w:tcBorders>
                  <w:noWrap w:val="0"/>
                  <w:vAlign w:val="center"/>
                </w:tcPr>
                <w:p w14:paraId="177BC9DE">
                  <w:pPr>
                    <w:adjustRightInd w:val="0"/>
                    <w:snapToGrid w:val="0"/>
                    <w:spacing w:line="240" w:lineRule="exact"/>
                    <w:jc w:val="center"/>
                    <w:rPr>
                      <w:rFonts w:hint="default" w:ascii="Times New Roman" w:hAnsi="Times New Roman" w:eastAsia="宋体" w:cs="Times New Roman"/>
                      <w:b/>
                      <w:bCs/>
                      <w:snapToGrid w:val="0"/>
                      <w:color w:val="auto"/>
                      <w:kern w:val="0"/>
                      <w:szCs w:val="21"/>
                      <w:lang w:eastAsia="zh-CN"/>
                    </w:rPr>
                  </w:pPr>
                  <w:r>
                    <w:rPr>
                      <w:rFonts w:hint="default" w:ascii="Times New Roman" w:hAnsi="Times New Roman" w:cs="Times New Roman"/>
                      <w:b/>
                      <w:bCs/>
                      <w:snapToGrid w:val="0"/>
                      <w:color w:val="auto"/>
                      <w:kern w:val="0"/>
                      <w:szCs w:val="21"/>
                      <w:lang w:val="en-US" w:eastAsia="zh-CN"/>
                    </w:rPr>
                    <w:t>排放量</w:t>
                  </w:r>
                </w:p>
              </w:tc>
            </w:tr>
            <w:tr w14:paraId="0E376AE2">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97" w:hRule="atLeast"/>
                <w:jc w:val="center"/>
              </w:trPr>
              <w:tc>
                <w:tcPr>
                  <w:tcW w:w="911" w:type="pct"/>
                  <w:tcBorders>
                    <w:tl2br w:val="nil"/>
                    <w:tr2bl w:val="nil"/>
                  </w:tcBorders>
                  <w:noWrap w:val="0"/>
                  <w:vAlign w:val="center"/>
                </w:tcPr>
                <w:p w14:paraId="0CFB99A1">
                  <w:pPr>
                    <w:jc w:val="center"/>
                    <w:rPr>
                      <w:rFonts w:hint="default" w:ascii="Times New Roman" w:hAnsi="Times New Roman" w:eastAsia="宋体" w:cs="Times New Roman"/>
                      <w:b/>
                      <w:bCs/>
                      <w:snapToGrid w:val="0"/>
                      <w:color w:val="auto"/>
                      <w:kern w:val="0"/>
                      <w:szCs w:val="21"/>
                      <w:lang w:eastAsia="zh-CN"/>
                    </w:rPr>
                  </w:pPr>
                  <w:r>
                    <w:rPr>
                      <w:rFonts w:hint="default" w:ascii="Times New Roman" w:hAnsi="Times New Roman" w:cs="Times New Roman"/>
                      <w:snapToGrid w:val="0"/>
                      <w:color w:val="auto"/>
                      <w:kern w:val="0"/>
                      <w:szCs w:val="21"/>
                    </w:rPr>
                    <w:t>工业废气量</w:t>
                  </w:r>
                </w:p>
              </w:tc>
              <w:tc>
                <w:tcPr>
                  <w:tcW w:w="1371" w:type="pct"/>
                  <w:tcBorders>
                    <w:tl2br w:val="nil"/>
                    <w:tr2bl w:val="nil"/>
                  </w:tcBorders>
                  <w:noWrap w:val="0"/>
                  <w:vAlign w:val="center"/>
                </w:tcPr>
                <w:p w14:paraId="35200438">
                  <w:pPr>
                    <w:jc w:val="center"/>
                    <w:rPr>
                      <w:rFonts w:hint="default" w:ascii="Times New Roman" w:hAnsi="Times New Roman" w:eastAsia="宋体" w:cs="Times New Roman"/>
                      <w:b/>
                      <w:bCs/>
                      <w:snapToGrid w:val="0"/>
                      <w:color w:val="auto"/>
                      <w:kern w:val="0"/>
                      <w:szCs w:val="21"/>
                      <w:lang w:eastAsia="zh-CN"/>
                    </w:rPr>
                  </w:pPr>
                  <w:r>
                    <w:rPr>
                      <w:rFonts w:hint="default" w:ascii="Times New Roman" w:hAnsi="Times New Roman" w:cs="Times New Roman"/>
                      <w:snapToGrid w:val="0"/>
                      <w:color w:val="auto"/>
                      <w:kern w:val="0"/>
                      <w:szCs w:val="21"/>
                      <w:lang w:val="en-US" w:eastAsia="zh-CN"/>
                    </w:rPr>
                    <w:t>13.6m</w:t>
                  </w:r>
                  <w:r>
                    <w:rPr>
                      <w:rFonts w:hint="default" w:ascii="Times New Roman" w:hAnsi="Times New Roman" w:cs="Times New Roman"/>
                      <w:snapToGrid w:val="0"/>
                      <w:color w:val="auto"/>
                      <w:kern w:val="0"/>
                      <w:szCs w:val="21"/>
                      <w:vertAlign w:val="superscript"/>
                      <w:lang w:val="en-US" w:eastAsia="zh-CN"/>
                    </w:rPr>
                    <w:t>3</w:t>
                  </w:r>
                  <w:r>
                    <w:rPr>
                      <w:rFonts w:hint="default" w:ascii="Times New Roman" w:hAnsi="Times New Roman" w:cs="Times New Roman"/>
                      <w:snapToGrid w:val="0"/>
                      <w:color w:val="auto"/>
                      <w:kern w:val="0"/>
                      <w:szCs w:val="21"/>
                      <w:lang w:val="en-US" w:eastAsia="zh-CN"/>
                    </w:rPr>
                    <w:t>/立方米 原料</w:t>
                  </w:r>
                </w:p>
              </w:tc>
              <w:tc>
                <w:tcPr>
                  <w:tcW w:w="962" w:type="pct"/>
                  <w:tcBorders>
                    <w:tl2br w:val="nil"/>
                    <w:tr2bl w:val="nil"/>
                  </w:tcBorders>
                  <w:noWrap w:val="0"/>
                  <w:vAlign w:val="center"/>
                </w:tcPr>
                <w:p w14:paraId="3836A618">
                  <w:pPr>
                    <w:adjustRightInd w:val="0"/>
                    <w:snapToGrid w:val="0"/>
                    <w:spacing w:line="240" w:lineRule="exact"/>
                    <w:jc w:val="center"/>
                    <w:rPr>
                      <w:rFonts w:hint="default" w:ascii="Times New Roman" w:hAnsi="Times New Roman" w:eastAsia="宋体" w:cs="Times New Roman"/>
                      <w:b w:val="0"/>
                      <w:bCs w:val="0"/>
                      <w:snapToGrid w:val="0"/>
                      <w:color w:val="auto"/>
                      <w:kern w:val="0"/>
                      <w:szCs w:val="21"/>
                      <w:lang w:val="en-US" w:eastAsia="zh-CN"/>
                    </w:rPr>
                  </w:pPr>
                  <w:r>
                    <w:rPr>
                      <w:rFonts w:hint="eastAsia" w:ascii="Times New Roman" w:hAnsi="Times New Roman" w:cs="Times New Roman"/>
                      <w:b w:val="0"/>
                      <w:bCs w:val="0"/>
                      <w:snapToGrid w:val="0"/>
                      <w:color w:val="auto"/>
                      <w:kern w:val="0"/>
                      <w:szCs w:val="21"/>
                      <w:lang w:val="en-US" w:eastAsia="zh-CN"/>
                    </w:rPr>
                    <w:t>35360000</w:t>
                  </w:r>
                  <w:r>
                    <w:rPr>
                      <w:rFonts w:hint="default" w:ascii="Times New Roman" w:hAnsi="Times New Roman" w:cs="Times New Roman"/>
                      <w:b w:val="0"/>
                      <w:bCs w:val="0"/>
                      <w:snapToGrid w:val="0"/>
                      <w:color w:val="auto"/>
                      <w:kern w:val="0"/>
                      <w:szCs w:val="21"/>
                      <w:lang w:val="en-US" w:eastAsia="zh-CN"/>
                    </w:rPr>
                    <w:t>Nm</w:t>
                  </w:r>
                  <w:r>
                    <w:rPr>
                      <w:rFonts w:hint="default" w:ascii="Times New Roman" w:hAnsi="Times New Roman" w:cs="Times New Roman"/>
                      <w:b w:val="0"/>
                      <w:bCs w:val="0"/>
                      <w:snapToGrid w:val="0"/>
                      <w:color w:val="auto"/>
                      <w:kern w:val="0"/>
                      <w:szCs w:val="21"/>
                      <w:vertAlign w:val="superscript"/>
                      <w:lang w:val="en-US" w:eastAsia="zh-CN"/>
                    </w:rPr>
                    <w:t>3</w:t>
                  </w:r>
                  <w:r>
                    <w:rPr>
                      <w:rFonts w:hint="default" w:ascii="Times New Roman" w:hAnsi="Times New Roman" w:cs="Times New Roman"/>
                      <w:b w:val="0"/>
                      <w:bCs w:val="0"/>
                      <w:snapToGrid w:val="0"/>
                      <w:color w:val="auto"/>
                      <w:kern w:val="0"/>
                      <w:szCs w:val="21"/>
                      <w:lang w:val="en-US" w:eastAsia="zh-CN"/>
                    </w:rPr>
                    <w:t>/a</w:t>
                  </w:r>
                </w:p>
              </w:tc>
              <w:tc>
                <w:tcPr>
                  <w:tcW w:w="737" w:type="pct"/>
                  <w:vMerge w:val="restart"/>
                  <w:tcBorders>
                    <w:tl2br w:val="nil"/>
                    <w:tr2bl w:val="nil"/>
                  </w:tcBorders>
                  <w:noWrap w:val="0"/>
                  <w:vAlign w:val="center"/>
                </w:tcPr>
                <w:p w14:paraId="44DAD3AB">
                  <w:pPr>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Cs w:val="21"/>
                      <w:lang w:val="en-US" w:eastAsia="zh-CN"/>
                    </w:rPr>
                    <w:t>低氮燃烧15米高排气筒1#排放</w:t>
                  </w:r>
                </w:p>
                <w:p w14:paraId="026D8E42">
                  <w:pPr>
                    <w:adjustRightInd w:val="0"/>
                    <w:snapToGrid w:val="0"/>
                    <w:spacing w:line="240" w:lineRule="exact"/>
                    <w:jc w:val="center"/>
                    <w:rPr>
                      <w:rFonts w:hint="default" w:ascii="Times New Roman" w:hAnsi="Times New Roman" w:eastAsia="宋体" w:cs="Times New Roman"/>
                      <w:color w:val="auto"/>
                      <w:kern w:val="0"/>
                      <w:szCs w:val="21"/>
                      <w:lang w:val="en-US" w:eastAsia="zh-CN"/>
                    </w:rPr>
                  </w:pPr>
                </w:p>
              </w:tc>
              <w:tc>
                <w:tcPr>
                  <w:tcW w:w="1017" w:type="pct"/>
                  <w:tcBorders>
                    <w:tl2br w:val="nil"/>
                    <w:tr2bl w:val="nil"/>
                  </w:tcBorders>
                  <w:noWrap w:val="0"/>
                  <w:vAlign w:val="center"/>
                </w:tcPr>
                <w:p w14:paraId="299A0CF0">
                  <w:pPr>
                    <w:adjustRightInd w:val="0"/>
                    <w:snapToGrid w:val="0"/>
                    <w:spacing w:line="240" w:lineRule="exact"/>
                    <w:jc w:val="center"/>
                    <w:rPr>
                      <w:rFonts w:hint="default" w:ascii="Times New Roman" w:hAnsi="Times New Roman" w:eastAsia="宋体" w:cs="Times New Roman"/>
                      <w:b w:val="0"/>
                      <w:bCs w:val="0"/>
                      <w:snapToGrid w:val="0"/>
                      <w:color w:val="auto"/>
                      <w:kern w:val="0"/>
                      <w:szCs w:val="21"/>
                      <w:lang w:eastAsia="zh-CN"/>
                    </w:rPr>
                  </w:pPr>
                  <w:r>
                    <w:rPr>
                      <w:rFonts w:hint="eastAsia" w:ascii="Times New Roman" w:hAnsi="Times New Roman" w:cs="Times New Roman"/>
                      <w:b w:val="0"/>
                      <w:bCs w:val="0"/>
                      <w:snapToGrid w:val="0"/>
                      <w:color w:val="auto"/>
                      <w:kern w:val="0"/>
                      <w:szCs w:val="21"/>
                      <w:lang w:val="en-US" w:eastAsia="zh-CN"/>
                    </w:rPr>
                    <w:t>35360000</w:t>
                  </w:r>
                  <w:r>
                    <w:rPr>
                      <w:rFonts w:hint="default" w:ascii="Times New Roman" w:hAnsi="Times New Roman" w:cs="Times New Roman"/>
                      <w:b w:val="0"/>
                      <w:bCs w:val="0"/>
                      <w:snapToGrid w:val="0"/>
                      <w:color w:val="auto"/>
                      <w:kern w:val="0"/>
                      <w:szCs w:val="21"/>
                      <w:lang w:val="en-US" w:eastAsia="zh-CN"/>
                    </w:rPr>
                    <w:t>Nm</w:t>
                  </w:r>
                  <w:r>
                    <w:rPr>
                      <w:rFonts w:hint="default" w:ascii="Times New Roman" w:hAnsi="Times New Roman" w:cs="Times New Roman"/>
                      <w:b w:val="0"/>
                      <w:bCs w:val="0"/>
                      <w:snapToGrid w:val="0"/>
                      <w:color w:val="auto"/>
                      <w:kern w:val="0"/>
                      <w:szCs w:val="21"/>
                      <w:vertAlign w:val="superscript"/>
                      <w:lang w:val="en-US" w:eastAsia="zh-CN"/>
                    </w:rPr>
                    <w:t>3</w:t>
                  </w:r>
                  <w:r>
                    <w:rPr>
                      <w:rFonts w:hint="default" w:ascii="Times New Roman" w:hAnsi="Times New Roman" w:cs="Times New Roman"/>
                      <w:b w:val="0"/>
                      <w:bCs w:val="0"/>
                      <w:snapToGrid w:val="0"/>
                      <w:color w:val="auto"/>
                      <w:kern w:val="0"/>
                      <w:szCs w:val="21"/>
                      <w:lang w:val="en-US" w:eastAsia="zh-CN"/>
                    </w:rPr>
                    <w:t>/a</w:t>
                  </w:r>
                </w:p>
              </w:tc>
            </w:tr>
            <w:tr w14:paraId="6057D6EF">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911" w:type="pct"/>
                  <w:tcBorders>
                    <w:tl2br w:val="nil"/>
                    <w:tr2bl w:val="nil"/>
                  </w:tcBorders>
                  <w:noWrap w:val="0"/>
                  <w:vAlign w:val="center"/>
                </w:tcPr>
                <w:p w14:paraId="06CDA473">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Cs w:val="21"/>
                      <w:lang w:val="en-US" w:eastAsia="zh-CN"/>
                    </w:rPr>
                    <w:t>SO</w:t>
                  </w:r>
                  <w:r>
                    <w:rPr>
                      <w:rFonts w:hint="default" w:ascii="Times New Roman" w:hAnsi="Times New Roman" w:eastAsia="宋体" w:cs="Times New Roman"/>
                      <w:snapToGrid w:val="0"/>
                      <w:color w:val="auto"/>
                      <w:kern w:val="0"/>
                      <w:szCs w:val="21"/>
                      <w:vertAlign w:val="subscript"/>
                      <w:lang w:val="en-US" w:eastAsia="zh-CN"/>
                    </w:rPr>
                    <w:t>2</w:t>
                  </w:r>
                </w:p>
              </w:tc>
              <w:tc>
                <w:tcPr>
                  <w:tcW w:w="1371" w:type="pct"/>
                  <w:tcBorders>
                    <w:tl2br w:val="nil"/>
                    <w:tr2bl w:val="nil"/>
                  </w:tcBorders>
                  <w:noWrap w:val="0"/>
                  <w:vAlign w:val="center"/>
                </w:tcPr>
                <w:p w14:paraId="182B7DBD">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Cs w:val="21"/>
                      <w:lang w:val="en-US" w:eastAsia="zh-CN"/>
                    </w:rPr>
                    <w:t>0.000002Skg/立方米原料</w:t>
                  </w:r>
                </w:p>
              </w:tc>
              <w:tc>
                <w:tcPr>
                  <w:tcW w:w="962" w:type="pct"/>
                  <w:tcBorders>
                    <w:tl2br w:val="nil"/>
                    <w:tr2bl w:val="nil"/>
                  </w:tcBorders>
                  <w:noWrap w:val="0"/>
                  <w:vAlign w:val="center"/>
                </w:tcPr>
                <w:p w14:paraId="77528357">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0.52</w:t>
                  </w:r>
                  <w:r>
                    <w:rPr>
                      <w:rFonts w:hint="default" w:ascii="Times New Roman" w:hAnsi="Times New Roman" w:cs="Times New Roman"/>
                      <w:snapToGrid w:val="0"/>
                      <w:color w:val="auto"/>
                      <w:kern w:val="0"/>
                      <w:szCs w:val="21"/>
                      <w:lang w:val="en-US" w:eastAsia="zh-CN"/>
                    </w:rPr>
                    <w:t>t/a</w:t>
                  </w:r>
                </w:p>
              </w:tc>
              <w:tc>
                <w:tcPr>
                  <w:tcW w:w="737" w:type="pct"/>
                  <w:vMerge w:val="continue"/>
                  <w:tcBorders>
                    <w:tl2br w:val="nil"/>
                    <w:tr2bl w:val="nil"/>
                  </w:tcBorders>
                  <w:noWrap w:val="0"/>
                  <w:vAlign w:val="center"/>
                </w:tcPr>
                <w:p w14:paraId="5E102F64">
                  <w:pPr>
                    <w:adjustRightInd w:val="0"/>
                    <w:snapToGrid w:val="0"/>
                    <w:spacing w:line="240" w:lineRule="exact"/>
                    <w:jc w:val="center"/>
                    <w:rPr>
                      <w:rFonts w:hint="default" w:ascii="Times New Roman" w:hAnsi="Times New Roman" w:eastAsia="宋体" w:cs="Times New Roman"/>
                      <w:color w:val="auto"/>
                      <w:kern w:val="0"/>
                      <w:szCs w:val="21"/>
                      <w:lang w:val="en-US" w:eastAsia="zh-CN"/>
                    </w:rPr>
                  </w:pPr>
                </w:p>
              </w:tc>
              <w:tc>
                <w:tcPr>
                  <w:tcW w:w="1017" w:type="pct"/>
                  <w:tcBorders>
                    <w:tl2br w:val="nil"/>
                    <w:tr2bl w:val="nil"/>
                  </w:tcBorders>
                  <w:noWrap w:val="0"/>
                  <w:vAlign w:val="center"/>
                </w:tcPr>
                <w:p w14:paraId="1E376EDA">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0.52</w:t>
                  </w:r>
                  <w:r>
                    <w:rPr>
                      <w:rFonts w:hint="default" w:ascii="Times New Roman" w:hAnsi="Times New Roman" w:cs="Times New Roman"/>
                      <w:snapToGrid w:val="0"/>
                      <w:color w:val="auto"/>
                      <w:kern w:val="0"/>
                      <w:szCs w:val="21"/>
                      <w:lang w:val="en-US" w:eastAsia="zh-CN"/>
                    </w:rPr>
                    <w:t>t/a</w:t>
                  </w:r>
                </w:p>
              </w:tc>
            </w:tr>
            <w:tr w14:paraId="4FC429A8">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35" w:hRule="atLeast"/>
                <w:jc w:val="center"/>
              </w:trPr>
              <w:tc>
                <w:tcPr>
                  <w:tcW w:w="911" w:type="pct"/>
                  <w:tcBorders>
                    <w:tl2br w:val="nil"/>
                    <w:tr2bl w:val="nil"/>
                  </w:tcBorders>
                  <w:noWrap w:val="0"/>
                  <w:vAlign w:val="center"/>
                </w:tcPr>
                <w:p w14:paraId="0227D81C">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Cs w:val="21"/>
                      <w:lang w:eastAsia="zh-CN"/>
                    </w:rPr>
                    <w:t>颗粒物</w:t>
                  </w:r>
                </w:p>
              </w:tc>
              <w:tc>
                <w:tcPr>
                  <w:tcW w:w="1371" w:type="pct"/>
                  <w:tcBorders>
                    <w:tl2br w:val="nil"/>
                    <w:tr2bl w:val="nil"/>
                  </w:tcBorders>
                  <w:noWrap w:val="0"/>
                  <w:vAlign w:val="center"/>
                </w:tcPr>
                <w:p w14:paraId="5494A785">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Cs w:val="21"/>
                      <w:lang w:val="en-US" w:eastAsia="zh-CN"/>
                    </w:rPr>
                    <w:t>0.000286kg/立方米原料</w:t>
                  </w:r>
                </w:p>
              </w:tc>
              <w:tc>
                <w:tcPr>
                  <w:tcW w:w="962" w:type="pct"/>
                  <w:tcBorders>
                    <w:tl2br w:val="nil"/>
                    <w:tr2bl w:val="nil"/>
                  </w:tcBorders>
                  <w:noWrap w:val="0"/>
                  <w:vAlign w:val="center"/>
                </w:tcPr>
                <w:p w14:paraId="3B20E535">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0.7436</w:t>
                  </w:r>
                  <w:r>
                    <w:rPr>
                      <w:rFonts w:hint="default" w:ascii="Times New Roman" w:hAnsi="Times New Roman" w:cs="Times New Roman"/>
                      <w:snapToGrid w:val="0"/>
                      <w:color w:val="auto"/>
                      <w:kern w:val="0"/>
                      <w:szCs w:val="21"/>
                      <w:lang w:val="en-US" w:eastAsia="zh-CN"/>
                    </w:rPr>
                    <w:t>t/a</w:t>
                  </w:r>
                </w:p>
              </w:tc>
              <w:tc>
                <w:tcPr>
                  <w:tcW w:w="737" w:type="pct"/>
                  <w:vMerge w:val="continue"/>
                  <w:tcBorders>
                    <w:tl2br w:val="nil"/>
                    <w:tr2bl w:val="nil"/>
                  </w:tcBorders>
                  <w:noWrap w:val="0"/>
                  <w:vAlign w:val="center"/>
                </w:tcPr>
                <w:p w14:paraId="5DBEFBEC">
                  <w:pPr>
                    <w:adjustRightInd w:val="0"/>
                    <w:snapToGrid w:val="0"/>
                    <w:spacing w:line="240" w:lineRule="exact"/>
                    <w:jc w:val="center"/>
                    <w:rPr>
                      <w:rFonts w:hint="default" w:ascii="Times New Roman" w:hAnsi="Times New Roman" w:cs="Times New Roman"/>
                      <w:color w:val="auto"/>
                      <w:kern w:val="0"/>
                      <w:szCs w:val="21"/>
                    </w:rPr>
                  </w:pPr>
                </w:p>
              </w:tc>
              <w:tc>
                <w:tcPr>
                  <w:tcW w:w="1017" w:type="pct"/>
                  <w:tcBorders>
                    <w:tl2br w:val="nil"/>
                    <w:tr2bl w:val="nil"/>
                  </w:tcBorders>
                  <w:noWrap w:val="0"/>
                  <w:vAlign w:val="center"/>
                </w:tcPr>
                <w:p w14:paraId="0BA1CB7D">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0.7436</w:t>
                  </w:r>
                  <w:r>
                    <w:rPr>
                      <w:rFonts w:hint="default" w:ascii="Times New Roman" w:hAnsi="Times New Roman" w:cs="Times New Roman"/>
                      <w:snapToGrid w:val="0"/>
                      <w:color w:val="auto"/>
                      <w:kern w:val="0"/>
                      <w:szCs w:val="21"/>
                      <w:lang w:val="en-US" w:eastAsia="zh-CN"/>
                    </w:rPr>
                    <w:t>t/a</w:t>
                  </w:r>
                </w:p>
              </w:tc>
            </w:tr>
            <w:tr w14:paraId="45C9DEAC">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75" w:hRule="atLeast"/>
                <w:jc w:val="center"/>
              </w:trPr>
              <w:tc>
                <w:tcPr>
                  <w:tcW w:w="911" w:type="pct"/>
                  <w:tcBorders>
                    <w:tl2br w:val="nil"/>
                    <w:tr2bl w:val="nil"/>
                  </w:tcBorders>
                  <w:noWrap w:val="0"/>
                  <w:vAlign w:val="center"/>
                </w:tcPr>
                <w:p w14:paraId="6AB8BA79">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Cs w:val="21"/>
                      <w:lang w:val="en-US" w:eastAsia="zh-CN"/>
                    </w:rPr>
                    <w:t>NOx</w:t>
                  </w:r>
                </w:p>
              </w:tc>
              <w:tc>
                <w:tcPr>
                  <w:tcW w:w="1371" w:type="pct"/>
                  <w:tcBorders>
                    <w:tl2br w:val="nil"/>
                    <w:tr2bl w:val="nil"/>
                  </w:tcBorders>
                  <w:noWrap w:val="0"/>
                  <w:vAlign w:val="center"/>
                </w:tcPr>
                <w:p w14:paraId="02650781">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Cs w:val="21"/>
                      <w:lang w:val="en-US" w:eastAsia="zh-CN"/>
                    </w:rPr>
                    <w:t>0.00187kg/立方米原料</w:t>
                  </w:r>
                </w:p>
              </w:tc>
              <w:tc>
                <w:tcPr>
                  <w:tcW w:w="962" w:type="pct"/>
                  <w:tcBorders>
                    <w:tl2br w:val="nil"/>
                    <w:tr2bl w:val="nil"/>
                  </w:tcBorders>
                  <w:noWrap w:val="0"/>
                  <w:vAlign w:val="center"/>
                </w:tcPr>
                <w:p w14:paraId="54D6BEF6">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4.862</w:t>
                  </w:r>
                  <w:r>
                    <w:rPr>
                      <w:rFonts w:hint="default" w:ascii="Times New Roman" w:hAnsi="Times New Roman" w:cs="Times New Roman"/>
                      <w:snapToGrid w:val="0"/>
                      <w:color w:val="auto"/>
                      <w:kern w:val="0"/>
                      <w:szCs w:val="21"/>
                      <w:lang w:val="en-US" w:eastAsia="zh-CN"/>
                    </w:rPr>
                    <w:t>t/a</w:t>
                  </w:r>
                </w:p>
              </w:tc>
              <w:tc>
                <w:tcPr>
                  <w:tcW w:w="737" w:type="pct"/>
                  <w:vMerge w:val="continue"/>
                  <w:tcBorders>
                    <w:tl2br w:val="nil"/>
                    <w:tr2bl w:val="nil"/>
                  </w:tcBorders>
                  <w:noWrap w:val="0"/>
                  <w:vAlign w:val="center"/>
                </w:tcPr>
                <w:p w14:paraId="3F61E1CF">
                  <w:pPr>
                    <w:adjustRightInd w:val="0"/>
                    <w:snapToGrid w:val="0"/>
                    <w:spacing w:line="240" w:lineRule="exact"/>
                    <w:jc w:val="center"/>
                    <w:rPr>
                      <w:rFonts w:hint="default" w:ascii="Times New Roman" w:hAnsi="Times New Roman" w:cs="Times New Roman"/>
                      <w:color w:val="auto"/>
                      <w:kern w:val="0"/>
                      <w:szCs w:val="21"/>
                    </w:rPr>
                  </w:pPr>
                </w:p>
              </w:tc>
              <w:tc>
                <w:tcPr>
                  <w:tcW w:w="1017" w:type="pct"/>
                  <w:tcBorders>
                    <w:tl2br w:val="nil"/>
                    <w:tr2bl w:val="nil"/>
                  </w:tcBorders>
                  <w:noWrap w:val="0"/>
                  <w:vAlign w:val="center"/>
                </w:tcPr>
                <w:p w14:paraId="0A0DD093">
                  <w:pPr>
                    <w:adjustRightInd w:val="0"/>
                    <w:snapToGrid w:val="0"/>
                    <w:spacing w:line="24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2.431</w:t>
                  </w:r>
                  <w:r>
                    <w:rPr>
                      <w:rFonts w:hint="default" w:ascii="Times New Roman" w:hAnsi="Times New Roman" w:cs="Times New Roman"/>
                      <w:snapToGrid w:val="0"/>
                      <w:color w:val="auto"/>
                      <w:kern w:val="0"/>
                      <w:szCs w:val="21"/>
                      <w:lang w:val="en-US" w:eastAsia="zh-CN"/>
                    </w:rPr>
                    <w:t>t/a</w:t>
                  </w:r>
                </w:p>
              </w:tc>
            </w:tr>
            <w:tr w14:paraId="36A27BDF">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5000" w:type="pct"/>
                  <w:gridSpan w:val="5"/>
                  <w:tcBorders>
                    <w:tl2br w:val="nil"/>
                    <w:tr2bl w:val="nil"/>
                  </w:tcBorders>
                  <w:noWrap w:val="0"/>
                  <w:vAlign w:val="center"/>
                </w:tcPr>
                <w:p w14:paraId="78DB8CF8">
                  <w:pPr>
                    <w:keepNext w:val="0"/>
                    <w:keepLines w:val="0"/>
                    <w:widowControl/>
                    <w:suppressLineNumbers w:val="0"/>
                    <w:jc w:val="left"/>
                    <w:rPr>
                      <w:rFonts w:hint="default" w:ascii="Times New Roman" w:hAnsi="Times New Roman" w:eastAsia="宋体" w:cs="Times New Roman"/>
                      <w:snapToGrid w:val="0"/>
                      <w:color w:val="auto"/>
                      <w:kern w:val="0"/>
                      <w:sz w:val="18"/>
                      <w:szCs w:val="18"/>
                      <w:lang w:val="en-US" w:eastAsia="zh-CN"/>
                    </w:rPr>
                  </w:pPr>
                  <w:r>
                    <w:rPr>
                      <w:rFonts w:hint="default" w:ascii="Times New Roman" w:hAnsi="Times New Roman" w:eastAsia="宋体" w:cs="Times New Roman"/>
                      <w:snapToGrid w:val="0"/>
                      <w:color w:val="auto"/>
                      <w:kern w:val="0"/>
                      <w:sz w:val="18"/>
                      <w:szCs w:val="18"/>
                      <w:lang w:val="en-US" w:eastAsia="zh-CN"/>
                    </w:rPr>
                    <w:t>注：</w:t>
                  </w:r>
                </w:p>
                <w:p w14:paraId="169486C7">
                  <w:pPr>
                    <w:keepNext w:val="0"/>
                    <w:keepLines w:val="0"/>
                    <w:widowControl/>
                    <w:suppressLineNumbers w:val="0"/>
                    <w:jc w:val="left"/>
                    <w:rPr>
                      <w:rFonts w:hint="default" w:ascii="Times New Roman" w:hAnsi="Times New Roman" w:eastAsia="宋体" w:cs="Times New Roman"/>
                      <w:snapToGrid w:val="0"/>
                      <w:color w:val="auto"/>
                      <w:kern w:val="0"/>
                      <w:sz w:val="18"/>
                      <w:szCs w:val="18"/>
                      <w:lang w:val="en-US" w:eastAsia="zh-CN"/>
                    </w:rPr>
                  </w:pPr>
                  <w:r>
                    <w:rPr>
                      <w:rFonts w:hint="default" w:ascii="Times New Roman" w:hAnsi="Times New Roman" w:eastAsia="宋体" w:cs="Times New Roman"/>
                      <w:snapToGrid w:val="0"/>
                      <w:color w:val="auto"/>
                      <w:kern w:val="0"/>
                      <w:sz w:val="18"/>
                      <w:szCs w:val="18"/>
                      <w:lang w:val="en-US" w:eastAsia="zh-CN"/>
                    </w:rPr>
                    <w:t xml:space="preserve">①如有其他燃料使用，可直接类比涂装核算环节工业炉窑。 </w:t>
                  </w:r>
                </w:p>
                <w:p w14:paraId="5E0C7039">
                  <w:pPr>
                    <w:keepNext w:val="0"/>
                    <w:keepLines w:val="0"/>
                    <w:widowControl/>
                    <w:suppressLineNumbers w:val="0"/>
                    <w:jc w:val="left"/>
                    <w:rPr>
                      <w:rFonts w:hint="default" w:ascii="Times New Roman" w:hAnsi="Times New Roman" w:eastAsia="宋体" w:cs="Times New Roman"/>
                      <w:snapToGrid w:val="0"/>
                      <w:color w:val="auto"/>
                      <w:kern w:val="0"/>
                      <w:sz w:val="18"/>
                      <w:szCs w:val="18"/>
                      <w:lang w:val="en-US" w:eastAsia="zh-CN"/>
                    </w:rPr>
                  </w:pPr>
                  <w:r>
                    <w:rPr>
                      <w:rFonts w:hint="default" w:ascii="Times New Roman" w:hAnsi="Times New Roman" w:eastAsia="宋体" w:cs="Times New Roman"/>
                      <w:snapToGrid w:val="0"/>
                      <w:color w:val="auto"/>
                      <w:kern w:val="0"/>
                      <w:sz w:val="18"/>
                      <w:szCs w:val="18"/>
                      <w:lang w:val="en-US" w:eastAsia="zh-CN"/>
                    </w:rPr>
                    <w:t xml:space="preserve">②S——收到基硫分（取值范围 0-100，燃料为气体时，取值范围&gt;=0）。 </w:t>
                  </w:r>
                </w:p>
                <w:p w14:paraId="3D99D540">
                  <w:pPr>
                    <w:keepNext w:val="0"/>
                    <w:keepLines w:val="0"/>
                    <w:widowControl/>
                    <w:suppressLineNumbers w:val="0"/>
                    <w:jc w:val="left"/>
                    <w:rPr>
                      <w:rFonts w:hint="default" w:ascii="Times New Roman" w:hAnsi="Times New Roman" w:eastAsia="宋体" w:cs="Times New Roman"/>
                      <w:snapToGrid w:val="0"/>
                      <w:color w:val="auto"/>
                      <w:kern w:val="0"/>
                      <w:sz w:val="18"/>
                      <w:szCs w:val="18"/>
                      <w:lang w:val="en-US" w:eastAsia="zh-CN"/>
                    </w:rPr>
                  </w:pPr>
                  <w:r>
                    <w:rPr>
                      <w:rFonts w:hint="default" w:ascii="Times New Roman" w:hAnsi="Times New Roman" w:eastAsia="宋体" w:cs="Times New Roman"/>
                      <w:snapToGrid w:val="0"/>
                      <w:color w:val="auto"/>
                      <w:kern w:val="0"/>
                      <w:sz w:val="18"/>
                      <w:szCs w:val="18"/>
                      <w:lang w:val="en-US" w:eastAsia="zh-CN"/>
                    </w:rPr>
                    <w:t xml:space="preserve">③A——收到基灰分（取值范围 0-100）。 </w:t>
                  </w:r>
                </w:p>
                <w:p w14:paraId="76BA41E1">
                  <w:pPr>
                    <w:keepNext w:val="0"/>
                    <w:keepLines w:val="0"/>
                    <w:widowControl/>
                    <w:suppressLineNumbers w:val="0"/>
                    <w:jc w:val="left"/>
                    <w:rPr>
                      <w:rFonts w:hint="default" w:ascii="Times New Roman" w:hAnsi="Times New Roman" w:cs="Times New Roman"/>
                      <w:color w:val="auto"/>
                      <w:lang w:val="en-US" w:eastAsia="zh-CN"/>
                    </w:rPr>
                  </w:pPr>
                  <w:r>
                    <w:rPr>
                      <w:rFonts w:hint="default" w:ascii="Times New Roman" w:hAnsi="Times New Roman" w:eastAsia="宋体" w:cs="Times New Roman"/>
                      <w:snapToGrid w:val="0"/>
                      <w:color w:val="auto"/>
                      <w:kern w:val="0"/>
                      <w:sz w:val="18"/>
                      <w:szCs w:val="18"/>
                      <w:lang w:val="en-US" w:eastAsia="zh-CN"/>
                    </w:rPr>
                    <w:t>本项目S取100。</w:t>
                  </w:r>
                </w:p>
              </w:tc>
            </w:tr>
          </w:tbl>
          <w:p w14:paraId="54A35919">
            <w:pPr>
              <w:numPr>
                <w:ilvl w:val="0"/>
                <w:numId w:val="0"/>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②下料、机加工废气</w:t>
            </w:r>
          </w:p>
          <w:p w14:paraId="3A37EBAD">
            <w:pPr>
              <w:numPr>
                <w:ilvl w:val="0"/>
                <w:numId w:val="0"/>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项目设备使用过程中使用润滑油、液压油及切削液，加工过程中受热会挥发产生有机废气(以非甲烷总烃计)，参考《排放源统计调查产排污核算方法和系数手册》33-37,431-434机械行业系数手册，</w:t>
            </w:r>
            <w:r>
              <w:rPr>
                <w:rFonts w:hint="eastAsia" w:ascii="Times New Roman" w:hAnsi="Times New Roman" w:cs="Times New Roman"/>
                <w:b w:val="0"/>
                <w:bCs w:val="0"/>
                <w:color w:val="auto"/>
                <w:sz w:val="21"/>
                <w:szCs w:val="21"/>
                <w:lang w:val="en-US" w:eastAsia="zh-CN"/>
              </w:rPr>
              <w:t>机械加工-湿式加工件的产污系数为5.64kg吨/原料，</w:t>
            </w:r>
            <w:r>
              <w:rPr>
                <w:rFonts w:hint="default" w:ascii="Times New Roman" w:hAnsi="Times New Roman" w:cs="Times New Roman"/>
                <w:b w:val="0"/>
                <w:bCs w:val="0"/>
                <w:color w:val="auto"/>
                <w:sz w:val="21"/>
                <w:szCs w:val="21"/>
                <w:lang w:val="en-US" w:eastAsia="zh-CN"/>
              </w:rPr>
              <w:t>本项目</w:t>
            </w:r>
            <w:r>
              <w:rPr>
                <w:rFonts w:hint="eastAsia" w:ascii="Times New Roman" w:hAnsi="Times New Roman" w:cs="Times New Roman"/>
                <w:b w:val="0"/>
                <w:bCs w:val="0"/>
                <w:color w:val="auto"/>
                <w:sz w:val="21"/>
                <w:szCs w:val="21"/>
                <w:lang w:val="en-US" w:eastAsia="zh-CN"/>
              </w:rPr>
              <w:t>下料、机加工过程使用11</w:t>
            </w:r>
            <w:r>
              <w:rPr>
                <w:rFonts w:hint="default" w:ascii="Times New Roman" w:hAnsi="Times New Roman" w:cs="Times New Roman"/>
                <w:b w:val="0"/>
                <w:bCs w:val="0"/>
                <w:color w:val="auto"/>
                <w:sz w:val="21"/>
                <w:szCs w:val="21"/>
                <w:lang w:val="en-US" w:eastAsia="zh-CN"/>
              </w:rPr>
              <w:t>t</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a，则产生非甲烷总烃</w:t>
            </w:r>
            <w:r>
              <w:rPr>
                <w:rFonts w:hint="eastAsia" w:ascii="Times New Roman" w:hAnsi="Times New Roman" w:cs="Times New Roman"/>
                <w:b w:val="0"/>
                <w:bCs w:val="0"/>
                <w:color w:val="auto"/>
                <w:sz w:val="21"/>
                <w:szCs w:val="21"/>
                <w:lang w:val="en-US" w:eastAsia="zh-CN"/>
              </w:rPr>
              <w:t>0.06204</w:t>
            </w:r>
            <w:r>
              <w:rPr>
                <w:rFonts w:hint="default" w:ascii="Times New Roman" w:hAnsi="Times New Roman" w:cs="Times New Roman"/>
                <w:b w:val="0"/>
                <w:bCs w:val="0"/>
                <w:color w:val="auto"/>
                <w:sz w:val="21"/>
                <w:szCs w:val="21"/>
                <w:lang w:val="en-US" w:eastAsia="zh-CN"/>
              </w:rPr>
              <w:t>t</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a，车间内无组织排放。</w:t>
            </w:r>
          </w:p>
          <w:p w14:paraId="2C886524">
            <w:pPr>
              <w:numPr>
                <w:ilvl w:val="0"/>
                <w:numId w:val="0"/>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废气收集、处理及排放方式情况见表4-1。</w:t>
            </w:r>
          </w:p>
          <w:p w14:paraId="0BB36ACD">
            <w:pPr>
              <w:pStyle w:val="5"/>
              <w:tabs>
                <w:tab w:val="left" w:pos="960"/>
                <w:tab w:val="left" w:pos="8760"/>
              </w:tabs>
              <w:adjustRightInd w:val="0"/>
              <w:ind w:firstLine="482"/>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表4-2 废气源强核算、收集、处理、排放方式情况一览表</w:t>
            </w:r>
          </w:p>
          <w:tbl>
            <w:tblPr>
              <w:tblStyle w:val="41"/>
              <w:tblW w:w="483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541"/>
              <w:gridCol w:w="870"/>
              <w:gridCol w:w="735"/>
              <w:gridCol w:w="780"/>
              <w:gridCol w:w="744"/>
              <w:gridCol w:w="396"/>
              <w:gridCol w:w="660"/>
              <w:gridCol w:w="660"/>
              <w:gridCol w:w="765"/>
              <w:gridCol w:w="645"/>
              <w:gridCol w:w="690"/>
              <w:gridCol w:w="517"/>
            </w:tblGrid>
            <w:tr w14:paraId="75758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63" w:hRule="atLeast"/>
                <w:jc w:val="center"/>
              </w:trPr>
              <w:tc>
                <w:tcPr>
                  <w:tcW w:w="337" w:type="pct"/>
                  <w:vMerge w:val="restart"/>
                  <w:noWrap w:val="0"/>
                  <w:tcMar>
                    <w:right w:w="0" w:type="dxa"/>
                  </w:tcMar>
                  <w:vAlign w:val="center"/>
                </w:tcPr>
                <w:p w14:paraId="2C33946C">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污染源</w:t>
                  </w:r>
                </w:p>
              </w:tc>
              <w:tc>
                <w:tcPr>
                  <w:tcW w:w="543" w:type="pct"/>
                  <w:vMerge w:val="restart"/>
                  <w:noWrap w:val="0"/>
                  <w:tcMar>
                    <w:right w:w="0" w:type="dxa"/>
                  </w:tcMar>
                  <w:vAlign w:val="center"/>
                </w:tcPr>
                <w:p w14:paraId="0CE13558">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污染物种类</w:t>
                  </w:r>
                </w:p>
              </w:tc>
              <w:tc>
                <w:tcPr>
                  <w:tcW w:w="459" w:type="pct"/>
                  <w:vMerge w:val="restart"/>
                  <w:tcBorders>
                    <w:right w:val="single" w:color="000000" w:sz="6" w:space="0"/>
                  </w:tcBorders>
                  <w:noWrap w:val="0"/>
                  <w:tcMar>
                    <w:right w:w="0" w:type="dxa"/>
                  </w:tcMar>
                  <w:vAlign w:val="center"/>
                </w:tcPr>
                <w:p w14:paraId="01935440">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污染源强核算t/a</w:t>
                  </w:r>
                </w:p>
              </w:tc>
              <w:tc>
                <w:tcPr>
                  <w:tcW w:w="487" w:type="pct"/>
                  <w:vMerge w:val="restart"/>
                  <w:tcBorders>
                    <w:left w:val="single" w:color="000000" w:sz="6" w:space="0"/>
                  </w:tcBorders>
                  <w:noWrap w:val="0"/>
                  <w:vAlign w:val="center"/>
                </w:tcPr>
                <w:p w14:paraId="197D3667">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源强核算依据</w:t>
                  </w:r>
                </w:p>
              </w:tc>
              <w:tc>
                <w:tcPr>
                  <w:tcW w:w="464" w:type="pct"/>
                  <w:vMerge w:val="restart"/>
                  <w:tcBorders>
                    <w:left w:val="single" w:color="000000" w:sz="6" w:space="0"/>
                  </w:tcBorders>
                  <w:noWrap w:val="0"/>
                  <w:vAlign w:val="center"/>
                </w:tcPr>
                <w:p w14:paraId="31E3B18F">
                  <w:pPr>
                    <w:adjustRightInd w:val="0"/>
                    <w:snapToGrid w:val="0"/>
                    <w:jc w:val="center"/>
                    <w:textAlignment w:val="center"/>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auto"/>
                      <w:sz w:val="21"/>
                      <w:szCs w:val="21"/>
                      <w:lang w:eastAsia="zh-CN"/>
                    </w:rPr>
                    <w:t>废气收集方式</w:t>
                  </w:r>
                </w:p>
              </w:tc>
              <w:tc>
                <w:tcPr>
                  <w:tcW w:w="247" w:type="pct"/>
                  <w:vMerge w:val="restart"/>
                  <w:tcBorders>
                    <w:left w:val="single" w:color="000000" w:sz="6" w:space="0"/>
                  </w:tcBorders>
                  <w:noWrap w:val="0"/>
                  <w:vAlign w:val="center"/>
                </w:tcPr>
                <w:p w14:paraId="54F12F70">
                  <w:pPr>
                    <w:adjustRightInd w:val="0"/>
                    <w:snapToGrid w:val="0"/>
                    <w:jc w:val="center"/>
                    <w:textAlignment w:val="center"/>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eastAsia="zh-CN"/>
                    </w:rPr>
                    <w:t>收集效率</w:t>
                  </w:r>
                  <w:r>
                    <w:rPr>
                      <w:rFonts w:hint="eastAsia" w:ascii="Times New Roman" w:hAnsi="Times New Roman" w:cs="Times New Roman"/>
                      <w:b/>
                      <w:bCs/>
                      <w:color w:val="auto"/>
                      <w:sz w:val="21"/>
                      <w:szCs w:val="21"/>
                      <w:lang w:val="en-US" w:eastAsia="zh-CN"/>
                    </w:rPr>
                    <w:t>%</w:t>
                  </w:r>
                </w:p>
              </w:tc>
              <w:tc>
                <w:tcPr>
                  <w:tcW w:w="1302" w:type="pct"/>
                  <w:gridSpan w:val="3"/>
                  <w:tcBorders>
                    <w:bottom w:val="single" w:color="000000" w:sz="6" w:space="0"/>
                    <w:right w:val="single" w:color="000000" w:sz="6" w:space="0"/>
                  </w:tcBorders>
                  <w:noWrap w:val="0"/>
                  <w:tcMar>
                    <w:top w:w="0" w:type="dxa"/>
                    <w:left w:w="108" w:type="dxa"/>
                    <w:bottom w:w="0" w:type="dxa"/>
                    <w:right w:w="0" w:type="dxa"/>
                  </w:tcMar>
                  <w:vAlign w:val="center"/>
                </w:tcPr>
                <w:p w14:paraId="0B631CD4">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治理措施</w:t>
                  </w:r>
                </w:p>
              </w:tc>
              <w:tc>
                <w:tcPr>
                  <w:tcW w:w="402" w:type="pct"/>
                  <w:vMerge w:val="restart"/>
                  <w:tcBorders>
                    <w:left w:val="single" w:color="000000" w:sz="6" w:space="0"/>
                  </w:tcBorders>
                  <w:noWrap w:val="0"/>
                  <w:vAlign w:val="center"/>
                </w:tcPr>
                <w:p w14:paraId="47157C2A">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风量</w:t>
                  </w:r>
                </w:p>
                <w:p w14:paraId="6B5581FC">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/h</w:t>
                  </w:r>
                </w:p>
              </w:tc>
              <w:tc>
                <w:tcPr>
                  <w:tcW w:w="754" w:type="pct"/>
                  <w:gridSpan w:val="2"/>
                  <w:tcBorders>
                    <w:left w:val="single" w:color="000000" w:sz="6" w:space="0"/>
                  </w:tcBorders>
                  <w:noWrap w:val="0"/>
                  <w:vAlign w:val="center"/>
                </w:tcPr>
                <w:p w14:paraId="58CC14A4">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排放形式</w:t>
                  </w:r>
                </w:p>
              </w:tc>
            </w:tr>
            <w:tr w14:paraId="466171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337" w:type="pct"/>
                  <w:vMerge w:val="continue"/>
                  <w:noWrap w:val="0"/>
                  <w:tcMar>
                    <w:right w:w="0" w:type="dxa"/>
                  </w:tcMar>
                  <w:vAlign w:val="center"/>
                </w:tcPr>
                <w:p w14:paraId="32735D17">
                  <w:pPr>
                    <w:adjustRightInd w:val="0"/>
                    <w:snapToGrid w:val="0"/>
                    <w:jc w:val="center"/>
                    <w:textAlignment w:val="center"/>
                    <w:rPr>
                      <w:rFonts w:hint="default" w:ascii="Times New Roman" w:hAnsi="Times New Roman" w:cs="Times New Roman"/>
                      <w:b/>
                      <w:bCs/>
                      <w:color w:val="auto"/>
                      <w:sz w:val="21"/>
                      <w:szCs w:val="21"/>
                    </w:rPr>
                  </w:pPr>
                </w:p>
              </w:tc>
              <w:tc>
                <w:tcPr>
                  <w:tcW w:w="543" w:type="pct"/>
                  <w:vMerge w:val="continue"/>
                  <w:noWrap w:val="0"/>
                  <w:tcMar>
                    <w:right w:w="0" w:type="dxa"/>
                  </w:tcMar>
                  <w:vAlign w:val="center"/>
                </w:tcPr>
                <w:p w14:paraId="39C35F1D">
                  <w:pPr>
                    <w:adjustRightInd w:val="0"/>
                    <w:snapToGrid w:val="0"/>
                    <w:jc w:val="center"/>
                    <w:textAlignment w:val="center"/>
                    <w:rPr>
                      <w:rFonts w:hint="default" w:ascii="Times New Roman" w:hAnsi="Times New Roman" w:cs="Times New Roman"/>
                      <w:b/>
                      <w:bCs/>
                      <w:color w:val="auto"/>
                      <w:sz w:val="21"/>
                      <w:szCs w:val="21"/>
                    </w:rPr>
                  </w:pPr>
                </w:p>
              </w:tc>
              <w:tc>
                <w:tcPr>
                  <w:tcW w:w="459" w:type="pct"/>
                  <w:vMerge w:val="continue"/>
                  <w:tcBorders>
                    <w:right w:val="single" w:color="000000" w:sz="6" w:space="0"/>
                  </w:tcBorders>
                  <w:noWrap w:val="0"/>
                  <w:tcMar>
                    <w:right w:w="0" w:type="dxa"/>
                  </w:tcMar>
                  <w:vAlign w:val="center"/>
                </w:tcPr>
                <w:p w14:paraId="55F45F2D">
                  <w:pPr>
                    <w:adjustRightInd w:val="0"/>
                    <w:snapToGrid w:val="0"/>
                    <w:jc w:val="center"/>
                    <w:textAlignment w:val="center"/>
                    <w:rPr>
                      <w:rFonts w:hint="default" w:ascii="Times New Roman" w:hAnsi="Times New Roman" w:cs="Times New Roman"/>
                      <w:b/>
                      <w:bCs/>
                      <w:color w:val="auto"/>
                      <w:sz w:val="21"/>
                      <w:szCs w:val="21"/>
                    </w:rPr>
                  </w:pPr>
                </w:p>
              </w:tc>
              <w:tc>
                <w:tcPr>
                  <w:tcW w:w="487" w:type="pct"/>
                  <w:vMerge w:val="continue"/>
                  <w:tcBorders>
                    <w:left w:val="single" w:color="000000" w:sz="6" w:space="0"/>
                  </w:tcBorders>
                  <w:noWrap w:val="0"/>
                  <w:tcMar>
                    <w:right w:w="0" w:type="dxa"/>
                  </w:tcMar>
                  <w:vAlign w:val="center"/>
                </w:tcPr>
                <w:p w14:paraId="34FE6FF3">
                  <w:pPr>
                    <w:adjustRightInd w:val="0"/>
                    <w:snapToGrid w:val="0"/>
                    <w:jc w:val="center"/>
                    <w:textAlignment w:val="center"/>
                    <w:rPr>
                      <w:rFonts w:hint="default" w:ascii="Times New Roman" w:hAnsi="Times New Roman" w:cs="Times New Roman"/>
                      <w:b/>
                      <w:bCs/>
                      <w:color w:val="auto"/>
                      <w:sz w:val="21"/>
                      <w:szCs w:val="21"/>
                    </w:rPr>
                  </w:pPr>
                </w:p>
              </w:tc>
              <w:tc>
                <w:tcPr>
                  <w:tcW w:w="464" w:type="pct"/>
                  <w:vMerge w:val="continue"/>
                  <w:tcBorders>
                    <w:left w:val="single" w:color="000000" w:sz="6" w:space="0"/>
                  </w:tcBorders>
                  <w:noWrap w:val="0"/>
                  <w:tcMar>
                    <w:right w:w="0" w:type="dxa"/>
                  </w:tcMar>
                  <w:vAlign w:val="center"/>
                </w:tcPr>
                <w:p w14:paraId="7BF40382">
                  <w:pPr>
                    <w:adjustRightInd w:val="0"/>
                    <w:snapToGrid w:val="0"/>
                    <w:jc w:val="center"/>
                    <w:textAlignment w:val="center"/>
                    <w:rPr>
                      <w:rFonts w:hint="default" w:ascii="Times New Roman" w:hAnsi="Times New Roman" w:cs="Times New Roman"/>
                      <w:b/>
                      <w:bCs/>
                      <w:color w:val="auto"/>
                      <w:sz w:val="21"/>
                      <w:szCs w:val="21"/>
                    </w:rPr>
                  </w:pPr>
                </w:p>
              </w:tc>
              <w:tc>
                <w:tcPr>
                  <w:tcW w:w="247" w:type="pct"/>
                  <w:vMerge w:val="continue"/>
                  <w:tcBorders>
                    <w:left w:val="single" w:color="000000" w:sz="6" w:space="0"/>
                  </w:tcBorders>
                  <w:noWrap w:val="0"/>
                  <w:tcMar>
                    <w:right w:w="0" w:type="dxa"/>
                  </w:tcMar>
                  <w:vAlign w:val="center"/>
                </w:tcPr>
                <w:p w14:paraId="30778C3F">
                  <w:pPr>
                    <w:adjustRightInd w:val="0"/>
                    <w:snapToGrid w:val="0"/>
                    <w:jc w:val="center"/>
                    <w:textAlignment w:val="center"/>
                    <w:rPr>
                      <w:rFonts w:hint="default" w:ascii="Times New Roman" w:hAnsi="Times New Roman" w:cs="Times New Roman"/>
                      <w:b/>
                      <w:bCs/>
                      <w:color w:val="auto"/>
                      <w:sz w:val="21"/>
                      <w:szCs w:val="21"/>
                    </w:rPr>
                  </w:pPr>
                </w:p>
              </w:tc>
              <w:tc>
                <w:tcPr>
                  <w:tcW w:w="412" w:type="pct"/>
                  <w:tcBorders>
                    <w:top w:val="single" w:color="000000" w:sz="6" w:space="0"/>
                  </w:tcBorders>
                  <w:noWrap w:val="0"/>
                  <w:tcMar>
                    <w:right w:w="0" w:type="dxa"/>
                  </w:tcMar>
                  <w:vAlign w:val="center"/>
                </w:tcPr>
                <w:p w14:paraId="05823C12">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治理工艺</w:t>
                  </w:r>
                </w:p>
              </w:tc>
              <w:tc>
                <w:tcPr>
                  <w:tcW w:w="412" w:type="pct"/>
                  <w:tcBorders>
                    <w:top w:val="single" w:color="000000" w:sz="6" w:space="0"/>
                  </w:tcBorders>
                  <w:noWrap w:val="0"/>
                  <w:tcMar>
                    <w:top w:w="0" w:type="dxa"/>
                    <w:left w:w="108" w:type="dxa"/>
                    <w:bottom w:w="0" w:type="dxa"/>
                    <w:right w:w="0" w:type="dxa"/>
                  </w:tcMar>
                  <w:vAlign w:val="center"/>
                </w:tcPr>
                <w:p w14:paraId="526E5D5A">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去除效率</w:t>
                  </w:r>
                </w:p>
              </w:tc>
              <w:tc>
                <w:tcPr>
                  <w:tcW w:w="477" w:type="pct"/>
                  <w:tcBorders>
                    <w:right w:val="single" w:color="000000" w:sz="6" w:space="0"/>
                  </w:tcBorders>
                  <w:noWrap w:val="0"/>
                  <w:tcMar>
                    <w:right w:w="0" w:type="dxa"/>
                  </w:tcMar>
                  <w:vAlign w:val="center"/>
                </w:tcPr>
                <w:p w14:paraId="6A00D6D0">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是否为可行技术</w:t>
                  </w:r>
                </w:p>
              </w:tc>
              <w:tc>
                <w:tcPr>
                  <w:tcW w:w="402" w:type="pct"/>
                  <w:vMerge w:val="continue"/>
                  <w:tcBorders>
                    <w:left w:val="single" w:color="000000" w:sz="6" w:space="0"/>
                  </w:tcBorders>
                  <w:noWrap w:val="0"/>
                  <w:tcMar>
                    <w:right w:w="0" w:type="dxa"/>
                  </w:tcMar>
                  <w:vAlign w:val="center"/>
                </w:tcPr>
                <w:p w14:paraId="5FB6067B">
                  <w:pPr>
                    <w:adjustRightInd w:val="0"/>
                    <w:snapToGrid w:val="0"/>
                    <w:jc w:val="center"/>
                    <w:textAlignment w:val="center"/>
                    <w:rPr>
                      <w:rFonts w:hint="default" w:ascii="Times New Roman" w:hAnsi="Times New Roman" w:cs="Times New Roman"/>
                      <w:b/>
                      <w:bCs/>
                      <w:color w:val="auto"/>
                      <w:sz w:val="21"/>
                      <w:szCs w:val="21"/>
                    </w:rPr>
                  </w:pPr>
                </w:p>
              </w:tc>
              <w:tc>
                <w:tcPr>
                  <w:tcW w:w="431" w:type="pct"/>
                  <w:tcBorders>
                    <w:top w:val="single" w:color="000000" w:sz="6" w:space="0"/>
                    <w:left w:val="single" w:color="000000" w:sz="6" w:space="0"/>
                  </w:tcBorders>
                  <w:noWrap w:val="0"/>
                  <w:tcMar>
                    <w:right w:w="0" w:type="dxa"/>
                  </w:tcMar>
                  <w:vAlign w:val="center"/>
                </w:tcPr>
                <w:p w14:paraId="749EAF17">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有组织</w:t>
                  </w:r>
                </w:p>
              </w:tc>
              <w:tc>
                <w:tcPr>
                  <w:tcW w:w="323" w:type="pct"/>
                  <w:tcBorders>
                    <w:top w:val="single" w:color="000000" w:sz="6" w:space="0"/>
                  </w:tcBorders>
                  <w:noWrap w:val="0"/>
                  <w:tcMar>
                    <w:right w:w="0" w:type="dxa"/>
                  </w:tcMar>
                  <w:vAlign w:val="center"/>
                </w:tcPr>
                <w:p w14:paraId="62AC2031">
                  <w:pPr>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无组织</w:t>
                  </w:r>
                </w:p>
              </w:tc>
            </w:tr>
            <w:tr w14:paraId="62CE93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792" w:hRule="atLeast"/>
                <w:jc w:val="center"/>
              </w:trPr>
              <w:tc>
                <w:tcPr>
                  <w:tcW w:w="337" w:type="pct"/>
                  <w:vMerge w:val="restart"/>
                  <w:noWrap w:val="0"/>
                  <w:tcMar>
                    <w:right w:w="0" w:type="dxa"/>
                  </w:tcMar>
                  <w:vAlign w:val="center"/>
                </w:tcPr>
                <w:p w14:paraId="214C1D28">
                  <w:pPr>
                    <w:adjustRightInd w:val="0"/>
                    <w:snapToGrid w:val="0"/>
                    <w:jc w:val="center"/>
                    <w:textAlignment w:val="center"/>
                    <w:rPr>
                      <w:rFonts w:hint="default" w:ascii="Times New Roman" w:hAnsi="Times New Roman" w:cs="Times New Roman"/>
                      <w:color w:val="auto"/>
                      <w:sz w:val="21"/>
                      <w:szCs w:val="21"/>
                      <w:lang w:val="en-US"/>
                    </w:rPr>
                  </w:pPr>
                  <w:r>
                    <w:rPr>
                      <w:rFonts w:hint="default" w:ascii="Times New Roman" w:hAnsi="Times New Roman" w:cs="Times New Roman"/>
                      <w:b w:val="0"/>
                      <w:bCs w:val="0"/>
                      <w:color w:val="auto"/>
                      <w:sz w:val="21"/>
                      <w:szCs w:val="21"/>
                      <w:lang w:val="en-US" w:eastAsia="zh-CN"/>
                    </w:rPr>
                    <w:t>天然气燃烧</w:t>
                  </w:r>
                </w:p>
              </w:tc>
              <w:tc>
                <w:tcPr>
                  <w:tcW w:w="543" w:type="pct"/>
                  <w:noWrap w:val="0"/>
                  <w:tcMar>
                    <w:right w:w="0" w:type="dxa"/>
                  </w:tcMar>
                  <w:vAlign w:val="center"/>
                </w:tcPr>
                <w:p w14:paraId="35FA0014">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二氧化硫</w:t>
                  </w:r>
                </w:p>
              </w:tc>
              <w:tc>
                <w:tcPr>
                  <w:tcW w:w="459" w:type="pct"/>
                  <w:noWrap w:val="0"/>
                  <w:tcMar>
                    <w:right w:w="0" w:type="dxa"/>
                  </w:tcMar>
                  <w:vAlign w:val="center"/>
                </w:tcPr>
                <w:p w14:paraId="7851C3A6">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0.52</w:t>
                  </w:r>
                </w:p>
              </w:tc>
              <w:tc>
                <w:tcPr>
                  <w:tcW w:w="487" w:type="pct"/>
                  <w:vMerge w:val="restart"/>
                  <w:noWrap w:val="0"/>
                  <w:tcMar>
                    <w:right w:w="0" w:type="dxa"/>
                  </w:tcMar>
                  <w:vAlign w:val="center"/>
                </w:tcPr>
                <w:p w14:paraId="7683C119">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《排放源统计调查产排污核算方法和系数手册》</w:t>
                  </w:r>
                </w:p>
              </w:tc>
              <w:tc>
                <w:tcPr>
                  <w:tcW w:w="464" w:type="pct"/>
                  <w:vMerge w:val="restart"/>
                  <w:noWrap w:val="0"/>
                  <w:tcMar>
                    <w:right w:w="0" w:type="dxa"/>
                  </w:tcMar>
                  <w:vAlign w:val="center"/>
                </w:tcPr>
                <w:p w14:paraId="41970329">
                  <w:pPr>
                    <w:widowControl/>
                    <w:jc w:val="center"/>
                    <w:textAlignment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密闭管道收集</w:t>
                  </w:r>
                </w:p>
              </w:tc>
              <w:tc>
                <w:tcPr>
                  <w:tcW w:w="247" w:type="pct"/>
                  <w:vMerge w:val="restart"/>
                  <w:noWrap w:val="0"/>
                  <w:tcMar>
                    <w:right w:w="0" w:type="dxa"/>
                  </w:tcMar>
                  <w:vAlign w:val="center"/>
                </w:tcPr>
                <w:p w14:paraId="3ED61F69">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412" w:type="pct"/>
                  <w:vMerge w:val="restart"/>
                  <w:noWrap w:val="0"/>
                  <w:tcMar>
                    <w:right w:w="0" w:type="dxa"/>
                  </w:tcMar>
                  <w:vAlign w:val="center"/>
                </w:tcPr>
                <w:p w14:paraId="061F2334">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低氮燃烧装置</w:t>
                  </w:r>
                </w:p>
              </w:tc>
              <w:tc>
                <w:tcPr>
                  <w:tcW w:w="412" w:type="pct"/>
                  <w:noWrap w:val="0"/>
                  <w:tcMar>
                    <w:top w:w="0" w:type="dxa"/>
                    <w:left w:w="108" w:type="dxa"/>
                    <w:bottom w:w="0" w:type="dxa"/>
                    <w:right w:w="0" w:type="dxa"/>
                  </w:tcMar>
                  <w:vAlign w:val="center"/>
                </w:tcPr>
                <w:p w14:paraId="284F2E7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477" w:type="pct"/>
                  <w:noWrap w:val="0"/>
                  <w:tcMar>
                    <w:right w:w="0" w:type="dxa"/>
                  </w:tcMar>
                  <w:vAlign w:val="center"/>
                </w:tcPr>
                <w:p w14:paraId="5058C62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是</w:t>
                  </w:r>
                </w:p>
              </w:tc>
              <w:tc>
                <w:tcPr>
                  <w:tcW w:w="402" w:type="pct"/>
                  <w:vMerge w:val="restart"/>
                  <w:noWrap w:val="0"/>
                  <w:tcMar>
                    <w:right w:w="0" w:type="dxa"/>
                  </w:tcMar>
                  <w:vAlign w:val="center"/>
                </w:tcPr>
                <w:p w14:paraId="3B94F51B">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28000</w:t>
                  </w:r>
                </w:p>
                <w:p w14:paraId="25A89D2A">
                  <w:pPr>
                    <w:widowControl/>
                    <w:jc w:val="center"/>
                    <w:textAlignment w:val="center"/>
                    <w:rPr>
                      <w:rFonts w:hint="default" w:ascii="Times New Roman" w:hAnsi="Times New Roman" w:eastAsia="宋体" w:cs="Times New Roman"/>
                      <w:color w:val="auto"/>
                      <w:sz w:val="21"/>
                      <w:szCs w:val="21"/>
                      <w:lang w:val="en-US" w:eastAsia="zh-CN"/>
                    </w:rPr>
                  </w:pPr>
                </w:p>
              </w:tc>
              <w:tc>
                <w:tcPr>
                  <w:tcW w:w="431" w:type="pct"/>
                  <w:noWrap w:val="0"/>
                  <w:tcMar>
                    <w:right w:w="0" w:type="dxa"/>
                  </w:tcMar>
                  <w:vAlign w:val="center"/>
                </w:tcPr>
                <w:p w14:paraId="6F8B1ED4">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w:t>
                  </w:r>
                </w:p>
              </w:tc>
              <w:tc>
                <w:tcPr>
                  <w:tcW w:w="323" w:type="pct"/>
                  <w:noWrap w:val="0"/>
                  <w:tcMar>
                    <w:right w:w="0" w:type="dxa"/>
                  </w:tcMar>
                  <w:vAlign w:val="center"/>
                </w:tcPr>
                <w:p w14:paraId="3672B88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r>
            <w:tr w14:paraId="10331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502" w:hRule="atLeast"/>
                <w:jc w:val="center"/>
              </w:trPr>
              <w:tc>
                <w:tcPr>
                  <w:tcW w:w="337" w:type="pct"/>
                  <w:vMerge w:val="continue"/>
                  <w:noWrap w:val="0"/>
                  <w:tcMar>
                    <w:right w:w="0" w:type="dxa"/>
                  </w:tcMar>
                  <w:vAlign w:val="center"/>
                </w:tcPr>
                <w:p w14:paraId="03867B5C">
                  <w:pPr>
                    <w:adjustRightInd w:val="0"/>
                    <w:snapToGrid w:val="0"/>
                    <w:jc w:val="center"/>
                    <w:textAlignment w:val="center"/>
                    <w:rPr>
                      <w:rFonts w:hint="default" w:ascii="Times New Roman" w:hAnsi="Times New Roman" w:cs="Times New Roman"/>
                      <w:b w:val="0"/>
                      <w:bCs w:val="0"/>
                      <w:color w:val="auto"/>
                      <w:sz w:val="21"/>
                      <w:szCs w:val="21"/>
                      <w:lang w:val="en-US" w:eastAsia="zh-CN"/>
                    </w:rPr>
                  </w:pPr>
                </w:p>
              </w:tc>
              <w:tc>
                <w:tcPr>
                  <w:tcW w:w="543" w:type="pct"/>
                  <w:noWrap w:val="0"/>
                  <w:tcMar>
                    <w:right w:w="0" w:type="dxa"/>
                  </w:tcMar>
                  <w:vAlign w:val="center"/>
                </w:tcPr>
                <w:p w14:paraId="5D4AA97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459" w:type="pct"/>
                  <w:noWrap w:val="0"/>
                  <w:tcMar>
                    <w:right w:w="0" w:type="dxa"/>
                  </w:tcMar>
                  <w:vAlign w:val="center"/>
                </w:tcPr>
                <w:p w14:paraId="43D2C5C3">
                  <w:pPr>
                    <w:widowControl/>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0.7436</w:t>
                  </w:r>
                </w:p>
              </w:tc>
              <w:tc>
                <w:tcPr>
                  <w:tcW w:w="487" w:type="pct"/>
                  <w:vMerge w:val="continue"/>
                  <w:noWrap w:val="0"/>
                  <w:tcMar>
                    <w:right w:w="0" w:type="dxa"/>
                  </w:tcMar>
                  <w:vAlign w:val="center"/>
                </w:tcPr>
                <w:p w14:paraId="2B91C60F">
                  <w:pPr>
                    <w:widowControl/>
                    <w:jc w:val="center"/>
                    <w:textAlignment w:val="center"/>
                    <w:rPr>
                      <w:rFonts w:hint="default" w:ascii="Times New Roman" w:hAnsi="Times New Roman" w:cs="Times New Roman"/>
                      <w:color w:val="auto"/>
                      <w:sz w:val="21"/>
                      <w:szCs w:val="21"/>
                    </w:rPr>
                  </w:pPr>
                </w:p>
              </w:tc>
              <w:tc>
                <w:tcPr>
                  <w:tcW w:w="464" w:type="pct"/>
                  <w:vMerge w:val="continue"/>
                  <w:noWrap w:val="0"/>
                  <w:tcMar>
                    <w:right w:w="0" w:type="dxa"/>
                  </w:tcMar>
                  <w:vAlign w:val="center"/>
                </w:tcPr>
                <w:p w14:paraId="6B8976F8">
                  <w:pPr>
                    <w:widowControl/>
                    <w:jc w:val="center"/>
                    <w:textAlignment w:val="center"/>
                    <w:rPr>
                      <w:rFonts w:hint="default" w:ascii="Times New Roman" w:hAnsi="Times New Roman" w:cs="Times New Roman"/>
                      <w:color w:val="auto"/>
                      <w:sz w:val="21"/>
                      <w:szCs w:val="21"/>
                    </w:rPr>
                  </w:pPr>
                </w:p>
              </w:tc>
              <w:tc>
                <w:tcPr>
                  <w:tcW w:w="247" w:type="pct"/>
                  <w:vMerge w:val="continue"/>
                  <w:noWrap w:val="0"/>
                  <w:tcMar>
                    <w:right w:w="0" w:type="dxa"/>
                  </w:tcMar>
                  <w:vAlign w:val="center"/>
                </w:tcPr>
                <w:p w14:paraId="5EFED3D4">
                  <w:pPr>
                    <w:widowControl/>
                    <w:jc w:val="center"/>
                    <w:textAlignment w:val="center"/>
                    <w:rPr>
                      <w:rFonts w:hint="default" w:ascii="Times New Roman" w:hAnsi="Times New Roman" w:cs="Times New Roman"/>
                      <w:color w:val="auto"/>
                      <w:sz w:val="21"/>
                      <w:szCs w:val="21"/>
                    </w:rPr>
                  </w:pPr>
                </w:p>
              </w:tc>
              <w:tc>
                <w:tcPr>
                  <w:tcW w:w="412" w:type="pct"/>
                  <w:vMerge w:val="continue"/>
                  <w:noWrap w:val="0"/>
                  <w:tcMar>
                    <w:right w:w="0" w:type="dxa"/>
                  </w:tcMar>
                  <w:vAlign w:val="center"/>
                </w:tcPr>
                <w:p w14:paraId="520EF201">
                  <w:pPr>
                    <w:adjustRightInd w:val="0"/>
                    <w:snapToGrid w:val="0"/>
                    <w:jc w:val="center"/>
                    <w:textAlignment w:val="center"/>
                    <w:rPr>
                      <w:rFonts w:hint="default" w:ascii="Times New Roman" w:hAnsi="Times New Roman" w:cs="Times New Roman"/>
                      <w:color w:val="auto"/>
                      <w:sz w:val="21"/>
                      <w:szCs w:val="21"/>
                      <w:lang w:val="en-US" w:eastAsia="zh-CN"/>
                    </w:rPr>
                  </w:pPr>
                </w:p>
              </w:tc>
              <w:tc>
                <w:tcPr>
                  <w:tcW w:w="412" w:type="pct"/>
                  <w:noWrap w:val="0"/>
                  <w:tcMar>
                    <w:top w:w="0" w:type="dxa"/>
                    <w:left w:w="108" w:type="dxa"/>
                    <w:bottom w:w="0" w:type="dxa"/>
                    <w:right w:w="0" w:type="dxa"/>
                  </w:tcMar>
                  <w:vAlign w:val="center"/>
                </w:tcPr>
                <w:p w14:paraId="51C600D1">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477" w:type="pct"/>
                  <w:noWrap w:val="0"/>
                  <w:tcMar>
                    <w:right w:w="0" w:type="dxa"/>
                  </w:tcMar>
                  <w:vAlign w:val="center"/>
                </w:tcPr>
                <w:p w14:paraId="4CE2ED99">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w:t>
                  </w:r>
                </w:p>
              </w:tc>
              <w:tc>
                <w:tcPr>
                  <w:tcW w:w="402" w:type="pct"/>
                  <w:vMerge w:val="continue"/>
                  <w:noWrap w:val="0"/>
                  <w:tcMar>
                    <w:right w:w="0" w:type="dxa"/>
                  </w:tcMar>
                  <w:vAlign w:val="center"/>
                </w:tcPr>
                <w:p w14:paraId="1ADC1A1D">
                  <w:pPr>
                    <w:jc w:val="center"/>
                    <w:rPr>
                      <w:rFonts w:hint="default" w:ascii="Times New Roman" w:hAnsi="Times New Roman" w:cs="Times New Roman"/>
                      <w:color w:val="auto"/>
                      <w:sz w:val="21"/>
                      <w:szCs w:val="21"/>
                      <w:lang w:val="en-US" w:eastAsia="zh-CN"/>
                    </w:rPr>
                  </w:pPr>
                </w:p>
              </w:tc>
              <w:tc>
                <w:tcPr>
                  <w:tcW w:w="431" w:type="pct"/>
                  <w:noWrap w:val="0"/>
                  <w:tcMar>
                    <w:right w:w="0" w:type="dxa"/>
                  </w:tcMar>
                  <w:vAlign w:val="center"/>
                </w:tcPr>
                <w:p w14:paraId="474EBC8B">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323" w:type="pct"/>
                  <w:noWrap w:val="0"/>
                  <w:tcMar>
                    <w:right w:w="0" w:type="dxa"/>
                  </w:tcMar>
                  <w:vAlign w:val="center"/>
                </w:tcPr>
                <w:p w14:paraId="6FD86E0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r>
            <w:tr w14:paraId="713E04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795" w:hRule="atLeast"/>
                <w:jc w:val="center"/>
              </w:trPr>
              <w:tc>
                <w:tcPr>
                  <w:tcW w:w="337" w:type="pct"/>
                  <w:vMerge w:val="continue"/>
                  <w:noWrap w:val="0"/>
                  <w:tcMar>
                    <w:right w:w="0" w:type="dxa"/>
                  </w:tcMar>
                  <w:vAlign w:val="center"/>
                </w:tcPr>
                <w:p w14:paraId="5956BBE9">
                  <w:pPr>
                    <w:adjustRightInd w:val="0"/>
                    <w:snapToGrid w:val="0"/>
                    <w:jc w:val="center"/>
                    <w:textAlignment w:val="center"/>
                    <w:rPr>
                      <w:rFonts w:hint="default" w:ascii="Times New Roman" w:hAnsi="Times New Roman" w:cs="Times New Roman"/>
                      <w:b w:val="0"/>
                      <w:bCs w:val="0"/>
                      <w:color w:val="auto"/>
                      <w:sz w:val="21"/>
                      <w:szCs w:val="21"/>
                      <w:lang w:val="en-US" w:eastAsia="zh-CN"/>
                    </w:rPr>
                  </w:pPr>
                </w:p>
              </w:tc>
              <w:tc>
                <w:tcPr>
                  <w:tcW w:w="543" w:type="pct"/>
                  <w:noWrap w:val="0"/>
                  <w:tcMar>
                    <w:right w:w="0" w:type="dxa"/>
                  </w:tcMar>
                  <w:vAlign w:val="center"/>
                </w:tcPr>
                <w:p w14:paraId="3CAC104B">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氮氧化物</w:t>
                  </w:r>
                </w:p>
              </w:tc>
              <w:tc>
                <w:tcPr>
                  <w:tcW w:w="459" w:type="pct"/>
                  <w:noWrap w:val="0"/>
                  <w:tcMar>
                    <w:right w:w="0" w:type="dxa"/>
                  </w:tcMar>
                  <w:vAlign w:val="center"/>
                </w:tcPr>
                <w:p w14:paraId="5C1E0B4D">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4.862</w:t>
                  </w:r>
                </w:p>
              </w:tc>
              <w:tc>
                <w:tcPr>
                  <w:tcW w:w="487" w:type="pct"/>
                  <w:vMerge w:val="continue"/>
                  <w:noWrap w:val="0"/>
                  <w:tcMar>
                    <w:right w:w="0" w:type="dxa"/>
                  </w:tcMar>
                  <w:vAlign w:val="center"/>
                </w:tcPr>
                <w:p w14:paraId="7FDE7604">
                  <w:pPr>
                    <w:widowControl/>
                    <w:jc w:val="center"/>
                    <w:textAlignment w:val="center"/>
                    <w:rPr>
                      <w:rFonts w:hint="default" w:ascii="Times New Roman" w:hAnsi="Times New Roman" w:eastAsia="宋体" w:cs="Times New Roman"/>
                      <w:color w:val="auto"/>
                      <w:sz w:val="21"/>
                      <w:szCs w:val="21"/>
                      <w:lang w:eastAsia="zh-CN"/>
                    </w:rPr>
                  </w:pPr>
                </w:p>
              </w:tc>
              <w:tc>
                <w:tcPr>
                  <w:tcW w:w="464" w:type="pct"/>
                  <w:vMerge w:val="continue"/>
                  <w:noWrap w:val="0"/>
                  <w:tcMar>
                    <w:right w:w="0" w:type="dxa"/>
                  </w:tcMar>
                  <w:vAlign w:val="center"/>
                </w:tcPr>
                <w:p w14:paraId="321FBF3D">
                  <w:pPr>
                    <w:widowControl/>
                    <w:jc w:val="center"/>
                    <w:textAlignment w:val="center"/>
                    <w:rPr>
                      <w:rFonts w:hint="default" w:ascii="Times New Roman" w:hAnsi="Times New Roman" w:eastAsia="宋体" w:cs="Times New Roman"/>
                      <w:color w:val="auto"/>
                      <w:sz w:val="21"/>
                      <w:szCs w:val="21"/>
                      <w:lang w:eastAsia="zh-CN"/>
                    </w:rPr>
                  </w:pPr>
                </w:p>
              </w:tc>
              <w:tc>
                <w:tcPr>
                  <w:tcW w:w="247" w:type="pct"/>
                  <w:vMerge w:val="continue"/>
                  <w:noWrap w:val="0"/>
                  <w:tcMar>
                    <w:right w:w="0" w:type="dxa"/>
                  </w:tcMar>
                  <w:vAlign w:val="center"/>
                </w:tcPr>
                <w:p w14:paraId="0036F1D2">
                  <w:pPr>
                    <w:widowControl/>
                    <w:jc w:val="center"/>
                    <w:textAlignment w:val="center"/>
                    <w:rPr>
                      <w:rFonts w:hint="default" w:ascii="Times New Roman" w:hAnsi="Times New Roman" w:eastAsia="宋体" w:cs="Times New Roman"/>
                      <w:color w:val="auto"/>
                      <w:sz w:val="21"/>
                      <w:szCs w:val="21"/>
                      <w:lang w:eastAsia="zh-CN"/>
                    </w:rPr>
                  </w:pPr>
                </w:p>
              </w:tc>
              <w:tc>
                <w:tcPr>
                  <w:tcW w:w="412" w:type="pct"/>
                  <w:vMerge w:val="continue"/>
                  <w:noWrap w:val="0"/>
                  <w:tcMar>
                    <w:right w:w="0" w:type="dxa"/>
                  </w:tcMar>
                  <w:vAlign w:val="center"/>
                </w:tcPr>
                <w:p w14:paraId="59C39C88">
                  <w:pPr>
                    <w:adjustRightInd w:val="0"/>
                    <w:snapToGrid w:val="0"/>
                    <w:jc w:val="center"/>
                    <w:textAlignment w:val="center"/>
                    <w:rPr>
                      <w:rFonts w:hint="default" w:ascii="Times New Roman" w:hAnsi="Times New Roman" w:cs="Times New Roman"/>
                      <w:color w:val="auto"/>
                      <w:sz w:val="21"/>
                      <w:szCs w:val="21"/>
                      <w:lang w:val="en-US" w:eastAsia="zh-CN"/>
                    </w:rPr>
                  </w:pPr>
                </w:p>
              </w:tc>
              <w:tc>
                <w:tcPr>
                  <w:tcW w:w="412" w:type="pct"/>
                  <w:noWrap w:val="0"/>
                  <w:tcMar>
                    <w:top w:w="0" w:type="dxa"/>
                    <w:left w:w="108" w:type="dxa"/>
                    <w:bottom w:w="0" w:type="dxa"/>
                    <w:right w:w="0" w:type="dxa"/>
                  </w:tcMar>
                  <w:vAlign w:val="center"/>
                </w:tcPr>
                <w:p w14:paraId="37625E85">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477" w:type="pct"/>
                  <w:noWrap w:val="0"/>
                  <w:tcMar>
                    <w:right w:w="0" w:type="dxa"/>
                  </w:tcMar>
                  <w:vAlign w:val="center"/>
                </w:tcPr>
                <w:p w14:paraId="71BD333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是</w:t>
                  </w:r>
                </w:p>
              </w:tc>
              <w:tc>
                <w:tcPr>
                  <w:tcW w:w="402" w:type="pct"/>
                  <w:vMerge w:val="continue"/>
                  <w:noWrap w:val="0"/>
                  <w:tcMar>
                    <w:right w:w="0" w:type="dxa"/>
                  </w:tcMar>
                  <w:vAlign w:val="center"/>
                </w:tcPr>
                <w:p w14:paraId="4D4B8B6C">
                  <w:pPr>
                    <w:widowControl/>
                    <w:jc w:val="center"/>
                    <w:textAlignment w:val="center"/>
                    <w:rPr>
                      <w:rFonts w:hint="default" w:ascii="Times New Roman" w:hAnsi="Times New Roman" w:eastAsia="宋体" w:cs="Times New Roman"/>
                      <w:color w:val="auto"/>
                      <w:sz w:val="21"/>
                      <w:szCs w:val="21"/>
                      <w:lang w:val="en-US" w:eastAsia="zh-CN"/>
                    </w:rPr>
                  </w:pPr>
                </w:p>
              </w:tc>
              <w:tc>
                <w:tcPr>
                  <w:tcW w:w="431" w:type="pct"/>
                  <w:noWrap w:val="0"/>
                  <w:tcMar>
                    <w:right w:w="0" w:type="dxa"/>
                  </w:tcMar>
                  <w:vAlign w:val="center"/>
                </w:tcPr>
                <w:p w14:paraId="79D9991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323" w:type="pct"/>
                  <w:noWrap w:val="0"/>
                  <w:tcMar>
                    <w:right w:w="0" w:type="dxa"/>
                  </w:tcMar>
                  <w:vAlign w:val="center"/>
                </w:tcPr>
                <w:p w14:paraId="547A5F9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r>
          </w:tbl>
          <w:p w14:paraId="57FDD173">
            <w:pPr>
              <w:pStyle w:val="4"/>
              <w:spacing w:before="0" w:after="0" w:line="360" w:lineRule="auto"/>
              <w:ind w:firstLine="420" w:firstLineChars="20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本项目有组织废气产排情况见表4-</w:t>
            </w:r>
            <w:r>
              <w:rPr>
                <w:rFonts w:hint="default" w:ascii="Times New Roman" w:hAnsi="Times New Roman"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eastAsia="zh-CN"/>
              </w:rPr>
              <w:t>。</w:t>
            </w:r>
          </w:p>
          <w:p w14:paraId="73F5B6AF">
            <w:pPr>
              <w:pStyle w:val="5"/>
              <w:tabs>
                <w:tab w:val="left" w:pos="960"/>
                <w:tab w:val="left" w:pos="8760"/>
              </w:tabs>
              <w:adjustRightInd w:val="0"/>
              <w:ind w:firstLine="48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 xml:space="preserve">  有组织废气产生及排放情况</w:t>
            </w:r>
          </w:p>
          <w:tbl>
            <w:tblPr>
              <w:tblStyle w:val="4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219"/>
              <w:gridCol w:w="328"/>
              <w:gridCol w:w="642"/>
              <w:gridCol w:w="607"/>
              <w:gridCol w:w="690"/>
              <w:gridCol w:w="600"/>
              <w:gridCol w:w="705"/>
              <w:gridCol w:w="630"/>
              <w:gridCol w:w="473"/>
              <w:gridCol w:w="577"/>
              <w:gridCol w:w="338"/>
              <w:gridCol w:w="420"/>
              <w:gridCol w:w="435"/>
              <w:gridCol w:w="817"/>
              <w:gridCol w:w="790"/>
            </w:tblGrid>
            <w:tr w14:paraId="7E5198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63" w:hRule="atLeast"/>
              </w:trPr>
              <w:tc>
                <w:tcPr>
                  <w:tcW w:w="132" w:type="pct"/>
                  <w:vMerge w:val="restart"/>
                  <w:noWrap w:val="0"/>
                  <w:tcMar>
                    <w:right w:w="0" w:type="dxa"/>
                  </w:tcMar>
                  <w:vAlign w:val="center"/>
                </w:tcPr>
                <w:p w14:paraId="7234F0C8">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污染源</w:t>
                  </w:r>
                </w:p>
              </w:tc>
              <w:tc>
                <w:tcPr>
                  <w:tcW w:w="198" w:type="pct"/>
                  <w:vMerge w:val="restart"/>
                  <w:noWrap w:val="0"/>
                  <w:tcMar>
                    <w:right w:w="0" w:type="dxa"/>
                  </w:tcMar>
                  <w:vAlign w:val="center"/>
                </w:tcPr>
                <w:p w14:paraId="6F6BC661">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p w14:paraId="59B1B2D4">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1172" w:type="pct"/>
                  <w:gridSpan w:val="3"/>
                  <w:noWrap w:val="0"/>
                  <w:tcMar>
                    <w:right w:w="0" w:type="dxa"/>
                  </w:tcMar>
                  <w:vAlign w:val="center"/>
                </w:tcPr>
                <w:p w14:paraId="1BEA18F8">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产生状况</w:t>
                  </w:r>
                </w:p>
              </w:tc>
              <w:tc>
                <w:tcPr>
                  <w:tcW w:w="1169" w:type="pct"/>
                  <w:gridSpan w:val="3"/>
                  <w:tcBorders>
                    <w:bottom w:val="single" w:color="000000" w:sz="6" w:space="0"/>
                  </w:tcBorders>
                  <w:noWrap w:val="0"/>
                  <w:tcMar>
                    <w:right w:w="0" w:type="dxa"/>
                  </w:tcMar>
                  <w:vAlign w:val="center"/>
                </w:tcPr>
                <w:p w14:paraId="5A1885B3">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最大排放情况</w:t>
                  </w:r>
                </w:p>
              </w:tc>
              <w:tc>
                <w:tcPr>
                  <w:tcW w:w="1355" w:type="pct"/>
                  <w:gridSpan w:val="5"/>
                  <w:noWrap w:val="0"/>
                  <w:tcMar>
                    <w:right w:w="0" w:type="dxa"/>
                  </w:tcMar>
                  <w:vAlign w:val="center"/>
                </w:tcPr>
                <w:p w14:paraId="0EFE7EFB">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排气筒参数</w:t>
                  </w:r>
                </w:p>
              </w:tc>
              <w:tc>
                <w:tcPr>
                  <w:tcW w:w="971" w:type="pct"/>
                  <w:gridSpan w:val="2"/>
                  <w:tcBorders>
                    <w:bottom w:val="single" w:color="000000" w:sz="6" w:space="0"/>
                  </w:tcBorders>
                  <w:noWrap w:val="0"/>
                  <w:tcMar>
                    <w:right w:w="0" w:type="dxa"/>
                  </w:tcMar>
                  <w:vAlign w:val="center"/>
                </w:tcPr>
                <w:p w14:paraId="5EBED5C9">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排气筒坐标</w:t>
                  </w:r>
                </w:p>
              </w:tc>
            </w:tr>
            <w:tr w14:paraId="0E1D43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692" w:hRule="atLeast"/>
              </w:trPr>
              <w:tc>
                <w:tcPr>
                  <w:tcW w:w="132" w:type="pct"/>
                  <w:vMerge w:val="continue"/>
                  <w:noWrap w:val="0"/>
                  <w:tcMar>
                    <w:right w:w="0" w:type="dxa"/>
                  </w:tcMar>
                  <w:vAlign w:val="center"/>
                </w:tcPr>
                <w:p w14:paraId="4779EF8C">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p>
              </w:tc>
              <w:tc>
                <w:tcPr>
                  <w:tcW w:w="198" w:type="pct"/>
                  <w:vMerge w:val="continue"/>
                  <w:noWrap w:val="0"/>
                  <w:tcMar>
                    <w:right w:w="0" w:type="dxa"/>
                  </w:tcMar>
                  <w:vAlign w:val="center"/>
                </w:tcPr>
                <w:p w14:paraId="39876A6B">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p>
              </w:tc>
              <w:tc>
                <w:tcPr>
                  <w:tcW w:w="388" w:type="pct"/>
                  <w:noWrap w:val="0"/>
                  <w:tcMar>
                    <w:right w:w="0" w:type="dxa"/>
                  </w:tcMar>
                  <w:vAlign w:val="center"/>
                </w:tcPr>
                <w:p w14:paraId="29F95325">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产生量t/a</w:t>
                  </w:r>
                </w:p>
              </w:tc>
              <w:tc>
                <w:tcPr>
                  <w:tcW w:w="366" w:type="pct"/>
                  <w:noWrap w:val="0"/>
                  <w:tcMar>
                    <w:right w:w="0" w:type="dxa"/>
                  </w:tcMar>
                  <w:vAlign w:val="center"/>
                </w:tcPr>
                <w:p w14:paraId="264AE04A">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速率</w:t>
                  </w:r>
                </w:p>
                <w:p w14:paraId="4A5924EF">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kg/h</w:t>
                  </w:r>
                </w:p>
              </w:tc>
              <w:tc>
                <w:tcPr>
                  <w:tcW w:w="417" w:type="pct"/>
                  <w:tcBorders>
                    <w:top w:val="single" w:color="000000" w:sz="6" w:space="0"/>
                  </w:tcBorders>
                  <w:noWrap w:val="0"/>
                  <w:tcMar>
                    <w:right w:w="0" w:type="dxa"/>
                  </w:tcMar>
                  <w:vAlign w:val="center"/>
                </w:tcPr>
                <w:p w14:paraId="2EFFFE87">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w:t>
                  </w:r>
                </w:p>
                <w:p w14:paraId="229D140D">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mg/m</w:t>
                  </w:r>
                  <w:r>
                    <w:rPr>
                      <w:rFonts w:hint="default" w:ascii="Times New Roman" w:hAnsi="Times New Roman" w:cs="Times New Roman"/>
                      <w:b/>
                      <w:bCs/>
                      <w:color w:val="auto"/>
                      <w:sz w:val="21"/>
                      <w:szCs w:val="21"/>
                      <w:vertAlign w:val="superscript"/>
                    </w:rPr>
                    <w:t>3</w:t>
                  </w:r>
                </w:p>
              </w:tc>
              <w:tc>
                <w:tcPr>
                  <w:tcW w:w="362" w:type="pct"/>
                  <w:tcBorders>
                    <w:top w:val="single" w:color="000000" w:sz="6" w:space="0"/>
                    <w:right w:val="single" w:color="000000" w:sz="6" w:space="0"/>
                  </w:tcBorders>
                  <w:noWrap w:val="0"/>
                  <w:tcMar>
                    <w:right w:w="0" w:type="dxa"/>
                  </w:tcMar>
                  <w:vAlign w:val="center"/>
                </w:tcPr>
                <w:p w14:paraId="116E99DA">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排放量t/a</w:t>
                  </w:r>
                </w:p>
              </w:tc>
              <w:tc>
                <w:tcPr>
                  <w:tcW w:w="426" w:type="pct"/>
                  <w:tcBorders>
                    <w:top w:val="single" w:color="000000" w:sz="6" w:space="0"/>
                    <w:left w:val="single" w:color="000000" w:sz="6" w:space="0"/>
                  </w:tcBorders>
                  <w:noWrap w:val="0"/>
                  <w:vAlign w:val="center"/>
                </w:tcPr>
                <w:p w14:paraId="3D898634">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速率</w:t>
                  </w:r>
                </w:p>
                <w:p w14:paraId="372080A2">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kg/h</w:t>
                  </w:r>
                </w:p>
              </w:tc>
              <w:tc>
                <w:tcPr>
                  <w:tcW w:w="380" w:type="pct"/>
                  <w:tcBorders>
                    <w:top w:val="single" w:color="000000" w:sz="6" w:space="0"/>
                  </w:tcBorders>
                  <w:noWrap w:val="0"/>
                  <w:tcMar>
                    <w:right w:w="0" w:type="dxa"/>
                  </w:tcMar>
                  <w:vAlign w:val="center"/>
                </w:tcPr>
                <w:p w14:paraId="3095B6A0">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w:t>
                  </w:r>
                </w:p>
                <w:p w14:paraId="5A762555">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mg/m</w:t>
                  </w:r>
                  <w:r>
                    <w:rPr>
                      <w:rFonts w:hint="default" w:ascii="Times New Roman" w:hAnsi="Times New Roman" w:cs="Times New Roman"/>
                      <w:b/>
                      <w:bCs/>
                      <w:color w:val="auto"/>
                      <w:sz w:val="21"/>
                      <w:szCs w:val="21"/>
                      <w:vertAlign w:val="superscript"/>
                    </w:rPr>
                    <w:t>3</w:t>
                  </w:r>
                </w:p>
              </w:tc>
              <w:tc>
                <w:tcPr>
                  <w:tcW w:w="285" w:type="pct"/>
                  <w:noWrap w:val="0"/>
                  <w:tcMar>
                    <w:top w:w="0" w:type="dxa"/>
                    <w:left w:w="108" w:type="dxa"/>
                    <w:bottom w:w="0" w:type="dxa"/>
                    <w:right w:w="0" w:type="dxa"/>
                  </w:tcMar>
                  <w:vAlign w:val="center"/>
                </w:tcPr>
                <w:p w14:paraId="47E42C15">
                  <w:pPr>
                    <w:keepNext w:val="0"/>
                    <w:keepLines w:val="0"/>
                    <w:pageBreakBefore w:val="0"/>
                    <w:widowControl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编号及名称</w:t>
                  </w:r>
                </w:p>
              </w:tc>
              <w:tc>
                <w:tcPr>
                  <w:tcW w:w="348" w:type="pct"/>
                  <w:noWrap w:val="0"/>
                  <w:tcMar>
                    <w:right w:w="0" w:type="dxa"/>
                  </w:tcMar>
                  <w:vAlign w:val="center"/>
                </w:tcPr>
                <w:p w14:paraId="1CD7965B">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风量</w:t>
                  </w:r>
                </w:p>
                <w:p w14:paraId="72A6DF24">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/h</w:t>
                  </w:r>
                </w:p>
              </w:tc>
              <w:tc>
                <w:tcPr>
                  <w:tcW w:w="204" w:type="pct"/>
                  <w:tcBorders>
                    <w:right w:val="single" w:color="000000" w:sz="6" w:space="0"/>
                  </w:tcBorders>
                  <w:noWrap w:val="0"/>
                  <w:tcMar>
                    <w:right w:w="0" w:type="dxa"/>
                  </w:tcMar>
                  <w:vAlign w:val="center"/>
                </w:tcPr>
                <w:p w14:paraId="71FDAA78">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高度</w:t>
                  </w:r>
                </w:p>
                <w:p w14:paraId="22AD4DD4">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p>
              </w:tc>
              <w:tc>
                <w:tcPr>
                  <w:tcW w:w="253" w:type="pct"/>
                  <w:tcBorders>
                    <w:left w:val="single" w:color="000000" w:sz="6" w:space="0"/>
                  </w:tcBorders>
                  <w:noWrap w:val="0"/>
                  <w:vAlign w:val="center"/>
                </w:tcPr>
                <w:p w14:paraId="45AA2F3D">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内径m</w:t>
                  </w:r>
                </w:p>
              </w:tc>
              <w:tc>
                <w:tcPr>
                  <w:tcW w:w="262" w:type="pct"/>
                  <w:tcBorders>
                    <w:top w:val="single" w:color="000000" w:sz="6" w:space="0"/>
                    <w:left w:val="single" w:color="000000" w:sz="6" w:space="0"/>
                  </w:tcBorders>
                  <w:noWrap w:val="0"/>
                  <w:vAlign w:val="center"/>
                </w:tcPr>
                <w:p w14:paraId="6A451AD2">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温度℃</w:t>
                  </w:r>
                </w:p>
              </w:tc>
              <w:tc>
                <w:tcPr>
                  <w:tcW w:w="493" w:type="pct"/>
                  <w:tcBorders>
                    <w:top w:val="single" w:color="000000" w:sz="6" w:space="0"/>
                    <w:right w:val="single" w:color="000000" w:sz="6" w:space="0"/>
                  </w:tcBorders>
                  <w:noWrap w:val="0"/>
                  <w:tcMar>
                    <w:right w:w="0" w:type="dxa"/>
                  </w:tcMar>
                  <w:vAlign w:val="center"/>
                </w:tcPr>
                <w:p w14:paraId="4112ABED">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X</w:t>
                  </w:r>
                </w:p>
              </w:tc>
              <w:tc>
                <w:tcPr>
                  <w:tcW w:w="477" w:type="pct"/>
                  <w:tcBorders>
                    <w:top w:val="single" w:color="000000" w:sz="6" w:space="0"/>
                    <w:left w:val="single" w:color="000000" w:sz="6" w:space="0"/>
                  </w:tcBorders>
                  <w:noWrap w:val="0"/>
                  <w:vAlign w:val="center"/>
                </w:tcPr>
                <w:p w14:paraId="053647B9">
                  <w:pPr>
                    <w:keepNext w:val="0"/>
                    <w:keepLines w:val="0"/>
                    <w:pageBreakBefore w:val="0"/>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Y</w:t>
                  </w:r>
                </w:p>
              </w:tc>
            </w:tr>
            <w:tr w14:paraId="6B7DB3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444" w:hRule="atLeast"/>
              </w:trPr>
              <w:tc>
                <w:tcPr>
                  <w:tcW w:w="132" w:type="pct"/>
                  <w:vMerge w:val="restart"/>
                  <w:noWrap w:val="0"/>
                  <w:tcMar>
                    <w:right w:w="0" w:type="dxa"/>
                  </w:tcMar>
                  <w:vAlign w:val="center"/>
                </w:tcPr>
                <w:p w14:paraId="203A13D0">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#排气筒</w:t>
                  </w:r>
                </w:p>
              </w:tc>
              <w:tc>
                <w:tcPr>
                  <w:tcW w:w="198" w:type="pct"/>
                  <w:noWrap w:val="0"/>
                  <w:tcMar>
                    <w:right w:w="0" w:type="dxa"/>
                  </w:tcMar>
                  <w:vAlign w:val="center"/>
                </w:tcPr>
                <w:p w14:paraId="1F9341A4">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二氧化硫</w:t>
                  </w:r>
                </w:p>
              </w:tc>
              <w:tc>
                <w:tcPr>
                  <w:tcW w:w="388" w:type="pct"/>
                  <w:noWrap w:val="0"/>
                  <w:tcMar>
                    <w:right w:w="0" w:type="dxa"/>
                  </w:tcMar>
                  <w:vAlign w:val="center"/>
                </w:tcPr>
                <w:p w14:paraId="5BA5DA79">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0.52</w:t>
                  </w:r>
                </w:p>
              </w:tc>
              <w:tc>
                <w:tcPr>
                  <w:tcW w:w="366" w:type="pct"/>
                  <w:noWrap w:val="0"/>
                  <w:tcMar>
                    <w:right w:w="0" w:type="dxa"/>
                  </w:tcMar>
                  <w:vAlign w:val="center"/>
                </w:tcPr>
                <w:p w14:paraId="680DE1DD">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0.26</w:t>
                  </w:r>
                </w:p>
              </w:tc>
              <w:tc>
                <w:tcPr>
                  <w:tcW w:w="417" w:type="pct"/>
                  <w:noWrap w:val="0"/>
                  <w:tcMar>
                    <w:right w:w="0" w:type="dxa"/>
                  </w:tcMar>
                  <w:vAlign w:val="center"/>
                </w:tcPr>
                <w:p w14:paraId="0C700DE2">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9.29</w:t>
                  </w:r>
                </w:p>
              </w:tc>
              <w:tc>
                <w:tcPr>
                  <w:tcW w:w="362" w:type="pct"/>
                  <w:tcBorders>
                    <w:right w:val="single" w:color="000000" w:sz="6" w:space="0"/>
                  </w:tcBorders>
                  <w:noWrap w:val="0"/>
                  <w:tcMar>
                    <w:right w:w="0" w:type="dxa"/>
                  </w:tcMar>
                  <w:vAlign w:val="center"/>
                </w:tcPr>
                <w:p w14:paraId="39D3436D">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0.52</w:t>
                  </w:r>
                </w:p>
              </w:tc>
              <w:tc>
                <w:tcPr>
                  <w:tcW w:w="426" w:type="pct"/>
                  <w:tcBorders>
                    <w:left w:val="single" w:color="000000" w:sz="6" w:space="0"/>
                  </w:tcBorders>
                  <w:noWrap w:val="0"/>
                  <w:vAlign w:val="center"/>
                </w:tcPr>
                <w:p w14:paraId="0BA2AAD9">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0.26</w:t>
                  </w:r>
                </w:p>
              </w:tc>
              <w:tc>
                <w:tcPr>
                  <w:tcW w:w="380" w:type="pct"/>
                  <w:noWrap w:val="0"/>
                  <w:tcMar>
                    <w:right w:w="0" w:type="dxa"/>
                  </w:tcMar>
                  <w:vAlign w:val="center"/>
                </w:tcPr>
                <w:p w14:paraId="55B16DF3">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9.29</w:t>
                  </w:r>
                </w:p>
              </w:tc>
              <w:tc>
                <w:tcPr>
                  <w:tcW w:w="285" w:type="pct"/>
                  <w:vMerge w:val="restart"/>
                  <w:noWrap w:val="0"/>
                  <w:tcMar>
                    <w:top w:w="0" w:type="dxa"/>
                    <w:left w:w="108" w:type="dxa"/>
                    <w:bottom w:w="0" w:type="dxa"/>
                    <w:right w:w="0" w:type="dxa"/>
                  </w:tcMar>
                  <w:vAlign w:val="center"/>
                </w:tcPr>
                <w:p w14:paraId="055039A9">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348" w:type="pct"/>
                  <w:vMerge w:val="restart"/>
                  <w:noWrap w:val="0"/>
                  <w:tcMar>
                    <w:right w:w="0" w:type="dxa"/>
                  </w:tcMar>
                  <w:vAlign w:val="center"/>
                </w:tcPr>
                <w:p w14:paraId="72AF8538">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28000</w:t>
                  </w:r>
                </w:p>
              </w:tc>
              <w:tc>
                <w:tcPr>
                  <w:tcW w:w="204" w:type="pct"/>
                  <w:vMerge w:val="restart"/>
                  <w:tcBorders>
                    <w:right w:val="single" w:color="000000" w:sz="6" w:space="0"/>
                  </w:tcBorders>
                  <w:noWrap w:val="0"/>
                  <w:tcMar>
                    <w:right w:w="0" w:type="dxa"/>
                  </w:tcMar>
                  <w:vAlign w:val="center"/>
                </w:tcPr>
                <w:p w14:paraId="44726455">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253" w:type="pct"/>
                  <w:vMerge w:val="restart"/>
                  <w:tcBorders>
                    <w:left w:val="single" w:color="000000" w:sz="6" w:space="0"/>
                  </w:tcBorders>
                  <w:noWrap w:val="0"/>
                  <w:vAlign w:val="center"/>
                </w:tcPr>
                <w:p w14:paraId="4D6AFC75">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62" w:type="pct"/>
                  <w:vMerge w:val="restart"/>
                  <w:tcBorders>
                    <w:left w:val="single" w:color="000000" w:sz="6" w:space="0"/>
                  </w:tcBorders>
                  <w:noWrap w:val="0"/>
                  <w:vAlign w:val="center"/>
                </w:tcPr>
                <w:p w14:paraId="005B9BED">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493" w:type="pct"/>
                  <w:vMerge w:val="restart"/>
                  <w:tcBorders>
                    <w:right w:val="single" w:color="000000" w:sz="6" w:space="0"/>
                  </w:tcBorders>
                  <w:noWrap w:val="0"/>
                  <w:tcMar>
                    <w:right w:w="0" w:type="dxa"/>
                  </w:tcMar>
                  <w:vAlign w:val="center"/>
                </w:tcPr>
                <w:p w14:paraId="0A28506E">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121.063461</w:t>
                  </w:r>
                </w:p>
              </w:tc>
              <w:tc>
                <w:tcPr>
                  <w:tcW w:w="477" w:type="pct"/>
                  <w:vMerge w:val="restart"/>
                  <w:tcBorders>
                    <w:left w:val="single" w:color="000000" w:sz="6" w:space="0"/>
                  </w:tcBorders>
                  <w:noWrap w:val="0"/>
                  <w:vAlign w:val="center"/>
                </w:tcPr>
                <w:p w14:paraId="1754D04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31.482707</w:t>
                  </w:r>
                </w:p>
              </w:tc>
            </w:tr>
            <w:tr w14:paraId="650AF7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444" w:hRule="atLeast"/>
              </w:trPr>
              <w:tc>
                <w:tcPr>
                  <w:tcW w:w="132" w:type="pct"/>
                  <w:vMerge w:val="continue"/>
                  <w:noWrap w:val="0"/>
                  <w:tcMar>
                    <w:right w:w="0" w:type="dxa"/>
                  </w:tcMar>
                  <w:vAlign w:val="center"/>
                </w:tcPr>
                <w:p w14:paraId="49BF2D2B">
                  <w:pPr>
                    <w:widowControl/>
                    <w:jc w:val="center"/>
                    <w:textAlignment w:val="center"/>
                    <w:rPr>
                      <w:rFonts w:hint="default" w:ascii="Times New Roman" w:hAnsi="Times New Roman" w:cs="Times New Roman"/>
                      <w:color w:val="auto"/>
                      <w:sz w:val="21"/>
                      <w:szCs w:val="21"/>
                      <w:lang w:val="en-US" w:eastAsia="zh-CN"/>
                    </w:rPr>
                  </w:pPr>
                </w:p>
              </w:tc>
              <w:tc>
                <w:tcPr>
                  <w:tcW w:w="198" w:type="pct"/>
                  <w:noWrap w:val="0"/>
                  <w:tcMar>
                    <w:right w:w="0" w:type="dxa"/>
                  </w:tcMar>
                  <w:vAlign w:val="center"/>
                </w:tcPr>
                <w:p w14:paraId="06F6E719">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388" w:type="pct"/>
                  <w:noWrap w:val="0"/>
                  <w:tcMar>
                    <w:right w:w="0" w:type="dxa"/>
                  </w:tcMar>
                  <w:vAlign w:val="center"/>
                </w:tcPr>
                <w:p w14:paraId="51036830">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0.7436</w:t>
                  </w:r>
                </w:p>
              </w:tc>
              <w:tc>
                <w:tcPr>
                  <w:tcW w:w="366" w:type="pct"/>
                  <w:noWrap w:val="0"/>
                  <w:tcMar>
                    <w:right w:w="0" w:type="dxa"/>
                  </w:tcMar>
                  <w:vAlign w:val="center"/>
                </w:tcPr>
                <w:p w14:paraId="248B6C7D">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0.3718</w:t>
                  </w:r>
                </w:p>
              </w:tc>
              <w:tc>
                <w:tcPr>
                  <w:tcW w:w="417" w:type="pct"/>
                  <w:noWrap w:val="0"/>
                  <w:tcMar>
                    <w:right w:w="0" w:type="dxa"/>
                  </w:tcMar>
                  <w:vAlign w:val="center"/>
                </w:tcPr>
                <w:p w14:paraId="302E8475">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13.28</w:t>
                  </w:r>
                </w:p>
              </w:tc>
              <w:tc>
                <w:tcPr>
                  <w:tcW w:w="362" w:type="pct"/>
                  <w:tcBorders>
                    <w:right w:val="single" w:color="000000" w:sz="6" w:space="0"/>
                  </w:tcBorders>
                  <w:noWrap w:val="0"/>
                  <w:tcMar>
                    <w:right w:w="0" w:type="dxa"/>
                  </w:tcMar>
                  <w:vAlign w:val="center"/>
                </w:tcPr>
                <w:p w14:paraId="29CC2B23">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0.7436</w:t>
                  </w:r>
                </w:p>
              </w:tc>
              <w:tc>
                <w:tcPr>
                  <w:tcW w:w="426" w:type="pct"/>
                  <w:tcBorders>
                    <w:left w:val="single" w:color="000000" w:sz="6" w:space="0"/>
                  </w:tcBorders>
                  <w:noWrap w:val="0"/>
                  <w:vAlign w:val="center"/>
                </w:tcPr>
                <w:p w14:paraId="32C2CDF6">
                  <w:pPr>
                    <w:widowControl/>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0.3718</w:t>
                  </w:r>
                </w:p>
              </w:tc>
              <w:tc>
                <w:tcPr>
                  <w:tcW w:w="380" w:type="pct"/>
                  <w:noWrap w:val="0"/>
                  <w:tcMar>
                    <w:right w:w="0" w:type="dxa"/>
                  </w:tcMar>
                  <w:vAlign w:val="center"/>
                </w:tcPr>
                <w:p w14:paraId="0E84CE82">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13.28</w:t>
                  </w:r>
                </w:p>
              </w:tc>
              <w:tc>
                <w:tcPr>
                  <w:tcW w:w="285" w:type="pct"/>
                  <w:vMerge w:val="continue"/>
                  <w:noWrap w:val="0"/>
                  <w:tcMar>
                    <w:top w:w="0" w:type="dxa"/>
                    <w:left w:w="108" w:type="dxa"/>
                    <w:bottom w:w="0" w:type="dxa"/>
                    <w:right w:w="0" w:type="dxa"/>
                  </w:tcMar>
                  <w:vAlign w:val="center"/>
                </w:tcPr>
                <w:p w14:paraId="14A74811">
                  <w:pPr>
                    <w:widowControl/>
                    <w:jc w:val="center"/>
                    <w:textAlignment w:val="center"/>
                    <w:rPr>
                      <w:rFonts w:hint="default" w:ascii="Times New Roman" w:hAnsi="Times New Roman" w:cs="Times New Roman"/>
                      <w:color w:val="auto"/>
                      <w:sz w:val="21"/>
                      <w:szCs w:val="21"/>
                      <w:lang w:val="en-US" w:eastAsia="zh-CN"/>
                    </w:rPr>
                  </w:pPr>
                </w:p>
              </w:tc>
              <w:tc>
                <w:tcPr>
                  <w:tcW w:w="348" w:type="pct"/>
                  <w:vMerge w:val="continue"/>
                  <w:noWrap w:val="0"/>
                  <w:tcMar>
                    <w:right w:w="0" w:type="dxa"/>
                  </w:tcMar>
                  <w:vAlign w:val="center"/>
                </w:tcPr>
                <w:p w14:paraId="08D59CCB">
                  <w:pPr>
                    <w:widowControl/>
                    <w:jc w:val="center"/>
                    <w:textAlignment w:val="center"/>
                    <w:rPr>
                      <w:rFonts w:hint="default" w:ascii="Times New Roman" w:hAnsi="Times New Roman" w:cs="Times New Roman"/>
                      <w:color w:val="auto"/>
                      <w:sz w:val="21"/>
                      <w:szCs w:val="21"/>
                      <w:lang w:val="en-US" w:eastAsia="zh-CN"/>
                    </w:rPr>
                  </w:pPr>
                </w:p>
              </w:tc>
              <w:tc>
                <w:tcPr>
                  <w:tcW w:w="204" w:type="pct"/>
                  <w:vMerge w:val="continue"/>
                  <w:tcBorders>
                    <w:right w:val="single" w:color="000000" w:sz="6" w:space="0"/>
                  </w:tcBorders>
                  <w:noWrap w:val="0"/>
                  <w:tcMar>
                    <w:right w:w="0" w:type="dxa"/>
                  </w:tcMar>
                  <w:vAlign w:val="center"/>
                </w:tcPr>
                <w:p w14:paraId="1EB20CE7">
                  <w:pPr>
                    <w:widowControl/>
                    <w:jc w:val="center"/>
                    <w:textAlignment w:val="center"/>
                    <w:rPr>
                      <w:rFonts w:hint="default" w:ascii="Times New Roman" w:hAnsi="Times New Roman" w:cs="Times New Roman"/>
                      <w:color w:val="auto"/>
                      <w:sz w:val="21"/>
                      <w:szCs w:val="21"/>
                      <w:lang w:val="en-US" w:eastAsia="zh-CN"/>
                    </w:rPr>
                  </w:pPr>
                </w:p>
              </w:tc>
              <w:tc>
                <w:tcPr>
                  <w:tcW w:w="253" w:type="pct"/>
                  <w:vMerge w:val="continue"/>
                  <w:tcBorders>
                    <w:left w:val="single" w:color="000000" w:sz="6" w:space="0"/>
                  </w:tcBorders>
                  <w:noWrap w:val="0"/>
                  <w:vAlign w:val="center"/>
                </w:tcPr>
                <w:p w14:paraId="2FF58215">
                  <w:pPr>
                    <w:widowControl/>
                    <w:jc w:val="center"/>
                    <w:textAlignment w:val="center"/>
                    <w:rPr>
                      <w:rFonts w:hint="default" w:ascii="Times New Roman" w:hAnsi="Times New Roman" w:cs="Times New Roman"/>
                      <w:color w:val="auto"/>
                      <w:sz w:val="21"/>
                      <w:szCs w:val="21"/>
                      <w:lang w:val="en-US" w:eastAsia="zh-CN"/>
                    </w:rPr>
                  </w:pPr>
                </w:p>
              </w:tc>
              <w:tc>
                <w:tcPr>
                  <w:tcW w:w="262" w:type="pct"/>
                  <w:vMerge w:val="continue"/>
                  <w:tcBorders>
                    <w:left w:val="single" w:color="000000" w:sz="6" w:space="0"/>
                  </w:tcBorders>
                  <w:noWrap w:val="0"/>
                  <w:vAlign w:val="center"/>
                </w:tcPr>
                <w:p w14:paraId="202B4F04">
                  <w:pPr>
                    <w:widowControl/>
                    <w:jc w:val="center"/>
                    <w:textAlignment w:val="center"/>
                    <w:rPr>
                      <w:rFonts w:hint="default" w:ascii="Times New Roman" w:hAnsi="Times New Roman" w:cs="Times New Roman"/>
                      <w:color w:val="auto"/>
                      <w:sz w:val="21"/>
                      <w:szCs w:val="21"/>
                      <w:lang w:val="en-US" w:eastAsia="zh-CN"/>
                    </w:rPr>
                  </w:pPr>
                </w:p>
              </w:tc>
              <w:tc>
                <w:tcPr>
                  <w:tcW w:w="493" w:type="pct"/>
                  <w:vMerge w:val="continue"/>
                  <w:tcBorders>
                    <w:right w:val="single" w:color="000000" w:sz="6" w:space="0"/>
                  </w:tcBorders>
                  <w:noWrap w:val="0"/>
                  <w:tcMar>
                    <w:right w:w="0" w:type="dxa"/>
                  </w:tcMar>
                  <w:vAlign w:val="center"/>
                </w:tcPr>
                <w:p w14:paraId="2C070CA7">
                  <w:pPr>
                    <w:widowControl/>
                    <w:jc w:val="center"/>
                    <w:textAlignment w:val="center"/>
                    <w:rPr>
                      <w:rFonts w:hint="default" w:ascii="Times New Roman" w:hAnsi="Times New Roman" w:cs="Times New Roman"/>
                      <w:color w:val="auto"/>
                      <w:sz w:val="21"/>
                      <w:szCs w:val="21"/>
                      <w:lang w:val="en-US" w:eastAsia="zh-CN"/>
                    </w:rPr>
                  </w:pPr>
                </w:p>
              </w:tc>
              <w:tc>
                <w:tcPr>
                  <w:tcW w:w="477" w:type="pct"/>
                  <w:vMerge w:val="continue"/>
                  <w:tcBorders>
                    <w:left w:val="single" w:color="000000" w:sz="6" w:space="0"/>
                  </w:tcBorders>
                  <w:noWrap w:val="0"/>
                  <w:vAlign w:val="center"/>
                </w:tcPr>
                <w:p w14:paraId="1D5A2CBD">
                  <w:pPr>
                    <w:widowControl/>
                    <w:jc w:val="center"/>
                    <w:textAlignment w:val="center"/>
                    <w:rPr>
                      <w:rFonts w:hint="default" w:ascii="Times New Roman" w:hAnsi="Times New Roman" w:cs="Times New Roman"/>
                      <w:color w:val="auto"/>
                      <w:sz w:val="21"/>
                      <w:szCs w:val="21"/>
                      <w:lang w:val="en-US" w:eastAsia="zh-CN"/>
                    </w:rPr>
                  </w:pPr>
                </w:p>
              </w:tc>
            </w:tr>
            <w:tr w14:paraId="195806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444" w:hRule="atLeast"/>
              </w:trPr>
              <w:tc>
                <w:tcPr>
                  <w:tcW w:w="132" w:type="pct"/>
                  <w:vMerge w:val="continue"/>
                  <w:noWrap w:val="0"/>
                  <w:tcMar>
                    <w:right w:w="0" w:type="dxa"/>
                  </w:tcMar>
                  <w:vAlign w:val="center"/>
                </w:tcPr>
                <w:p w14:paraId="1C1F7CE4">
                  <w:pPr>
                    <w:widowControl/>
                    <w:jc w:val="center"/>
                    <w:textAlignment w:val="center"/>
                    <w:rPr>
                      <w:rFonts w:hint="default" w:ascii="Times New Roman" w:hAnsi="Times New Roman" w:cs="Times New Roman"/>
                      <w:color w:val="auto"/>
                      <w:sz w:val="21"/>
                      <w:szCs w:val="21"/>
                      <w:lang w:val="en-US" w:eastAsia="zh-CN"/>
                    </w:rPr>
                  </w:pPr>
                </w:p>
              </w:tc>
              <w:tc>
                <w:tcPr>
                  <w:tcW w:w="198" w:type="pct"/>
                  <w:noWrap w:val="0"/>
                  <w:tcMar>
                    <w:right w:w="0" w:type="dxa"/>
                  </w:tcMar>
                  <w:vAlign w:val="center"/>
                </w:tcPr>
                <w:p w14:paraId="7EEBAFCB">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氮氧化物</w:t>
                  </w:r>
                </w:p>
              </w:tc>
              <w:tc>
                <w:tcPr>
                  <w:tcW w:w="388" w:type="pct"/>
                  <w:noWrap w:val="0"/>
                  <w:tcMar>
                    <w:right w:w="0" w:type="dxa"/>
                  </w:tcMar>
                  <w:vAlign w:val="center"/>
                </w:tcPr>
                <w:p w14:paraId="5EFD8A64">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4.862</w:t>
                  </w:r>
                </w:p>
              </w:tc>
              <w:tc>
                <w:tcPr>
                  <w:tcW w:w="366" w:type="pct"/>
                  <w:noWrap w:val="0"/>
                  <w:tcMar>
                    <w:right w:w="0" w:type="dxa"/>
                  </w:tcMar>
                  <w:vAlign w:val="center"/>
                </w:tcPr>
                <w:p w14:paraId="515477E1">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2.431</w:t>
                  </w:r>
                </w:p>
              </w:tc>
              <w:tc>
                <w:tcPr>
                  <w:tcW w:w="417" w:type="pct"/>
                  <w:noWrap w:val="0"/>
                  <w:tcMar>
                    <w:right w:w="0" w:type="dxa"/>
                  </w:tcMar>
                  <w:vAlign w:val="center"/>
                </w:tcPr>
                <w:p w14:paraId="586A14B6">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86.82</w:t>
                  </w:r>
                </w:p>
              </w:tc>
              <w:tc>
                <w:tcPr>
                  <w:tcW w:w="362" w:type="pct"/>
                  <w:tcBorders>
                    <w:right w:val="single" w:color="000000" w:sz="6" w:space="0"/>
                  </w:tcBorders>
                  <w:noWrap w:val="0"/>
                  <w:tcMar>
                    <w:right w:w="0" w:type="dxa"/>
                  </w:tcMar>
                  <w:vAlign w:val="center"/>
                </w:tcPr>
                <w:p w14:paraId="63399E73">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2.431</w:t>
                  </w:r>
                </w:p>
              </w:tc>
              <w:tc>
                <w:tcPr>
                  <w:tcW w:w="426" w:type="pct"/>
                  <w:tcBorders>
                    <w:left w:val="single" w:color="000000" w:sz="6" w:space="0"/>
                  </w:tcBorders>
                  <w:noWrap w:val="0"/>
                  <w:vAlign w:val="center"/>
                </w:tcPr>
                <w:p w14:paraId="5ECF412C">
                  <w:pPr>
                    <w:widowControl/>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1.2155</w:t>
                  </w:r>
                </w:p>
              </w:tc>
              <w:tc>
                <w:tcPr>
                  <w:tcW w:w="380" w:type="pct"/>
                  <w:noWrap w:val="0"/>
                  <w:tcMar>
                    <w:right w:w="0" w:type="dxa"/>
                  </w:tcMar>
                  <w:vAlign w:val="center"/>
                </w:tcPr>
                <w:p w14:paraId="5FE9375E">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43.41</w:t>
                  </w:r>
                </w:p>
              </w:tc>
              <w:tc>
                <w:tcPr>
                  <w:tcW w:w="285" w:type="pct"/>
                  <w:vMerge w:val="continue"/>
                  <w:noWrap w:val="0"/>
                  <w:tcMar>
                    <w:top w:w="0" w:type="dxa"/>
                    <w:left w:w="108" w:type="dxa"/>
                    <w:bottom w:w="0" w:type="dxa"/>
                    <w:right w:w="0" w:type="dxa"/>
                  </w:tcMar>
                  <w:vAlign w:val="center"/>
                </w:tcPr>
                <w:p w14:paraId="14833099">
                  <w:pPr>
                    <w:widowControl/>
                    <w:jc w:val="center"/>
                    <w:textAlignment w:val="center"/>
                    <w:rPr>
                      <w:rFonts w:hint="default" w:ascii="Times New Roman" w:hAnsi="Times New Roman" w:cs="Times New Roman"/>
                      <w:color w:val="auto"/>
                      <w:sz w:val="21"/>
                      <w:szCs w:val="21"/>
                      <w:lang w:val="en-US" w:eastAsia="zh-CN"/>
                    </w:rPr>
                  </w:pPr>
                </w:p>
              </w:tc>
              <w:tc>
                <w:tcPr>
                  <w:tcW w:w="348" w:type="pct"/>
                  <w:vMerge w:val="continue"/>
                  <w:noWrap w:val="0"/>
                  <w:tcMar>
                    <w:right w:w="0" w:type="dxa"/>
                  </w:tcMar>
                  <w:vAlign w:val="center"/>
                </w:tcPr>
                <w:p w14:paraId="1FFC5E9D">
                  <w:pPr>
                    <w:widowControl/>
                    <w:jc w:val="center"/>
                    <w:textAlignment w:val="center"/>
                    <w:rPr>
                      <w:rFonts w:hint="default" w:ascii="Times New Roman" w:hAnsi="Times New Roman" w:cs="Times New Roman"/>
                      <w:color w:val="auto"/>
                      <w:sz w:val="21"/>
                      <w:szCs w:val="21"/>
                      <w:lang w:val="en-US" w:eastAsia="zh-CN"/>
                    </w:rPr>
                  </w:pPr>
                </w:p>
              </w:tc>
              <w:tc>
                <w:tcPr>
                  <w:tcW w:w="204" w:type="pct"/>
                  <w:vMerge w:val="continue"/>
                  <w:tcBorders>
                    <w:right w:val="single" w:color="000000" w:sz="6" w:space="0"/>
                  </w:tcBorders>
                  <w:noWrap w:val="0"/>
                  <w:tcMar>
                    <w:right w:w="0" w:type="dxa"/>
                  </w:tcMar>
                  <w:vAlign w:val="center"/>
                </w:tcPr>
                <w:p w14:paraId="0629CB51">
                  <w:pPr>
                    <w:widowControl/>
                    <w:jc w:val="center"/>
                    <w:textAlignment w:val="center"/>
                    <w:rPr>
                      <w:rFonts w:hint="default" w:ascii="Times New Roman" w:hAnsi="Times New Roman" w:cs="Times New Roman"/>
                      <w:color w:val="auto"/>
                      <w:sz w:val="21"/>
                      <w:szCs w:val="21"/>
                      <w:lang w:val="en-US" w:eastAsia="zh-CN"/>
                    </w:rPr>
                  </w:pPr>
                </w:p>
              </w:tc>
              <w:tc>
                <w:tcPr>
                  <w:tcW w:w="253" w:type="pct"/>
                  <w:vMerge w:val="continue"/>
                  <w:tcBorders>
                    <w:left w:val="single" w:color="000000" w:sz="6" w:space="0"/>
                  </w:tcBorders>
                  <w:noWrap w:val="0"/>
                  <w:vAlign w:val="center"/>
                </w:tcPr>
                <w:p w14:paraId="5ABB1B64">
                  <w:pPr>
                    <w:widowControl/>
                    <w:jc w:val="center"/>
                    <w:textAlignment w:val="center"/>
                    <w:rPr>
                      <w:rFonts w:hint="default" w:ascii="Times New Roman" w:hAnsi="Times New Roman" w:cs="Times New Roman"/>
                      <w:color w:val="auto"/>
                      <w:sz w:val="21"/>
                      <w:szCs w:val="21"/>
                      <w:lang w:val="en-US" w:eastAsia="zh-CN"/>
                    </w:rPr>
                  </w:pPr>
                </w:p>
              </w:tc>
              <w:tc>
                <w:tcPr>
                  <w:tcW w:w="262" w:type="pct"/>
                  <w:vMerge w:val="continue"/>
                  <w:tcBorders>
                    <w:left w:val="single" w:color="000000" w:sz="6" w:space="0"/>
                  </w:tcBorders>
                  <w:noWrap w:val="0"/>
                  <w:vAlign w:val="center"/>
                </w:tcPr>
                <w:p w14:paraId="5CC172CB">
                  <w:pPr>
                    <w:widowControl/>
                    <w:jc w:val="center"/>
                    <w:textAlignment w:val="center"/>
                    <w:rPr>
                      <w:rFonts w:hint="default" w:ascii="Times New Roman" w:hAnsi="Times New Roman" w:cs="Times New Roman"/>
                      <w:color w:val="auto"/>
                      <w:sz w:val="21"/>
                      <w:szCs w:val="21"/>
                      <w:lang w:val="en-US" w:eastAsia="zh-CN"/>
                    </w:rPr>
                  </w:pPr>
                </w:p>
              </w:tc>
              <w:tc>
                <w:tcPr>
                  <w:tcW w:w="493" w:type="pct"/>
                  <w:vMerge w:val="continue"/>
                  <w:tcBorders>
                    <w:right w:val="single" w:color="000000" w:sz="6" w:space="0"/>
                  </w:tcBorders>
                  <w:noWrap w:val="0"/>
                  <w:tcMar>
                    <w:right w:w="0" w:type="dxa"/>
                  </w:tcMar>
                  <w:vAlign w:val="center"/>
                </w:tcPr>
                <w:p w14:paraId="37ECDEA1">
                  <w:pPr>
                    <w:widowControl/>
                    <w:jc w:val="center"/>
                    <w:textAlignment w:val="center"/>
                    <w:rPr>
                      <w:rFonts w:hint="default" w:ascii="Times New Roman" w:hAnsi="Times New Roman" w:cs="Times New Roman"/>
                      <w:color w:val="auto"/>
                      <w:sz w:val="21"/>
                      <w:szCs w:val="21"/>
                      <w:lang w:val="en-US" w:eastAsia="zh-CN"/>
                    </w:rPr>
                  </w:pPr>
                </w:p>
              </w:tc>
              <w:tc>
                <w:tcPr>
                  <w:tcW w:w="477" w:type="pct"/>
                  <w:vMerge w:val="continue"/>
                  <w:tcBorders>
                    <w:left w:val="single" w:color="000000" w:sz="6" w:space="0"/>
                  </w:tcBorders>
                  <w:noWrap w:val="0"/>
                  <w:vAlign w:val="center"/>
                </w:tcPr>
                <w:p w14:paraId="1FE391EF">
                  <w:pPr>
                    <w:widowControl/>
                    <w:jc w:val="center"/>
                    <w:textAlignment w:val="center"/>
                    <w:rPr>
                      <w:rFonts w:hint="default" w:ascii="Times New Roman" w:hAnsi="Times New Roman" w:cs="Times New Roman"/>
                      <w:color w:val="auto"/>
                      <w:sz w:val="21"/>
                      <w:szCs w:val="21"/>
                      <w:lang w:val="en-US" w:eastAsia="zh-CN"/>
                    </w:rPr>
                  </w:pPr>
                </w:p>
              </w:tc>
            </w:tr>
          </w:tbl>
          <w:p w14:paraId="4E436CFF">
            <w:pPr>
              <w:jc w:val="center"/>
              <w:rPr>
                <w:rFonts w:hint="eastAsia"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w:t>
            </w:r>
            <w:r>
              <w:rPr>
                <w:rFonts w:hint="eastAsia" w:ascii="Times New Roman" w:hAnsi="Times New Roman" w:eastAsia="宋体" w:cs="Times New Roman"/>
                <w:b/>
                <w:bCs/>
                <w:color w:val="auto"/>
                <w:kern w:val="2"/>
                <w:sz w:val="21"/>
                <w:szCs w:val="21"/>
                <w:lang w:val="en-US" w:eastAsia="zh-CN" w:bidi="ar-SA"/>
              </w:rPr>
              <w:t>4</w:t>
            </w:r>
            <w:r>
              <w:rPr>
                <w:rFonts w:hint="default" w:ascii="Times New Roman" w:hAnsi="Times New Roman" w:eastAsia="宋体" w:cs="Times New Roman"/>
                <w:b/>
                <w:bCs/>
                <w:color w:val="auto"/>
                <w:kern w:val="2"/>
                <w:sz w:val="21"/>
                <w:szCs w:val="21"/>
                <w:lang w:val="en-US" w:eastAsia="zh-CN" w:bidi="ar-SA"/>
              </w:rPr>
              <w:t>-</w:t>
            </w:r>
            <w:r>
              <w:rPr>
                <w:rFonts w:hint="eastAsia" w:ascii="Times New Roman" w:hAnsi="Times New Roman" w:eastAsia="宋体" w:cs="Times New Roman"/>
                <w:b/>
                <w:bCs/>
                <w:color w:val="auto"/>
                <w:kern w:val="2"/>
                <w:sz w:val="21"/>
                <w:szCs w:val="21"/>
                <w:lang w:val="en-US" w:eastAsia="zh-CN" w:bidi="ar-SA"/>
              </w:rPr>
              <w:t>4   本项目无组织废气产生及排放情况</w:t>
            </w:r>
          </w:p>
          <w:tbl>
            <w:tblPr>
              <w:tblStyle w:val="42"/>
              <w:tblW w:w="8861"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01"/>
              <w:gridCol w:w="2880"/>
              <w:gridCol w:w="2310"/>
              <w:gridCol w:w="2370"/>
            </w:tblGrid>
            <w:tr w14:paraId="0DE348A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1301" w:type="dxa"/>
                  <w:tcBorders>
                    <w:tl2br w:val="nil"/>
                    <w:tr2bl w:val="nil"/>
                  </w:tcBorders>
                  <w:noWrap w:val="0"/>
                  <w:vAlign w:val="center"/>
                </w:tcPr>
                <w:p w14:paraId="483D19B8">
                  <w:pPr>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序号</w:t>
                  </w:r>
                </w:p>
              </w:tc>
              <w:tc>
                <w:tcPr>
                  <w:tcW w:w="2880" w:type="dxa"/>
                  <w:tcBorders>
                    <w:tl2br w:val="nil"/>
                    <w:tr2bl w:val="nil"/>
                  </w:tcBorders>
                  <w:noWrap w:val="0"/>
                  <w:vAlign w:val="center"/>
                </w:tcPr>
                <w:p w14:paraId="4D53D603">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污染物名称</w:t>
                  </w:r>
                </w:p>
              </w:tc>
              <w:tc>
                <w:tcPr>
                  <w:tcW w:w="2310" w:type="dxa"/>
                  <w:tcBorders>
                    <w:tl2br w:val="nil"/>
                    <w:tr2bl w:val="nil"/>
                  </w:tcBorders>
                  <w:noWrap w:val="0"/>
                  <w:vAlign w:val="center"/>
                </w:tcPr>
                <w:p w14:paraId="35EEE970">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排放速率kg/h</w:t>
                  </w:r>
                </w:p>
              </w:tc>
              <w:tc>
                <w:tcPr>
                  <w:tcW w:w="2370" w:type="dxa"/>
                  <w:tcBorders>
                    <w:tl2br w:val="nil"/>
                    <w:tr2bl w:val="nil"/>
                  </w:tcBorders>
                  <w:noWrap w:val="0"/>
                  <w:vAlign w:val="center"/>
                </w:tcPr>
                <w:p w14:paraId="4D72BD15">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排放量t/a</w:t>
                  </w:r>
                </w:p>
              </w:tc>
            </w:tr>
            <w:tr w14:paraId="4C4CD4E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1301" w:type="dxa"/>
                  <w:tcBorders>
                    <w:tl2br w:val="nil"/>
                    <w:tr2bl w:val="nil"/>
                  </w:tcBorders>
                  <w:noWrap w:val="0"/>
                  <w:vAlign w:val="center"/>
                </w:tcPr>
                <w:p w14:paraId="32EB56CC">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w:t>
                  </w:r>
                </w:p>
              </w:tc>
              <w:tc>
                <w:tcPr>
                  <w:tcW w:w="2880" w:type="dxa"/>
                  <w:tcBorders>
                    <w:tl2br w:val="nil"/>
                    <w:tr2bl w:val="nil"/>
                  </w:tcBorders>
                  <w:noWrap w:val="0"/>
                  <w:vAlign w:val="center"/>
                </w:tcPr>
                <w:p w14:paraId="0FF026CF">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非甲烷总烃</w:t>
                  </w:r>
                </w:p>
              </w:tc>
              <w:tc>
                <w:tcPr>
                  <w:tcW w:w="2310" w:type="dxa"/>
                  <w:tcBorders>
                    <w:tl2br w:val="nil"/>
                    <w:tr2bl w:val="nil"/>
                  </w:tcBorders>
                  <w:noWrap w:val="0"/>
                  <w:vAlign w:val="center"/>
                </w:tcPr>
                <w:p w14:paraId="1DEC8178">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0.03102</w:t>
                  </w:r>
                </w:p>
              </w:tc>
              <w:tc>
                <w:tcPr>
                  <w:tcW w:w="2370" w:type="dxa"/>
                  <w:tcBorders>
                    <w:tl2br w:val="nil"/>
                    <w:tr2bl w:val="nil"/>
                  </w:tcBorders>
                  <w:noWrap w:val="0"/>
                  <w:vAlign w:val="center"/>
                </w:tcPr>
                <w:p w14:paraId="46CE7975">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0.06204</w:t>
                  </w:r>
                </w:p>
              </w:tc>
            </w:tr>
          </w:tbl>
          <w:p w14:paraId="479DB209">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表4</w:t>
            </w:r>
            <w:r>
              <w:rPr>
                <w:rFonts w:hint="default" w:ascii="Times New Roman" w:hAnsi="Times New Roman" w:eastAsia="宋体" w:cs="Times New Roman"/>
                <w:b/>
                <w:bCs/>
                <w:color w:val="auto"/>
                <w:kern w:val="2"/>
                <w:sz w:val="21"/>
                <w:szCs w:val="21"/>
                <w:lang w:val="en-US" w:eastAsia="zh-CN" w:bidi="ar-SA"/>
              </w:rPr>
              <w:t>-</w:t>
            </w:r>
            <w:r>
              <w:rPr>
                <w:rFonts w:hint="eastAsia" w:ascii="Times New Roman" w:hAnsi="Times New Roman" w:eastAsia="宋体" w:cs="Times New Roman"/>
                <w:b/>
                <w:bCs/>
                <w:color w:val="auto"/>
                <w:kern w:val="2"/>
                <w:sz w:val="21"/>
                <w:szCs w:val="21"/>
                <w:lang w:val="en-US" w:eastAsia="zh-CN" w:bidi="ar-SA"/>
              </w:rPr>
              <w:t>5   本</w:t>
            </w:r>
            <w:r>
              <w:rPr>
                <w:rFonts w:hint="default" w:ascii="Times New Roman" w:hAnsi="Times New Roman" w:eastAsia="宋体" w:cs="Times New Roman"/>
                <w:b/>
                <w:bCs/>
                <w:color w:val="auto"/>
                <w:kern w:val="2"/>
                <w:sz w:val="21"/>
                <w:szCs w:val="21"/>
                <w:lang w:val="en-US" w:eastAsia="zh-CN" w:bidi="ar-SA"/>
              </w:rPr>
              <w:t>项目</w:t>
            </w:r>
            <w:r>
              <w:rPr>
                <w:rFonts w:hint="eastAsia" w:ascii="Times New Roman" w:hAnsi="Times New Roman" w:eastAsia="宋体" w:cs="Times New Roman"/>
                <w:b/>
                <w:bCs/>
                <w:color w:val="auto"/>
                <w:kern w:val="2"/>
                <w:sz w:val="21"/>
                <w:szCs w:val="21"/>
                <w:lang w:val="en-US" w:eastAsia="zh-CN" w:bidi="ar-SA"/>
              </w:rPr>
              <w:t>废气排放口基本情况一览表</w:t>
            </w:r>
          </w:p>
          <w:tbl>
            <w:tblPr>
              <w:tblStyle w:val="41"/>
              <w:tblW w:w="4997"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35"/>
              <w:gridCol w:w="903"/>
              <w:gridCol w:w="904"/>
              <w:gridCol w:w="1506"/>
              <w:gridCol w:w="1368"/>
              <w:gridCol w:w="889"/>
              <w:gridCol w:w="961"/>
              <w:gridCol w:w="801"/>
            </w:tblGrid>
            <w:tr w14:paraId="77B752D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566" w:type="pct"/>
                  <w:vMerge w:val="restart"/>
                  <w:noWrap w:val="0"/>
                  <w:vAlign w:val="center"/>
                </w:tcPr>
                <w:p w14:paraId="4F713571">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排放口编号</w:t>
                  </w:r>
                </w:p>
              </w:tc>
              <w:tc>
                <w:tcPr>
                  <w:tcW w:w="546" w:type="pct"/>
                  <w:vMerge w:val="restart"/>
                  <w:noWrap w:val="0"/>
                  <w:vAlign w:val="center"/>
                </w:tcPr>
                <w:p w14:paraId="1E95251A">
                  <w:pPr>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排放口</w:t>
                  </w:r>
                </w:p>
                <w:p w14:paraId="024856C5">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名称</w:t>
                  </w:r>
                </w:p>
              </w:tc>
              <w:tc>
                <w:tcPr>
                  <w:tcW w:w="546" w:type="pct"/>
                  <w:vMerge w:val="restart"/>
                  <w:noWrap w:val="0"/>
                  <w:vAlign w:val="center"/>
                </w:tcPr>
                <w:p w14:paraId="47FF7174">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排放口类型</w:t>
                  </w:r>
                </w:p>
              </w:tc>
              <w:tc>
                <w:tcPr>
                  <w:tcW w:w="1737" w:type="pct"/>
                  <w:gridSpan w:val="2"/>
                  <w:noWrap w:val="0"/>
                  <w:vAlign w:val="center"/>
                </w:tcPr>
                <w:p w14:paraId="3DE403C9">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排放口地理坐标</w:t>
                  </w:r>
                </w:p>
              </w:tc>
              <w:tc>
                <w:tcPr>
                  <w:tcW w:w="537" w:type="pct"/>
                  <w:vMerge w:val="restart"/>
                  <w:noWrap w:val="0"/>
                  <w:vAlign w:val="center"/>
                </w:tcPr>
                <w:p w14:paraId="753BBEEA">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排气筒高度（m）</w:t>
                  </w:r>
                </w:p>
              </w:tc>
              <w:tc>
                <w:tcPr>
                  <w:tcW w:w="581" w:type="pct"/>
                  <w:vMerge w:val="restart"/>
                  <w:noWrap w:val="0"/>
                  <w:vAlign w:val="center"/>
                </w:tcPr>
                <w:p w14:paraId="7F188F40">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排气筒出口内径（m）</w:t>
                  </w:r>
                </w:p>
              </w:tc>
              <w:tc>
                <w:tcPr>
                  <w:tcW w:w="484" w:type="pct"/>
                  <w:vMerge w:val="restart"/>
                  <w:noWrap w:val="0"/>
                  <w:vAlign w:val="center"/>
                </w:tcPr>
                <w:p w14:paraId="5FD800BD">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排气温度（℃）</w:t>
                  </w:r>
                </w:p>
              </w:tc>
            </w:tr>
            <w:tr w14:paraId="78D7D9A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566" w:type="pct"/>
                  <w:vMerge w:val="continue"/>
                  <w:noWrap w:val="0"/>
                  <w:vAlign w:val="center"/>
                </w:tcPr>
                <w:p w14:paraId="69AD4DA5">
                  <w:pPr>
                    <w:jc w:val="center"/>
                    <w:rPr>
                      <w:rFonts w:hint="default" w:ascii="Times New Roman" w:hAnsi="Times New Roman" w:eastAsia="宋体" w:cs="Times New Roman"/>
                      <w:b/>
                      <w:bCs/>
                      <w:color w:val="auto"/>
                      <w:kern w:val="2"/>
                      <w:sz w:val="21"/>
                      <w:szCs w:val="21"/>
                      <w:lang w:val="en-US" w:eastAsia="zh-CN" w:bidi="ar-SA"/>
                    </w:rPr>
                  </w:pPr>
                </w:p>
              </w:tc>
              <w:tc>
                <w:tcPr>
                  <w:tcW w:w="546" w:type="pct"/>
                  <w:vMerge w:val="continue"/>
                  <w:noWrap w:val="0"/>
                  <w:vAlign w:val="center"/>
                </w:tcPr>
                <w:p w14:paraId="434E5A0E">
                  <w:pPr>
                    <w:jc w:val="center"/>
                    <w:rPr>
                      <w:rFonts w:hint="default" w:ascii="Times New Roman" w:hAnsi="Times New Roman" w:eastAsia="宋体" w:cs="Times New Roman"/>
                      <w:b/>
                      <w:bCs/>
                      <w:color w:val="auto"/>
                      <w:kern w:val="2"/>
                      <w:sz w:val="21"/>
                      <w:szCs w:val="21"/>
                      <w:lang w:val="en-US" w:eastAsia="zh-CN" w:bidi="ar-SA"/>
                    </w:rPr>
                  </w:pPr>
                </w:p>
              </w:tc>
              <w:tc>
                <w:tcPr>
                  <w:tcW w:w="546" w:type="pct"/>
                  <w:vMerge w:val="continue"/>
                  <w:noWrap w:val="0"/>
                  <w:vAlign w:val="center"/>
                </w:tcPr>
                <w:p w14:paraId="5896E2BF">
                  <w:pPr>
                    <w:jc w:val="center"/>
                    <w:rPr>
                      <w:rFonts w:hint="default" w:ascii="Times New Roman" w:hAnsi="Times New Roman" w:eastAsia="宋体" w:cs="Times New Roman"/>
                      <w:b/>
                      <w:bCs/>
                      <w:color w:val="auto"/>
                      <w:kern w:val="2"/>
                      <w:sz w:val="21"/>
                      <w:szCs w:val="21"/>
                      <w:lang w:val="en-US" w:eastAsia="zh-CN" w:bidi="ar-SA"/>
                    </w:rPr>
                  </w:pPr>
                </w:p>
              </w:tc>
              <w:tc>
                <w:tcPr>
                  <w:tcW w:w="910" w:type="pct"/>
                  <w:noWrap w:val="0"/>
                  <w:vAlign w:val="center"/>
                </w:tcPr>
                <w:p w14:paraId="4776B086">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经度E</w:t>
                  </w:r>
                </w:p>
              </w:tc>
              <w:tc>
                <w:tcPr>
                  <w:tcW w:w="827" w:type="pct"/>
                  <w:noWrap w:val="0"/>
                  <w:vAlign w:val="center"/>
                </w:tcPr>
                <w:p w14:paraId="47ED86AE">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纬度N</w:t>
                  </w:r>
                </w:p>
              </w:tc>
              <w:tc>
                <w:tcPr>
                  <w:tcW w:w="537" w:type="pct"/>
                  <w:vMerge w:val="continue"/>
                  <w:noWrap w:val="0"/>
                  <w:vAlign w:val="center"/>
                </w:tcPr>
                <w:p w14:paraId="05DAC6DB">
                  <w:pPr>
                    <w:jc w:val="center"/>
                    <w:rPr>
                      <w:rFonts w:hint="eastAsia" w:ascii="Times New Roman" w:hAnsi="Times New Roman" w:eastAsia="宋体" w:cs="Times New Roman"/>
                      <w:b/>
                      <w:bCs/>
                      <w:color w:val="auto"/>
                      <w:kern w:val="2"/>
                      <w:sz w:val="21"/>
                      <w:szCs w:val="21"/>
                      <w:lang w:val="en-US" w:eastAsia="zh-CN" w:bidi="ar-SA"/>
                    </w:rPr>
                  </w:pPr>
                </w:p>
              </w:tc>
              <w:tc>
                <w:tcPr>
                  <w:tcW w:w="581" w:type="pct"/>
                  <w:vMerge w:val="continue"/>
                  <w:noWrap w:val="0"/>
                  <w:vAlign w:val="center"/>
                </w:tcPr>
                <w:p w14:paraId="70E5DEC0">
                  <w:pPr>
                    <w:jc w:val="center"/>
                    <w:rPr>
                      <w:rFonts w:hint="eastAsia" w:ascii="Times New Roman" w:hAnsi="Times New Roman" w:eastAsia="宋体" w:cs="Times New Roman"/>
                      <w:b/>
                      <w:bCs/>
                      <w:color w:val="auto"/>
                      <w:kern w:val="2"/>
                      <w:sz w:val="21"/>
                      <w:szCs w:val="21"/>
                      <w:lang w:val="en-US" w:eastAsia="zh-CN" w:bidi="ar-SA"/>
                    </w:rPr>
                  </w:pPr>
                </w:p>
              </w:tc>
              <w:tc>
                <w:tcPr>
                  <w:tcW w:w="484" w:type="pct"/>
                  <w:vMerge w:val="continue"/>
                  <w:noWrap w:val="0"/>
                  <w:vAlign w:val="center"/>
                </w:tcPr>
                <w:p w14:paraId="749AF62A">
                  <w:pPr>
                    <w:jc w:val="center"/>
                    <w:rPr>
                      <w:rFonts w:hint="default" w:ascii="Times New Roman" w:hAnsi="Times New Roman" w:eastAsia="宋体" w:cs="Times New Roman"/>
                      <w:b/>
                      <w:bCs/>
                      <w:color w:val="auto"/>
                      <w:kern w:val="2"/>
                      <w:sz w:val="21"/>
                      <w:szCs w:val="21"/>
                      <w:lang w:val="en-US" w:eastAsia="zh-CN" w:bidi="ar-SA"/>
                    </w:rPr>
                  </w:pPr>
                </w:p>
              </w:tc>
            </w:tr>
            <w:tr w14:paraId="51B23A9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566" w:type="pct"/>
                  <w:noWrap w:val="0"/>
                  <w:vAlign w:val="center"/>
                </w:tcPr>
                <w:p w14:paraId="174C3974">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w:t>
                  </w:r>
                </w:p>
              </w:tc>
              <w:tc>
                <w:tcPr>
                  <w:tcW w:w="546" w:type="pct"/>
                  <w:noWrap w:val="0"/>
                  <w:vAlign w:val="center"/>
                </w:tcPr>
                <w:p w14:paraId="0425144D">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排气筒</w:t>
                  </w:r>
                </w:p>
              </w:tc>
              <w:tc>
                <w:tcPr>
                  <w:tcW w:w="546" w:type="pct"/>
                  <w:noWrap w:val="0"/>
                  <w:vAlign w:val="center"/>
                </w:tcPr>
                <w:p w14:paraId="4290CF74">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一般排放口</w:t>
                  </w:r>
                </w:p>
              </w:tc>
              <w:tc>
                <w:tcPr>
                  <w:tcW w:w="910" w:type="pct"/>
                  <w:noWrap w:val="0"/>
                  <w:vAlign w:val="center"/>
                </w:tcPr>
                <w:p w14:paraId="08A576AD">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1</w:t>
                  </w:r>
                  <w:r>
                    <w:rPr>
                      <w:rFonts w:hint="default" w:ascii="Times New Roman" w:hAnsi="Times New Roman" w:cs="Times New Roman"/>
                      <w:b w:val="0"/>
                      <w:bCs w:val="0"/>
                      <w:color w:val="auto"/>
                      <w:sz w:val="21"/>
                      <w:szCs w:val="21"/>
                      <w:lang w:val="en-US" w:eastAsia="zh-CN"/>
                    </w:rPr>
                    <w:t>21.063461</w:t>
                  </w:r>
                </w:p>
              </w:tc>
              <w:tc>
                <w:tcPr>
                  <w:tcW w:w="827" w:type="pct"/>
                  <w:noWrap w:val="0"/>
                  <w:vAlign w:val="center"/>
                </w:tcPr>
                <w:p w14:paraId="168AD430">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31.482707</w:t>
                  </w:r>
                </w:p>
              </w:tc>
              <w:tc>
                <w:tcPr>
                  <w:tcW w:w="537" w:type="pct"/>
                  <w:noWrap w:val="0"/>
                  <w:vAlign w:val="center"/>
                </w:tcPr>
                <w:p w14:paraId="04421C3C">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15</w:t>
                  </w:r>
                </w:p>
              </w:tc>
              <w:tc>
                <w:tcPr>
                  <w:tcW w:w="581" w:type="pct"/>
                  <w:noWrap w:val="0"/>
                  <w:vAlign w:val="center"/>
                </w:tcPr>
                <w:p w14:paraId="10B00003">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0.5</w:t>
                  </w:r>
                </w:p>
              </w:tc>
              <w:tc>
                <w:tcPr>
                  <w:tcW w:w="484" w:type="pct"/>
                  <w:noWrap w:val="0"/>
                  <w:vAlign w:val="center"/>
                </w:tcPr>
                <w:p w14:paraId="3DA30D38">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50</w:t>
                  </w:r>
                </w:p>
              </w:tc>
            </w:tr>
          </w:tbl>
          <w:p w14:paraId="5022F01C">
            <w:pPr>
              <w:pStyle w:val="5"/>
              <w:tabs>
                <w:tab w:val="left" w:pos="960"/>
                <w:tab w:val="left" w:pos="8760"/>
              </w:tabs>
              <w:adjustRightInd w:val="0"/>
              <w:ind w:firstLine="482"/>
              <w:jc w:val="center"/>
              <w:rPr>
                <w:rFonts w:hint="default" w:ascii="Times New Roman" w:hAnsi="Times New Roman" w:cs="Times New Roman"/>
                <w:b/>
                <w:bCs/>
                <w:color w:val="auto"/>
                <w:sz w:val="21"/>
                <w:szCs w:val="21"/>
                <w:lang w:val="en-US" w:eastAsia="zh-CN"/>
              </w:rPr>
            </w:pPr>
          </w:p>
          <w:p w14:paraId="259BF93B">
            <w:pPr>
              <w:pStyle w:val="5"/>
              <w:tabs>
                <w:tab w:val="left" w:pos="960"/>
                <w:tab w:val="left" w:pos="8760"/>
              </w:tabs>
              <w:adjustRightInd w:val="0"/>
              <w:snapToGrid w:val="0"/>
              <w:ind w:firstLine="0" w:firstLineChars="0"/>
              <w:jc w:val="center"/>
              <w:rPr>
                <w:rFonts w:hint="default" w:ascii="Times New Roman" w:hAnsi="Times New Roman" w:cs="Times New Roman"/>
                <w:b/>
                <w:color w:val="auto"/>
                <w:sz w:val="21"/>
                <w:szCs w:val="21"/>
                <w:lang w:val="en-US" w:eastAsia="zh-CN"/>
              </w:rPr>
            </w:pPr>
            <w:r>
              <w:rPr>
                <w:rFonts w:hint="default" w:ascii="Times New Roman" w:hAnsi="Times New Roman" w:cs="Times New Roman"/>
                <w:color w:val="auto"/>
                <w:sz w:val="21"/>
              </w:rPr>
              <mc:AlternateContent>
                <mc:Choice Requires="wpc">
                  <w:drawing>
                    <wp:inline distT="0" distB="0" distL="114300" distR="114300">
                      <wp:extent cx="5398770" cy="1390015"/>
                      <wp:effectExtent l="0" t="0" r="0" b="0"/>
                      <wp:docPr id="214" name="画布 214"/>
                      <wp:cNvGraphicFramePr/>
                      <a:graphic xmlns:a="http://schemas.openxmlformats.org/drawingml/2006/main">
                        <a:graphicData uri="http://schemas.microsoft.com/office/word/2010/wordprocessingCanvas">
                          <wpc:wpc>
                            <wpc:bg/>
                            <wpc:whole/>
                            <wps:wsp>
                              <wps:cNvPr id="219" name="矩形 104"/>
                              <wps:cNvSpPr/>
                              <wps:spPr>
                                <a:xfrm>
                                  <a:off x="202565" y="347980"/>
                                  <a:ext cx="1169035" cy="5899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B8B48">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天然气燃烧废气</w:t>
                                    </w:r>
                                  </w:p>
                                  <w:p w14:paraId="10EDA838">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颗粒物、SO2、NOX</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1" name="矩形 108"/>
                              <wps:cNvSpPr/>
                              <wps:spPr>
                                <a:xfrm>
                                  <a:off x="1706880" y="308610"/>
                                  <a:ext cx="1200785" cy="7696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C8D06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低氮燃烧装置（处理率50%）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7" name="直接箭头连接符 116"/>
                              <wps:cNvCnPr/>
                              <wps:spPr>
                                <a:xfrm>
                                  <a:off x="1416685" y="647700"/>
                                  <a:ext cx="233045"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8" name="直接箭头连接符 118"/>
                              <wps:cNvCnPr/>
                              <wps:spPr>
                                <a:xfrm>
                                  <a:off x="2974975" y="628650"/>
                                  <a:ext cx="2165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9" name="矩形 119"/>
                              <wps:cNvSpPr/>
                              <wps:spPr>
                                <a:xfrm>
                                  <a:off x="3235960" y="197485"/>
                                  <a:ext cx="294005" cy="1151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8C946">
                                    <w:pPr>
                                      <w:jc w:val="center"/>
                                      <w:rPr>
                                        <w:rFonts w:hint="default" w:eastAsia="宋体"/>
                                        <w:color w:val="FF0000"/>
                                        <w:lang w:val="en-US" w:eastAsia="zh-CN"/>
                                      </w:rPr>
                                    </w:pPr>
                                    <w:r>
                                      <w:rPr>
                                        <w:rFonts w:hint="eastAsia"/>
                                        <w:color w:val="000000" w:themeColor="text1"/>
                                        <w:lang w:val="en-US" w:eastAsia="zh-CN"/>
                                        <w14:textFill>
                                          <w14:solidFill>
                                            <w14:schemeClr w14:val="tx1"/>
                                          </w14:solidFill>
                                        </w14:textFill>
                                      </w:rPr>
                                      <w:t>排气筒1#</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109.45pt;width:425.1pt;" coordsize="5398770,1390015" editas="canvas" o:gfxdata="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">
                      <o:lock v:ext="edit" aspectratio="f"/>
                      <v:shape id="_x0000_s1026" o:spid="_x0000_s1026" style="position:absolute;left:0;top:0;height:1390015;width:5398770;" filled="f" stroked="f" coordsize="21600,21600" o:gfxdata="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AAAAAGRycy9QSwECFAAUAAAACACHTuJAdgh2&#10;UtYAAAAFAQAADwAAAAAAAAABACAAAAAiAAAAZHJzL2Rvd25yZXYueG1sUEsBAhQAFAAAAAgAh07i&#10;QCsZ2sizAwAA7Q4AAA4AAAAAAAAAAQAgAAAAJQEAAGRycy9lMm9Eb2MueG1sUEsFBgAAAAAGAAYA&#10;WQEAAEoHAAAAAA==&#10;">
                        <v:fill on="f" focussize="0,0"/>
                        <v:stroke on="f"/>
                        <v:imagedata o:title=""/>
                        <o:lock v:ext="edit" aspectratio="f"/>
                      </v:shape>
                      <v:rect id="矩形 104" o:spid="_x0000_s1026" o:spt="1" style="position:absolute;left:202565;top:347980;height:589915;width:1169035;v-text-anchor:middle;" filled="f" stroked="t" coordsize="21600,21600" o:gfxdata="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m/yETVAAAABQEAAA8AAAAAAAAAAQAgAAAAIgAAAGRycy9kb3ducmV2&#10;LnhtbFBLAQIUABQAAAAIAIdO4kAJ3Q2ccQIAAM0EAAAOAAAAAAAAAAEAIAAAACQBAABkcnMvZTJv&#10;RG9jLnhtbFBLBQYAAAAABgAGAFkBAAAHBgAAAAA=&#10;">
                        <v:fill on="f" focussize="0,0"/>
                        <v:stroke weight="1pt" color="#000000 [3213]" joinstyle="round"/>
                        <v:imagedata o:title=""/>
                        <o:lock v:ext="edit" aspectratio="f"/>
                        <v:textbox>
                          <w:txbxContent>
                            <w:p w14:paraId="652B8B48">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天然气燃烧废气</w:t>
                              </w:r>
                            </w:p>
                            <w:p w14:paraId="10EDA838">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颗粒物、SO2、NOX</w:t>
                              </w:r>
                            </w:p>
                          </w:txbxContent>
                        </v:textbox>
                      </v:rect>
                      <v:rect id="矩形 108" o:spid="_x0000_s1026" o:spt="1" style="position:absolute;left:1706880;top:308610;height:769620;width:1200785;v-text-anchor:middle;" filled="f" stroked="t" coordsize="21600,21600" o:gfxdata="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Zv8hE1QAAAAUBAAAPAAAAAAAAAAEAIAAAACIAAABkcnMvZG93bnJldi54&#10;bWxQSwECFAAUAAAACACHTuJALoaS328CAADOBAAADgAAAAAAAAABACAAAAAkAQAAZHJzL2Uyb0Rv&#10;Yy54bWxQSwUGAAAAAAYABgBZAQAABQYAAAAA&#10;">
                        <v:fill on="f" focussize="0,0"/>
                        <v:stroke weight="1pt" color="#000000 [3213]" joinstyle="round"/>
                        <v:imagedata o:title=""/>
                        <o:lock v:ext="edit" aspectratio="f"/>
                        <v:textbox>
                          <w:txbxContent>
                            <w:p w14:paraId="43C8D06F">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低氮燃烧装置（处理率50%）</w:t>
                              </w:r>
                            </w:p>
                          </w:txbxContent>
                        </v:textbox>
                      </v:rect>
                      <v:shape id="直接箭头连接符 116" o:spid="_x0000_s1026" o:spt="32" type="#_x0000_t32" style="position:absolute;left:1416685;top:647700;height:7620;width:233045;" filled="f" stroked="t" coordsize="21600,21600" o:gfxdata="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&#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lUZ1AAAAAUBAAAPAAAAAAAAAAEAIAAAACIAAABk&#10;cnMvZG93bnJldi54bWxQSwECFAAUAAAACACHTuJAgtxgJAoCAADYAwAADgAAAAAAAAABACAAAAAj&#10;AQAAZHJzL2Uyb0RvYy54bWxQSwUGAAAAAAYABgBZAQAAnwUAAAAA&#10;">
                        <v:fill on="f" focussize="0,0"/>
                        <v:stroke color="#000000 [3213]" joinstyle="round" endarrow="open"/>
                        <v:imagedata o:title=""/>
                        <o:lock v:ext="edit" aspectratio="f"/>
                      </v:shape>
                      <v:shape id="直接箭头连接符 118" o:spid="_x0000_s1026" o:spt="32" type="#_x0000_t32" style="position:absolute;left:2974975;top:628650;height:0;width:216535;" filled="f" stroked="t" coordsize="21600,21600" o:gfxdata="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P5VGdQAAAAFAQAADwAAAAAAAAABACAAAAAiAAAAZHJzL2Rv&#10;d25yZXYueG1sUEsBAhQAFAAAAAgAh07iQLO9po0FAgAA1QMAAA4AAAAAAAAAAQAgAAAAIwEAAGRy&#10;cy9lMm9Eb2MueG1sUEsFBgAAAAAGAAYAWQEAAJoFAAAAAA==&#10;">
                        <v:fill on="f" focussize="0,0"/>
                        <v:stroke color="#000000 [3213]" joinstyle="round" endarrow="open"/>
                        <v:imagedata o:title=""/>
                        <o:lock v:ext="edit" aspectratio="f"/>
                      </v:shape>
                      <v:rect id="矩形 119" o:spid="_x0000_s1026" o:spt="1" style="position:absolute;left:3235960;top:197485;height:1151255;width:294005;v-text-anchor:middle;" filled="f" stroked="f" coordsize="21600,21600" o:gfxdata="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S7qfdUAAAAFAQAADwAAAAAAAAABACAAAAAiAAAAZHJzL2Rvd25yZXYueG1sUEsBAhQAFAAAAAgA&#10;h07iQPKZDRxhAgAApQQAAA4AAAAAAAAAAQAgAAAAJAEAAGRycy9lMm9Eb2MueG1sUEsFBgAAAAAG&#10;AAYAWQEAAPcFAAAAAA==&#10;">
                        <v:fill on="f" focussize="0,0"/>
                        <v:stroke on="f" weight="2pt"/>
                        <v:imagedata o:title=""/>
                        <o:lock v:ext="edit" aspectratio="f"/>
                        <v:textbox>
                          <w:txbxContent>
                            <w:p w14:paraId="4E78C946">
                              <w:pPr>
                                <w:jc w:val="center"/>
                                <w:rPr>
                                  <w:rFonts w:hint="default" w:eastAsia="宋体"/>
                                  <w:color w:val="FF0000"/>
                                  <w:lang w:val="en-US" w:eastAsia="zh-CN"/>
                                </w:rPr>
                              </w:pPr>
                              <w:r>
                                <w:rPr>
                                  <w:rFonts w:hint="eastAsia"/>
                                  <w:color w:val="000000" w:themeColor="text1"/>
                                  <w:lang w:val="en-US" w:eastAsia="zh-CN"/>
                                  <w14:textFill>
                                    <w14:solidFill>
                                      <w14:schemeClr w14:val="tx1"/>
                                    </w14:solidFill>
                                  </w14:textFill>
                                </w:rPr>
                                <w:t>排气筒1#</w:t>
                              </w:r>
                            </w:p>
                          </w:txbxContent>
                        </v:textbox>
                      </v:rect>
                      <w10:wrap type="none"/>
                      <w10:anchorlock/>
                    </v:group>
                  </w:pict>
                </mc:Fallback>
              </mc:AlternateContent>
            </w:r>
          </w:p>
          <w:p w14:paraId="7C472C6F">
            <w:pPr>
              <w:pStyle w:val="5"/>
              <w:tabs>
                <w:tab w:val="left" w:pos="960"/>
                <w:tab w:val="left" w:pos="8760"/>
              </w:tabs>
              <w:adjustRightInd w:val="0"/>
              <w:snapToGrid w:val="0"/>
              <w:ind w:firstLine="0" w:firstLineChars="0"/>
              <w:jc w:val="center"/>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图4-1 废气收集、处理与排放示意图</w:t>
            </w:r>
          </w:p>
          <w:p w14:paraId="744E638B">
            <w:pPr>
              <w:pStyle w:val="5"/>
              <w:tabs>
                <w:tab w:val="left" w:pos="960"/>
                <w:tab w:val="left" w:pos="8760"/>
              </w:tabs>
              <w:adjustRightInd w:val="0"/>
              <w:snapToGrid w:val="0"/>
              <w:ind w:firstLine="0" w:firstLineChars="0"/>
              <w:jc w:val="center"/>
              <w:rPr>
                <w:rFonts w:hint="default" w:ascii="Times New Roman" w:hAnsi="Times New Roman" w:cs="Times New Roman"/>
                <w:b/>
                <w:color w:val="auto"/>
                <w:sz w:val="21"/>
                <w:szCs w:val="21"/>
                <w:lang w:val="en-US" w:eastAsia="zh-CN"/>
              </w:rPr>
            </w:pPr>
          </w:p>
          <w:p w14:paraId="22337CA7">
            <w:pPr>
              <w:pStyle w:val="5"/>
              <w:tabs>
                <w:tab w:val="left" w:pos="960"/>
                <w:tab w:val="left" w:pos="8760"/>
              </w:tabs>
              <w:adjustRightInd w:val="0"/>
              <w:snapToGrid w:val="0"/>
              <w:ind w:firstLine="0" w:firstLineChars="0"/>
              <w:jc w:val="center"/>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表4-</w:t>
            </w: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lang w:val="en-US" w:eastAsia="zh-CN"/>
              </w:rPr>
              <w:t xml:space="preserve">  废气非正常排放情况</w:t>
            </w:r>
          </w:p>
          <w:tbl>
            <w:tblPr>
              <w:tblStyle w:val="41"/>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8" w:space="0"/>
              </w:tblBorders>
              <w:shd w:val="clear" w:color="auto" w:fill="auto"/>
              <w:tblLayout w:type="fixed"/>
              <w:tblCellMar>
                <w:top w:w="0" w:type="dxa"/>
                <w:left w:w="108" w:type="dxa"/>
                <w:bottom w:w="0" w:type="dxa"/>
                <w:right w:w="108" w:type="dxa"/>
              </w:tblCellMar>
            </w:tblPr>
            <w:tblGrid>
              <w:gridCol w:w="821"/>
              <w:gridCol w:w="1035"/>
              <w:gridCol w:w="1185"/>
              <w:gridCol w:w="1140"/>
              <w:gridCol w:w="848"/>
              <w:gridCol w:w="1035"/>
              <w:gridCol w:w="960"/>
              <w:gridCol w:w="1247"/>
            </w:tblGrid>
            <w:tr w14:paraId="4F2D8E85">
              <w:tblPrEx>
                <w:tblBorders>
                  <w:top w:val="single" w:color="000000" w:sz="12" w:space="0"/>
                  <w:left w:val="none" w:color="auto" w:sz="0" w:space="0"/>
                  <w:bottom w:val="single" w:color="000000" w:sz="12" w:space="0"/>
                  <w:right w:val="none" w:color="auto" w:sz="0" w:space="0"/>
                  <w:insideH w:val="single" w:color="000000" w:sz="6" w:space="0"/>
                  <w:insideV w:val="single" w:color="000000" w:sz="8" w:space="0"/>
                </w:tblBorders>
                <w:shd w:val="clear" w:color="auto" w:fill="auto"/>
                <w:tblCellMar>
                  <w:top w:w="0" w:type="dxa"/>
                  <w:left w:w="108" w:type="dxa"/>
                  <w:bottom w:w="0" w:type="dxa"/>
                  <w:right w:w="108" w:type="dxa"/>
                </w:tblCellMar>
              </w:tblPrEx>
              <w:trPr>
                <w:trHeight w:val="130" w:hRule="atLeast"/>
                <w:tblHeader/>
                <w:jc w:val="center"/>
              </w:trPr>
              <w:tc>
                <w:tcPr>
                  <w:tcW w:w="821" w:type="dxa"/>
                  <w:tcBorders>
                    <w:bottom w:val="single" w:color="000000" w:sz="8" w:space="0"/>
                  </w:tcBorders>
                  <w:shd w:val="clear" w:color="auto" w:fill="auto"/>
                  <w:noWrap w:val="0"/>
                  <w:vAlign w:val="center"/>
                </w:tcPr>
                <w:p w14:paraId="6D96A7EA">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非正常排放源</w:t>
                  </w:r>
                </w:p>
              </w:tc>
              <w:tc>
                <w:tcPr>
                  <w:tcW w:w="1035" w:type="dxa"/>
                  <w:tcBorders>
                    <w:bottom w:val="single" w:color="000000" w:sz="8" w:space="0"/>
                  </w:tcBorders>
                  <w:shd w:val="clear" w:color="auto" w:fill="auto"/>
                  <w:noWrap w:val="0"/>
                  <w:vAlign w:val="center"/>
                </w:tcPr>
                <w:p w14:paraId="7D48D4DB">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非正常排放原因</w:t>
                  </w:r>
                </w:p>
              </w:tc>
              <w:tc>
                <w:tcPr>
                  <w:tcW w:w="1185" w:type="dxa"/>
                  <w:tcBorders>
                    <w:bottom w:val="single" w:color="000000" w:sz="8" w:space="0"/>
                  </w:tcBorders>
                  <w:shd w:val="clear" w:color="auto" w:fill="auto"/>
                  <w:noWrap w:val="0"/>
                  <w:vAlign w:val="center"/>
                </w:tcPr>
                <w:p w14:paraId="1F66A57D">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w:t>
                  </w:r>
                </w:p>
              </w:tc>
              <w:tc>
                <w:tcPr>
                  <w:tcW w:w="1140" w:type="dxa"/>
                  <w:tcBorders>
                    <w:bottom w:val="single" w:color="000000" w:sz="8" w:space="0"/>
                  </w:tcBorders>
                  <w:shd w:val="clear" w:color="auto" w:fill="auto"/>
                  <w:noWrap w:val="0"/>
                  <w:vAlign w:val="center"/>
                </w:tcPr>
                <w:p w14:paraId="740F3AFB">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非正常排放速率/（kg/h）</w:t>
                  </w:r>
                </w:p>
              </w:tc>
              <w:tc>
                <w:tcPr>
                  <w:tcW w:w="848" w:type="dxa"/>
                  <w:tcBorders>
                    <w:bottom w:val="single" w:color="000000" w:sz="8" w:space="0"/>
                  </w:tcBorders>
                  <w:shd w:val="clear" w:color="auto" w:fill="auto"/>
                  <w:noWrap w:val="0"/>
                  <w:vAlign w:val="center"/>
                </w:tcPr>
                <w:p w14:paraId="54EA2B28">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非正常排放浓度（mg/m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c>
                <w:tcPr>
                  <w:tcW w:w="1035" w:type="dxa"/>
                  <w:shd w:val="clear" w:color="auto" w:fill="auto"/>
                  <w:noWrap w:val="0"/>
                  <w:vAlign w:val="center"/>
                </w:tcPr>
                <w:p w14:paraId="24D4E75D">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单次持续时间/h</w:t>
                  </w:r>
                </w:p>
              </w:tc>
              <w:tc>
                <w:tcPr>
                  <w:tcW w:w="960" w:type="dxa"/>
                  <w:shd w:val="clear" w:color="auto" w:fill="auto"/>
                  <w:noWrap w:val="0"/>
                  <w:vAlign w:val="center"/>
                </w:tcPr>
                <w:p w14:paraId="4CD56E93">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年发生频次</w:t>
                  </w:r>
                </w:p>
              </w:tc>
              <w:tc>
                <w:tcPr>
                  <w:tcW w:w="1247" w:type="dxa"/>
                  <w:shd w:val="clear" w:color="auto" w:fill="auto"/>
                  <w:noWrap w:val="0"/>
                  <w:vAlign w:val="center"/>
                </w:tcPr>
                <w:p w14:paraId="1EBF2795">
                  <w:pPr>
                    <w:pStyle w:val="80"/>
                    <w:spacing w:before="31" w:after="31"/>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应对措施</w:t>
                  </w:r>
                </w:p>
              </w:tc>
            </w:tr>
            <w:tr w14:paraId="310ABE32">
              <w:tblPrEx>
                <w:tblBorders>
                  <w:top w:val="single" w:color="000000" w:sz="12" w:space="0"/>
                  <w:left w:val="none" w:color="auto" w:sz="0" w:space="0"/>
                  <w:bottom w:val="single" w:color="000000" w:sz="12" w:space="0"/>
                  <w:right w:val="none" w:color="auto" w:sz="0" w:space="0"/>
                  <w:insideH w:val="single" w:color="000000" w:sz="6" w:space="0"/>
                  <w:insideV w:val="single" w:color="000000" w:sz="8" w:space="0"/>
                </w:tblBorders>
                <w:tblCellMar>
                  <w:top w:w="0" w:type="dxa"/>
                  <w:left w:w="108" w:type="dxa"/>
                  <w:bottom w:w="0" w:type="dxa"/>
                  <w:right w:w="108" w:type="dxa"/>
                </w:tblCellMar>
              </w:tblPrEx>
              <w:trPr>
                <w:trHeight w:val="442" w:hRule="atLeast"/>
                <w:tblHeader/>
                <w:jc w:val="center"/>
              </w:trPr>
              <w:tc>
                <w:tcPr>
                  <w:tcW w:w="821" w:type="dxa"/>
                  <w:vMerge w:val="restart"/>
                  <w:tcBorders>
                    <w:top w:val="single" w:color="000000" w:sz="8" w:space="0"/>
                    <w:bottom w:val="single" w:color="000000" w:sz="8" w:space="0"/>
                  </w:tcBorders>
                  <w:shd w:val="clear" w:color="auto" w:fill="auto"/>
                  <w:noWrap w:val="0"/>
                  <w:vAlign w:val="center"/>
                </w:tcPr>
                <w:p w14:paraId="7E152482">
                  <w:pPr>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排气筒</w:t>
                  </w:r>
                </w:p>
              </w:tc>
              <w:tc>
                <w:tcPr>
                  <w:tcW w:w="1035" w:type="dxa"/>
                  <w:vMerge w:val="restart"/>
                  <w:tcBorders>
                    <w:top w:val="single" w:color="000000" w:sz="8" w:space="0"/>
                    <w:bottom w:val="single" w:color="000000" w:sz="8" w:space="0"/>
                  </w:tcBorders>
                  <w:shd w:val="clear" w:color="auto" w:fill="auto"/>
                  <w:noWrap w:val="0"/>
                  <w:vAlign w:val="center"/>
                </w:tcPr>
                <w:p w14:paraId="4FB93B7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废气处理设施故障</w:t>
                  </w:r>
                </w:p>
              </w:tc>
              <w:tc>
                <w:tcPr>
                  <w:tcW w:w="1185" w:type="dxa"/>
                  <w:tcBorders>
                    <w:top w:val="single" w:color="000000" w:sz="8" w:space="0"/>
                    <w:bottom w:val="single" w:color="000000" w:sz="8" w:space="0"/>
                  </w:tcBorders>
                  <w:shd w:val="clear" w:color="auto" w:fill="auto"/>
                  <w:noWrap w:val="0"/>
                  <w:vAlign w:val="center"/>
                </w:tcPr>
                <w:p w14:paraId="46D2EAB8">
                  <w:pPr>
                    <w:widowControl/>
                    <w:jc w:val="center"/>
                    <w:textAlignment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二氧化硫</w:t>
                  </w:r>
                </w:p>
              </w:tc>
              <w:tc>
                <w:tcPr>
                  <w:tcW w:w="1140" w:type="dxa"/>
                  <w:tcBorders>
                    <w:top w:val="single" w:color="000000" w:sz="8" w:space="0"/>
                    <w:bottom w:val="single" w:color="000000" w:sz="8" w:space="0"/>
                  </w:tcBorders>
                  <w:shd w:val="clear" w:color="auto" w:fill="auto"/>
                  <w:noWrap w:val="0"/>
                  <w:vAlign w:val="center"/>
                </w:tcPr>
                <w:p w14:paraId="693E2E70">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0.26</w:t>
                  </w:r>
                </w:p>
              </w:tc>
              <w:tc>
                <w:tcPr>
                  <w:tcW w:w="848" w:type="dxa"/>
                  <w:tcBorders>
                    <w:top w:val="single" w:color="000000" w:sz="8" w:space="0"/>
                    <w:bottom w:val="single" w:color="000000" w:sz="8" w:space="0"/>
                  </w:tcBorders>
                  <w:shd w:val="clear" w:color="auto" w:fill="auto"/>
                  <w:noWrap w:val="0"/>
                  <w:vAlign w:val="center"/>
                </w:tcPr>
                <w:p w14:paraId="6B99A09E">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9.29</w:t>
                  </w:r>
                </w:p>
              </w:tc>
              <w:tc>
                <w:tcPr>
                  <w:tcW w:w="1035" w:type="dxa"/>
                  <w:vMerge w:val="restart"/>
                  <w:shd w:val="clear" w:color="auto" w:fill="auto"/>
                  <w:noWrap w:val="0"/>
                  <w:vAlign w:val="center"/>
                </w:tcPr>
                <w:p w14:paraId="320746BA">
                  <w:pPr>
                    <w:pStyle w:val="80"/>
                    <w:spacing w:before="31" w:after="31"/>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w:t>
                  </w:r>
                </w:p>
              </w:tc>
              <w:tc>
                <w:tcPr>
                  <w:tcW w:w="960" w:type="dxa"/>
                  <w:vMerge w:val="restart"/>
                  <w:shd w:val="clear" w:color="auto" w:fill="auto"/>
                  <w:noWrap w:val="0"/>
                  <w:vAlign w:val="center"/>
                </w:tcPr>
                <w:p w14:paraId="73D95DEF">
                  <w:pPr>
                    <w:pStyle w:val="80"/>
                    <w:spacing w:before="31" w:after="31"/>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年发生频次不超过1次</w:t>
                  </w:r>
                </w:p>
              </w:tc>
              <w:tc>
                <w:tcPr>
                  <w:tcW w:w="1247" w:type="dxa"/>
                  <w:vMerge w:val="restart"/>
                  <w:shd w:val="clear" w:color="auto" w:fill="auto"/>
                  <w:noWrap w:val="0"/>
                  <w:vAlign w:val="center"/>
                </w:tcPr>
                <w:p w14:paraId="1FA7E2B0">
                  <w:pPr>
                    <w:pStyle w:val="80"/>
                    <w:spacing w:before="31" w:after="31"/>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定期进行设备维护，当废气处理装置出现故障不能短时间恢复时停止生产</w:t>
                  </w:r>
                </w:p>
              </w:tc>
            </w:tr>
            <w:tr w14:paraId="7F56168D">
              <w:tblPrEx>
                <w:tblBorders>
                  <w:top w:val="single" w:color="000000" w:sz="12" w:space="0"/>
                  <w:left w:val="none" w:color="auto" w:sz="0" w:space="0"/>
                  <w:bottom w:val="single" w:color="000000" w:sz="12" w:space="0"/>
                  <w:right w:val="none" w:color="auto" w:sz="0" w:space="0"/>
                  <w:insideH w:val="single" w:color="000000" w:sz="6" w:space="0"/>
                  <w:insideV w:val="single" w:color="000000" w:sz="8" w:space="0"/>
                </w:tblBorders>
                <w:tblCellMar>
                  <w:top w:w="0" w:type="dxa"/>
                  <w:left w:w="108" w:type="dxa"/>
                  <w:bottom w:w="0" w:type="dxa"/>
                  <w:right w:w="108" w:type="dxa"/>
                </w:tblCellMar>
              </w:tblPrEx>
              <w:trPr>
                <w:trHeight w:val="468" w:hRule="atLeast"/>
                <w:tblHeader/>
                <w:jc w:val="center"/>
              </w:trPr>
              <w:tc>
                <w:tcPr>
                  <w:tcW w:w="821" w:type="dxa"/>
                  <w:vMerge w:val="continue"/>
                  <w:tcBorders>
                    <w:top w:val="single" w:color="000000" w:sz="8" w:space="0"/>
                    <w:bottom w:val="single" w:color="000000" w:sz="8" w:space="0"/>
                  </w:tcBorders>
                  <w:shd w:val="clear" w:color="auto" w:fill="auto"/>
                  <w:noWrap w:val="0"/>
                  <w:vAlign w:val="center"/>
                </w:tcPr>
                <w:p w14:paraId="4CC63FE2">
                  <w:pPr>
                    <w:adjustRightInd w:val="0"/>
                    <w:snapToGrid w:val="0"/>
                    <w:jc w:val="center"/>
                    <w:textAlignment w:val="center"/>
                    <w:rPr>
                      <w:rFonts w:hint="default" w:ascii="Times New Roman" w:hAnsi="Times New Roman" w:cs="Times New Roman"/>
                      <w:color w:val="auto"/>
                      <w:sz w:val="21"/>
                      <w:szCs w:val="21"/>
                      <w:lang w:val="en-US" w:eastAsia="zh-CN"/>
                    </w:rPr>
                  </w:pPr>
                </w:p>
              </w:tc>
              <w:tc>
                <w:tcPr>
                  <w:tcW w:w="1035" w:type="dxa"/>
                  <w:vMerge w:val="continue"/>
                  <w:tcBorders>
                    <w:top w:val="single" w:color="000000" w:sz="8" w:space="0"/>
                    <w:bottom w:val="single" w:color="000000" w:sz="8" w:space="0"/>
                  </w:tcBorders>
                  <w:shd w:val="clear" w:color="auto" w:fill="auto"/>
                  <w:noWrap w:val="0"/>
                  <w:vAlign w:val="center"/>
                </w:tcPr>
                <w:p w14:paraId="2061C9A7">
                  <w:pPr>
                    <w:jc w:val="center"/>
                    <w:rPr>
                      <w:rFonts w:hint="default" w:ascii="Times New Roman" w:hAnsi="Times New Roman" w:cs="Times New Roman"/>
                      <w:color w:val="auto"/>
                      <w:sz w:val="21"/>
                      <w:szCs w:val="21"/>
                      <w:lang w:val="en-US" w:eastAsia="zh-CN"/>
                    </w:rPr>
                  </w:pPr>
                </w:p>
              </w:tc>
              <w:tc>
                <w:tcPr>
                  <w:tcW w:w="1185" w:type="dxa"/>
                  <w:tcBorders>
                    <w:top w:val="single" w:color="000000" w:sz="8" w:space="0"/>
                    <w:bottom w:val="single" w:color="000000" w:sz="8" w:space="0"/>
                  </w:tcBorders>
                  <w:shd w:val="clear" w:color="auto" w:fill="auto"/>
                  <w:noWrap w:val="0"/>
                  <w:vAlign w:val="center"/>
                </w:tcPr>
                <w:p w14:paraId="5EF754CE">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1140" w:type="dxa"/>
                  <w:tcBorders>
                    <w:top w:val="single" w:color="000000" w:sz="8" w:space="0"/>
                    <w:bottom w:val="single" w:color="000000" w:sz="8" w:space="0"/>
                  </w:tcBorders>
                  <w:shd w:val="clear" w:color="auto" w:fill="auto"/>
                  <w:noWrap w:val="0"/>
                  <w:vAlign w:val="center"/>
                </w:tcPr>
                <w:p w14:paraId="0D706FFE">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0.3718</w:t>
                  </w:r>
                </w:p>
              </w:tc>
              <w:tc>
                <w:tcPr>
                  <w:tcW w:w="848" w:type="dxa"/>
                  <w:tcBorders>
                    <w:top w:val="single" w:color="000000" w:sz="8" w:space="0"/>
                    <w:bottom w:val="single" w:color="000000" w:sz="8" w:space="0"/>
                  </w:tcBorders>
                  <w:shd w:val="clear" w:color="auto" w:fill="auto"/>
                  <w:noWrap w:val="0"/>
                  <w:vAlign w:val="center"/>
                </w:tcPr>
                <w:p w14:paraId="24DD41CA">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13.28</w:t>
                  </w:r>
                </w:p>
              </w:tc>
              <w:tc>
                <w:tcPr>
                  <w:tcW w:w="1035" w:type="dxa"/>
                  <w:vMerge w:val="continue"/>
                  <w:shd w:val="clear" w:color="auto" w:fill="auto"/>
                  <w:noWrap w:val="0"/>
                  <w:vAlign w:val="center"/>
                </w:tcPr>
                <w:p w14:paraId="23843F55">
                  <w:pPr>
                    <w:pStyle w:val="80"/>
                    <w:spacing w:before="31" w:after="31"/>
                    <w:rPr>
                      <w:rFonts w:hint="default" w:ascii="Times New Roman" w:hAnsi="Times New Roman" w:eastAsia="宋体" w:cs="Times New Roman"/>
                      <w:bCs/>
                      <w:color w:val="auto"/>
                      <w:sz w:val="21"/>
                      <w:szCs w:val="21"/>
                      <w:lang w:val="en-US" w:eastAsia="zh-CN"/>
                    </w:rPr>
                  </w:pPr>
                </w:p>
              </w:tc>
              <w:tc>
                <w:tcPr>
                  <w:tcW w:w="960" w:type="dxa"/>
                  <w:vMerge w:val="continue"/>
                  <w:shd w:val="clear" w:color="auto" w:fill="auto"/>
                  <w:noWrap w:val="0"/>
                  <w:vAlign w:val="center"/>
                </w:tcPr>
                <w:p w14:paraId="6BEB90CA">
                  <w:pPr>
                    <w:pStyle w:val="80"/>
                    <w:spacing w:before="31" w:after="31"/>
                    <w:rPr>
                      <w:rFonts w:hint="default" w:ascii="Times New Roman" w:hAnsi="Times New Roman" w:eastAsia="宋体" w:cs="Times New Roman"/>
                      <w:bCs/>
                      <w:color w:val="auto"/>
                      <w:sz w:val="21"/>
                      <w:szCs w:val="21"/>
                      <w:lang w:val="en-US" w:eastAsia="zh-CN"/>
                    </w:rPr>
                  </w:pPr>
                </w:p>
              </w:tc>
              <w:tc>
                <w:tcPr>
                  <w:tcW w:w="1247" w:type="dxa"/>
                  <w:vMerge w:val="continue"/>
                  <w:shd w:val="clear" w:color="auto" w:fill="auto"/>
                  <w:noWrap w:val="0"/>
                  <w:vAlign w:val="center"/>
                </w:tcPr>
                <w:p w14:paraId="7D1E2EF3">
                  <w:pPr>
                    <w:pStyle w:val="80"/>
                    <w:spacing w:before="31" w:after="31"/>
                    <w:rPr>
                      <w:rFonts w:hint="default" w:ascii="Times New Roman" w:hAnsi="Times New Roman" w:eastAsia="宋体" w:cs="Times New Roman"/>
                      <w:bCs/>
                      <w:color w:val="auto"/>
                      <w:sz w:val="21"/>
                      <w:szCs w:val="21"/>
                      <w:lang w:val="en-US" w:eastAsia="zh-CN"/>
                    </w:rPr>
                  </w:pPr>
                </w:p>
              </w:tc>
            </w:tr>
            <w:tr w14:paraId="22016625">
              <w:tblPrEx>
                <w:tblBorders>
                  <w:top w:val="single" w:color="000000" w:sz="12" w:space="0"/>
                  <w:left w:val="none" w:color="auto" w:sz="0" w:space="0"/>
                  <w:bottom w:val="single" w:color="000000" w:sz="12" w:space="0"/>
                  <w:right w:val="none" w:color="auto" w:sz="0" w:space="0"/>
                  <w:insideH w:val="single" w:color="000000" w:sz="6" w:space="0"/>
                  <w:insideV w:val="single" w:color="000000" w:sz="8" w:space="0"/>
                </w:tblBorders>
                <w:tblCellMar>
                  <w:top w:w="0" w:type="dxa"/>
                  <w:left w:w="108" w:type="dxa"/>
                  <w:bottom w:w="0" w:type="dxa"/>
                  <w:right w:w="108" w:type="dxa"/>
                </w:tblCellMar>
              </w:tblPrEx>
              <w:trPr>
                <w:trHeight w:val="468" w:hRule="atLeast"/>
                <w:tblHeader/>
                <w:jc w:val="center"/>
              </w:trPr>
              <w:tc>
                <w:tcPr>
                  <w:tcW w:w="821" w:type="dxa"/>
                  <w:vMerge w:val="continue"/>
                  <w:tcBorders>
                    <w:top w:val="single" w:color="000000" w:sz="8" w:space="0"/>
                    <w:bottom w:val="single" w:color="000000" w:sz="12" w:space="0"/>
                  </w:tcBorders>
                  <w:shd w:val="clear" w:color="auto" w:fill="auto"/>
                  <w:noWrap w:val="0"/>
                  <w:vAlign w:val="center"/>
                </w:tcPr>
                <w:p w14:paraId="2E53579C">
                  <w:pPr>
                    <w:adjustRightInd w:val="0"/>
                    <w:snapToGrid w:val="0"/>
                    <w:jc w:val="center"/>
                    <w:textAlignment w:val="center"/>
                    <w:rPr>
                      <w:rFonts w:hint="default" w:ascii="Times New Roman" w:hAnsi="Times New Roman" w:cs="Times New Roman"/>
                      <w:color w:val="auto"/>
                      <w:sz w:val="21"/>
                      <w:szCs w:val="21"/>
                      <w:lang w:val="en-US" w:eastAsia="zh-CN"/>
                    </w:rPr>
                  </w:pPr>
                </w:p>
              </w:tc>
              <w:tc>
                <w:tcPr>
                  <w:tcW w:w="1035" w:type="dxa"/>
                  <w:vMerge w:val="continue"/>
                  <w:tcBorders>
                    <w:top w:val="single" w:color="000000" w:sz="8" w:space="0"/>
                    <w:bottom w:val="single" w:color="000000" w:sz="12" w:space="0"/>
                  </w:tcBorders>
                  <w:shd w:val="clear" w:color="auto" w:fill="auto"/>
                  <w:noWrap w:val="0"/>
                  <w:vAlign w:val="center"/>
                </w:tcPr>
                <w:p w14:paraId="6017BE0A">
                  <w:pPr>
                    <w:jc w:val="center"/>
                    <w:rPr>
                      <w:rFonts w:hint="default" w:ascii="Times New Roman" w:hAnsi="Times New Roman" w:cs="Times New Roman"/>
                      <w:color w:val="auto"/>
                      <w:sz w:val="21"/>
                      <w:szCs w:val="21"/>
                      <w:lang w:val="en-US" w:eastAsia="zh-CN"/>
                    </w:rPr>
                  </w:pPr>
                </w:p>
              </w:tc>
              <w:tc>
                <w:tcPr>
                  <w:tcW w:w="1185" w:type="dxa"/>
                  <w:tcBorders>
                    <w:top w:val="single" w:color="000000" w:sz="8" w:space="0"/>
                    <w:bottom w:val="single" w:color="000000" w:sz="12" w:space="0"/>
                  </w:tcBorders>
                  <w:shd w:val="clear" w:color="auto" w:fill="auto"/>
                  <w:noWrap w:val="0"/>
                  <w:vAlign w:val="center"/>
                </w:tcPr>
                <w:p w14:paraId="269017FB">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氮氧化物</w:t>
                  </w:r>
                </w:p>
              </w:tc>
              <w:tc>
                <w:tcPr>
                  <w:tcW w:w="1140" w:type="dxa"/>
                  <w:tcBorders>
                    <w:top w:val="single" w:color="000000" w:sz="8" w:space="0"/>
                    <w:bottom w:val="single" w:color="000000" w:sz="12" w:space="0"/>
                  </w:tcBorders>
                  <w:shd w:val="clear" w:color="auto" w:fill="auto"/>
                  <w:noWrap w:val="0"/>
                  <w:vAlign w:val="center"/>
                </w:tcPr>
                <w:p w14:paraId="75136F4F">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2.431</w:t>
                  </w:r>
                </w:p>
              </w:tc>
              <w:tc>
                <w:tcPr>
                  <w:tcW w:w="848" w:type="dxa"/>
                  <w:tcBorders>
                    <w:top w:val="single" w:color="000000" w:sz="8" w:space="0"/>
                    <w:bottom w:val="single" w:color="000000" w:sz="12" w:space="0"/>
                  </w:tcBorders>
                  <w:shd w:val="clear" w:color="auto" w:fill="auto"/>
                  <w:noWrap w:val="0"/>
                  <w:vAlign w:val="center"/>
                </w:tcPr>
                <w:p w14:paraId="1B817EFA">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86.82</w:t>
                  </w:r>
                </w:p>
              </w:tc>
              <w:tc>
                <w:tcPr>
                  <w:tcW w:w="1035" w:type="dxa"/>
                  <w:vMerge w:val="continue"/>
                  <w:shd w:val="clear" w:color="auto" w:fill="auto"/>
                  <w:noWrap w:val="0"/>
                  <w:vAlign w:val="center"/>
                </w:tcPr>
                <w:p w14:paraId="2D43DB8D">
                  <w:pPr>
                    <w:pStyle w:val="80"/>
                    <w:spacing w:before="31" w:after="31"/>
                    <w:rPr>
                      <w:rFonts w:hint="default" w:ascii="Times New Roman" w:hAnsi="Times New Roman" w:eastAsia="宋体" w:cs="Times New Roman"/>
                      <w:bCs/>
                      <w:color w:val="auto"/>
                      <w:sz w:val="21"/>
                      <w:szCs w:val="21"/>
                      <w:lang w:val="en-US" w:eastAsia="zh-CN"/>
                    </w:rPr>
                  </w:pPr>
                </w:p>
              </w:tc>
              <w:tc>
                <w:tcPr>
                  <w:tcW w:w="960" w:type="dxa"/>
                  <w:vMerge w:val="continue"/>
                  <w:shd w:val="clear" w:color="auto" w:fill="auto"/>
                  <w:noWrap w:val="0"/>
                  <w:vAlign w:val="center"/>
                </w:tcPr>
                <w:p w14:paraId="12C956E7">
                  <w:pPr>
                    <w:pStyle w:val="80"/>
                    <w:spacing w:before="31" w:after="31"/>
                    <w:rPr>
                      <w:rFonts w:hint="default" w:ascii="Times New Roman" w:hAnsi="Times New Roman" w:eastAsia="宋体" w:cs="Times New Roman"/>
                      <w:bCs/>
                      <w:color w:val="auto"/>
                      <w:sz w:val="21"/>
                      <w:szCs w:val="21"/>
                      <w:lang w:val="en-US" w:eastAsia="zh-CN"/>
                    </w:rPr>
                  </w:pPr>
                </w:p>
              </w:tc>
              <w:tc>
                <w:tcPr>
                  <w:tcW w:w="1247" w:type="dxa"/>
                  <w:vMerge w:val="continue"/>
                  <w:shd w:val="clear" w:color="auto" w:fill="auto"/>
                  <w:noWrap w:val="0"/>
                  <w:vAlign w:val="center"/>
                </w:tcPr>
                <w:p w14:paraId="61AC50E8">
                  <w:pPr>
                    <w:pStyle w:val="80"/>
                    <w:spacing w:before="31" w:after="31"/>
                    <w:rPr>
                      <w:rFonts w:hint="default" w:ascii="Times New Roman" w:hAnsi="Times New Roman" w:eastAsia="宋体" w:cs="Times New Roman"/>
                      <w:bCs/>
                      <w:color w:val="auto"/>
                      <w:sz w:val="21"/>
                      <w:szCs w:val="21"/>
                      <w:lang w:val="en-US" w:eastAsia="zh-CN"/>
                    </w:rPr>
                  </w:pPr>
                </w:p>
              </w:tc>
            </w:tr>
          </w:tbl>
          <w:p w14:paraId="240EB7F5">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7544F7B5">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①安排专人负责环保设备的日常维护和管理，每隔固定时间检查、汇报情况，及时发现废气处理设备的隐患，确保废气处理系统正常运行；</w:t>
            </w:r>
          </w:p>
          <w:p w14:paraId="70C1DD5D">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②建立健全的环保管理机构，对环保管理人员和技术人员进行岗位培训，委托具有专业资质的环境检测单位对项目排放的各类污染物进行定期检测；</w:t>
            </w:r>
          </w:p>
          <w:p w14:paraId="535FBDE7">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③应定期维护、检修废气净化装置，以保持废气处理装置的净化能力和净化容量。</w:t>
            </w:r>
          </w:p>
          <w:p w14:paraId="296278AE">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（2）大气污染源监测计划</w:t>
            </w:r>
          </w:p>
          <w:p w14:paraId="36328099">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①污染源自行监测方案</w:t>
            </w:r>
          </w:p>
          <w:p w14:paraId="55D164FC">
            <w:pPr>
              <w:pStyle w:val="4"/>
              <w:spacing w:before="0" w:after="0"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企业应按照《排污单位自行监测技术指南总则》（HJ 819-2017）、《排污许可证申请与核发技术规范 工业炉窑》（HJ1121—2020）相关要求，开展大气污染源监测，大气污染源监测计划见表4-</w:t>
            </w:r>
            <w:r>
              <w:rPr>
                <w:rFonts w:hint="eastAsia" w:ascii="Times New Roman" w:hAnsi="Times New Roman" w:cs="Times New Roman"/>
                <w:b w:val="0"/>
                <w:bCs w:val="0"/>
                <w:color w:val="auto"/>
                <w:sz w:val="21"/>
                <w:szCs w:val="21"/>
                <w:lang w:val="en-US" w:eastAsia="zh-CN"/>
              </w:rPr>
              <w:t>7</w:t>
            </w:r>
            <w:r>
              <w:rPr>
                <w:rFonts w:hint="default" w:ascii="Times New Roman" w:hAnsi="Times New Roman" w:cs="Times New Roman"/>
                <w:b w:val="0"/>
                <w:bCs w:val="0"/>
                <w:color w:val="auto"/>
                <w:sz w:val="21"/>
                <w:szCs w:val="21"/>
                <w:lang w:val="en-US" w:eastAsia="zh-CN"/>
              </w:rPr>
              <w:t>。</w:t>
            </w:r>
          </w:p>
          <w:p w14:paraId="7E1B1C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表4-</w:t>
            </w:r>
            <w:r>
              <w:rPr>
                <w:rFonts w:hint="eastAsia" w:ascii="Times New Roman" w:hAnsi="Times New Roman" w:cs="Times New Roman"/>
                <w:b/>
                <w:bCs/>
                <w:color w:val="auto"/>
                <w:kern w:val="0"/>
                <w:sz w:val="21"/>
                <w:szCs w:val="21"/>
                <w:lang w:val="en-US" w:eastAsia="zh-CN"/>
              </w:rPr>
              <w:t>7</w:t>
            </w:r>
            <w:r>
              <w:rPr>
                <w:rFonts w:hint="default" w:ascii="Times New Roman" w:hAnsi="Times New Roman" w:cs="Times New Roman"/>
                <w:b/>
                <w:bCs/>
                <w:color w:val="auto"/>
                <w:kern w:val="0"/>
                <w:sz w:val="21"/>
                <w:szCs w:val="21"/>
              </w:rPr>
              <w:t xml:space="preserve">  大气污染源监测计划</w:t>
            </w:r>
          </w:p>
          <w:tbl>
            <w:tblPr>
              <w:tblStyle w:val="4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39"/>
              <w:gridCol w:w="1048"/>
              <w:gridCol w:w="1431"/>
              <w:gridCol w:w="1984"/>
              <w:gridCol w:w="2993"/>
            </w:tblGrid>
            <w:tr w14:paraId="4CE08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739" w:type="dxa"/>
                  <w:noWrap w:val="0"/>
                  <w:vAlign w:val="center"/>
                </w:tcPr>
                <w:p w14:paraId="089E2A98">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类别</w:t>
                  </w:r>
                </w:p>
              </w:tc>
              <w:tc>
                <w:tcPr>
                  <w:tcW w:w="2479" w:type="dxa"/>
                  <w:gridSpan w:val="2"/>
                  <w:noWrap w:val="0"/>
                  <w:vAlign w:val="center"/>
                </w:tcPr>
                <w:p w14:paraId="45708E80">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监测位置</w:t>
                  </w:r>
                </w:p>
              </w:tc>
              <w:tc>
                <w:tcPr>
                  <w:tcW w:w="1984" w:type="dxa"/>
                  <w:noWrap w:val="0"/>
                  <w:vAlign w:val="center"/>
                </w:tcPr>
                <w:p w14:paraId="66C61563">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监测项目</w:t>
                  </w:r>
                </w:p>
              </w:tc>
              <w:tc>
                <w:tcPr>
                  <w:tcW w:w="2993" w:type="dxa"/>
                  <w:noWrap w:val="0"/>
                  <w:vAlign w:val="center"/>
                </w:tcPr>
                <w:p w14:paraId="71C1A96D">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监测频次</w:t>
                  </w:r>
                </w:p>
              </w:tc>
            </w:tr>
            <w:tr w14:paraId="34F181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36" w:hRule="atLeast"/>
              </w:trPr>
              <w:tc>
                <w:tcPr>
                  <w:tcW w:w="739" w:type="dxa"/>
                  <w:vMerge w:val="restart"/>
                  <w:noWrap w:val="0"/>
                  <w:vAlign w:val="center"/>
                </w:tcPr>
                <w:p w14:paraId="596DA842">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w:t>
                  </w:r>
                </w:p>
              </w:tc>
              <w:tc>
                <w:tcPr>
                  <w:tcW w:w="1048" w:type="dxa"/>
                  <w:noWrap w:val="0"/>
                  <w:vAlign w:val="center"/>
                </w:tcPr>
                <w:p w14:paraId="00FC6C83">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有组织</w:t>
                  </w:r>
                </w:p>
              </w:tc>
              <w:tc>
                <w:tcPr>
                  <w:tcW w:w="1431" w:type="dxa"/>
                  <w:noWrap w:val="0"/>
                  <w:vAlign w:val="center"/>
                </w:tcPr>
                <w:p w14:paraId="749ED789">
                  <w:pPr>
                    <w:adjustRightInd w:val="0"/>
                    <w:snapToGrid w:val="0"/>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#排气筒</w:t>
                  </w:r>
                </w:p>
              </w:tc>
              <w:tc>
                <w:tcPr>
                  <w:tcW w:w="1984" w:type="dxa"/>
                  <w:noWrap w:val="0"/>
                  <w:vAlign w:val="center"/>
                </w:tcPr>
                <w:p w14:paraId="02E8478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颗粒物、二氧化硫、氮氧化物、林格曼黑度</w:t>
                  </w:r>
                  <w:r>
                    <w:rPr>
                      <w:rFonts w:hint="eastAsia" w:ascii="Times New Roman" w:hAnsi="Times New Roman" w:cs="Times New Roman"/>
                      <w:color w:val="auto"/>
                      <w:sz w:val="21"/>
                      <w:szCs w:val="21"/>
                      <w:lang w:val="en-US" w:eastAsia="zh-CN"/>
                    </w:rPr>
                    <w:t>、氧含量</w:t>
                  </w:r>
                </w:p>
              </w:tc>
              <w:tc>
                <w:tcPr>
                  <w:tcW w:w="2993" w:type="dxa"/>
                  <w:noWrap w:val="0"/>
                  <w:vAlign w:val="center"/>
                </w:tcPr>
                <w:p w14:paraId="618DB88C">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1次/</w:t>
                  </w:r>
                  <w:r>
                    <w:rPr>
                      <w:rFonts w:hint="default" w:ascii="Times New Roman" w:hAnsi="Times New Roman" w:cs="Times New Roman"/>
                      <w:color w:val="auto"/>
                      <w:kern w:val="0"/>
                      <w:sz w:val="21"/>
                      <w:szCs w:val="21"/>
                      <w:lang w:eastAsia="zh-CN"/>
                    </w:rPr>
                    <w:t>半</w:t>
                  </w:r>
                  <w:r>
                    <w:rPr>
                      <w:rFonts w:hint="default" w:ascii="Times New Roman" w:hAnsi="Times New Roman" w:cs="Times New Roman"/>
                      <w:color w:val="auto"/>
                      <w:kern w:val="0"/>
                      <w:sz w:val="21"/>
                      <w:szCs w:val="21"/>
                    </w:rPr>
                    <w:t>年；1</w:t>
                  </w:r>
                  <w:r>
                    <w:rPr>
                      <w:rFonts w:hint="default" w:ascii="Times New Roman" w:hAnsi="Times New Roman" w:cs="Times New Roman"/>
                      <w:color w:val="auto"/>
                      <w:sz w:val="21"/>
                      <w:szCs w:val="21"/>
                    </w:rPr>
                    <w:t>天（</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次/点·天）</w:t>
                  </w:r>
                </w:p>
              </w:tc>
            </w:tr>
            <w:tr w14:paraId="4F8DB3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577" w:hRule="atLeast"/>
              </w:trPr>
              <w:tc>
                <w:tcPr>
                  <w:tcW w:w="739" w:type="dxa"/>
                  <w:vMerge w:val="continue"/>
                  <w:noWrap w:val="0"/>
                  <w:vAlign w:val="center"/>
                </w:tcPr>
                <w:p w14:paraId="51039F0A">
                  <w:pPr>
                    <w:jc w:val="center"/>
                    <w:rPr>
                      <w:rFonts w:hint="default" w:ascii="Times New Roman" w:hAnsi="Times New Roman" w:cs="Times New Roman"/>
                      <w:color w:val="auto"/>
                      <w:kern w:val="0"/>
                      <w:sz w:val="21"/>
                      <w:szCs w:val="21"/>
                    </w:rPr>
                  </w:pPr>
                </w:p>
              </w:tc>
              <w:tc>
                <w:tcPr>
                  <w:tcW w:w="1048" w:type="dxa"/>
                  <w:vMerge w:val="restart"/>
                  <w:noWrap w:val="0"/>
                  <w:vAlign w:val="center"/>
                </w:tcPr>
                <w:p w14:paraId="01A2D373">
                  <w:pPr>
                    <w:jc w:val="center"/>
                    <w:rPr>
                      <w:rFonts w:hint="default"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无组织</w:t>
                  </w:r>
                </w:p>
              </w:tc>
              <w:tc>
                <w:tcPr>
                  <w:tcW w:w="1431" w:type="dxa"/>
                  <w:noWrap w:val="0"/>
                  <w:vAlign w:val="center"/>
                </w:tcPr>
                <w:p w14:paraId="051DBEBB">
                  <w:pPr>
                    <w:adjustRightInd w:val="0"/>
                    <w:snapToGrid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厂界</w:t>
                  </w:r>
                </w:p>
              </w:tc>
              <w:tc>
                <w:tcPr>
                  <w:tcW w:w="1984" w:type="dxa"/>
                  <w:noWrap w:val="0"/>
                  <w:vAlign w:val="center"/>
                </w:tcPr>
                <w:p w14:paraId="4B316A7E">
                  <w:pPr>
                    <w:adjustRightInd w:val="0"/>
                    <w:snapToGrid w:val="0"/>
                    <w:jc w:val="center"/>
                    <w:rPr>
                      <w:rFonts w:hint="default" w:ascii="Times New Roman" w:hAnsi="Times New Roman" w:cs="Times New Roman"/>
                      <w:color w:val="auto"/>
                      <w:sz w:val="21"/>
                      <w:szCs w:val="21"/>
                      <w:lang w:val="en-US" w:eastAsia="zh-CN"/>
                    </w:rPr>
                  </w:pPr>
                  <w:r>
                    <w:rPr>
                      <w:rFonts w:hint="eastAsia"/>
                      <w:bCs/>
                      <w:color w:val="auto"/>
                      <w:szCs w:val="21"/>
                      <w:lang w:val="en-US" w:eastAsia="zh-CN"/>
                    </w:rPr>
                    <w:t>非甲烷总烃</w:t>
                  </w:r>
                </w:p>
              </w:tc>
              <w:tc>
                <w:tcPr>
                  <w:tcW w:w="2993" w:type="dxa"/>
                  <w:noWrap w:val="0"/>
                  <w:vAlign w:val="center"/>
                </w:tcPr>
                <w:p w14:paraId="1D007C7E">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1次/年；1天（3次/点·天）</w:t>
                  </w:r>
                </w:p>
              </w:tc>
            </w:tr>
            <w:tr w14:paraId="05767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739" w:type="dxa"/>
                  <w:vMerge w:val="continue"/>
                  <w:noWrap w:val="0"/>
                  <w:vAlign w:val="center"/>
                </w:tcPr>
                <w:p w14:paraId="1951BAC8">
                  <w:pPr>
                    <w:jc w:val="center"/>
                    <w:rPr>
                      <w:color w:val="auto"/>
                    </w:rPr>
                  </w:pPr>
                </w:p>
              </w:tc>
              <w:tc>
                <w:tcPr>
                  <w:tcW w:w="1048" w:type="dxa"/>
                  <w:vMerge w:val="continue"/>
                  <w:noWrap w:val="0"/>
                  <w:vAlign w:val="center"/>
                </w:tcPr>
                <w:p w14:paraId="114DB85F">
                  <w:pPr>
                    <w:jc w:val="center"/>
                    <w:rPr>
                      <w:color w:val="auto"/>
                    </w:rPr>
                  </w:pPr>
                </w:p>
              </w:tc>
              <w:tc>
                <w:tcPr>
                  <w:tcW w:w="1431" w:type="dxa"/>
                  <w:noWrap w:val="0"/>
                  <w:vAlign w:val="center"/>
                </w:tcPr>
                <w:p w14:paraId="7B9B665C">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车间内</w:t>
                  </w:r>
                </w:p>
              </w:tc>
              <w:tc>
                <w:tcPr>
                  <w:tcW w:w="1984" w:type="dxa"/>
                  <w:noWrap w:val="0"/>
                  <w:vAlign w:val="center"/>
                </w:tcPr>
                <w:p w14:paraId="4D1402E9">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总悬浮颗粒物</w:t>
                  </w:r>
                </w:p>
              </w:tc>
              <w:tc>
                <w:tcPr>
                  <w:tcW w:w="2993" w:type="dxa"/>
                  <w:noWrap w:val="0"/>
                  <w:vAlign w:val="center"/>
                </w:tcPr>
                <w:p w14:paraId="4908243D">
                  <w:pPr>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rPr>
                    <w:t>1次/年；1天（3次/点·天）</w:t>
                  </w:r>
                </w:p>
              </w:tc>
            </w:tr>
            <w:tr w14:paraId="0E2295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36" w:hRule="atLeast"/>
              </w:trPr>
              <w:tc>
                <w:tcPr>
                  <w:tcW w:w="739" w:type="dxa"/>
                  <w:vMerge w:val="continue"/>
                  <w:noWrap w:val="0"/>
                  <w:vAlign w:val="center"/>
                </w:tcPr>
                <w:p w14:paraId="3B863049">
                  <w:pPr>
                    <w:jc w:val="center"/>
                    <w:rPr>
                      <w:rFonts w:hint="default" w:ascii="Times New Roman" w:hAnsi="Times New Roman" w:cs="Times New Roman"/>
                      <w:color w:val="auto"/>
                      <w:kern w:val="0"/>
                      <w:sz w:val="21"/>
                      <w:szCs w:val="21"/>
                    </w:rPr>
                  </w:pPr>
                </w:p>
              </w:tc>
              <w:tc>
                <w:tcPr>
                  <w:tcW w:w="1048" w:type="dxa"/>
                  <w:vMerge w:val="continue"/>
                  <w:noWrap w:val="0"/>
                  <w:vAlign w:val="center"/>
                </w:tcPr>
                <w:p w14:paraId="060510F7">
                  <w:pPr>
                    <w:jc w:val="center"/>
                    <w:rPr>
                      <w:rFonts w:hint="eastAsia" w:ascii="Times New Roman" w:hAnsi="Times New Roman" w:cs="Times New Roman"/>
                      <w:color w:val="auto"/>
                      <w:kern w:val="0"/>
                      <w:sz w:val="21"/>
                      <w:szCs w:val="21"/>
                      <w:lang w:eastAsia="zh-CN"/>
                    </w:rPr>
                  </w:pPr>
                </w:p>
              </w:tc>
              <w:tc>
                <w:tcPr>
                  <w:tcW w:w="1431" w:type="dxa"/>
                  <w:noWrap w:val="0"/>
                  <w:vAlign w:val="center"/>
                </w:tcPr>
                <w:p w14:paraId="5EEB9D94">
                  <w:pPr>
                    <w:adjustRightInd w:val="0"/>
                    <w:snapToGrid w:val="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厂区内</w:t>
                  </w:r>
                </w:p>
              </w:tc>
              <w:tc>
                <w:tcPr>
                  <w:tcW w:w="1984" w:type="dxa"/>
                  <w:noWrap w:val="0"/>
                  <w:vAlign w:val="center"/>
                </w:tcPr>
                <w:p w14:paraId="4FE2B679">
                  <w:pPr>
                    <w:adjustRightInd w:val="0"/>
                    <w:snapToGrid w:val="0"/>
                    <w:jc w:val="center"/>
                    <w:rPr>
                      <w:rFonts w:hint="eastAsia"/>
                      <w:bCs/>
                      <w:color w:val="auto"/>
                      <w:szCs w:val="21"/>
                      <w:lang w:val="en-US" w:eastAsia="zh-CN"/>
                    </w:rPr>
                  </w:pPr>
                  <w:r>
                    <w:rPr>
                      <w:rFonts w:hint="eastAsia"/>
                      <w:bCs/>
                      <w:color w:val="auto"/>
                      <w:szCs w:val="21"/>
                      <w:lang w:val="en-US" w:eastAsia="zh-CN"/>
                    </w:rPr>
                    <w:t>非甲烷总烃</w:t>
                  </w:r>
                </w:p>
              </w:tc>
              <w:tc>
                <w:tcPr>
                  <w:tcW w:w="2993" w:type="dxa"/>
                  <w:noWrap w:val="0"/>
                  <w:vAlign w:val="center"/>
                </w:tcPr>
                <w:p w14:paraId="7CB94F63">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1次/年；1天（3次/点·天）</w:t>
                  </w:r>
                </w:p>
              </w:tc>
            </w:tr>
          </w:tbl>
          <w:p w14:paraId="6C500B00">
            <w:pPr>
              <w:spacing w:line="360" w:lineRule="auto"/>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②三同时验收监测计划</w:t>
            </w:r>
          </w:p>
          <w:p w14:paraId="1A35E4EC">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本项目竣工验收废</w:t>
            </w:r>
            <w:r>
              <w:rPr>
                <w:rFonts w:hint="default" w:ascii="Times New Roman" w:hAnsi="Times New Roman" w:cs="Times New Roman"/>
                <w:color w:val="auto"/>
                <w:szCs w:val="21"/>
                <w:lang w:val="en-US" w:eastAsia="zh-CN"/>
              </w:rPr>
              <w:t>气</w:t>
            </w:r>
            <w:r>
              <w:rPr>
                <w:rFonts w:hint="default" w:ascii="Times New Roman" w:hAnsi="Times New Roman" w:cs="Times New Roman"/>
                <w:color w:val="auto"/>
                <w:szCs w:val="21"/>
              </w:rPr>
              <w:t>监测计划如下。</w:t>
            </w:r>
          </w:p>
          <w:p w14:paraId="6C9855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color w:val="auto"/>
                <w:sz w:val="21"/>
                <w:szCs w:val="21"/>
              </w:rPr>
            </w:pPr>
            <w:r>
              <w:rPr>
                <w:rFonts w:hint="default" w:ascii="Times New Roman" w:hAnsi="Times New Roman" w:cs="Times New Roman"/>
                <w:b/>
                <w:bCs/>
                <w:snapToGrid w:val="0"/>
                <w:color w:val="auto"/>
                <w:sz w:val="21"/>
                <w:szCs w:val="21"/>
                <w:lang w:val="en-US" w:eastAsia="zh-CN"/>
              </w:rPr>
              <w:t>表4-</w:t>
            </w:r>
            <w:r>
              <w:rPr>
                <w:rFonts w:hint="eastAsia" w:ascii="Times New Roman" w:hAnsi="Times New Roman" w:cs="Times New Roman"/>
                <w:b/>
                <w:bCs/>
                <w:snapToGrid w:val="0"/>
                <w:color w:val="auto"/>
                <w:sz w:val="21"/>
                <w:szCs w:val="21"/>
                <w:lang w:val="en-US" w:eastAsia="zh-CN"/>
              </w:rPr>
              <w:t>8</w:t>
            </w:r>
            <w:r>
              <w:rPr>
                <w:rFonts w:hint="default" w:ascii="Times New Roman" w:hAnsi="Times New Roman" w:cs="Times New Roman"/>
                <w:b/>
                <w:bCs/>
                <w:snapToGrid w:val="0"/>
                <w:color w:val="auto"/>
                <w:sz w:val="21"/>
                <w:szCs w:val="21"/>
                <w:lang w:val="en-US" w:eastAsia="zh-CN"/>
              </w:rPr>
              <w:t xml:space="preserve">  </w:t>
            </w:r>
            <w:r>
              <w:rPr>
                <w:rFonts w:hint="default" w:ascii="Times New Roman" w:hAnsi="Times New Roman" w:cs="Times New Roman"/>
                <w:b/>
                <w:bCs/>
                <w:snapToGrid w:val="0"/>
                <w:color w:val="auto"/>
                <w:sz w:val="21"/>
                <w:szCs w:val="21"/>
              </w:rPr>
              <w:t>本项目</w:t>
            </w:r>
            <w:r>
              <w:rPr>
                <w:rFonts w:hint="default" w:ascii="Times New Roman" w:hAnsi="Times New Roman" w:cs="Times New Roman"/>
                <w:b/>
                <w:bCs/>
                <w:snapToGrid w:val="0"/>
                <w:color w:val="auto"/>
                <w:sz w:val="21"/>
                <w:szCs w:val="21"/>
                <w:lang w:val="en-US" w:eastAsia="zh-CN"/>
              </w:rPr>
              <w:t>大气</w:t>
            </w:r>
            <w:r>
              <w:rPr>
                <w:rFonts w:hint="default" w:ascii="Times New Roman" w:hAnsi="Times New Roman" w:cs="Times New Roman"/>
                <w:b/>
                <w:bCs/>
                <w:snapToGrid w:val="0"/>
                <w:color w:val="auto"/>
                <w:sz w:val="21"/>
                <w:szCs w:val="21"/>
              </w:rPr>
              <w:t>环保验收监测计划</w:t>
            </w:r>
          </w:p>
          <w:tbl>
            <w:tblPr>
              <w:tblStyle w:val="41"/>
              <w:tblW w:w="850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809"/>
              <w:gridCol w:w="2835"/>
              <w:gridCol w:w="2085"/>
              <w:gridCol w:w="1656"/>
            </w:tblGrid>
            <w:tr w14:paraId="39E07D2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928" w:type="dxa"/>
                  <w:gridSpan w:val="2"/>
                  <w:noWrap w:val="0"/>
                  <w:vAlign w:val="center"/>
                </w:tcPr>
                <w:p w14:paraId="2A2E809F">
                  <w:pPr>
                    <w:pStyle w:val="139"/>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类别</w:t>
                  </w:r>
                </w:p>
              </w:tc>
              <w:tc>
                <w:tcPr>
                  <w:tcW w:w="2835" w:type="dxa"/>
                  <w:noWrap w:val="0"/>
                  <w:vAlign w:val="center"/>
                </w:tcPr>
                <w:p w14:paraId="372D0F49">
                  <w:pPr>
                    <w:pStyle w:val="139"/>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监测点位</w:t>
                  </w:r>
                </w:p>
              </w:tc>
              <w:tc>
                <w:tcPr>
                  <w:tcW w:w="2085" w:type="dxa"/>
                  <w:noWrap w:val="0"/>
                  <w:vAlign w:val="center"/>
                </w:tcPr>
                <w:p w14:paraId="68ADA4CC">
                  <w:pPr>
                    <w:pStyle w:val="139"/>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监测项目</w:t>
                  </w:r>
                </w:p>
              </w:tc>
              <w:tc>
                <w:tcPr>
                  <w:tcW w:w="1656" w:type="dxa"/>
                  <w:noWrap w:val="0"/>
                  <w:vAlign w:val="center"/>
                </w:tcPr>
                <w:p w14:paraId="35B87B31">
                  <w:pPr>
                    <w:ind w:left="0" w:leftChars="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监测频次</w:t>
                  </w:r>
                </w:p>
              </w:tc>
            </w:tr>
            <w:tr w14:paraId="5AA586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1119" w:type="dxa"/>
                  <w:vMerge w:val="restart"/>
                  <w:noWrap w:val="0"/>
                  <w:vAlign w:val="center"/>
                </w:tcPr>
                <w:p w14:paraId="72AFAB96">
                  <w:pPr>
                    <w:pStyle w:val="139"/>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运营期</w:t>
                  </w:r>
                </w:p>
              </w:tc>
              <w:tc>
                <w:tcPr>
                  <w:tcW w:w="809" w:type="dxa"/>
                  <w:vMerge w:val="restart"/>
                  <w:noWrap w:val="0"/>
                  <w:vAlign w:val="center"/>
                </w:tcPr>
                <w:p w14:paraId="73766E85">
                  <w:pPr>
                    <w:pStyle w:val="139"/>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2835" w:type="dxa"/>
                  <w:noWrap w:val="0"/>
                  <w:vAlign w:val="center"/>
                </w:tcPr>
                <w:p w14:paraId="39D81D9F">
                  <w:pPr>
                    <w:spacing w:line="320" w:lineRule="exact"/>
                    <w:ind w:left="0" w:leftChars="0" w:firstLine="0" w:firstLineChars="0"/>
                    <w:jc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#排气筒</w:t>
                  </w:r>
                </w:p>
              </w:tc>
              <w:tc>
                <w:tcPr>
                  <w:tcW w:w="2085" w:type="dxa"/>
                  <w:noWrap w:val="0"/>
                  <w:vAlign w:val="center"/>
                </w:tcPr>
                <w:p w14:paraId="3F9C1D5F">
                  <w:pPr>
                    <w:spacing w:line="240" w:lineRule="auto"/>
                    <w:ind w:left="0" w:leftChars="0" w:firstLine="0" w:firstLineChars="0"/>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cs="Times New Roman"/>
                      <w:color w:val="auto"/>
                      <w:sz w:val="21"/>
                      <w:szCs w:val="21"/>
                      <w:lang w:val="en-US" w:eastAsia="zh-CN"/>
                    </w:rPr>
                    <w:t>颗粒物、二氧化硫、氮氧化物、林格曼黑度</w:t>
                  </w:r>
                  <w:r>
                    <w:rPr>
                      <w:rFonts w:hint="eastAsia" w:ascii="Times New Roman" w:hAnsi="Times New Roman" w:cs="Times New Roman"/>
                      <w:color w:val="auto"/>
                      <w:sz w:val="21"/>
                      <w:szCs w:val="21"/>
                      <w:lang w:val="en-US" w:eastAsia="zh-CN"/>
                    </w:rPr>
                    <w:t>、氧含量、低氮燃烧装置进出口效果</w:t>
                  </w:r>
                </w:p>
              </w:tc>
              <w:tc>
                <w:tcPr>
                  <w:tcW w:w="1656" w:type="dxa"/>
                  <w:noWrap w:val="0"/>
                  <w:vAlign w:val="center"/>
                </w:tcPr>
                <w:p w14:paraId="2834C04F">
                  <w:pPr>
                    <w:ind w:left="0" w:leftChars="0" w:firstLine="0" w:firstLineChars="0"/>
                    <w:jc w:val="center"/>
                    <w:textAlignment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val="en-US" w:eastAsia="zh-CN" w:bidi="ar"/>
                    </w:rPr>
                    <w:t>3</w:t>
                  </w:r>
                  <w:r>
                    <w:rPr>
                      <w:rFonts w:hint="default" w:ascii="Times New Roman" w:hAnsi="Times New Roman" w:cs="Times New Roman"/>
                      <w:color w:val="auto"/>
                      <w:sz w:val="21"/>
                      <w:szCs w:val="21"/>
                      <w:lang w:bidi="ar"/>
                    </w:rPr>
                    <w:t>次/天，2天</w:t>
                  </w:r>
                </w:p>
              </w:tc>
            </w:tr>
            <w:tr w14:paraId="0EA779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1119" w:type="dxa"/>
                  <w:vMerge w:val="continue"/>
                  <w:noWrap w:val="0"/>
                  <w:vAlign w:val="center"/>
                </w:tcPr>
                <w:p w14:paraId="59169B76">
                  <w:pPr>
                    <w:pStyle w:val="139"/>
                    <w:jc w:val="center"/>
                    <w:rPr>
                      <w:rFonts w:hint="default" w:ascii="Times New Roman" w:hAnsi="Times New Roman" w:eastAsia="宋体" w:cs="Times New Roman"/>
                      <w:color w:val="auto"/>
                      <w:sz w:val="21"/>
                      <w:szCs w:val="21"/>
                    </w:rPr>
                  </w:pPr>
                </w:p>
              </w:tc>
              <w:tc>
                <w:tcPr>
                  <w:tcW w:w="809" w:type="dxa"/>
                  <w:vMerge w:val="continue"/>
                  <w:noWrap w:val="0"/>
                  <w:vAlign w:val="center"/>
                </w:tcPr>
                <w:p w14:paraId="31187976">
                  <w:pPr>
                    <w:pStyle w:val="139"/>
                    <w:jc w:val="center"/>
                    <w:rPr>
                      <w:rFonts w:hint="default" w:ascii="Times New Roman" w:hAnsi="Times New Roman" w:eastAsia="宋体" w:cs="Times New Roman"/>
                      <w:color w:val="auto"/>
                      <w:sz w:val="21"/>
                      <w:szCs w:val="21"/>
                    </w:rPr>
                  </w:pPr>
                </w:p>
              </w:tc>
              <w:tc>
                <w:tcPr>
                  <w:tcW w:w="2835" w:type="dxa"/>
                  <w:noWrap w:val="0"/>
                  <w:vAlign w:val="center"/>
                </w:tcPr>
                <w:p w14:paraId="2437E5E7">
                  <w:pPr>
                    <w:adjustRightInd w:val="0"/>
                    <w:snapToGrid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厂界</w:t>
                  </w:r>
                </w:p>
              </w:tc>
              <w:tc>
                <w:tcPr>
                  <w:tcW w:w="2085" w:type="dxa"/>
                  <w:noWrap w:val="0"/>
                  <w:vAlign w:val="center"/>
                </w:tcPr>
                <w:p w14:paraId="0708FFD5">
                  <w:pPr>
                    <w:adjustRightInd w:val="0"/>
                    <w:snapToGrid w:val="0"/>
                    <w:jc w:val="center"/>
                    <w:rPr>
                      <w:rFonts w:hint="default" w:ascii="Times New Roman" w:hAnsi="Times New Roman" w:cs="Times New Roman"/>
                      <w:color w:val="auto"/>
                      <w:sz w:val="21"/>
                      <w:szCs w:val="21"/>
                      <w:lang w:val="en-US" w:eastAsia="zh-CN"/>
                    </w:rPr>
                  </w:pPr>
                  <w:r>
                    <w:rPr>
                      <w:rFonts w:hint="eastAsia"/>
                      <w:bCs/>
                      <w:color w:val="auto"/>
                      <w:szCs w:val="21"/>
                      <w:lang w:val="en-US" w:eastAsia="zh-CN"/>
                    </w:rPr>
                    <w:t>非甲烷总烃</w:t>
                  </w:r>
                </w:p>
              </w:tc>
              <w:tc>
                <w:tcPr>
                  <w:tcW w:w="1656" w:type="dxa"/>
                  <w:noWrap w:val="0"/>
                  <w:vAlign w:val="center"/>
                </w:tcPr>
                <w:p w14:paraId="59D8C85F">
                  <w:pPr>
                    <w:ind w:left="0" w:leftChars="0" w:firstLine="0" w:firstLineChars="0"/>
                    <w:jc w:val="center"/>
                    <w:textAlignment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bidi="ar"/>
                    </w:rPr>
                    <w:t>3</w:t>
                  </w:r>
                  <w:r>
                    <w:rPr>
                      <w:rFonts w:hint="default" w:ascii="Times New Roman" w:hAnsi="Times New Roman" w:cs="Times New Roman"/>
                      <w:color w:val="auto"/>
                      <w:sz w:val="21"/>
                      <w:szCs w:val="21"/>
                      <w:lang w:bidi="ar"/>
                    </w:rPr>
                    <w:t>次/天，2天</w:t>
                  </w:r>
                </w:p>
              </w:tc>
            </w:tr>
            <w:tr w14:paraId="69F19A6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1119" w:type="dxa"/>
                  <w:vMerge w:val="continue"/>
                  <w:noWrap w:val="0"/>
                  <w:vAlign w:val="center"/>
                </w:tcPr>
                <w:p w14:paraId="6565C16B">
                  <w:pPr>
                    <w:ind w:left="0" w:leftChars="0" w:firstLine="0" w:firstLineChars="0"/>
                    <w:jc w:val="center"/>
                    <w:textAlignment w:val="center"/>
                    <w:rPr>
                      <w:color w:val="auto"/>
                    </w:rPr>
                  </w:pPr>
                </w:p>
              </w:tc>
              <w:tc>
                <w:tcPr>
                  <w:tcW w:w="809" w:type="dxa"/>
                  <w:vMerge w:val="continue"/>
                  <w:noWrap w:val="0"/>
                  <w:vAlign w:val="center"/>
                </w:tcPr>
                <w:p w14:paraId="3D600D37">
                  <w:pPr>
                    <w:ind w:left="0" w:leftChars="0" w:firstLine="0" w:firstLineChars="0"/>
                    <w:jc w:val="center"/>
                    <w:textAlignment w:val="center"/>
                    <w:rPr>
                      <w:color w:val="auto"/>
                    </w:rPr>
                  </w:pPr>
                </w:p>
              </w:tc>
              <w:tc>
                <w:tcPr>
                  <w:tcW w:w="2835" w:type="dxa"/>
                  <w:noWrap w:val="0"/>
                  <w:vAlign w:val="center"/>
                </w:tcPr>
                <w:p w14:paraId="67D304ED">
                  <w:pPr>
                    <w:ind w:left="0" w:lef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车间内</w:t>
                  </w:r>
                </w:p>
              </w:tc>
              <w:tc>
                <w:tcPr>
                  <w:tcW w:w="2085" w:type="dxa"/>
                  <w:noWrap w:val="0"/>
                  <w:vAlign w:val="center"/>
                </w:tcPr>
                <w:p w14:paraId="65D93D78">
                  <w:pPr>
                    <w:ind w:left="0" w:lef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总悬浮颗粒物</w:t>
                  </w:r>
                </w:p>
              </w:tc>
              <w:tc>
                <w:tcPr>
                  <w:tcW w:w="1656" w:type="dxa"/>
                  <w:noWrap w:val="0"/>
                  <w:vAlign w:val="center"/>
                </w:tcPr>
                <w:p w14:paraId="2F391167">
                  <w:pPr>
                    <w:ind w:left="0" w:leftChars="0" w:firstLine="0" w:firstLineChars="0"/>
                    <w:jc w:val="center"/>
                    <w:textAlignment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bidi="ar"/>
                    </w:rPr>
                    <w:t>3</w:t>
                  </w:r>
                  <w:r>
                    <w:rPr>
                      <w:rFonts w:hint="default" w:ascii="Times New Roman" w:hAnsi="Times New Roman" w:cs="Times New Roman"/>
                      <w:color w:val="auto"/>
                      <w:sz w:val="21"/>
                      <w:szCs w:val="21"/>
                      <w:lang w:bidi="ar"/>
                    </w:rPr>
                    <w:t>次/天，2天</w:t>
                  </w:r>
                </w:p>
              </w:tc>
            </w:tr>
            <w:tr w14:paraId="503B584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26" w:hRule="atLeast"/>
                <w:jc w:val="center"/>
              </w:trPr>
              <w:tc>
                <w:tcPr>
                  <w:tcW w:w="1119" w:type="dxa"/>
                  <w:vMerge w:val="continue"/>
                  <w:tcBorders>
                    <w:bottom w:val="single" w:color="auto" w:sz="12" w:space="0"/>
                  </w:tcBorders>
                  <w:noWrap w:val="0"/>
                  <w:vAlign w:val="center"/>
                </w:tcPr>
                <w:p w14:paraId="6120DB65">
                  <w:pPr>
                    <w:pStyle w:val="139"/>
                    <w:jc w:val="center"/>
                    <w:rPr>
                      <w:rFonts w:hint="default" w:ascii="Times New Roman" w:hAnsi="Times New Roman" w:eastAsia="宋体" w:cs="Times New Roman"/>
                      <w:color w:val="auto"/>
                      <w:sz w:val="21"/>
                      <w:szCs w:val="21"/>
                    </w:rPr>
                  </w:pPr>
                </w:p>
              </w:tc>
              <w:tc>
                <w:tcPr>
                  <w:tcW w:w="809" w:type="dxa"/>
                  <w:vMerge w:val="continue"/>
                  <w:tcBorders>
                    <w:bottom w:val="single" w:color="auto" w:sz="12" w:space="0"/>
                  </w:tcBorders>
                  <w:noWrap w:val="0"/>
                  <w:vAlign w:val="center"/>
                </w:tcPr>
                <w:p w14:paraId="4D8C2811">
                  <w:pPr>
                    <w:pStyle w:val="139"/>
                    <w:jc w:val="center"/>
                    <w:rPr>
                      <w:rFonts w:hint="default" w:ascii="Times New Roman" w:hAnsi="Times New Roman" w:eastAsia="宋体" w:cs="Times New Roman"/>
                      <w:color w:val="auto"/>
                      <w:sz w:val="21"/>
                      <w:szCs w:val="21"/>
                    </w:rPr>
                  </w:pPr>
                </w:p>
              </w:tc>
              <w:tc>
                <w:tcPr>
                  <w:tcW w:w="2835" w:type="dxa"/>
                  <w:tcBorders>
                    <w:bottom w:val="single" w:color="auto" w:sz="12" w:space="0"/>
                  </w:tcBorders>
                  <w:noWrap w:val="0"/>
                  <w:vAlign w:val="center"/>
                </w:tcPr>
                <w:p w14:paraId="2430DF28">
                  <w:pPr>
                    <w:adjustRightInd w:val="0"/>
                    <w:snapToGrid w:val="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厂区内</w:t>
                  </w:r>
                </w:p>
              </w:tc>
              <w:tc>
                <w:tcPr>
                  <w:tcW w:w="2085" w:type="dxa"/>
                  <w:tcBorders>
                    <w:bottom w:val="single" w:color="auto" w:sz="12" w:space="0"/>
                  </w:tcBorders>
                  <w:noWrap w:val="0"/>
                  <w:vAlign w:val="center"/>
                </w:tcPr>
                <w:p w14:paraId="635F69E3">
                  <w:pPr>
                    <w:adjustRightInd w:val="0"/>
                    <w:snapToGrid w:val="0"/>
                    <w:jc w:val="center"/>
                    <w:rPr>
                      <w:rFonts w:hint="eastAsia"/>
                      <w:bCs/>
                      <w:color w:val="auto"/>
                      <w:szCs w:val="21"/>
                      <w:lang w:val="en-US" w:eastAsia="zh-CN"/>
                    </w:rPr>
                  </w:pPr>
                  <w:r>
                    <w:rPr>
                      <w:rFonts w:hint="eastAsia"/>
                      <w:bCs/>
                      <w:color w:val="auto"/>
                      <w:szCs w:val="21"/>
                      <w:lang w:val="en-US" w:eastAsia="zh-CN"/>
                    </w:rPr>
                    <w:t>非甲烷总烃</w:t>
                  </w:r>
                </w:p>
              </w:tc>
              <w:tc>
                <w:tcPr>
                  <w:tcW w:w="1656" w:type="dxa"/>
                  <w:noWrap w:val="0"/>
                  <w:vAlign w:val="center"/>
                </w:tcPr>
                <w:p w14:paraId="5F45D100">
                  <w:pPr>
                    <w:ind w:left="0" w:leftChars="0" w:firstLine="0" w:firstLineChars="0"/>
                    <w:jc w:val="center"/>
                    <w:textAlignment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bidi="ar"/>
                    </w:rPr>
                    <w:t>3</w:t>
                  </w:r>
                  <w:r>
                    <w:rPr>
                      <w:rFonts w:hint="default" w:ascii="Times New Roman" w:hAnsi="Times New Roman" w:cs="Times New Roman"/>
                      <w:color w:val="auto"/>
                      <w:sz w:val="21"/>
                      <w:szCs w:val="21"/>
                      <w:lang w:bidi="ar"/>
                    </w:rPr>
                    <w:t>次/天，2天</w:t>
                  </w:r>
                </w:p>
              </w:tc>
            </w:tr>
          </w:tbl>
          <w:p w14:paraId="40961013">
            <w:pPr>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3）</w:t>
            </w:r>
            <w:r>
              <w:rPr>
                <w:rFonts w:hint="default" w:ascii="Times New Roman" w:hAnsi="Times New Roman" w:cs="Times New Roman"/>
                <w:b w:val="0"/>
                <w:bCs w:val="0"/>
                <w:color w:val="auto"/>
                <w:sz w:val="21"/>
                <w:szCs w:val="21"/>
                <w:lang w:val="en-US" w:eastAsia="zh-CN"/>
              </w:rPr>
              <w:t>防治措施可行性分析</w:t>
            </w:r>
          </w:p>
          <w:p w14:paraId="4A091B01">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低氮燃烧：</w:t>
            </w:r>
          </w:p>
          <w:p w14:paraId="0F43BFC3">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both"/>
              <w:textAlignment w:val="auto"/>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本项目加热炉以清洁能源天然气为燃料，并在加热炉内部安装有专用的低氮燃烧装置，全预混金属表面燃烧技术是结合了贫燃预混燃烧技术和无焰燃烧技术各自优点的一种低氮燃气燃烧技术，在燃料混合物点燃之前，燃料与氧化剂在分子层面上完全混合。由于预混燃烧没有扩散燃烧，燃料混合物过量空气系统分布均匀，燃尽速度快，通过控制过量空气，可以实现对燃烧温度的控制，从而降低热力型NOx 生成速率。而且无焰燃烧的烟气回流都是发生在燃烧之前，甚至可能在燃烧器当中，这样再循环的烟气加热了预混的燃料，降低了炉膛温度，扩大了反应区域，无焰燃烧火焰分布均匀，燃烧温度低，同时羟基生成少，这使得 NOx产生更少，低氮燃烧在《排污许可证申请与核发技术规范 工业炉窑》（HJ1121—2020）中可行。</w:t>
            </w:r>
          </w:p>
          <w:p w14:paraId="18DF23B2">
            <w:pPr>
              <w:adjustRightInd w:val="0"/>
              <w:snapToGrid w:val="0"/>
              <w:spacing w:line="360" w:lineRule="auto"/>
              <w:ind w:firstLine="420" w:firstLineChars="20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（4）废气环境影响分析</w:t>
            </w:r>
          </w:p>
          <w:p w14:paraId="7F8275A9">
            <w:pPr>
              <w:adjustRightInd w:val="0"/>
              <w:snapToGrid w:val="0"/>
              <w:spacing w:line="360" w:lineRule="auto"/>
              <w:ind w:firstLine="420" w:firstLineChars="20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颗粒物、二氧化硫、氮氧化物</w:t>
            </w:r>
            <w:r>
              <w:rPr>
                <w:rFonts w:hint="eastAsia" w:ascii="Times New Roman" w:hAnsi="Times New Roman" w:cs="Times New Roman"/>
                <w:b w:val="0"/>
                <w:bCs w:val="0"/>
                <w:color w:val="auto"/>
                <w:sz w:val="21"/>
                <w:szCs w:val="21"/>
                <w:lang w:val="en-US" w:eastAsia="zh-CN"/>
              </w:rPr>
              <w:t>、非甲烷总烃</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建设项目位于江苏省南通市海门经济技术开发区</w:t>
            </w:r>
            <w:r>
              <w:rPr>
                <w:rFonts w:hint="eastAsia" w:ascii="Times New Roman" w:hAnsi="Times New Roman" w:cs="Times New Roman"/>
                <w:b w:val="0"/>
                <w:bCs w:val="0"/>
                <w:color w:val="auto"/>
                <w:sz w:val="21"/>
                <w:szCs w:val="21"/>
                <w:lang w:eastAsia="zh-CN"/>
              </w:rPr>
              <w:t>厦门路</w:t>
            </w:r>
            <w:r>
              <w:rPr>
                <w:rFonts w:hint="eastAsia" w:ascii="Times New Roman" w:hAnsi="Times New Roman" w:cs="Times New Roman"/>
                <w:b w:val="0"/>
                <w:bCs w:val="0"/>
                <w:color w:val="auto"/>
                <w:sz w:val="21"/>
                <w:szCs w:val="21"/>
                <w:lang w:val="en-US" w:eastAsia="zh-CN"/>
              </w:rPr>
              <w:t>108</w:t>
            </w:r>
            <w:r>
              <w:rPr>
                <w:rFonts w:hint="default" w:ascii="Times New Roman" w:hAnsi="Times New Roman" w:eastAsia="宋体" w:cs="Times New Roman"/>
                <w:b w:val="0"/>
                <w:bCs w:val="0"/>
                <w:color w:val="auto"/>
                <w:sz w:val="21"/>
                <w:szCs w:val="21"/>
              </w:rPr>
              <w:t>号，周边五百米范围内无大气环境保护目标。项目污染物经废气处理装置处理后，排放浓度满足《工业炉窑大气污染物排放标准》（DB32/ 3728-2020）</w:t>
            </w:r>
            <w:r>
              <w:rPr>
                <w:rFonts w:hint="eastAsia" w:ascii="Times New Roman" w:hAnsi="Times New Roman" w:cs="Times New Roman"/>
                <w:b w:val="0"/>
                <w:bCs w:val="0"/>
                <w:color w:val="auto"/>
                <w:sz w:val="21"/>
                <w:szCs w:val="21"/>
                <w:lang w:eastAsia="zh-CN"/>
              </w:rPr>
              <w:t>、《大气污染物综合排放标准》（DB32/4041-2021）</w:t>
            </w:r>
            <w:r>
              <w:rPr>
                <w:rFonts w:hint="default" w:ascii="Times New Roman" w:hAnsi="Times New Roman" w:eastAsia="宋体" w:cs="Times New Roman"/>
                <w:b w:val="0"/>
                <w:bCs w:val="0"/>
                <w:color w:val="auto"/>
                <w:sz w:val="21"/>
                <w:szCs w:val="21"/>
              </w:rPr>
              <w:t>中标准要求，对周围大气环境影响较小，不会改变区域环境空气质量等级，可接受。</w:t>
            </w:r>
          </w:p>
          <w:p w14:paraId="7E1D5586">
            <w:pPr>
              <w:adjustRightInd w:val="0"/>
              <w:snapToGrid w:val="0"/>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2、废水</w:t>
            </w:r>
          </w:p>
          <w:p w14:paraId="478F23AD">
            <w:pPr>
              <w:adjustRightInd w:val="0"/>
              <w:snapToGrid w:val="0"/>
              <w:spacing w:line="360" w:lineRule="auto"/>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（1）污染工序及源强分析</w:t>
            </w:r>
          </w:p>
          <w:p w14:paraId="6F51CE37">
            <w:pPr>
              <w:adjustRightInd w:val="0"/>
              <w:snapToGrid w:val="0"/>
              <w:spacing w:line="360" w:lineRule="auto"/>
              <w:ind w:firstLine="420" w:firstLineChars="200"/>
              <w:jc w:val="both"/>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本项目废水主要为员工生活产生的生活污水，地面平时采用扫把清扫，不用水进行冲洗，无车间清洗用排水。</w:t>
            </w:r>
          </w:p>
          <w:p w14:paraId="094CB733">
            <w:pPr>
              <w:pStyle w:val="4"/>
              <w:spacing w:before="0" w:after="0" w:line="360" w:lineRule="auto"/>
              <w:ind w:firstLine="420" w:firstLineChars="200"/>
              <w:jc w:val="both"/>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1、冷却水</w:t>
            </w:r>
          </w:p>
          <w:p w14:paraId="748317E8">
            <w:pPr>
              <w:pStyle w:val="4"/>
              <w:spacing w:before="0" w:after="0" w:line="360" w:lineRule="auto"/>
              <w:ind w:firstLine="420" w:firstLineChars="200"/>
              <w:jc w:val="both"/>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本项目部分产品锻压后需要放入冷却水池中进行冷却，本项目冷却水池30m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，由于锻件在锻造过程中温度在1180-1240℃，下水冷却后，冷却水基本蒸发，冷却过程中需不断补充冷却水，根据业主提供的资料，年用水量约12000吨。</w:t>
            </w:r>
          </w:p>
          <w:p w14:paraId="39F3FEA4">
            <w:pPr>
              <w:pStyle w:val="4"/>
              <w:spacing w:before="0" w:after="0" w:line="360" w:lineRule="auto"/>
              <w:ind w:firstLine="420" w:firstLineChars="200"/>
              <w:jc w:val="both"/>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2、生活污水</w:t>
            </w:r>
          </w:p>
          <w:p w14:paraId="3E48355F">
            <w:pPr>
              <w:adjustRightInd w:val="0"/>
              <w:snapToGrid w:val="0"/>
              <w:spacing w:line="360" w:lineRule="auto"/>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本项目参考《江苏省林牧渔业、工业、服务业和生活用水定额(2019年修订)》中相关标准，以100L/人·d计，本项目劳动定员人数</w:t>
            </w:r>
            <w:r>
              <w:rPr>
                <w:rFonts w:hint="default" w:ascii="Times New Roman" w:hAnsi="Times New Roman" w:cs="Times New Roman"/>
                <w:color w:val="auto"/>
                <w:sz w:val="21"/>
                <w:szCs w:val="21"/>
                <w:lang w:val="en-US" w:eastAsia="zh-CN"/>
              </w:rPr>
              <w:t>73</w:t>
            </w:r>
            <w:r>
              <w:rPr>
                <w:rFonts w:hint="default" w:ascii="Times New Roman" w:hAnsi="Times New Roman" w:cs="Times New Roman"/>
                <w:color w:val="auto"/>
                <w:sz w:val="21"/>
                <w:szCs w:val="21"/>
              </w:rPr>
              <w:t>名，年工作</w:t>
            </w:r>
            <w:r>
              <w:rPr>
                <w:rFonts w:hint="default" w:ascii="Times New Roman" w:hAnsi="Times New Roman" w:cs="Times New Roman"/>
                <w:color w:val="auto"/>
                <w:sz w:val="21"/>
                <w:szCs w:val="21"/>
                <w:lang w:val="en-US" w:eastAsia="zh-CN"/>
              </w:rPr>
              <w:t>25</w:t>
            </w:r>
            <w:r>
              <w:rPr>
                <w:rFonts w:hint="default" w:ascii="Times New Roman" w:hAnsi="Times New Roman" w:cs="Times New Roman"/>
                <w:color w:val="auto"/>
                <w:sz w:val="21"/>
                <w:szCs w:val="21"/>
              </w:rPr>
              <w:t>0d，年用水量约</w:t>
            </w:r>
            <w:r>
              <w:rPr>
                <w:rFonts w:hint="default" w:ascii="Times New Roman" w:hAnsi="Times New Roman" w:cs="Times New Roman"/>
                <w:color w:val="auto"/>
                <w:sz w:val="21"/>
                <w:szCs w:val="21"/>
                <w:lang w:val="en-US" w:eastAsia="zh-CN"/>
              </w:rPr>
              <w:t>1825</w:t>
            </w:r>
            <w:r>
              <w:rPr>
                <w:rFonts w:hint="default" w:ascii="Times New Roman" w:hAnsi="Times New Roman" w:cs="Times New Roman"/>
                <w:color w:val="auto"/>
                <w:sz w:val="21"/>
                <w:szCs w:val="21"/>
              </w:rPr>
              <w:t>t，排放系数按80%计，则排放生活污水约</w:t>
            </w:r>
            <w:r>
              <w:rPr>
                <w:rFonts w:hint="default" w:ascii="Times New Roman" w:hAnsi="Times New Roman" w:cs="Times New Roman"/>
                <w:color w:val="auto"/>
                <w:sz w:val="21"/>
                <w:szCs w:val="21"/>
                <w:lang w:val="en-US" w:eastAsia="zh-CN"/>
              </w:rPr>
              <w:t>1460</w:t>
            </w:r>
            <w:r>
              <w:rPr>
                <w:rFonts w:hint="default" w:ascii="Times New Roman" w:hAnsi="Times New Roman" w:cs="Times New Roman"/>
                <w:color w:val="auto"/>
                <w:sz w:val="21"/>
                <w:szCs w:val="21"/>
              </w:rPr>
              <w:t>t/a。生活污水主要污染物为COD500mg/L、SS500mg/L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position w:val="2"/>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position w:val="2"/>
                <w:sz w:val="21"/>
                <w:szCs w:val="21"/>
              </w:rPr>
              <w:t>-N</w:t>
            </w:r>
            <w:r>
              <w:rPr>
                <w:rFonts w:hint="default" w:ascii="Times New Roman" w:hAnsi="Times New Roman" w:cs="Times New Roman"/>
                <w:color w:val="auto"/>
                <w:position w:val="2"/>
                <w:sz w:val="21"/>
                <w:szCs w:val="21"/>
                <w:lang w:val="en-US" w:eastAsia="zh-CN"/>
              </w:rPr>
              <w:t xml:space="preserve"> </w:t>
            </w:r>
            <w:r>
              <w:rPr>
                <w:rFonts w:hint="default" w:ascii="Times New Roman" w:hAnsi="Times New Roman" w:cs="Times New Roman"/>
                <w:color w:val="auto"/>
                <w:position w:val="2"/>
                <w:sz w:val="21"/>
                <w:szCs w:val="21"/>
              </w:rPr>
              <w:t>30</w:t>
            </w:r>
            <w:r>
              <w:rPr>
                <w:rFonts w:hint="default" w:ascii="Times New Roman" w:hAnsi="Times New Roman" w:cs="Times New Roman"/>
                <w:color w:val="auto"/>
                <w:sz w:val="21"/>
                <w:szCs w:val="21"/>
              </w:rPr>
              <w:t>mg/L、TP5mg/L、T</w:t>
            </w:r>
            <w:r>
              <w:rPr>
                <w:rFonts w:hint="default" w:ascii="Times New Roman" w:hAnsi="Times New Roman" w:cs="Times New Roman"/>
                <w:color w:val="auto"/>
                <w:sz w:val="21"/>
                <w:szCs w:val="21"/>
                <w:lang w:val="en-US" w:eastAsia="zh-CN"/>
              </w:rPr>
              <w:t>N40</w:t>
            </w:r>
            <w:r>
              <w:rPr>
                <w:rFonts w:hint="default" w:ascii="Times New Roman" w:hAnsi="Times New Roman" w:cs="Times New Roman"/>
                <w:color w:val="auto"/>
                <w:sz w:val="21"/>
                <w:szCs w:val="21"/>
              </w:rPr>
              <w:t>mg/L，采用化粪池处理后，排入污水管网，进入</w:t>
            </w:r>
            <w:r>
              <w:rPr>
                <w:rFonts w:hint="default" w:ascii="Times New Roman" w:hAnsi="Times New Roman" w:cs="Times New Roman"/>
                <w:color w:val="auto"/>
                <w:sz w:val="21"/>
                <w:szCs w:val="21"/>
                <w:lang w:eastAsia="zh-CN"/>
              </w:rPr>
              <w:t>海门经济技术开发区污水处理厂</w:t>
            </w:r>
            <w:r>
              <w:rPr>
                <w:rFonts w:hint="default" w:ascii="Times New Roman" w:hAnsi="Times New Roman" w:cs="Times New Roman"/>
                <w:color w:val="auto"/>
                <w:sz w:val="21"/>
                <w:szCs w:val="21"/>
              </w:rPr>
              <w:t>集中处理，尾水达标排放。</w:t>
            </w:r>
          </w:p>
          <w:p w14:paraId="0E09A8C3">
            <w:pPr>
              <w:numPr>
                <w:ilvl w:val="0"/>
                <w:numId w:val="0"/>
              </w:numPr>
              <w:adjustRightInd w:val="0"/>
              <w:snapToGrid w:val="0"/>
              <w:spacing w:line="360" w:lineRule="auto"/>
              <w:ind w:leftChars="200"/>
              <w:jc w:val="left"/>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w:t>
            </w:r>
            <w:r>
              <w:rPr>
                <w:rFonts w:hint="default" w:ascii="Times New Roman" w:hAnsi="Times New Roman" w:cs="Times New Roman"/>
                <w:color w:val="auto"/>
                <w:sz w:val="21"/>
                <w:szCs w:val="21"/>
                <w:vertAlign w:val="baseline"/>
                <w:lang w:val="en-US" w:eastAsia="zh-CN"/>
              </w:rPr>
              <w:t xml:space="preserve">切削液配置用水 </w:t>
            </w:r>
          </w:p>
          <w:p w14:paraId="541AD743">
            <w:pPr>
              <w:numPr>
                <w:ilvl w:val="0"/>
                <w:numId w:val="0"/>
              </w:numPr>
              <w:adjustRightInd w:val="0"/>
              <w:snapToGrid w:val="0"/>
              <w:spacing w:line="360" w:lineRule="auto"/>
              <w:ind w:leftChars="20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根据业主提供的资料，本项目年使用切削液1t，使用时原液与水1:50稀释后使用，</w:t>
            </w:r>
          </w:p>
          <w:p w14:paraId="2D7D49D8">
            <w:pPr>
              <w:numPr>
                <w:ilvl w:val="0"/>
                <w:numId w:val="0"/>
              </w:numPr>
              <w:adjustRightInd w:val="0"/>
              <w:snapToGrid w:val="0"/>
              <w:spacing w:line="360" w:lineRule="auto"/>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稀释用水为50t/a，使用过程中约99%的水受热挥发</w:t>
            </w:r>
            <w:r>
              <w:rPr>
                <w:rFonts w:hint="eastAsia" w:ascii="Times New Roman" w:hAnsi="Times New Roman" w:cs="Times New Roman"/>
                <w:color w:val="auto"/>
                <w:sz w:val="21"/>
                <w:szCs w:val="21"/>
                <w:lang w:val="en-US" w:eastAsia="zh-CN"/>
              </w:rPr>
              <w:t>，产生废切削液0.5t/a</w:t>
            </w:r>
            <w:r>
              <w:rPr>
                <w:rFonts w:hint="default" w:ascii="Times New Roman" w:hAnsi="Times New Roman" w:cs="Times New Roman"/>
                <w:color w:val="auto"/>
                <w:sz w:val="21"/>
                <w:szCs w:val="21"/>
                <w:lang w:val="en-US" w:eastAsia="zh-CN"/>
              </w:rPr>
              <w:t>。</w:t>
            </w:r>
          </w:p>
          <w:p w14:paraId="2959DFFA">
            <w:pPr>
              <w:spacing w:line="360" w:lineRule="auto"/>
              <w:ind w:firstLine="420" w:firstLineChars="200"/>
              <w:rPr>
                <w:rFonts w:hint="eastAsia"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4、初期雨水</w:t>
            </w:r>
          </w:p>
          <w:p w14:paraId="49A543E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color w:val="FF0000"/>
                <w:sz w:val="21"/>
                <w:szCs w:val="21"/>
              </w:rPr>
            </w:pPr>
            <w:r>
              <w:rPr>
                <w:rFonts w:hint="eastAsia"/>
                <w:color w:val="FF0000"/>
                <w:sz w:val="22"/>
                <w:szCs w:val="22"/>
              </w:rPr>
              <w:t>设</w:t>
            </w:r>
            <w:r>
              <w:rPr>
                <w:rFonts w:hint="eastAsia" w:ascii="Times New Roman" w:hAnsi="Times New Roman" w:eastAsia="宋体" w:cs="Times New Roman"/>
                <w:color w:val="FF0000"/>
                <w:sz w:val="21"/>
                <w:szCs w:val="21"/>
              </w:rPr>
              <w:t>计暴雨强度</w:t>
            </w:r>
          </w:p>
          <w:p w14:paraId="25D5CB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rPr>
              <w:t>设计暴雨强度，按</w:t>
            </w:r>
            <w:r>
              <w:rPr>
                <w:rFonts w:hint="default" w:ascii="Times New Roman" w:hAnsi="Times New Roman" w:eastAsia="宋体" w:cs="Times New Roman"/>
                <w:color w:val="FF0000"/>
                <w:sz w:val="21"/>
                <w:szCs w:val="21"/>
              </w:rPr>
              <w:t>南通地区暴雨强度公式</w:t>
            </w:r>
            <w:r>
              <w:rPr>
                <w:rFonts w:hint="eastAsia" w:ascii="Times New Roman" w:hAnsi="Times New Roman" w:eastAsia="宋体" w:cs="Times New Roman"/>
                <w:color w:val="FF0000"/>
                <w:sz w:val="21"/>
                <w:szCs w:val="21"/>
              </w:rPr>
              <w:t>及计算</w:t>
            </w:r>
            <w:r>
              <w:rPr>
                <w:rFonts w:hint="default" w:ascii="Times New Roman" w:hAnsi="Times New Roman" w:eastAsia="宋体" w:cs="Times New Roman"/>
                <w:color w:val="FF0000"/>
                <w:sz w:val="21"/>
                <w:szCs w:val="21"/>
              </w:rPr>
              <w:t>（通政复（20</w:t>
            </w:r>
            <w:r>
              <w:rPr>
                <w:rFonts w:hint="eastAsia" w:ascii="Times New Roman" w:hAnsi="Times New Roman" w:eastAsia="宋体" w:cs="Times New Roman"/>
                <w:color w:val="FF0000"/>
                <w:sz w:val="21"/>
                <w:szCs w:val="21"/>
                <w:lang w:val="en-US" w:eastAsia="zh-CN"/>
              </w:rPr>
              <w:t>21</w:t>
            </w:r>
            <w:r>
              <w:rPr>
                <w:rFonts w:hint="default" w:ascii="Times New Roman" w:hAnsi="Times New Roman" w:eastAsia="宋体" w:cs="Times New Roman"/>
                <w:color w:val="FF0000"/>
                <w:sz w:val="21"/>
                <w:szCs w:val="21"/>
              </w:rPr>
              <w:t>）</w:t>
            </w:r>
            <w:r>
              <w:rPr>
                <w:rFonts w:hint="eastAsia" w:ascii="Times New Roman" w:hAnsi="Times New Roman" w:eastAsia="宋体" w:cs="Times New Roman"/>
                <w:color w:val="FF0000"/>
                <w:sz w:val="21"/>
                <w:szCs w:val="21"/>
                <w:lang w:val="en-US" w:eastAsia="zh-CN"/>
              </w:rPr>
              <w:t>186</w:t>
            </w:r>
            <w:r>
              <w:rPr>
                <w:rFonts w:hint="default" w:ascii="Times New Roman" w:hAnsi="Times New Roman" w:eastAsia="宋体" w:cs="Times New Roman"/>
                <w:color w:val="FF0000"/>
                <w:sz w:val="21"/>
                <w:szCs w:val="21"/>
              </w:rPr>
              <w:t>号文）：</w:t>
            </w:r>
          </w:p>
          <w:p w14:paraId="6818CD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drawing>
                <wp:inline distT="0" distB="0" distL="114300" distR="114300">
                  <wp:extent cx="1466850" cy="42862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466850" cy="428625"/>
                          </a:xfrm>
                          <a:prstGeom prst="rect">
                            <a:avLst/>
                          </a:prstGeom>
                          <a:noFill/>
                          <a:ln>
                            <a:noFill/>
                          </a:ln>
                        </pic:spPr>
                      </pic:pic>
                    </a:graphicData>
                  </a:graphic>
                </wp:inline>
              </w:drawing>
            </w:r>
          </w:p>
          <w:p w14:paraId="72BCF5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式中：i为降雨强度（</w:t>
            </w:r>
            <w:r>
              <w:rPr>
                <w:rFonts w:hint="default" w:ascii="Times New Roman" w:hAnsi="Times New Roman" w:eastAsia="宋体" w:cs="Times New Roman"/>
                <w:color w:val="FF0000"/>
                <w:sz w:val="21"/>
                <w:szCs w:val="21"/>
              </w:rPr>
              <w:t>mm/min</w:t>
            </w:r>
            <w:r>
              <w:rPr>
                <w:rFonts w:hint="eastAsia" w:ascii="Times New Roman" w:hAnsi="Times New Roman" w:eastAsia="宋体" w:cs="Times New Roman"/>
                <w:color w:val="FF0000"/>
                <w:sz w:val="21"/>
                <w:szCs w:val="21"/>
              </w:rPr>
              <w:t>）；</w:t>
            </w:r>
            <w:r>
              <w:rPr>
                <w:rFonts w:hint="default" w:ascii="Times New Roman" w:hAnsi="Times New Roman" w:eastAsia="宋体" w:cs="Times New Roman"/>
                <w:color w:val="FF0000"/>
                <w:sz w:val="21"/>
                <w:szCs w:val="21"/>
              </w:rPr>
              <w:t>t</w:t>
            </w:r>
            <w:r>
              <w:rPr>
                <w:rFonts w:hint="eastAsia" w:ascii="Times New Roman" w:hAnsi="Times New Roman" w:eastAsia="宋体" w:cs="Times New Roman"/>
                <w:color w:val="FF0000"/>
                <w:sz w:val="21"/>
                <w:szCs w:val="21"/>
              </w:rPr>
              <w:t>为降雨历时，取值</w:t>
            </w:r>
            <w:r>
              <w:rPr>
                <w:rFonts w:hint="eastAsia" w:ascii="Times New Roman" w:hAnsi="Times New Roman" w:cs="Times New Roman"/>
                <w:color w:val="FF0000"/>
                <w:sz w:val="21"/>
                <w:szCs w:val="21"/>
                <w:lang w:val="en-US" w:eastAsia="zh-CN"/>
              </w:rPr>
              <w:t>180</w:t>
            </w:r>
            <w:r>
              <w:rPr>
                <w:rFonts w:hint="default" w:ascii="Times New Roman" w:hAnsi="Times New Roman" w:eastAsia="宋体" w:cs="Times New Roman"/>
                <w:color w:val="FF0000"/>
                <w:sz w:val="21"/>
                <w:szCs w:val="21"/>
              </w:rPr>
              <w:t>min</w:t>
            </w:r>
            <w:r>
              <w:rPr>
                <w:rFonts w:hint="eastAsia" w:ascii="Times New Roman" w:hAnsi="Times New Roman" w:eastAsia="宋体" w:cs="Times New Roman"/>
                <w:color w:val="FF0000"/>
                <w:sz w:val="21"/>
                <w:szCs w:val="21"/>
              </w:rPr>
              <w:t>；</w:t>
            </w:r>
            <w:r>
              <w:rPr>
                <w:rFonts w:hint="default" w:ascii="Times New Roman" w:hAnsi="Times New Roman" w:eastAsia="宋体" w:cs="Times New Roman"/>
                <w:color w:val="FF0000"/>
                <w:sz w:val="21"/>
                <w:szCs w:val="21"/>
              </w:rPr>
              <w:t>TM</w:t>
            </w:r>
            <w:r>
              <w:rPr>
                <w:rFonts w:hint="eastAsia" w:ascii="Times New Roman" w:hAnsi="Times New Roman" w:eastAsia="宋体" w:cs="Times New Roman"/>
                <w:color w:val="FF0000"/>
                <w:sz w:val="21"/>
                <w:szCs w:val="21"/>
              </w:rPr>
              <w:t>为重现期（年），</w:t>
            </w:r>
            <w:r>
              <w:rPr>
                <w:rFonts w:hint="default" w:ascii="Times New Roman" w:hAnsi="Times New Roman" w:eastAsia="宋体" w:cs="Times New Roman"/>
                <w:color w:val="FF0000"/>
                <w:sz w:val="21"/>
                <w:szCs w:val="21"/>
              </w:rPr>
              <w:t>取</w:t>
            </w:r>
            <w:r>
              <w:rPr>
                <w:rFonts w:hint="eastAsia" w:ascii="Times New Roman" w:hAnsi="Times New Roman" w:eastAsia="宋体" w:cs="Times New Roman"/>
                <w:color w:val="FF0000"/>
                <w:sz w:val="21"/>
                <w:szCs w:val="21"/>
              </w:rPr>
              <w:t>值</w:t>
            </w:r>
            <w:r>
              <w:rPr>
                <w:rFonts w:hint="default" w:ascii="Times New Roman" w:hAnsi="Times New Roman" w:eastAsia="宋体" w:cs="Times New Roman"/>
                <w:color w:val="FF0000"/>
                <w:sz w:val="21"/>
                <w:szCs w:val="21"/>
              </w:rPr>
              <w:t>3年。</w:t>
            </w:r>
          </w:p>
          <w:p w14:paraId="6AAA16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设计雨水量根据《室外排水设计规范》(GB50014-2006）（2016年版)提供的计算公式计算，计算公式如下：</w:t>
            </w:r>
          </w:p>
          <w:p w14:paraId="257D78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auto"/>
                <w:sz w:val="21"/>
                <w:szCs w:val="21"/>
              </w:rPr>
              <w:drawing>
                <wp:anchor distT="0" distB="0" distL="114300" distR="114300" simplePos="0" relativeHeight="251665408" behindDoc="0" locked="0" layoutInCell="1" allowOverlap="1">
                  <wp:simplePos x="0" y="0"/>
                  <wp:positionH relativeFrom="column">
                    <wp:posOffset>390525</wp:posOffset>
                  </wp:positionH>
                  <wp:positionV relativeFrom="paragraph">
                    <wp:posOffset>-5880735</wp:posOffset>
                  </wp:positionV>
                  <wp:extent cx="3807460" cy="1117600"/>
                  <wp:effectExtent l="0" t="0" r="2540" b="6350"/>
                  <wp:wrapTopAndBottom/>
                  <wp:docPr id="1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2"/>
                          <pic:cNvPicPr>
                            <a:picLocks noChangeAspect="1"/>
                          </pic:cNvPicPr>
                        </pic:nvPicPr>
                        <pic:blipFill>
                          <a:blip r:embed="rId9"/>
                          <a:stretch>
                            <a:fillRect/>
                          </a:stretch>
                        </pic:blipFill>
                        <pic:spPr>
                          <a:xfrm>
                            <a:off x="0" y="0"/>
                            <a:ext cx="3807460" cy="1117600"/>
                          </a:xfrm>
                          <a:prstGeom prst="rect">
                            <a:avLst/>
                          </a:prstGeom>
                          <a:noFill/>
                          <a:ln>
                            <a:noFill/>
                          </a:ln>
                        </pic:spPr>
                      </pic:pic>
                    </a:graphicData>
                  </a:graphic>
                </wp:anchor>
              </w:drawing>
            </w:r>
            <w:r>
              <w:rPr>
                <w:rFonts w:hint="default" w:ascii="Times New Roman" w:hAnsi="Times New Roman" w:eastAsia="宋体" w:cs="Times New Roman"/>
                <w:color w:val="FF0000"/>
                <w:sz w:val="21"/>
                <w:szCs w:val="21"/>
              </w:rPr>
              <w:t>根据</w:t>
            </w:r>
            <w:r>
              <w:rPr>
                <w:rFonts w:hint="eastAsia" w:ascii="Times New Roman" w:hAnsi="Times New Roman" w:eastAsia="宋体" w:cs="Times New Roman"/>
                <w:color w:val="FF0000"/>
                <w:sz w:val="21"/>
                <w:szCs w:val="21"/>
              </w:rPr>
              <w:t>厂区</w:t>
            </w:r>
            <w:r>
              <w:rPr>
                <w:rFonts w:hint="default" w:ascii="Times New Roman" w:hAnsi="Times New Roman" w:eastAsia="宋体" w:cs="Times New Roman"/>
                <w:color w:val="FF0000"/>
                <w:sz w:val="21"/>
                <w:szCs w:val="21"/>
              </w:rPr>
              <w:t>总平图，</w:t>
            </w:r>
            <w:r>
              <w:rPr>
                <w:rFonts w:hint="eastAsia" w:ascii="Times New Roman" w:hAnsi="Times New Roman" w:eastAsia="宋体" w:cs="Times New Roman"/>
                <w:color w:val="FF0000"/>
                <w:sz w:val="21"/>
                <w:szCs w:val="21"/>
              </w:rPr>
              <w:t>本项目</w:t>
            </w:r>
            <w:r>
              <w:rPr>
                <w:rFonts w:hint="default" w:ascii="Times New Roman" w:hAnsi="Times New Roman" w:eastAsia="宋体" w:cs="Times New Roman"/>
                <w:color w:val="FF0000"/>
                <w:sz w:val="21"/>
                <w:szCs w:val="21"/>
              </w:rPr>
              <w:t>区域</w:t>
            </w:r>
            <w:r>
              <w:rPr>
                <w:rFonts w:hint="eastAsia" w:ascii="Times New Roman" w:hAnsi="Times New Roman" w:eastAsia="宋体" w:cs="Times New Roman"/>
                <w:color w:val="FF0000"/>
                <w:sz w:val="21"/>
                <w:szCs w:val="21"/>
              </w:rPr>
              <w:t>汇水</w:t>
            </w:r>
            <w:r>
              <w:rPr>
                <w:rFonts w:hint="default" w:ascii="Times New Roman" w:hAnsi="Times New Roman" w:eastAsia="宋体" w:cs="Times New Roman"/>
                <w:color w:val="FF0000"/>
                <w:sz w:val="21"/>
                <w:szCs w:val="21"/>
              </w:rPr>
              <w:t>面积</w:t>
            </w:r>
            <w:r>
              <w:rPr>
                <w:rFonts w:hint="eastAsia" w:ascii="Times New Roman" w:hAnsi="Times New Roman" w:eastAsia="宋体" w:cs="Times New Roman"/>
                <w:color w:val="FF0000"/>
                <w:sz w:val="21"/>
                <w:szCs w:val="21"/>
                <w:lang w:eastAsia="zh-CN"/>
              </w:rPr>
              <w:t>约为</w:t>
            </w:r>
            <w:r>
              <w:rPr>
                <w:rFonts w:hint="eastAsia" w:ascii="Times New Roman" w:hAnsi="Times New Roman" w:eastAsia="宋体" w:cs="Times New Roman"/>
                <w:color w:val="FF0000"/>
                <w:sz w:val="21"/>
                <w:szCs w:val="21"/>
                <w:lang w:val="en-US" w:eastAsia="zh-CN"/>
              </w:rPr>
              <w:t>11022</w:t>
            </w:r>
            <w:r>
              <w:rPr>
                <w:rFonts w:hint="default" w:ascii="Times New Roman" w:hAnsi="Times New Roman" w:eastAsia="宋体" w:cs="Times New Roman"/>
                <w:color w:val="FF0000"/>
                <w:sz w:val="21"/>
                <w:szCs w:val="21"/>
              </w:rPr>
              <w:t>m</w:t>
            </w:r>
            <w:r>
              <w:rPr>
                <w:rFonts w:hint="eastAsia" w:ascii="Times New Roman" w:hAnsi="Times New Roman" w:eastAsia="宋体" w:cs="Times New Roman"/>
                <w:color w:val="FF0000"/>
                <w:sz w:val="21"/>
                <w:szCs w:val="21"/>
                <w:vertAlign w:val="superscript"/>
              </w:rPr>
              <w:t>2</w:t>
            </w:r>
            <w:r>
              <w:rPr>
                <w:rFonts w:hint="default" w:ascii="Times New Roman" w:hAnsi="Times New Roman" w:eastAsia="宋体" w:cs="Times New Roman"/>
                <w:color w:val="FF0000"/>
                <w:sz w:val="21"/>
                <w:szCs w:val="21"/>
              </w:rPr>
              <w:t>；</w:t>
            </w:r>
            <w:r>
              <w:rPr>
                <w:rFonts w:hint="eastAsia" w:ascii="Times New Roman" w:hAnsi="Times New Roman" w:eastAsia="宋体" w:cs="Times New Roman"/>
                <w:color w:val="FF0000"/>
                <w:sz w:val="21"/>
                <w:szCs w:val="21"/>
              </w:rPr>
              <w:t>径流系数取值0.9；</w:t>
            </w:r>
          </w:p>
          <w:p w14:paraId="7D67A8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代入暴雨强度公式</w:t>
            </w:r>
            <w:r>
              <w:rPr>
                <w:rFonts w:hint="eastAsia" w:ascii="Times New Roman" w:hAnsi="Times New Roman" w:eastAsia="宋体" w:cs="Times New Roman"/>
                <w:color w:val="FF0000"/>
                <w:sz w:val="21"/>
                <w:szCs w:val="21"/>
              </w:rPr>
              <w:t>和雨水量计算公式，</w:t>
            </w:r>
            <w:r>
              <w:rPr>
                <w:rFonts w:hint="default" w:ascii="Times New Roman" w:hAnsi="Times New Roman" w:eastAsia="宋体" w:cs="Times New Roman"/>
                <w:color w:val="FF0000"/>
                <w:sz w:val="21"/>
                <w:szCs w:val="21"/>
              </w:rPr>
              <w:t>计算</w:t>
            </w:r>
            <w:r>
              <w:rPr>
                <w:rFonts w:hint="eastAsia" w:ascii="Times New Roman" w:hAnsi="Times New Roman" w:eastAsia="宋体" w:cs="Times New Roman"/>
                <w:color w:val="FF0000"/>
                <w:sz w:val="21"/>
                <w:szCs w:val="21"/>
              </w:rPr>
              <w:t>暴雨强度</w:t>
            </w:r>
            <w:r>
              <w:rPr>
                <w:rFonts w:hint="default" w:ascii="Times New Roman" w:hAnsi="Times New Roman" w:eastAsia="宋体" w:cs="Times New Roman"/>
                <w:color w:val="FF0000"/>
                <w:sz w:val="21"/>
                <w:szCs w:val="21"/>
              </w:rPr>
              <w:t>为</w:t>
            </w:r>
            <w:r>
              <w:rPr>
                <w:rFonts w:hint="eastAsia" w:ascii="Times New Roman" w:hAnsi="Times New Roman" w:cs="Times New Roman"/>
                <w:color w:val="FF0000"/>
                <w:sz w:val="21"/>
                <w:szCs w:val="21"/>
                <w:lang w:val="en-US" w:eastAsia="zh-CN"/>
              </w:rPr>
              <w:t>79</w:t>
            </w:r>
            <w:r>
              <w:rPr>
                <w:rFonts w:hint="default" w:ascii="Times New Roman" w:hAnsi="Times New Roman" w:eastAsia="宋体" w:cs="Times New Roman"/>
                <w:color w:val="FF0000"/>
                <w:sz w:val="21"/>
                <w:szCs w:val="21"/>
              </w:rPr>
              <w:t>L/</w:t>
            </w:r>
            <w:r>
              <w:rPr>
                <w:rFonts w:hint="eastAsia" w:ascii="Times New Roman" w:hAnsi="Times New Roman" w:eastAsia="宋体" w:cs="Times New Roman"/>
                <w:color w:val="FF0000"/>
                <w:sz w:val="21"/>
                <w:szCs w:val="21"/>
              </w:rPr>
              <w:t>（s·h</w:t>
            </w:r>
            <w:r>
              <w:rPr>
                <w:rFonts w:hint="default" w:ascii="Times New Roman" w:hAnsi="Times New Roman" w:eastAsia="宋体" w:cs="Times New Roman"/>
                <w:color w:val="FF0000"/>
                <w:sz w:val="21"/>
                <w:szCs w:val="21"/>
              </w:rPr>
              <w:t>m</w:t>
            </w:r>
            <w:r>
              <w:rPr>
                <w:rFonts w:hint="default" w:ascii="Times New Roman" w:hAnsi="Times New Roman" w:eastAsia="宋体" w:cs="Times New Roman"/>
                <w:color w:val="FF0000"/>
                <w:sz w:val="21"/>
                <w:szCs w:val="21"/>
                <w:vertAlign w:val="superscript"/>
              </w:rPr>
              <w:t>2</w:t>
            </w:r>
            <w:r>
              <w:rPr>
                <w:rFonts w:hint="eastAsia" w:ascii="Times New Roman" w:hAnsi="Times New Roman" w:eastAsia="宋体" w:cs="Times New Roman"/>
                <w:color w:val="FF0000"/>
                <w:sz w:val="21"/>
                <w:szCs w:val="21"/>
              </w:rPr>
              <w:t>）</w:t>
            </w:r>
            <w:r>
              <w:rPr>
                <w:rFonts w:hint="default" w:ascii="Times New Roman" w:hAnsi="Times New Roman" w:eastAsia="宋体" w:cs="Times New Roman"/>
                <w:color w:val="FF0000"/>
                <w:sz w:val="21"/>
                <w:szCs w:val="21"/>
              </w:rPr>
              <w:t>，取</w:t>
            </w:r>
            <w:r>
              <w:rPr>
                <w:rFonts w:hint="eastAsia" w:ascii="Times New Roman" w:hAnsi="Times New Roman" w:eastAsia="宋体" w:cs="Times New Roman"/>
                <w:color w:val="FF0000"/>
                <w:sz w:val="21"/>
                <w:szCs w:val="21"/>
              </w:rPr>
              <w:t>前</w:t>
            </w:r>
            <w:r>
              <w:rPr>
                <w:rFonts w:hint="default" w:ascii="Times New Roman" w:hAnsi="Times New Roman" w:eastAsia="宋体" w:cs="Times New Roman"/>
                <w:color w:val="FF0000"/>
                <w:sz w:val="21"/>
                <w:szCs w:val="21"/>
              </w:rPr>
              <w:t>15min</w:t>
            </w:r>
            <w:r>
              <w:rPr>
                <w:rFonts w:hint="eastAsia" w:ascii="Times New Roman" w:hAnsi="Times New Roman" w:eastAsia="宋体" w:cs="Times New Roman"/>
                <w:color w:val="FF0000"/>
                <w:sz w:val="21"/>
                <w:szCs w:val="21"/>
              </w:rPr>
              <w:t>降雨水量为初期雨水量，即设计初期雨水量</w:t>
            </w:r>
            <w:r>
              <w:rPr>
                <w:rFonts w:hint="eastAsia" w:ascii="Times New Roman" w:hAnsi="Times New Roman" w:eastAsia="宋体" w:cs="Times New Roman"/>
                <w:color w:val="FF0000"/>
                <w:sz w:val="21"/>
                <w:szCs w:val="21"/>
                <w:lang w:eastAsia="zh-CN"/>
              </w:rPr>
              <w:t>约</w:t>
            </w:r>
            <w:r>
              <w:rPr>
                <w:rFonts w:hint="eastAsia" w:ascii="Times New Roman" w:hAnsi="Times New Roman" w:eastAsia="宋体" w:cs="Times New Roman"/>
                <w:color w:val="FF0000"/>
                <w:sz w:val="21"/>
                <w:szCs w:val="21"/>
              </w:rPr>
              <w:t>为</w:t>
            </w:r>
            <w:r>
              <w:rPr>
                <w:rFonts w:hint="eastAsia" w:ascii="Times New Roman" w:hAnsi="Times New Roman" w:cs="Times New Roman"/>
                <w:color w:val="FF0000"/>
                <w:sz w:val="21"/>
                <w:szCs w:val="21"/>
                <w:lang w:val="en-US" w:eastAsia="zh-CN"/>
              </w:rPr>
              <w:t>70.9</w:t>
            </w:r>
            <w:r>
              <w:rPr>
                <w:rFonts w:hint="eastAsia" w:ascii="Times New Roman" w:hAnsi="Times New Roman" w:eastAsia="宋体" w:cs="Times New Roman"/>
                <w:color w:val="FF0000"/>
                <w:sz w:val="21"/>
                <w:szCs w:val="21"/>
              </w:rPr>
              <w:t>m</w:t>
            </w:r>
            <w:r>
              <w:rPr>
                <w:rFonts w:hint="eastAsia" w:ascii="Times New Roman" w:hAnsi="Times New Roman" w:eastAsia="宋体" w:cs="Times New Roman"/>
                <w:color w:val="FF0000"/>
                <w:sz w:val="21"/>
                <w:szCs w:val="21"/>
                <w:vertAlign w:val="superscript"/>
                <w:lang w:val="en-US" w:eastAsia="zh-CN"/>
              </w:rPr>
              <w:t>3</w:t>
            </w:r>
            <w:r>
              <w:rPr>
                <w:rFonts w:hint="eastAsia" w:ascii="Times New Roman" w:hAnsi="Times New Roman" w:eastAsia="宋体" w:cs="Times New Roman"/>
                <w:color w:val="FF0000"/>
                <w:sz w:val="21"/>
                <w:szCs w:val="21"/>
                <w:vertAlign w:val="baseline"/>
                <w:lang w:val="en-US" w:eastAsia="zh-CN"/>
              </w:rPr>
              <w:t>本项目出租方初期雨水池72m</w:t>
            </w:r>
            <w:r>
              <w:rPr>
                <w:rFonts w:hint="eastAsia" w:ascii="Times New Roman" w:hAnsi="Times New Roman" w:eastAsia="宋体" w:cs="Times New Roman"/>
                <w:color w:val="FF0000"/>
                <w:sz w:val="21"/>
                <w:szCs w:val="21"/>
                <w:vertAlign w:val="superscript"/>
                <w:lang w:val="en-US" w:eastAsia="zh-CN"/>
              </w:rPr>
              <w:t>3</w:t>
            </w:r>
            <w:r>
              <w:rPr>
                <w:rFonts w:hint="eastAsia" w:ascii="Times New Roman" w:hAnsi="Times New Roman" w:eastAsia="宋体" w:cs="Times New Roman"/>
                <w:color w:val="FF0000"/>
                <w:sz w:val="21"/>
                <w:szCs w:val="21"/>
                <w:vertAlign w:val="baseline"/>
                <w:lang w:val="en-US" w:eastAsia="zh-CN"/>
              </w:rPr>
              <w:t>，容积满足对初期雨水收集的要求</w:t>
            </w:r>
            <w:r>
              <w:rPr>
                <w:rFonts w:hint="eastAsia" w:ascii="Times New Roman" w:hAnsi="Times New Roman" w:eastAsia="宋体" w:cs="Times New Roman"/>
                <w:color w:val="FF0000"/>
                <w:sz w:val="21"/>
                <w:szCs w:val="21"/>
              </w:rPr>
              <w:t>。</w:t>
            </w:r>
          </w:p>
          <w:p w14:paraId="7CD6FEA4">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eastAsia="宋体" w:cs="Times New Roman"/>
                <w:b w:val="0"/>
                <w:bCs w:val="0"/>
                <w:color w:val="FF0000"/>
                <w:sz w:val="21"/>
                <w:szCs w:val="21"/>
              </w:rPr>
              <w:t>全年间歇降雨频次按1</w:t>
            </w:r>
            <w:r>
              <w:rPr>
                <w:rFonts w:hint="eastAsia" w:ascii="Times New Roman" w:hAnsi="Times New Roman" w:eastAsia="宋体" w:cs="Times New Roman"/>
                <w:b w:val="0"/>
                <w:bCs w:val="0"/>
                <w:color w:val="FF0000"/>
                <w:sz w:val="21"/>
                <w:szCs w:val="21"/>
              </w:rPr>
              <w:t>0</w:t>
            </w:r>
            <w:r>
              <w:rPr>
                <w:rFonts w:hint="default" w:ascii="Times New Roman" w:hAnsi="Times New Roman" w:eastAsia="宋体" w:cs="Times New Roman"/>
                <w:b w:val="0"/>
                <w:bCs w:val="0"/>
                <w:color w:val="FF0000"/>
                <w:sz w:val="21"/>
                <w:szCs w:val="21"/>
              </w:rPr>
              <w:t>次/年计</w:t>
            </w:r>
            <w:r>
              <w:rPr>
                <w:rFonts w:hint="eastAsia" w:ascii="Times New Roman" w:hAnsi="Times New Roman" w:eastAsia="宋体"/>
                <w:b w:val="0"/>
                <w:bCs w:val="0"/>
                <w:color w:val="FF0000"/>
                <w:sz w:val="21"/>
                <w:szCs w:val="21"/>
                <w:lang w:val="en-US" w:eastAsia="zh-CN"/>
              </w:rPr>
              <w:t>，则</w:t>
            </w:r>
            <w:r>
              <w:rPr>
                <w:rFonts w:hint="eastAsia" w:ascii="Times New Roman" w:hAnsi="Times New Roman" w:eastAsia="宋体"/>
                <w:b w:val="0"/>
                <w:color w:val="FF0000"/>
                <w:sz w:val="21"/>
                <w:szCs w:val="21"/>
                <w:lang w:val="en-US" w:eastAsia="zh-CN"/>
              </w:rPr>
              <w:t>初期雨水量为709t/a。</w:t>
            </w:r>
            <w:r>
              <w:rPr>
                <w:rFonts w:hint="eastAsia" w:ascii="Times New Roman" w:hAnsi="Times New Roman" w:eastAsia="宋体" w:cs="Times New Roman"/>
                <w:b w:val="0"/>
                <w:bCs w:val="0"/>
                <w:color w:val="FF0000"/>
                <w:kern w:val="2"/>
                <w:sz w:val="21"/>
                <w:szCs w:val="21"/>
                <w:lang w:val="en-US" w:eastAsia="zh-CN" w:bidi="ar-SA"/>
              </w:rPr>
              <w:t>本项目原料存放在厂房内，不露天设置，下雨时不涉及相关污染物，不会对雨水造成污染，因此，</w:t>
            </w:r>
            <w:r>
              <w:rPr>
                <w:rFonts w:ascii="Times New Roman" w:hAnsi="Times New Roman" w:eastAsia="宋体"/>
                <w:b w:val="0"/>
                <w:color w:val="FF0000"/>
                <w:sz w:val="21"/>
                <w:szCs w:val="21"/>
              </w:rPr>
              <w:t>初期雨水</w:t>
            </w:r>
            <w:r>
              <w:rPr>
                <w:rFonts w:hint="eastAsia" w:ascii="Times New Roman" w:hAnsi="Times New Roman" w:eastAsia="宋体"/>
                <w:b w:val="0"/>
                <w:color w:val="FF0000"/>
                <w:sz w:val="21"/>
                <w:szCs w:val="21"/>
              </w:rPr>
              <w:t>经初期雨水收集池收集后</w:t>
            </w:r>
            <w:r>
              <w:rPr>
                <w:rFonts w:hint="eastAsia"/>
                <w:b w:val="0"/>
                <w:color w:val="FF0000"/>
                <w:sz w:val="21"/>
                <w:szCs w:val="21"/>
                <w:lang w:val="en-US" w:eastAsia="zh-CN"/>
              </w:rPr>
              <w:t>接管至</w:t>
            </w:r>
            <w:r>
              <w:rPr>
                <w:rFonts w:hint="eastAsia"/>
                <w:color w:val="FF0000"/>
              </w:rPr>
              <w:t>海门经济技术开发区污水处理厂集中处理</w:t>
            </w:r>
            <w:r>
              <w:rPr>
                <w:rFonts w:ascii="Times New Roman" w:hAnsi="Times New Roman" w:eastAsia="宋体"/>
                <w:b w:val="0"/>
                <w:color w:val="FF0000"/>
                <w:sz w:val="21"/>
                <w:szCs w:val="21"/>
              </w:rPr>
              <w:t>。</w:t>
            </w:r>
            <w:r>
              <w:rPr>
                <w:rFonts w:hint="eastAsia" w:ascii="Times New Roman" w:hAnsi="Times New Roman" w:eastAsia="宋体"/>
                <w:b w:val="0"/>
                <w:color w:val="FF0000"/>
                <w:sz w:val="21"/>
                <w:szCs w:val="21"/>
              </w:rPr>
              <w:t>后期雨水排入市政雨水管网，最终排入</w:t>
            </w:r>
            <w:r>
              <w:rPr>
                <w:rFonts w:hint="eastAsia" w:ascii="Times New Roman" w:hAnsi="Times New Roman" w:eastAsia="宋体"/>
                <w:b w:val="0"/>
                <w:color w:val="FF0000"/>
                <w:sz w:val="21"/>
                <w:szCs w:val="21"/>
                <w:lang w:val="en-US" w:eastAsia="zh-CN"/>
              </w:rPr>
              <w:t>浒通河</w:t>
            </w:r>
            <w:r>
              <w:rPr>
                <w:rFonts w:hint="eastAsia" w:eastAsia="宋体"/>
                <w:b w:val="0"/>
                <w:bCs w:val="0"/>
                <w:color w:val="FF0000"/>
                <w:sz w:val="21"/>
                <w:szCs w:val="21"/>
              </w:rPr>
              <w:t>。</w:t>
            </w:r>
          </w:p>
          <w:p w14:paraId="7388CAD3">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本项目废水污染源产生及排放情况见表4-</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w:t>
            </w:r>
          </w:p>
          <w:p w14:paraId="3EE85784">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ascii="Times New Roman" w:hAnsi="Times New Roman" w:cs="Times New Roman"/>
                <w:b/>
                <w:bCs/>
                <w:color w:val="auto"/>
                <w:sz w:val="21"/>
                <w:szCs w:val="21"/>
                <w:lang w:val="en-US" w:eastAsia="zh-CN"/>
              </w:rPr>
              <w:t>9</w:t>
            </w:r>
            <w:r>
              <w:rPr>
                <w:rFonts w:hint="default" w:ascii="Times New Roman" w:hAnsi="Times New Roman" w:cs="Times New Roman"/>
                <w:b/>
                <w:bCs/>
                <w:color w:val="auto"/>
                <w:sz w:val="21"/>
                <w:szCs w:val="21"/>
              </w:rPr>
              <w:t xml:space="preserve">   水污染物产生状况表</w:t>
            </w:r>
          </w:p>
          <w:tbl>
            <w:tblPr>
              <w:tblStyle w:val="4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86"/>
              <w:gridCol w:w="819"/>
              <w:gridCol w:w="1011"/>
              <w:gridCol w:w="725"/>
              <w:gridCol w:w="809"/>
              <w:gridCol w:w="788"/>
              <w:gridCol w:w="791"/>
              <w:gridCol w:w="885"/>
              <w:gridCol w:w="854"/>
              <w:gridCol w:w="803"/>
            </w:tblGrid>
            <w:tr w14:paraId="009576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jc w:val="center"/>
              </w:trPr>
              <w:tc>
                <w:tcPr>
                  <w:tcW w:w="475" w:type="pct"/>
                  <w:vMerge w:val="restart"/>
                  <w:noWrap w:val="0"/>
                  <w:vAlign w:val="center"/>
                </w:tcPr>
                <w:p w14:paraId="1709B8D0">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495" w:type="pct"/>
                  <w:vMerge w:val="restart"/>
                  <w:noWrap w:val="0"/>
                  <w:vAlign w:val="center"/>
                </w:tcPr>
                <w:p w14:paraId="6870101C">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废水量</w:t>
                  </w:r>
                </w:p>
                <w:p w14:paraId="1D921E9B">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(t/a)</w:t>
                  </w:r>
                </w:p>
              </w:tc>
              <w:tc>
                <w:tcPr>
                  <w:tcW w:w="611" w:type="pct"/>
                  <w:vMerge w:val="restart"/>
                  <w:noWrap w:val="0"/>
                  <w:vAlign w:val="center"/>
                </w:tcPr>
                <w:p w14:paraId="333BFC23">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p w14:paraId="20A0CD74">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927" w:type="pct"/>
                  <w:gridSpan w:val="2"/>
                  <w:noWrap w:val="0"/>
                  <w:vAlign w:val="center"/>
                </w:tcPr>
                <w:p w14:paraId="37B4A99D">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污染物产生量</w:t>
                  </w:r>
                </w:p>
              </w:tc>
              <w:tc>
                <w:tcPr>
                  <w:tcW w:w="476" w:type="pct"/>
                  <w:vMerge w:val="restart"/>
                  <w:noWrap w:val="0"/>
                  <w:vAlign w:val="center"/>
                </w:tcPr>
                <w:p w14:paraId="24ACE7D9">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治理</w:t>
                  </w:r>
                </w:p>
                <w:p w14:paraId="08869CD3">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措施</w:t>
                  </w:r>
                </w:p>
              </w:tc>
              <w:tc>
                <w:tcPr>
                  <w:tcW w:w="1013" w:type="pct"/>
                  <w:gridSpan w:val="2"/>
                  <w:noWrap w:val="0"/>
                  <w:vAlign w:val="center"/>
                </w:tcPr>
                <w:p w14:paraId="2EE03094">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污染物接管量</w:t>
                  </w:r>
                </w:p>
              </w:tc>
              <w:tc>
                <w:tcPr>
                  <w:tcW w:w="516" w:type="pct"/>
                  <w:vMerge w:val="restart"/>
                  <w:noWrap w:val="0"/>
                  <w:vAlign w:val="center"/>
                </w:tcPr>
                <w:p w14:paraId="1BADBF56">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接管标准浓度(mg/L)</w:t>
                  </w:r>
                </w:p>
              </w:tc>
              <w:tc>
                <w:tcPr>
                  <w:tcW w:w="485" w:type="pct"/>
                  <w:vMerge w:val="restart"/>
                  <w:noWrap w:val="0"/>
                  <w:vAlign w:val="center"/>
                </w:tcPr>
                <w:p w14:paraId="45F048FA">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排放方式与去向</w:t>
                  </w:r>
                </w:p>
              </w:tc>
            </w:tr>
            <w:tr w14:paraId="0114B7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5" w:hRule="atLeast"/>
                <w:jc w:val="center"/>
              </w:trPr>
              <w:tc>
                <w:tcPr>
                  <w:tcW w:w="475" w:type="pct"/>
                  <w:vMerge w:val="continue"/>
                  <w:noWrap w:val="0"/>
                  <w:vAlign w:val="center"/>
                </w:tcPr>
                <w:p w14:paraId="701B60B8">
                  <w:pPr>
                    <w:widowControl/>
                    <w:jc w:val="center"/>
                    <w:rPr>
                      <w:rFonts w:hint="default" w:ascii="Times New Roman" w:hAnsi="Times New Roman" w:cs="Times New Roman"/>
                      <w:b/>
                      <w:bCs/>
                      <w:color w:val="auto"/>
                      <w:sz w:val="21"/>
                      <w:szCs w:val="21"/>
                    </w:rPr>
                  </w:pPr>
                </w:p>
              </w:tc>
              <w:tc>
                <w:tcPr>
                  <w:tcW w:w="495" w:type="pct"/>
                  <w:vMerge w:val="continue"/>
                  <w:noWrap w:val="0"/>
                  <w:vAlign w:val="center"/>
                </w:tcPr>
                <w:p w14:paraId="47AA601B">
                  <w:pPr>
                    <w:widowControl/>
                    <w:jc w:val="center"/>
                    <w:rPr>
                      <w:rFonts w:hint="default" w:ascii="Times New Roman" w:hAnsi="Times New Roman" w:cs="Times New Roman"/>
                      <w:b/>
                      <w:bCs/>
                      <w:color w:val="auto"/>
                      <w:sz w:val="21"/>
                      <w:szCs w:val="21"/>
                    </w:rPr>
                  </w:pPr>
                </w:p>
              </w:tc>
              <w:tc>
                <w:tcPr>
                  <w:tcW w:w="611" w:type="pct"/>
                  <w:vMerge w:val="continue"/>
                  <w:noWrap w:val="0"/>
                  <w:vAlign w:val="center"/>
                </w:tcPr>
                <w:p w14:paraId="7D111F7E">
                  <w:pPr>
                    <w:widowControl/>
                    <w:jc w:val="center"/>
                    <w:rPr>
                      <w:rFonts w:hint="default" w:ascii="Times New Roman" w:hAnsi="Times New Roman" w:cs="Times New Roman"/>
                      <w:b/>
                      <w:bCs/>
                      <w:color w:val="auto"/>
                      <w:sz w:val="21"/>
                      <w:szCs w:val="21"/>
                    </w:rPr>
                  </w:pPr>
                </w:p>
              </w:tc>
              <w:tc>
                <w:tcPr>
                  <w:tcW w:w="438" w:type="pct"/>
                  <w:noWrap w:val="0"/>
                  <w:vAlign w:val="center"/>
                </w:tcPr>
                <w:p w14:paraId="088CE856">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w:t>
                  </w:r>
                </w:p>
                <w:p w14:paraId="0CE8598E">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(mg/L)</w:t>
                  </w:r>
                </w:p>
              </w:tc>
              <w:tc>
                <w:tcPr>
                  <w:tcW w:w="489" w:type="pct"/>
                  <w:noWrap w:val="0"/>
                  <w:vAlign w:val="center"/>
                </w:tcPr>
                <w:p w14:paraId="6D9B7AB6">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w:t>
                  </w:r>
                </w:p>
                <w:p w14:paraId="5B47EC34">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(t/a)</w:t>
                  </w:r>
                </w:p>
              </w:tc>
              <w:tc>
                <w:tcPr>
                  <w:tcW w:w="476" w:type="pct"/>
                  <w:vMerge w:val="continue"/>
                  <w:noWrap w:val="0"/>
                  <w:vAlign w:val="center"/>
                </w:tcPr>
                <w:p w14:paraId="0CF41198">
                  <w:pPr>
                    <w:widowControl/>
                    <w:jc w:val="center"/>
                    <w:rPr>
                      <w:rFonts w:hint="default" w:ascii="Times New Roman" w:hAnsi="Times New Roman" w:cs="Times New Roman"/>
                      <w:b/>
                      <w:bCs/>
                      <w:color w:val="auto"/>
                      <w:sz w:val="21"/>
                      <w:szCs w:val="21"/>
                    </w:rPr>
                  </w:pPr>
                </w:p>
              </w:tc>
              <w:tc>
                <w:tcPr>
                  <w:tcW w:w="478" w:type="pct"/>
                  <w:noWrap w:val="0"/>
                  <w:vAlign w:val="center"/>
                </w:tcPr>
                <w:p w14:paraId="48C476DB">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w:t>
                  </w:r>
                </w:p>
                <w:p w14:paraId="2065AF7C">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(mg/L)</w:t>
                  </w:r>
                </w:p>
              </w:tc>
              <w:tc>
                <w:tcPr>
                  <w:tcW w:w="535" w:type="pct"/>
                  <w:noWrap w:val="0"/>
                  <w:vAlign w:val="center"/>
                </w:tcPr>
                <w:p w14:paraId="507F36F2">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接管量</w:t>
                  </w:r>
                </w:p>
                <w:p w14:paraId="441FDA19">
                  <w:pPr>
                    <w:autoSpaceDE w:val="0"/>
                    <w:snapToGrid w:val="0"/>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(t/a)</w:t>
                  </w:r>
                </w:p>
              </w:tc>
              <w:tc>
                <w:tcPr>
                  <w:tcW w:w="516" w:type="pct"/>
                  <w:vMerge w:val="continue"/>
                  <w:noWrap w:val="0"/>
                  <w:vAlign w:val="center"/>
                </w:tcPr>
                <w:p w14:paraId="468E7752">
                  <w:pPr>
                    <w:widowControl/>
                    <w:jc w:val="center"/>
                    <w:rPr>
                      <w:rFonts w:hint="default" w:ascii="Times New Roman" w:hAnsi="Times New Roman" w:cs="Times New Roman"/>
                      <w:b/>
                      <w:bCs/>
                      <w:color w:val="auto"/>
                      <w:sz w:val="21"/>
                      <w:szCs w:val="21"/>
                    </w:rPr>
                  </w:pPr>
                </w:p>
              </w:tc>
              <w:tc>
                <w:tcPr>
                  <w:tcW w:w="485" w:type="pct"/>
                  <w:vMerge w:val="continue"/>
                  <w:noWrap w:val="0"/>
                  <w:vAlign w:val="center"/>
                </w:tcPr>
                <w:p w14:paraId="3A49FA9D">
                  <w:pPr>
                    <w:widowControl/>
                    <w:jc w:val="center"/>
                    <w:rPr>
                      <w:rFonts w:hint="default" w:ascii="Times New Roman" w:hAnsi="Times New Roman" w:cs="Times New Roman"/>
                      <w:b/>
                      <w:bCs/>
                      <w:color w:val="auto"/>
                      <w:sz w:val="21"/>
                      <w:szCs w:val="21"/>
                    </w:rPr>
                  </w:pPr>
                </w:p>
              </w:tc>
            </w:tr>
            <w:tr w14:paraId="656B7D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5" w:hRule="atLeast"/>
                <w:jc w:val="center"/>
              </w:trPr>
              <w:tc>
                <w:tcPr>
                  <w:tcW w:w="475" w:type="pct"/>
                  <w:vMerge w:val="restart"/>
                  <w:noWrap w:val="0"/>
                  <w:vAlign w:val="center"/>
                </w:tcPr>
                <w:p w14:paraId="70736B12">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t>
                  </w:r>
                </w:p>
              </w:tc>
              <w:tc>
                <w:tcPr>
                  <w:tcW w:w="495" w:type="pct"/>
                  <w:vMerge w:val="restart"/>
                  <w:noWrap w:val="0"/>
                  <w:vAlign w:val="center"/>
                </w:tcPr>
                <w:p w14:paraId="7CC9D306">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1460</w:t>
                  </w:r>
                </w:p>
              </w:tc>
              <w:tc>
                <w:tcPr>
                  <w:tcW w:w="611" w:type="pct"/>
                  <w:noWrap w:val="0"/>
                  <w:vAlign w:val="center"/>
                </w:tcPr>
                <w:p w14:paraId="660D5D30">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b w:val="0"/>
                      <w:bCs w:val="0"/>
                      <w:color w:val="auto"/>
                      <w:sz w:val="21"/>
                      <w:szCs w:val="21"/>
                    </w:rPr>
                    <w:t>COD</w:t>
                  </w:r>
                </w:p>
              </w:tc>
              <w:tc>
                <w:tcPr>
                  <w:tcW w:w="438" w:type="pct"/>
                  <w:noWrap w:val="0"/>
                  <w:vAlign w:val="center"/>
                </w:tcPr>
                <w:p w14:paraId="04CFE18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500</w:t>
                  </w:r>
                </w:p>
              </w:tc>
              <w:tc>
                <w:tcPr>
                  <w:tcW w:w="489" w:type="pct"/>
                  <w:noWrap w:val="0"/>
                  <w:vAlign w:val="center"/>
                </w:tcPr>
                <w:p w14:paraId="5D6683A0">
                  <w:pPr>
                    <w:autoSpaceDE w:val="0"/>
                    <w:snapToGrid w:val="0"/>
                    <w:spacing w:line="24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0.73</w:t>
                  </w:r>
                </w:p>
              </w:tc>
              <w:tc>
                <w:tcPr>
                  <w:tcW w:w="476" w:type="pct"/>
                  <w:vMerge w:val="restart"/>
                  <w:noWrap w:val="0"/>
                  <w:vAlign w:val="center"/>
                </w:tcPr>
                <w:p w14:paraId="379A3EB2">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化粪池</w:t>
                  </w:r>
                </w:p>
              </w:tc>
              <w:tc>
                <w:tcPr>
                  <w:tcW w:w="478" w:type="pct"/>
                  <w:noWrap w:val="0"/>
                  <w:vAlign w:val="center"/>
                </w:tcPr>
                <w:p w14:paraId="1C2814D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350</w:t>
                  </w:r>
                </w:p>
              </w:tc>
              <w:tc>
                <w:tcPr>
                  <w:tcW w:w="535" w:type="pct"/>
                  <w:noWrap w:val="0"/>
                  <w:vAlign w:val="center"/>
                </w:tcPr>
                <w:p w14:paraId="78069F93">
                  <w:pPr>
                    <w:widowControl/>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0.511</w:t>
                  </w:r>
                </w:p>
              </w:tc>
              <w:tc>
                <w:tcPr>
                  <w:tcW w:w="516" w:type="pct"/>
                  <w:noWrap w:val="0"/>
                  <w:vAlign w:val="center"/>
                </w:tcPr>
                <w:p w14:paraId="1456ABE4">
                  <w:pPr>
                    <w:autoSpaceDE w:val="0"/>
                    <w:snapToGrid w:val="0"/>
                    <w:spacing w:line="24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500</w:t>
                  </w:r>
                </w:p>
              </w:tc>
              <w:tc>
                <w:tcPr>
                  <w:tcW w:w="485" w:type="pct"/>
                  <w:vMerge w:val="restart"/>
                  <w:noWrap w:val="0"/>
                  <w:vAlign w:val="center"/>
                </w:tcPr>
                <w:p w14:paraId="02DA8C7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海门经济技术开发区污水处理厂</w:t>
                  </w:r>
                </w:p>
              </w:tc>
            </w:tr>
            <w:tr w14:paraId="45757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5" w:hRule="atLeast"/>
                <w:jc w:val="center"/>
              </w:trPr>
              <w:tc>
                <w:tcPr>
                  <w:tcW w:w="475" w:type="pct"/>
                  <w:vMerge w:val="continue"/>
                  <w:noWrap w:val="0"/>
                  <w:vAlign w:val="center"/>
                </w:tcPr>
                <w:p w14:paraId="4D1D4E85">
                  <w:pPr>
                    <w:widowControl/>
                    <w:jc w:val="center"/>
                    <w:rPr>
                      <w:rFonts w:hint="default" w:ascii="Times New Roman" w:hAnsi="Times New Roman" w:cs="Times New Roman"/>
                      <w:color w:val="auto"/>
                      <w:sz w:val="21"/>
                      <w:szCs w:val="21"/>
                      <w:lang w:val="en-US" w:eastAsia="zh-CN"/>
                    </w:rPr>
                  </w:pPr>
                </w:p>
              </w:tc>
              <w:tc>
                <w:tcPr>
                  <w:tcW w:w="495" w:type="pct"/>
                  <w:vMerge w:val="continue"/>
                  <w:noWrap w:val="0"/>
                  <w:vAlign w:val="center"/>
                </w:tcPr>
                <w:p w14:paraId="02A568A0">
                  <w:pPr>
                    <w:widowControl/>
                    <w:jc w:val="center"/>
                    <w:rPr>
                      <w:rFonts w:hint="default" w:ascii="Times New Roman" w:hAnsi="Times New Roman" w:cs="Times New Roman"/>
                      <w:color w:val="auto"/>
                      <w:sz w:val="21"/>
                      <w:szCs w:val="21"/>
                      <w:lang w:val="en-US" w:eastAsia="zh-CN"/>
                    </w:rPr>
                  </w:pPr>
                </w:p>
              </w:tc>
              <w:tc>
                <w:tcPr>
                  <w:tcW w:w="611" w:type="pct"/>
                  <w:noWrap w:val="0"/>
                  <w:vAlign w:val="center"/>
                </w:tcPr>
                <w:p w14:paraId="78DC394A">
                  <w:pPr>
                    <w:adjustRightInd w:val="0"/>
                    <w:snapToGrid w:val="0"/>
                    <w:jc w:val="center"/>
                    <w:rPr>
                      <w:rFonts w:hint="default" w:ascii="Times New Roman" w:hAnsi="Times New Roman" w:eastAsia="宋体"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lang w:val="en-US" w:eastAsia="zh-CN"/>
                    </w:rPr>
                    <w:t>BOD</w:t>
                  </w:r>
                  <w:r>
                    <w:rPr>
                      <w:rFonts w:hint="default" w:ascii="Times New Roman" w:hAnsi="Times New Roman" w:cs="Times New Roman"/>
                      <w:b w:val="0"/>
                      <w:bCs w:val="0"/>
                      <w:color w:val="auto"/>
                      <w:sz w:val="21"/>
                      <w:szCs w:val="21"/>
                      <w:vertAlign w:val="subscript"/>
                      <w:lang w:val="en-US" w:eastAsia="zh-CN"/>
                    </w:rPr>
                    <w:t>5</w:t>
                  </w:r>
                </w:p>
              </w:tc>
              <w:tc>
                <w:tcPr>
                  <w:tcW w:w="438" w:type="pct"/>
                  <w:noWrap w:val="0"/>
                  <w:vAlign w:val="center"/>
                </w:tcPr>
                <w:p w14:paraId="3390CA8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150</w:t>
                  </w:r>
                </w:p>
              </w:tc>
              <w:tc>
                <w:tcPr>
                  <w:tcW w:w="489" w:type="pct"/>
                  <w:noWrap w:val="0"/>
                  <w:vAlign w:val="center"/>
                </w:tcPr>
                <w:p w14:paraId="19965542">
                  <w:pPr>
                    <w:autoSpaceDE w:val="0"/>
                    <w:snapToGrid w:val="0"/>
                    <w:spacing w:line="240" w:lineRule="atLeas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0.219</w:t>
                  </w:r>
                </w:p>
              </w:tc>
              <w:tc>
                <w:tcPr>
                  <w:tcW w:w="476" w:type="pct"/>
                  <w:vMerge w:val="continue"/>
                  <w:noWrap w:val="0"/>
                  <w:vAlign w:val="center"/>
                </w:tcPr>
                <w:p w14:paraId="7AF73ECE">
                  <w:pPr>
                    <w:widowControl/>
                    <w:jc w:val="center"/>
                    <w:rPr>
                      <w:rFonts w:hint="default" w:ascii="Times New Roman" w:hAnsi="Times New Roman" w:cs="Times New Roman"/>
                      <w:color w:val="auto"/>
                      <w:sz w:val="21"/>
                      <w:szCs w:val="21"/>
                      <w:lang w:val="en-US" w:eastAsia="zh-CN"/>
                    </w:rPr>
                  </w:pPr>
                </w:p>
              </w:tc>
              <w:tc>
                <w:tcPr>
                  <w:tcW w:w="478" w:type="pct"/>
                  <w:noWrap w:val="0"/>
                  <w:vAlign w:val="center"/>
                </w:tcPr>
                <w:p w14:paraId="60863AE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150</w:t>
                  </w:r>
                </w:p>
              </w:tc>
              <w:tc>
                <w:tcPr>
                  <w:tcW w:w="535" w:type="pct"/>
                  <w:noWrap w:val="0"/>
                  <w:vAlign w:val="center"/>
                </w:tcPr>
                <w:p w14:paraId="1E3F8D6A">
                  <w:pPr>
                    <w:widowControl/>
                    <w:jc w:val="center"/>
                    <w:textAlignment w:val="bottom"/>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0.219</w:t>
                  </w:r>
                </w:p>
              </w:tc>
              <w:tc>
                <w:tcPr>
                  <w:tcW w:w="516" w:type="pct"/>
                  <w:noWrap w:val="0"/>
                  <w:vAlign w:val="center"/>
                </w:tcPr>
                <w:p w14:paraId="3A701EE6">
                  <w:pPr>
                    <w:autoSpaceDE w:val="0"/>
                    <w:snapToGrid w:val="0"/>
                    <w:spacing w:line="240" w:lineRule="atLeas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c>
                <w:tcPr>
                  <w:tcW w:w="485" w:type="pct"/>
                  <w:vMerge w:val="continue"/>
                  <w:tcBorders/>
                  <w:noWrap w:val="0"/>
                  <w:vAlign w:val="center"/>
                </w:tcPr>
                <w:p w14:paraId="07BA9EDE">
                  <w:pPr>
                    <w:jc w:val="center"/>
                    <w:rPr>
                      <w:rFonts w:hint="default" w:ascii="Times New Roman" w:hAnsi="Times New Roman" w:cs="Times New Roman"/>
                      <w:color w:val="auto"/>
                      <w:sz w:val="21"/>
                      <w:szCs w:val="21"/>
                      <w:lang w:eastAsia="zh-CN"/>
                    </w:rPr>
                  </w:pPr>
                </w:p>
              </w:tc>
            </w:tr>
            <w:tr w14:paraId="523CDD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jc w:val="center"/>
              </w:trPr>
              <w:tc>
                <w:tcPr>
                  <w:tcW w:w="475" w:type="pct"/>
                  <w:vMerge w:val="continue"/>
                  <w:noWrap w:val="0"/>
                  <w:vAlign w:val="center"/>
                </w:tcPr>
                <w:p w14:paraId="3E5F74BE">
                  <w:pPr>
                    <w:widowControl/>
                    <w:jc w:val="center"/>
                    <w:rPr>
                      <w:rFonts w:hint="default" w:ascii="Times New Roman" w:hAnsi="Times New Roman" w:cs="Times New Roman"/>
                      <w:color w:val="auto"/>
                      <w:sz w:val="21"/>
                      <w:szCs w:val="21"/>
                    </w:rPr>
                  </w:pPr>
                </w:p>
              </w:tc>
              <w:tc>
                <w:tcPr>
                  <w:tcW w:w="495" w:type="pct"/>
                  <w:vMerge w:val="continue"/>
                  <w:noWrap w:val="0"/>
                  <w:vAlign w:val="center"/>
                </w:tcPr>
                <w:p w14:paraId="654AC122">
                  <w:pPr>
                    <w:widowControl/>
                    <w:jc w:val="center"/>
                    <w:rPr>
                      <w:rFonts w:hint="default" w:ascii="Times New Roman" w:hAnsi="Times New Roman" w:cs="Times New Roman"/>
                      <w:color w:val="auto"/>
                      <w:sz w:val="21"/>
                      <w:szCs w:val="21"/>
                    </w:rPr>
                  </w:pPr>
                </w:p>
              </w:tc>
              <w:tc>
                <w:tcPr>
                  <w:tcW w:w="611" w:type="pct"/>
                  <w:noWrap w:val="0"/>
                  <w:vAlign w:val="center"/>
                </w:tcPr>
                <w:p w14:paraId="4FE6B50A">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438" w:type="pct"/>
                  <w:noWrap w:val="0"/>
                  <w:vAlign w:val="center"/>
                </w:tcPr>
                <w:p w14:paraId="06BA8D1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500</w:t>
                  </w:r>
                </w:p>
              </w:tc>
              <w:tc>
                <w:tcPr>
                  <w:tcW w:w="489" w:type="pct"/>
                  <w:noWrap w:val="0"/>
                  <w:vAlign w:val="center"/>
                </w:tcPr>
                <w:p w14:paraId="177E6C65">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0.73</w:t>
                  </w:r>
                </w:p>
              </w:tc>
              <w:tc>
                <w:tcPr>
                  <w:tcW w:w="476" w:type="pct"/>
                  <w:vMerge w:val="continue"/>
                  <w:noWrap w:val="0"/>
                  <w:vAlign w:val="center"/>
                </w:tcPr>
                <w:p w14:paraId="1278D6B5">
                  <w:pPr>
                    <w:widowControl/>
                    <w:jc w:val="center"/>
                    <w:rPr>
                      <w:rFonts w:hint="default" w:ascii="Times New Roman" w:hAnsi="Times New Roman" w:cs="Times New Roman"/>
                      <w:color w:val="auto"/>
                      <w:sz w:val="21"/>
                      <w:szCs w:val="21"/>
                    </w:rPr>
                  </w:pPr>
                </w:p>
              </w:tc>
              <w:tc>
                <w:tcPr>
                  <w:tcW w:w="478" w:type="pct"/>
                  <w:noWrap w:val="0"/>
                  <w:vAlign w:val="center"/>
                </w:tcPr>
                <w:p w14:paraId="370B730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400</w:t>
                  </w:r>
                </w:p>
              </w:tc>
              <w:tc>
                <w:tcPr>
                  <w:tcW w:w="535" w:type="pct"/>
                  <w:noWrap w:val="0"/>
                  <w:vAlign w:val="center"/>
                </w:tcPr>
                <w:p w14:paraId="4191301A">
                  <w:pPr>
                    <w:widowControl/>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0.584</w:t>
                  </w:r>
                </w:p>
              </w:tc>
              <w:tc>
                <w:tcPr>
                  <w:tcW w:w="516" w:type="pct"/>
                  <w:noWrap w:val="0"/>
                  <w:vAlign w:val="center"/>
                </w:tcPr>
                <w:p w14:paraId="0E75B65C">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400</w:t>
                  </w:r>
                </w:p>
              </w:tc>
              <w:tc>
                <w:tcPr>
                  <w:tcW w:w="485" w:type="pct"/>
                  <w:vMerge w:val="continue"/>
                  <w:tcBorders/>
                  <w:noWrap w:val="0"/>
                  <w:vAlign w:val="center"/>
                </w:tcPr>
                <w:p w14:paraId="4BDEEB9E">
                  <w:pPr>
                    <w:jc w:val="center"/>
                    <w:rPr>
                      <w:rFonts w:hint="default" w:ascii="Times New Roman" w:hAnsi="Times New Roman" w:cs="Times New Roman"/>
                      <w:color w:val="auto"/>
                      <w:sz w:val="21"/>
                      <w:szCs w:val="21"/>
                    </w:rPr>
                  </w:pPr>
                </w:p>
              </w:tc>
            </w:tr>
            <w:tr w14:paraId="65AA95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jc w:val="center"/>
              </w:trPr>
              <w:tc>
                <w:tcPr>
                  <w:tcW w:w="475" w:type="pct"/>
                  <w:vMerge w:val="continue"/>
                  <w:noWrap w:val="0"/>
                  <w:vAlign w:val="center"/>
                </w:tcPr>
                <w:p w14:paraId="6E134FF2">
                  <w:pPr>
                    <w:widowControl/>
                    <w:jc w:val="center"/>
                    <w:rPr>
                      <w:rFonts w:hint="default" w:ascii="Times New Roman" w:hAnsi="Times New Roman" w:cs="Times New Roman"/>
                      <w:color w:val="auto"/>
                      <w:sz w:val="21"/>
                      <w:szCs w:val="21"/>
                    </w:rPr>
                  </w:pPr>
                </w:p>
              </w:tc>
              <w:tc>
                <w:tcPr>
                  <w:tcW w:w="495" w:type="pct"/>
                  <w:vMerge w:val="continue"/>
                  <w:noWrap w:val="0"/>
                  <w:vAlign w:val="center"/>
                </w:tcPr>
                <w:p w14:paraId="79206C8A">
                  <w:pPr>
                    <w:widowControl/>
                    <w:jc w:val="center"/>
                    <w:rPr>
                      <w:rFonts w:hint="default" w:ascii="Times New Roman" w:hAnsi="Times New Roman" w:cs="Times New Roman"/>
                      <w:color w:val="auto"/>
                      <w:sz w:val="21"/>
                      <w:szCs w:val="21"/>
                    </w:rPr>
                  </w:pPr>
                </w:p>
              </w:tc>
              <w:tc>
                <w:tcPr>
                  <w:tcW w:w="611" w:type="pct"/>
                  <w:noWrap w:val="0"/>
                  <w:vAlign w:val="center"/>
                </w:tcPr>
                <w:p w14:paraId="60909708">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438" w:type="pct"/>
                  <w:noWrap w:val="0"/>
                  <w:vAlign w:val="center"/>
                </w:tcPr>
                <w:p w14:paraId="4190BDF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30</w:t>
                  </w:r>
                </w:p>
              </w:tc>
              <w:tc>
                <w:tcPr>
                  <w:tcW w:w="489" w:type="pct"/>
                  <w:noWrap w:val="0"/>
                  <w:vAlign w:val="center"/>
                </w:tcPr>
                <w:p w14:paraId="09C6A375">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0.0438</w:t>
                  </w:r>
                </w:p>
              </w:tc>
              <w:tc>
                <w:tcPr>
                  <w:tcW w:w="476" w:type="pct"/>
                  <w:vMerge w:val="continue"/>
                  <w:noWrap w:val="0"/>
                  <w:vAlign w:val="center"/>
                </w:tcPr>
                <w:p w14:paraId="2B63A588">
                  <w:pPr>
                    <w:widowControl/>
                    <w:jc w:val="center"/>
                    <w:rPr>
                      <w:rFonts w:hint="default" w:ascii="Times New Roman" w:hAnsi="Times New Roman" w:cs="Times New Roman"/>
                      <w:color w:val="auto"/>
                      <w:sz w:val="21"/>
                      <w:szCs w:val="21"/>
                    </w:rPr>
                  </w:pPr>
                </w:p>
              </w:tc>
              <w:tc>
                <w:tcPr>
                  <w:tcW w:w="478" w:type="pct"/>
                  <w:noWrap w:val="0"/>
                  <w:vAlign w:val="center"/>
                </w:tcPr>
                <w:p w14:paraId="0D745B6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30</w:t>
                  </w:r>
                </w:p>
              </w:tc>
              <w:tc>
                <w:tcPr>
                  <w:tcW w:w="535" w:type="pct"/>
                  <w:noWrap w:val="0"/>
                  <w:vAlign w:val="center"/>
                </w:tcPr>
                <w:p w14:paraId="4B4C09E8">
                  <w:pPr>
                    <w:widowControl/>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0.0438</w:t>
                  </w:r>
                </w:p>
              </w:tc>
              <w:tc>
                <w:tcPr>
                  <w:tcW w:w="516" w:type="pct"/>
                  <w:noWrap w:val="0"/>
                  <w:vAlign w:val="center"/>
                </w:tcPr>
                <w:p w14:paraId="38357FD0">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485" w:type="pct"/>
                  <w:vMerge w:val="continue"/>
                  <w:tcBorders/>
                  <w:noWrap w:val="0"/>
                  <w:vAlign w:val="center"/>
                </w:tcPr>
                <w:p w14:paraId="79A738AA">
                  <w:pPr>
                    <w:jc w:val="center"/>
                    <w:rPr>
                      <w:rFonts w:hint="default" w:ascii="Times New Roman" w:hAnsi="Times New Roman" w:cs="Times New Roman"/>
                      <w:color w:val="auto"/>
                      <w:sz w:val="21"/>
                      <w:szCs w:val="21"/>
                    </w:rPr>
                  </w:pPr>
                </w:p>
              </w:tc>
            </w:tr>
            <w:tr w14:paraId="6DE7F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jc w:val="center"/>
              </w:trPr>
              <w:tc>
                <w:tcPr>
                  <w:tcW w:w="475" w:type="pct"/>
                  <w:vMerge w:val="continue"/>
                  <w:noWrap w:val="0"/>
                  <w:vAlign w:val="center"/>
                </w:tcPr>
                <w:p w14:paraId="0D951B55">
                  <w:pPr>
                    <w:widowControl/>
                    <w:jc w:val="center"/>
                    <w:rPr>
                      <w:rFonts w:hint="default" w:ascii="Times New Roman" w:hAnsi="Times New Roman" w:cs="Times New Roman"/>
                      <w:color w:val="auto"/>
                      <w:sz w:val="21"/>
                      <w:szCs w:val="21"/>
                    </w:rPr>
                  </w:pPr>
                </w:p>
              </w:tc>
              <w:tc>
                <w:tcPr>
                  <w:tcW w:w="495" w:type="pct"/>
                  <w:vMerge w:val="continue"/>
                  <w:noWrap w:val="0"/>
                  <w:vAlign w:val="center"/>
                </w:tcPr>
                <w:p w14:paraId="1721C985">
                  <w:pPr>
                    <w:widowControl/>
                    <w:jc w:val="center"/>
                    <w:rPr>
                      <w:rFonts w:hint="default" w:ascii="Times New Roman" w:hAnsi="Times New Roman" w:cs="Times New Roman"/>
                      <w:color w:val="auto"/>
                      <w:sz w:val="21"/>
                      <w:szCs w:val="21"/>
                    </w:rPr>
                  </w:pPr>
                </w:p>
              </w:tc>
              <w:tc>
                <w:tcPr>
                  <w:tcW w:w="611" w:type="pct"/>
                  <w:noWrap w:val="0"/>
                  <w:vAlign w:val="center"/>
                </w:tcPr>
                <w:p w14:paraId="60AC3E89">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TP</w:t>
                  </w:r>
                </w:p>
              </w:tc>
              <w:tc>
                <w:tcPr>
                  <w:tcW w:w="438" w:type="pct"/>
                  <w:noWrap w:val="0"/>
                  <w:vAlign w:val="center"/>
                </w:tcPr>
                <w:p w14:paraId="447C37B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5</w:t>
                  </w:r>
                </w:p>
              </w:tc>
              <w:tc>
                <w:tcPr>
                  <w:tcW w:w="489" w:type="pct"/>
                  <w:noWrap w:val="0"/>
                  <w:vAlign w:val="center"/>
                </w:tcPr>
                <w:p w14:paraId="544D3F3F">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0.0073</w:t>
                  </w:r>
                </w:p>
              </w:tc>
              <w:tc>
                <w:tcPr>
                  <w:tcW w:w="476" w:type="pct"/>
                  <w:vMerge w:val="continue"/>
                  <w:noWrap w:val="0"/>
                  <w:vAlign w:val="center"/>
                </w:tcPr>
                <w:p w14:paraId="5E2FAE0A">
                  <w:pPr>
                    <w:widowControl/>
                    <w:jc w:val="center"/>
                    <w:rPr>
                      <w:rFonts w:hint="default" w:ascii="Times New Roman" w:hAnsi="Times New Roman" w:cs="Times New Roman"/>
                      <w:color w:val="auto"/>
                      <w:sz w:val="21"/>
                      <w:szCs w:val="21"/>
                    </w:rPr>
                  </w:pPr>
                </w:p>
              </w:tc>
              <w:tc>
                <w:tcPr>
                  <w:tcW w:w="478" w:type="pct"/>
                  <w:noWrap w:val="0"/>
                  <w:vAlign w:val="center"/>
                </w:tcPr>
                <w:p w14:paraId="74F270D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5</w:t>
                  </w:r>
                </w:p>
              </w:tc>
              <w:tc>
                <w:tcPr>
                  <w:tcW w:w="535" w:type="pct"/>
                  <w:noWrap w:val="0"/>
                  <w:vAlign w:val="center"/>
                </w:tcPr>
                <w:p w14:paraId="01DFFA9C">
                  <w:pPr>
                    <w:widowControl/>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0.0073</w:t>
                  </w:r>
                </w:p>
              </w:tc>
              <w:tc>
                <w:tcPr>
                  <w:tcW w:w="516" w:type="pct"/>
                  <w:noWrap w:val="0"/>
                  <w:vAlign w:val="center"/>
                </w:tcPr>
                <w:p w14:paraId="15D4AE90">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485" w:type="pct"/>
                  <w:vMerge w:val="continue"/>
                  <w:tcBorders/>
                  <w:noWrap w:val="0"/>
                  <w:vAlign w:val="center"/>
                </w:tcPr>
                <w:p w14:paraId="465F7553">
                  <w:pPr>
                    <w:jc w:val="center"/>
                    <w:rPr>
                      <w:rFonts w:hint="default" w:ascii="Times New Roman" w:hAnsi="Times New Roman" w:cs="Times New Roman"/>
                      <w:color w:val="auto"/>
                      <w:sz w:val="21"/>
                      <w:szCs w:val="21"/>
                    </w:rPr>
                  </w:pPr>
                </w:p>
              </w:tc>
            </w:tr>
            <w:tr w14:paraId="356FF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51" w:hRule="atLeast"/>
                <w:jc w:val="center"/>
              </w:trPr>
              <w:tc>
                <w:tcPr>
                  <w:tcW w:w="475" w:type="pct"/>
                  <w:vMerge w:val="continue"/>
                  <w:noWrap w:val="0"/>
                  <w:vAlign w:val="center"/>
                </w:tcPr>
                <w:p w14:paraId="71EA21DE">
                  <w:pPr>
                    <w:widowControl/>
                    <w:jc w:val="center"/>
                    <w:rPr>
                      <w:rFonts w:hint="default" w:ascii="Times New Roman" w:hAnsi="Times New Roman" w:cs="Times New Roman"/>
                      <w:color w:val="auto"/>
                      <w:sz w:val="21"/>
                      <w:szCs w:val="21"/>
                    </w:rPr>
                  </w:pPr>
                </w:p>
              </w:tc>
              <w:tc>
                <w:tcPr>
                  <w:tcW w:w="495" w:type="pct"/>
                  <w:vMerge w:val="continue"/>
                  <w:noWrap w:val="0"/>
                  <w:vAlign w:val="center"/>
                </w:tcPr>
                <w:p w14:paraId="3375867A">
                  <w:pPr>
                    <w:widowControl/>
                    <w:jc w:val="center"/>
                    <w:rPr>
                      <w:rFonts w:hint="default" w:ascii="Times New Roman" w:hAnsi="Times New Roman" w:cs="Times New Roman"/>
                      <w:color w:val="auto"/>
                      <w:sz w:val="21"/>
                      <w:szCs w:val="21"/>
                    </w:rPr>
                  </w:pPr>
                </w:p>
              </w:tc>
              <w:tc>
                <w:tcPr>
                  <w:tcW w:w="611" w:type="pct"/>
                  <w:noWrap w:val="0"/>
                  <w:vAlign w:val="center"/>
                </w:tcPr>
                <w:p w14:paraId="13434CD9">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TN</w:t>
                  </w:r>
                </w:p>
              </w:tc>
              <w:tc>
                <w:tcPr>
                  <w:tcW w:w="438" w:type="pct"/>
                  <w:noWrap w:val="0"/>
                  <w:vAlign w:val="center"/>
                </w:tcPr>
                <w:p w14:paraId="0179FC7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40</w:t>
                  </w:r>
                </w:p>
              </w:tc>
              <w:tc>
                <w:tcPr>
                  <w:tcW w:w="489" w:type="pct"/>
                  <w:noWrap w:val="0"/>
                  <w:vAlign w:val="center"/>
                </w:tcPr>
                <w:p w14:paraId="432DFB33">
                  <w:pPr>
                    <w:autoSpaceDE w:val="0"/>
                    <w:snapToGrid w:val="0"/>
                    <w:spacing w:line="24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0.0584</w:t>
                  </w:r>
                </w:p>
              </w:tc>
              <w:tc>
                <w:tcPr>
                  <w:tcW w:w="476" w:type="pct"/>
                  <w:vMerge w:val="continue"/>
                  <w:noWrap w:val="0"/>
                  <w:vAlign w:val="center"/>
                </w:tcPr>
                <w:p w14:paraId="3965FD12">
                  <w:pPr>
                    <w:widowControl/>
                    <w:jc w:val="center"/>
                    <w:rPr>
                      <w:rFonts w:hint="default" w:ascii="Times New Roman" w:hAnsi="Times New Roman" w:cs="Times New Roman"/>
                      <w:color w:val="auto"/>
                      <w:sz w:val="21"/>
                      <w:szCs w:val="21"/>
                    </w:rPr>
                  </w:pPr>
                </w:p>
              </w:tc>
              <w:tc>
                <w:tcPr>
                  <w:tcW w:w="478" w:type="pct"/>
                  <w:noWrap w:val="0"/>
                  <w:vAlign w:val="center"/>
                </w:tcPr>
                <w:p w14:paraId="433C78E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30</w:t>
                  </w:r>
                </w:p>
              </w:tc>
              <w:tc>
                <w:tcPr>
                  <w:tcW w:w="535" w:type="pct"/>
                  <w:noWrap w:val="0"/>
                  <w:vAlign w:val="center"/>
                </w:tcPr>
                <w:p w14:paraId="3296F157">
                  <w:pPr>
                    <w:widowControl/>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0.0438</w:t>
                  </w:r>
                </w:p>
              </w:tc>
              <w:tc>
                <w:tcPr>
                  <w:tcW w:w="516" w:type="pct"/>
                  <w:noWrap w:val="0"/>
                  <w:vAlign w:val="center"/>
                </w:tcPr>
                <w:p w14:paraId="56678F3E">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55</w:t>
                  </w:r>
                </w:p>
              </w:tc>
              <w:tc>
                <w:tcPr>
                  <w:tcW w:w="485" w:type="pct"/>
                  <w:vMerge w:val="continue"/>
                  <w:tcBorders/>
                  <w:noWrap w:val="0"/>
                  <w:vAlign w:val="center"/>
                </w:tcPr>
                <w:p w14:paraId="6BA1C936">
                  <w:pPr>
                    <w:jc w:val="center"/>
                    <w:rPr>
                      <w:rFonts w:hint="default" w:ascii="Times New Roman" w:hAnsi="Times New Roman" w:cs="Times New Roman"/>
                      <w:color w:val="auto"/>
                      <w:sz w:val="21"/>
                      <w:szCs w:val="21"/>
                    </w:rPr>
                  </w:pPr>
                </w:p>
              </w:tc>
            </w:tr>
            <w:tr w14:paraId="390C70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21" w:hRule="atLeast"/>
                <w:jc w:val="center"/>
              </w:trPr>
              <w:tc>
                <w:tcPr>
                  <w:tcW w:w="475" w:type="pct"/>
                  <w:vMerge w:val="restart"/>
                  <w:noWrap w:val="0"/>
                  <w:vAlign w:val="center"/>
                </w:tcPr>
                <w:p w14:paraId="6DB98D23">
                  <w:pPr>
                    <w:widowControl/>
                    <w:jc w:val="center"/>
                    <w:rPr>
                      <w:rFonts w:hint="eastAsia" w:ascii="Times New Roman" w:hAnsi="Times New Roman" w:eastAsia="宋体" w:cs="Times New Roman"/>
                      <w:color w:val="FF0000"/>
                      <w:sz w:val="21"/>
                      <w:szCs w:val="21"/>
                      <w:lang w:eastAsia="zh-CN"/>
                    </w:rPr>
                  </w:pPr>
                  <w:r>
                    <w:rPr>
                      <w:rFonts w:hint="eastAsia" w:ascii="Times New Roman" w:hAnsi="Times New Roman" w:cs="Times New Roman"/>
                      <w:color w:val="FF0000"/>
                      <w:sz w:val="21"/>
                      <w:szCs w:val="21"/>
                      <w:lang w:eastAsia="zh-CN"/>
                    </w:rPr>
                    <w:t>初期雨水</w:t>
                  </w:r>
                </w:p>
              </w:tc>
              <w:tc>
                <w:tcPr>
                  <w:tcW w:w="495" w:type="pct"/>
                  <w:vMerge w:val="restart"/>
                  <w:noWrap w:val="0"/>
                  <w:vAlign w:val="center"/>
                </w:tcPr>
                <w:p w14:paraId="00DF5A07">
                  <w:pPr>
                    <w:widowControl/>
                    <w:jc w:val="center"/>
                    <w:rPr>
                      <w:rFonts w:hint="default" w:ascii="Times New Roman" w:hAnsi="Times New Roman" w:eastAsia="宋体" w:cs="Times New Roman"/>
                      <w:color w:val="FF0000"/>
                      <w:sz w:val="21"/>
                      <w:szCs w:val="21"/>
                      <w:lang w:val="en-US" w:eastAsia="zh-CN"/>
                    </w:rPr>
                  </w:pPr>
                  <w:r>
                    <w:rPr>
                      <w:rFonts w:hint="default" w:ascii="Times New Roman" w:hAnsi="Times New Roman" w:cs="Times New Roman"/>
                      <w:color w:val="FF0000"/>
                      <w:sz w:val="21"/>
                      <w:szCs w:val="21"/>
                      <w:lang w:val="en-US" w:eastAsia="zh-CN"/>
                    </w:rPr>
                    <w:t>709</w:t>
                  </w:r>
                </w:p>
              </w:tc>
              <w:tc>
                <w:tcPr>
                  <w:tcW w:w="611" w:type="pct"/>
                  <w:noWrap w:val="0"/>
                  <w:vAlign w:val="center"/>
                </w:tcPr>
                <w:p w14:paraId="5795BA63">
                  <w:pPr>
                    <w:spacing w:line="240" w:lineRule="auto"/>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rPr>
                    <w:t>COD</w:t>
                  </w:r>
                </w:p>
              </w:tc>
              <w:tc>
                <w:tcPr>
                  <w:tcW w:w="438" w:type="pct"/>
                  <w:noWrap w:val="0"/>
                  <w:vAlign w:val="center"/>
                </w:tcPr>
                <w:p w14:paraId="1FED9785">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100</w:t>
                  </w:r>
                </w:p>
              </w:tc>
              <w:tc>
                <w:tcPr>
                  <w:tcW w:w="489" w:type="pct"/>
                  <w:noWrap w:val="0"/>
                  <w:vAlign w:val="center"/>
                </w:tcPr>
                <w:p w14:paraId="58EB6A20">
                  <w:pPr>
                    <w:autoSpaceDE w:val="0"/>
                    <w:snapToGrid w:val="0"/>
                    <w:spacing w:line="240" w:lineRule="atLeast"/>
                    <w:jc w:val="center"/>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0.0709</w:t>
                  </w:r>
                </w:p>
              </w:tc>
              <w:tc>
                <w:tcPr>
                  <w:tcW w:w="476" w:type="pct"/>
                  <w:vMerge w:val="restart"/>
                  <w:noWrap w:val="0"/>
                  <w:vAlign w:val="center"/>
                </w:tcPr>
                <w:p w14:paraId="29251D97">
                  <w:pPr>
                    <w:widowControl/>
                    <w:jc w:val="center"/>
                    <w:rPr>
                      <w:rFonts w:hint="eastAsia"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w:t>
                  </w:r>
                </w:p>
              </w:tc>
              <w:tc>
                <w:tcPr>
                  <w:tcW w:w="791" w:type="dxa"/>
                  <w:noWrap w:val="0"/>
                  <w:vAlign w:val="center"/>
                </w:tcPr>
                <w:p w14:paraId="0010E8DD">
                  <w:pPr>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100</w:t>
                  </w:r>
                </w:p>
              </w:tc>
              <w:tc>
                <w:tcPr>
                  <w:tcW w:w="885" w:type="dxa"/>
                  <w:noWrap w:val="0"/>
                  <w:vAlign w:val="center"/>
                </w:tcPr>
                <w:p w14:paraId="6BD19A9A">
                  <w:pPr>
                    <w:autoSpaceDE w:val="0"/>
                    <w:snapToGrid w:val="0"/>
                    <w:spacing w:line="240" w:lineRule="atLeast"/>
                    <w:jc w:val="center"/>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0.0709</w:t>
                  </w:r>
                </w:p>
              </w:tc>
              <w:tc>
                <w:tcPr>
                  <w:tcW w:w="516" w:type="pct"/>
                  <w:noWrap w:val="0"/>
                  <w:vAlign w:val="center"/>
                </w:tcPr>
                <w:p w14:paraId="28FA9A34">
                  <w:pPr>
                    <w:widowControl/>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500</w:t>
                  </w:r>
                </w:p>
              </w:tc>
              <w:tc>
                <w:tcPr>
                  <w:tcW w:w="485" w:type="pct"/>
                  <w:vMerge w:val="continue"/>
                  <w:tcBorders/>
                  <w:noWrap w:val="0"/>
                  <w:vAlign w:val="center"/>
                </w:tcPr>
                <w:p w14:paraId="060C4039">
                  <w:pPr>
                    <w:jc w:val="center"/>
                    <w:rPr>
                      <w:rFonts w:hint="default" w:ascii="Times New Roman" w:hAnsi="Times New Roman" w:cs="Times New Roman"/>
                      <w:color w:val="FF0000"/>
                      <w:sz w:val="21"/>
                      <w:szCs w:val="21"/>
                    </w:rPr>
                  </w:pPr>
                </w:p>
              </w:tc>
            </w:tr>
            <w:tr w14:paraId="25FABB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6" w:hRule="atLeast"/>
                <w:jc w:val="center"/>
              </w:trPr>
              <w:tc>
                <w:tcPr>
                  <w:tcW w:w="475" w:type="pct"/>
                  <w:vMerge w:val="continue"/>
                  <w:noWrap w:val="0"/>
                  <w:vAlign w:val="center"/>
                </w:tcPr>
                <w:p w14:paraId="560E3B83">
                  <w:pPr>
                    <w:widowControl/>
                    <w:jc w:val="center"/>
                  </w:pPr>
                </w:p>
              </w:tc>
              <w:tc>
                <w:tcPr>
                  <w:tcW w:w="495" w:type="pct"/>
                  <w:vMerge w:val="continue"/>
                  <w:noWrap w:val="0"/>
                  <w:vAlign w:val="center"/>
                </w:tcPr>
                <w:p w14:paraId="53E41ADE">
                  <w:pPr>
                    <w:widowControl/>
                    <w:jc w:val="center"/>
                    <w:rPr>
                      <w:rFonts w:hint="default" w:ascii="Times New Roman" w:hAnsi="Times New Roman" w:cs="Times New Roman"/>
                    </w:rPr>
                  </w:pPr>
                </w:p>
              </w:tc>
              <w:tc>
                <w:tcPr>
                  <w:tcW w:w="611" w:type="pct"/>
                  <w:noWrap w:val="0"/>
                  <w:vAlign w:val="center"/>
                </w:tcPr>
                <w:p w14:paraId="5E95B89E">
                  <w:pPr>
                    <w:spacing w:line="240" w:lineRule="auto"/>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rPr>
                    <w:t>SS</w:t>
                  </w:r>
                </w:p>
              </w:tc>
              <w:tc>
                <w:tcPr>
                  <w:tcW w:w="438" w:type="pct"/>
                  <w:noWrap w:val="0"/>
                  <w:vAlign w:val="center"/>
                </w:tcPr>
                <w:p w14:paraId="06D6B68C">
                  <w:pPr>
                    <w:widowControl/>
                    <w:jc w:val="center"/>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80</w:t>
                  </w:r>
                </w:p>
              </w:tc>
              <w:tc>
                <w:tcPr>
                  <w:tcW w:w="489" w:type="pct"/>
                  <w:noWrap w:val="0"/>
                  <w:vAlign w:val="center"/>
                </w:tcPr>
                <w:p w14:paraId="511A98C9">
                  <w:pPr>
                    <w:widowControl/>
                    <w:jc w:val="center"/>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0.05672</w:t>
                  </w:r>
                </w:p>
              </w:tc>
              <w:tc>
                <w:tcPr>
                  <w:tcW w:w="476" w:type="pct"/>
                  <w:vMerge w:val="continue"/>
                  <w:tcBorders/>
                  <w:noWrap w:val="0"/>
                  <w:vAlign w:val="center"/>
                </w:tcPr>
                <w:p w14:paraId="1ECFFFB1">
                  <w:pPr>
                    <w:widowControl/>
                    <w:jc w:val="center"/>
                    <w:rPr>
                      <w:rFonts w:hint="default" w:ascii="Times New Roman" w:hAnsi="Times New Roman" w:cs="Times New Roman"/>
                      <w:color w:val="FF0000"/>
                      <w:sz w:val="21"/>
                      <w:szCs w:val="21"/>
                      <w:lang w:val="en-US" w:eastAsia="zh-CN"/>
                    </w:rPr>
                  </w:pPr>
                </w:p>
              </w:tc>
              <w:tc>
                <w:tcPr>
                  <w:tcW w:w="791" w:type="dxa"/>
                  <w:noWrap w:val="0"/>
                  <w:vAlign w:val="center"/>
                </w:tcPr>
                <w:p w14:paraId="7444A263">
                  <w:pPr>
                    <w:widowControl/>
                    <w:jc w:val="center"/>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80</w:t>
                  </w:r>
                </w:p>
              </w:tc>
              <w:tc>
                <w:tcPr>
                  <w:tcW w:w="885" w:type="dxa"/>
                  <w:noWrap w:val="0"/>
                  <w:vAlign w:val="center"/>
                </w:tcPr>
                <w:p w14:paraId="7813A3B0">
                  <w:pPr>
                    <w:widowControl/>
                    <w:jc w:val="center"/>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0.05672</w:t>
                  </w:r>
                </w:p>
              </w:tc>
              <w:tc>
                <w:tcPr>
                  <w:tcW w:w="516" w:type="pct"/>
                  <w:noWrap w:val="0"/>
                  <w:vAlign w:val="center"/>
                </w:tcPr>
                <w:p w14:paraId="03C7382E">
                  <w:pPr>
                    <w:widowControl/>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400</w:t>
                  </w:r>
                </w:p>
              </w:tc>
              <w:tc>
                <w:tcPr>
                  <w:tcW w:w="485" w:type="pct"/>
                  <w:vMerge w:val="continue"/>
                  <w:tcBorders/>
                  <w:noWrap w:val="0"/>
                  <w:vAlign w:val="center"/>
                </w:tcPr>
                <w:p w14:paraId="162DF7A9">
                  <w:pPr>
                    <w:widowControl/>
                    <w:jc w:val="center"/>
                    <w:rPr>
                      <w:rFonts w:hint="default" w:ascii="Times New Roman" w:hAnsi="Times New Roman" w:cs="Times New Roman"/>
                      <w:color w:val="FF0000"/>
                      <w:sz w:val="21"/>
                      <w:szCs w:val="21"/>
                      <w:lang w:val="en-US" w:eastAsia="zh-CN"/>
                    </w:rPr>
                  </w:pPr>
                </w:p>
              </w:tc>
            </w:tr>
          </w:tbl>
          <w:p w14:paraId="436703D4">
            <w:pPr>
              <w:pStyle w:val="8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表4-</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lang w:val="en-US" w:eastAsia="zh-CN"/>
              </w:rPr>
              <w:t xml:space="preserve"> 废水治理设施情况一览表</w:t>
            </w:r>
          </w:p>
          <w:tbl>
            <w:tblPr>
              <w:tblStyle w:val="41"/>
              <w:tblW w:w="850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524"/>
              <w:gridCol w:w="682"/>
              <w:gridCol w:w="879"/>
              <w:gridCol w:w="713"/>
              <w:gridCol w:w="737"/>
              <w:gridCol w:w="713"/>
              <w:gridCol w:w="712"/>
              <w:gridCol w:w="675"/>
              <w:gridCol w:w="650"/>
              <w:gridCol w:w="700"/>
              <w:gridCol w:w="1519"/>
            </w:tblGrid>
            <w:tr w14:paraId="2CEF14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24" w:type="dxa"/>
                  <w:vMerge w:val="restart"/>
                  <w:tcBorders>
                    <w:tl2br w:val="nil"/>
                    <w:tr2bl w:val="nil"/>
                  </w:tcBorders>
                  <w:noWrap w:val="0"/>
                  <w:vAlign w:val="center"/>
                </w:tcPr>
                <w:p w14:paraId="0C26D223">
                  <w:pPr>
                    <w:adjustRightInd w:val="0"/>
                    <w:snapToGrid w:val="0"/>
                    <w:jc w:val="center"/>
                    <w:rPr>
                      <w:b/>
                      <w:color w:val="auto"/>
                      <w:sz w:val="21"/>
                      <w:szCs w:val="21"/>
                    </w:rPr>
                  </w:pPr>
                  <w:r>
                    <w:rPr>
                      <w:b/>
                      <w:color w:val="auto"/>
                      <w:sz w:val="21"/>
                      <w:szCs w:val="21"/>
                    </w:rPr>
                    <w:t>序号</w:t>
                  </w:r>
                </w:p>
              </w:tc>
              <w:tc>
                <w:tcPr>
                  <w:tcW w:w="682" w:type="dxa"/>
                  <w:vMerge w:val="restart"/>
                  <w:tcBorders>
                    <w:tl2br w:val="nil"/>
                    <w:tr2bl w:val="nil"/>
                  </w:tcBorders>
                  <w:noWrap w:val="0"/>
                  <w:vAlign w:val="center"/>
                </w:tcPr>
                <w:p w14:paraId="34BBD2F5">
                  <w:pPr>
                    <w:adjustRightInd w:val="0"/>
                    <w:snapToGrid w:val="0"/>
                    <w:jc w:val="center"/>
                    <w:rPr>
                      <w:b/>
                      <w:color w:val="auto"/>
                      <w:sz w:val="21"/>
                      <w:szCs w:val="21"/>
                    </w:rPr>
                  </w:pPr>
                  <w:r>
                    <w:rPr>
                      <w:b/>
                      <w:color w:val="auto"/>
                      <w:sz w:val="21"/>
                      <w:szCs w:val="21"/>
                    </w:rPr>
                    <w:t>废水类别</w:t>
                  </w:r>
                </w:p>
              </w:tc>
              <w:tc>
                <w:tcPr>
                  <w:tcW w:w="879" w:type="dxa"/>
                  <w:vMerge w:val="restart"/>
                  <w:tcBorders>
                    <w:tl2br w:val="nil"/>
                    <w:tr2bl w:val="nil"/>
                  </w:tcBorders>
                  <w:noWrap w:val="0"/>
                  <w:vAlign w:val="center"/>
                </w:tcPr>
                <w:p w14:paraId="48E31C74">
                  <w:pPr>
                    <w:adjustRightInd w:val="0"/>
                    <w:snapToGrid w:val="0"/>
                    <w:jc w:val="center"/>
                    <w:rPr>
                      <w:b/>
                      <w:color w:val="auto"/>
                      <w:sz w:val="21"/>
                      <w:szCs w:val="21"/>
                    </w:rPr>
                  </w:pPr>
                  <w:r>
                    <w:rPr>
                      <w:b/>
                      <w:color w:val="auto"/>
                      <w:sz w:val="21"/>
                      <w:szCs w:val="21"/>
                    </w:rPr>
                    <w:t>污染物种类</w:t>
                  </w:r>
                </w:p>
              </w:tc>
              <w:tc>
                <w:tcPr>
                  <w:tcW w:w="713" w:type="dxa"/>
                  <w:vMerge w:val="restart"/>
                  <w:tcBorders>
                    <w:tl2br w:val="nil"/>
                    <w:tr2bl w:val="nil"/>
                  </w:tcBorders>
                  <w:noWrap w:val="0"/>
                  <w:vAlign w:val="center"/>
                </w:tcPr>
                <w:p w14:paraId="59BC5E25">
                  <w:pPr>
                    <w:adjustRightInd w:val="0"/>
                    <w:snapToGrid w:val="0"/>
                    <w:jc w:val="center"/>
                    <w:rPr>
                      <w:b/>
                      <w:color w:val="auto"/>
                      <w:sz w:val="21"/>
                      <w:szCs w:val="21"/>
                    </w:rPr>
                  </w:pPr>
                  <w:r>
                    <w:rPr>
                      <w:b/>
                      <w:color w:val="auto"/>
                      <w:sz w:val="21"/>
                      <w:szCs w:val="21"/>
                    </w:rPr>
                    <w:t>排放</w:t>
                  </w:r>
                </w:p>
                <w:p w14:paraId="01138557">
                  <w:pPr>
                    <w:adjustRightInd w:val="0"/>
                    <w:snapToGrid w:val="0"/>
                    <w:jc w:val="center"/>
                    <w:rPr>
                      <w:b/>
                      <w:color w:val="auto"/>
                      <w:sz w:val="21"/>
                      <w:szCs w:val="21"/>
                    </w:rPr>
                  </w:pPr>
                  <w:r>
                    <w:rPr>
                      <w:b/>
                      <w:color w:val="auto"/>
                      <w:sz w:val="21"/>
                      <w:szCs w:val="21"/>
                    </w:rPr>
                    <w:t>去向</w:t>
                  </w:r>
                </w:p>
              </w:tc>
              <w:tc>
                <w:tcPr>
                  <w:tcW w:w="737" w:type="dxa"/>
                  <w:vMerge w:val="restart"/>
                  <w:tcBorders>
                    <w:tl2br w:val="nil"/>
                    <w:tr2bl w:val="nil"/>
                  </w:tcBorders>
                  <w:noWrap w:val="0"/>
                  <w:vAlign w:val="center"/>
                </w:tcPr>
                <w:p w14:paraId="3D378F2D">
                  <w:pPr>
                    <w:adjustRightInd w:val="0"/>
                    <w:snapToGrid w:val="0"/>
                    <w:jc w:val="center"/>
                    <w:rPr>
                      <w:b/>
                      <w:color w:val="auto"/>
                      <w:sz w:val="21"/>
                      <w:szCs w:val="21"/>
                    </w:rPr>
                  </w:pPr>
                  <w:r>
                    <w:rPr>
                      <w:b/>
                      <w:color w:val="auto"/>
                      <w:sz w:val="21"/>
                      <w:szCs w:val="21"/>
                    </w:rPr>
                    <w:t>排放</w:t>
                  </w:r>
                </w:p>
                <w:p w14:paraId="4DB214CE">
                  <w:pPr>
                    <w:adjustRightInd w:val="0"/>
                    <w:snapToGrid w:val="0"/>
                    <w:jc w:val="center"/>
                    <w:rPr>
                      <w:b/>
                      <w:color w:val="auto"/>
                      <w:sz w:val="21"/>
                      <w:szCs w:val="21"/>
                    </w:rPr>
                  </w:pPr>
                  <w:r>
                    <w:rPr>
                      <w:b/>
                      <w:color w:val="auto"/>
                      <w:sz w:val="21"/>
                      <w:szCs w:val="21"/>
                    </w:rPr>
                    <w:t>规律</w:t>
                  </w:r>
                </w:p>
              </w:tc>
              <w:tc>
                <w:tcPr>
                  <w:tcW w:w="2100" w:type="dxa"/>
                  <w:gridSpan w:val="3"/>
                  <w:tcBorders>
                    <w:tl2br w:val="nil"/>
                    <w:tr2bl w:val="nil"/>
                  </w:tcBorders>
                  <w:noWrap w:val="0"/>
                  <w:vAlign w:val="center"/>
                </w:tcPr>
                <w:p w14:paraId="6393045B">
                  <w:pPr>
                    <w:adjustRightInd w:val="0"/>
                    <w:snapToGrid w:val="0"/>
                    <w:jc w:val="center"/>
                    <w:rPr>
                      <w:b/>
                      <w:color w:val="auto"/>
                      <w:sz w:val="21"/>
                      <w:szCs w:val="21"/>
                    </w:rPr>
                  </w:pPr>
                  <w:r>
                    <w:rPr>
                      <w:b/>
                      <w:color w:val="auto"/>
                      <w:sz w:val="21"/>
                      <w:szCs w:val="21"/>
                    </w:rPr>
                    <w:t>污染治理设施</w:t>
                  </w:r>
                </w:p>
              </w:tc>
              <w:tc>
                <w:tcPr>
                  <w:tcW w:w="650" w:type="dxa"/>
                  <w:vMerge w:val="restart"/>
                  <w:tcBorders>
                    <w:tl2br w:val="nil"/>
                    <w:tr2bl w:val="nil"/>
                  </w:tcBorders>
                  <w:noWrap w:val="0"/>
                  <w:vAlign w:val="center"/>
                </w:tcPr>
                <w:p w14:paraId="20057EF1">
                  <w:pPr>
                    <w:adjustRightInd w:val="0"/>
                    <w:snapToGrid w:val="0"/>
                    <w:jc w:val="center"/>
                    <w:rPr>
                      <w:b/>
                      <w:color w:val="auto"/>
                      <w:sz w:val="21"/>
                      <w:szCs w:val="21"/>
                    </w:rPr>
                  </w:pPr>
                  <w:r>
                    <w:rPr>
                      <w:b/>
                      <w:color w:val="auto"/>
                      <w:sz w:val="21"/>
                      <w:szCs w:val="21"/>
                    </w:rPr>
                    <w:t>排放口编号</w:t>
                  </w:r>
                </w:p>
              </w:tc>
              <w:tc>
                <w:tcPr>
                  <w:tcW w:w="700" w:type="dxa"/>
                  <w:vMerge w:val="restart"/>
                  <w:tcBorders>
                    <w:tl2br w:val="nil"/>
                    <w:tr2bl w:val="nil"/>
                  </w:tcBorders>
                  <w:noWrap w:val="0"/>
                  <w:vAlign w:val="center"/>
                </w:tcPr>
                <w:p w14:paraId="4293B443">
                  <w:pPr>
                    <w:adjustRightInd w:val="0"/>
                    <w:snapToGrid w:val="0"/>
                    <w:jc w:val="center"/>
                    <w:rPr>
                      <w:b/>
                      <w:color w:val="auto"/>
                      <w:sz w:val="21"/>
                      <w:szCs w:val="21"/>
                    </w:rPr>
                  </w:pPr>
                  <w:r>
                    <w:rPr>
                      <w:b/>
                      <w:color w:val="auto"/>
                      <w:sz w:val="21"/>
                      <w:szCs w:val="21"/>
                    </w:rPr>
                    <w:t>排放口设置是否符合要求</w:t>
                  </w:r>
                </w:p>
              </w:tc>
              <w:tc>
                <w:tcPr>
                  <w:tcW w:w="1519" w:type="dxa"/>
                  <w:vMerge w:val="restart"/>
                  <w:tcBorders>
                    <w:tl2br w:val="nil"/>
                    <w:tr2bl w:val="nil"/>
                  </w:tcBorders>
                  <w:noWrap w:val="0"/>
                  <w:vAlign w:val="center"/>
                </w:tcPr>
                <w:p w14:paraId="7F86DF5E">
                  <w:pPr>
                    <w:adjustRightInd w:val="0"/>
                    <w:snapToGrid w:val="0"/>
                    <w:jc w:val="center"/>
                    <w:rPr>
                      <w:b/>
                      <w:color w:val="auto"/>
                      <w:sz w:val="21"/>
                      <w:szCs w:val="21"/>
                    </w:rPr>
                  </w:pPr>
                  <w:r>
                    <w:rPr>
                      <w:b/>
                      <w:color w:val="auto"/>
                      <w:sz w:val="21"/>
                      <w:szCs w:val="21"/>
                    </w:rPr>
                    <w:t>排放口类型</w:t>
                  </w:r>
                </w:p>
              </w:tc>
            </w:tr>
            <w:tr w14:paraId="34F1B3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24" w:type="dxa"/>
                  <w:vMerge w:val="continue"/>
                  <w:tcBorders>
                    <w:tl2br w:val="nil"/>
                    <w:tr2bl w:val="nil"/>
                  </w:tcBorders>
                  <w:noWrap w:val="0"/>
                  <w:vAlign w:val="center"/>
                </w:tcPr>
                <w:p w14:paraId="55DD05CB">
                  <w:pPr>
                    <w:adjustRightInd w:val="0"/>
                    <w:snapToGrid w:val="0"/>
                    <w:jc w:val="center"/>
                    <w:rPr>
                      <w:color w:val="auto"/>
                      <w:sz w:val="21"/>
                      <w:szCs w:val="21"/>
                    </w:rPr>
                  </w:pPr>
                </w:p>
              </w:tc>
              <w:tc>
                <w:tcPr>
                  <w:tcW w:w="682" w:type="dxa"/>
                  <w:vMerge w:val="continue"/>
                  <w:tcBorders>
                    <w:tl2br w:val="nil"/>
                    <w:tr2bl w:val="nil"/>
                  </w:tcBorders>
                  <w:noWrap w:val="0"/>
                  <w:vAlign w:val="center"/>
                </w:tcPr>
                <w:p w14:paraId="5D88AFE3">
                  <w:pPr>
                    <w:adjustRightInd w:val="0"/>
                    <w:snapToGrid w:val="0"/>
                    <w:jc w:val="center"/>
                    <w:rPr>
                      <w:color w:val="auto"/>
                      <w:sz w:val="21"/>
                      <w:szCs w:val="21"/>
                    </w:rPr>
                  </w:pPr>
                </w:p>
              </w:tc>
              <w:tc>
                <w:tcPr>
                  <w:tcW w:w="879" w:type="dxa"/>
                  <w:vMerge w:val="continue"/>
                  <w:tcBorders>
                    <w:tl2br w:val="nil"/>
                    <w:tr2bl w:val="nil"/>
                  </w:tcBorders>
                  <w:noWrap w:val="0"/>
                  <w:vAlign w:val="center"/>
                </w:tcPr>
                <w:p w14:paraId="6BD95E65">
                  <w:pPr>
                    <w:adjustRightInd w:val="0"/>
                    <w:snapToGrid w:val="0"/>
                    <w:jc w:val="center"/>
                    <w:rPr>
                      <w:color w:val="auto"/>
                      <w:sz w:val="21"/>
                      <w:szCs w:val="21"/>
                    </w:rPr>
                  </w:pPr>
                </w:p>
              </w:tc>
              <w:tc>
                <w:tcPr>
                  <w:tcW w:w="713" w:type="dxa"/>
                  <w:vMerge w:val="continue"/>
                  <w:tcBorders>
                    <w:tl2br w:val="nil"/>
                    <w:tr2bl w:val="nil"/>
                  </w:tcBorders>
                  <w:noWrap w:val="0"/>
                  <w:vAlign w:val="center"/>
                </w:tcPr>
                <w:p w14:paraId="0D36633E">
                  <w:pPr>
                    <w:adjustRightInd w:val="0"/>
                    <w:snapToGrid w:val="0"/>
                    <w:jc w:val="center"/>
                    <w:rPr>
                      <w:color w:val="auto"/>
                      <w:sz w:val="21"/>
                      <w:szCs w:val="21"/>
                    </w:rPr>
                  </w:pPr>
                </w:p>
              </w:tc>
              <w:tc>
                <w:tcPr>
                  <w:tcW w:w="737" w:type="dxa"/>
                  <w:vMerge w:val="continue"/>
                  <w:tcBorders>
                    <w:tl2br w:val="nil"/>
                    <w:tr2bl w:val="nil"/>
                  </w:tcBorders>
                  <w:noWrap w:val="0"/>
                  <w:vAlign w:val="center"/>
                </w:tcPr>
                <w:p w14:paraId="3D977DBC">
                  <w:pPr>
                    <w:adjustRightInd w:val="0"/>
                    <w:snapToGrid w:val="0"/>
                    <w:jc w:val="center"/>
                    <w:rPr>
                      <w:color w:val="auto"/>
                      <w:sz w:val="21"/>
                      <w:szCs w:val="21"/>
                    </w:rPr>
                  </w:pPr>
                </w:p>
              </w:tc>
              <w:tc>
                <w:tcPr>
                  <w:tcW w:w="713" w:type="dxa"/>
                  <w:tcBorders>
                    <w:tl2br w:val="nil"/>
                    <w:tr2bl w:val="nil"/>
                  </w:tcBorders>
                  <w:noWrap w:val="0"/>
                  <w:vAlign w:val="center"/>
                </w:tcPr>
                <w:p w14:paraId="760B0860">
                  <w:pPr>
                    <w:adjustRightInd w:val="0"/>
                    <w:snapToGrid w:val="0"/>
                    <w:jc w:val="center"/>
                    <w:rPr>
                      <w:b/>
                      <w:color w:val="auto"/>
                      <w:sz w:val="21"/>
                      <w:szCs w:val="21"/>
                    </w:rPr>
                  </w:pPr>
                  <w:r>
                    <w:rPr>
                      <w:b/>
                      <w:color w:val="auto"/>
                      <w:sz w:val="21"/>
                      <w:szCs w:val="21"/>
                    </w:rPr>
                    <w:t>污染治理设施编号</w:t>
                  </w:r>
                </w:p>
              </w:tc>
              <w:tc>
                <w:tcPr>
                  <w:tcW w:w="712" w:type="dxa"/>
                  <w:tcBorders>
                    <w:tl2br w:val="nil"/>
                    <w:tr2bl w:val="nil"/>
                  </w:tcBorders>
                  <w:noWrap w:val="0"/>
                  <w:vAlign w:val="center"/>
                </w:tcPr>
                <w:p w14:paraId="72140204">
                  <w:pPr>
                    <w:adjustRightInd w:val="0"/>
                    <w:snapToGrid w:val="0"/>
                    <w:jc w:val="center"/>
                    <w:rPr>
                      <w:b/>
                      <w:color w:val="auto"/>
                      <w:sz w:val="21"/>
                      <w:szCs w:val="21"/>
                    </w:rPr>
                  </w:pPr>
                  <w:r>
                    <w:rPr>
                      <w:b/>
                      <w:color w:val="auto"/>
                      <w:sz w:val="21"/>
                      <w:szCs w:val="21"/>
                    </w:rPr>
                    <w:t>污染治理设施名称</w:t>
                  </w:r>
                </w:p>
              </w:tc>
              <w:tc>
                <w:tcPr>
                  <w:tcW w:w="675" w:type="dxa"/>
                  <w:tcBorders>
                    <w:tl2br w:val="nil"/>
                    <w:tr2bl w:val="nil"/>
                  </w:tcBorders>
                  <w:noWrap w:val="0"/>
                  <w:vAlign w:val="center"/>
                </w:tcPr>
                <w:p w14:paraId="5552CF72">
                  <w:pPr>
                    <w:adjustRightInd w:val="0"/>
                    <w:snapToGrid w:val="0"/>
                    <w:jc w:val="center"/>
                    <w:rPr>
                      <w:b/>
                      <w:color w:val="auto"/>
                      <w:sz w:val="21"/>
                      <w:szCs w:val="21"/>
                    </w:rPr>
                  </w:pPr>
                  <w:r>
                    <w:rPr>
                      <w:b/>
                      <w:color w:val="auto"/>
                      <w:sz w:val="21"/>
                      <w:szCs w:val="21"/>
                    </w:rPr>
                    <w:t>污染治理设施工艺</w:t>
                  </w:r>
                </w:p>
              </w:tc>
              <w:tc>
                <w:tcPr>
                  <w:tcW w:w="650" w:type="dxa"/>
                  <w:vMerge w:val="continue"/>
                  <w:tcBorders>
                    <w:tl2br w:val="nil"/>
                    <w:tr2bl w:val="nil"/>
                  </w:tcBorders>
                  <w:noWrap w:val="0"/>
                  <w:vAlign w:val="center"/>
                </w:tcPr>
                <w:p w14:paraId="7BA3A457">
                  <w:pPr>
                    <w:adjustRightInd w:val="0"/>
                    <w:snapToGrid w:val="0"/>
                    <w:jc w:val="center"/>
                    <w:rPr>
                      <w:color w:val="auto"/>
                      <w:sz w:val="21"/>
                      <w:szCs w:val="21"/>
                    </w:rPr>
                  </w:pPr>
                </w:p>
              </w:tc>
              <w:tc>
                <w:tcPr>
                  <w:tcW w:w="700" w:type="dxa"/>
                  <w:vMerge w:val="continue"/>
                  <w:tcBorders>
                    <w:tl2br w:val="nil"/>
                    <w:tr2bl w:val="nil"/>
                  </w:tcBorders>
                  <w:noWrap w:val="0"/>
                  <w:vAlign w:val="center"/>
                </w:tcPr>
                <w:p w14:paraId="432C83EB">
                  <w:pPr>
                    <w:adjustRightInd w:val="0"/>
                    <w:snapToGrid w:val="0"/>
                    <w:jc w:val="center"/>
                    <w:rPr>
                      <w:color w:val="auto"/>
                      <w:sz w:val="21"/>
                      <w:szCs w:val="21"/>
                    </w:rPr>
                  </w:pPr>
                </w:p>
              </w:tc>
              <w:tc>
                <w:tcPr>
                  <w:tcW w:w="1519" w:type="dxa"/>
                  <w:vMerge w:val="continue"/>
                  <w:tcBorders>
                    <w:tl2br w:val="nil"/>
                    <w:tr2bl w:val="nil"/>
                  </w:tcBorders>
                  <w:noWrap w:val="0"/>
                  <w:vAlign w:val="center"/>
                </w:tcPr>
                <w:p w14:paraId="05099335">
                  <w:pPr>
                    <w:adjustRightInd w:val="0"/>
                    <w:snapToGrid w:val="0"/>
                    <w:jc w:val="center"/>
                    <w:rPr>
                      <w:color w:val="auto"/>
                      <w:sz w:val="21"/>
                      <w:szCs w:val="21"/>
                    </w:rPr>
                  </w:pPr>
                </w:p>
              </w:tc>
            </w:tr>
            <w:tr w14:paraId="6A2107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634" w:hRule="atLeast"/>
                <w:jc w:val="center"/>
              </w:trPr>
              <w:tc>
                <w:tcPr>
                  <w:tcW w:w="524" w:type="dxa"/>
                  <w:tcBorders>
                    <w:tl2br w:val="nil"/>
                    <w:tr2bl w:val="nil"/>
                  </w:tcBorders>
                  <w:noWrap w:val="0"/>
                  <w:vAlign w:val="center"/>
                </w:tcPr>
                <w:p w14:paraId="4A69D52F">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82" w:type="dxa"/>
                  <w:tcBorders>
                    <w:tl2br w:val="nil"/>
                    <w:tr2bl w:val="nil"/>
                  </w:tcBorders>
                  <w:noWrap w:val="0"/>
                  <w:vAlign w:val="center"/>
                </w:tcPr>
                <w:p w14:paraId="2646A1B3">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w:t>
                  </w:r>
                </w:p>
                <w:p w14:paraId="0B300097">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w:t>
                  </w:r>
                </w:p>
              </w:tc>
              <w:tc>
                <w:tcPr>
                  <w:tcW w:w="879" w:type="dxa"/>
                  <w:tcBorders>
                    <w:tl2br w:val="nil"/>
                    <w:tr2bl w:val="nil"/>
                  </w:tcBorders>
                  <w:noWrap w:val="0"/>
                  <w:vAlign w:val="center"/>
                </w:tcPr>
                <w:p w14:paraId="2BC4176A">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r>
                    <w:rPr>
                      <w:rFonts w:hint="default" w:ascii="Times New Roman" w:hAnsi="Times New Roman" w:cs="Times New Roman"/>
                      <w:b w:val="0"/>
                      <w:bCs w:val="0"/>
                      <w:color w:val="auto"/>
                      <w:sz w:val="21"/>
                      <w:szCs w:val="21"/>
                      <w:lang w:val="en-US" w:eastAsia="zh-CN"/>
                    </w:rPr>
                    <w:t>BOD</w:t>
                  </w:r>
                  <w:r>
                    <w:rPr>
                      <w:rFonts w:hint="default" w:ascii="Times New Roman" w:hAnsi="Times New Roman" w:cs="Times New Roman"/>
                      <w:b w:val="0"/>
                      <w:bCs w:val="0"/>
                      <w:color w:val="auto"/>
                      <w:sz w:val="21"/>
                      <w:szCs w:val="21"/>
                      <w:vertAlign w:val="subscript"/>
                      <w:lang w:val="en-US" w:eastAsia="zh-CN"/>
                    </w:rPr>
                    <w:t>5</w:t>
                  </w:r>
                  <w:r>
                    <w:rPr>
                      <w:rFonts w:hint="eastAsia" w:ascii="Times New Roman" w:hAnsi="Times New Roman" w:cs="Times New Roman"/>
                      <w:b w:val="0"/>
                      <w:bCs w:val="0"/>
                      <w:color w:val="auto"/>
                      <w:sz w:val="21"/>
                      <w:szCs w:val="21"/>
                      <w:vertAlign w:val="subscript"/>
                      <w:lang w:val="en-US" w:eastAsia="zh-CN"/>
                    </w:rPr>
                    <w:t>、</w:t>
                  </w:r>
                  <w:r>
                    <w:rPr>
                      <w:rFonts w:hint="default" w:ascii="Times New Roman" w:hAnsi="Times New Roman" w:eastAsia="宋体" w:cs="Times New Roman"/>
                      <w:color w:val="auto"/>
                      <w:sz w:val="21"/>
                      <w:szCs w:val="21"/>
                    </w:rPr>
                    <w:t>SS、NH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-N、TN、TP</w:t>
                  </w:r>
                </w:p>
              </w:tc>
              <w:tc>
                <w:tcPr>
                  <w:tcW w:w="713" w:type="dxa"/>
                  <w:tcBorders>
                    <w:tl2br w:val="nil"/>
                    <w:tr2bl w:val="nil"/>
                  </w:tcBorders>
                  <w:noWrap w:val="0"/>
                  <w:vAlign w:val="center"/>
                </w:tcPr>
                <w:p w14:paraId="2A62E608">
                  <w:pPr>
                    <w:widowControl/>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海门经济技术开发区污水处理厂</w:t>
                  </w:r>
                </w:p>
              </w:tc>
              <w:tc>
                <w:tcPr>
                  <w:tcW w:w="737" w:type="dxa"/>
                  <w:tcBorders>
                    <w:tl2br w:val="nil"/>
                    <w:tr2bl w:val="nil"/>
                  </w:tcBorders>
                  <w:noWrap w:val="0"/>
                  <w:vAlign w:val="center"/>
                </w:tcPr>
                <w:p w14:paraId="752B3530">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间断排放，排放期间流量不稳定</w:t>
                  </w:r>
                </w:p>
              </w:tc>
              <w:tc>
                <w:tcPr>
                  <w:tcW w:w="713" w:type="dxa"/>
                  <w:tcBorders>
                    <w:tl2br w:val="nil"/>
                    <w:tr2bl w:val="nil"/>
                  </w:tcBorders>
                  <w:noWrap w:val="0"/>
                  <w:vAlign w:val="center"/>
                </w:tcPr>
                <w:p w14:paraId="53F97C31">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TW001</w:t>
                  </w:r>
                </w:p>
              </w:tc>
              <w:tc>
                <w:tcPr>
                  <w:tcW w:w="712" w:type="dxa"/>
                  <w:tcBorders>
                    <w:tl2br w:val="nil"/>
                    <w:tr2bl w:val="nil"/>
                  </w:tcBorders>
                  <w:noWrap w:val="0"/>
                  <w:vAlign w:val="center"/>
                </w:tcPr>
                <w:p w14:paraId="163F37BC">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化粪池</w:t>
                  </w:r>
                </w:p>
              </w:tc>
              <w:tc>
                <w:tcPr>
                  <w:tcW w:w="675" w:type="dxa"/>
                  <w:tcBorders>
                    <w:tl2br w:val="nil"/>
                    <w:tr2bl w:val="nil"/>
                  </w:tcBorders>
                  <w:noWrap w:val="0"/>
                  <w:vAlign w:val="center"/>
                </w:tcPr>
                <w:p w14:paraId="39115EEE">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650" w:type="dxa"/>
                  <w:tcBorders>
                    <w:tl2br w:val="nil"/>
                    <w:tr2bl w:val="nil"/>
                  </w:tcBorders>
                  <w:noWrap w:val="0"/>
                  <w:vAlign w:val="center"/>
                </w:tcPr>
                <w:p w14:paraId="10CDC7B0">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DW001</w:t>
                  </w:r>
                </w:p>
              </w:tc>
              <w:tc>
                <w:tcPr>
                  <w:tcW w:w="700" w:type="dxa"/>
                  <w:tcBorders>
                    <w:tl2br w:val="nil"/>
                    <w:tr2bl w:val="nil"/>
                  </w:tcBorders>
                  <w:noWrap w:val="0"/>
                  <w:vAlign w:val="center"/>
                </w:tcPr>
                <w:p w14:paraId="13B95EBE">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是</w:t>
                  </w:r>
                </w:p>
                <w:p w14:paraId="74863C1D">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否</w:t>
                  </w:r>
                </w:p>
              </w:tc>
              <w:tc>
                <w:tcPr>
                  <w:tcW w:w="1519" w:type="dxa"/>
                  <w:tcBorders>
                    <w:tl2br w:val="nil"/>
                    <w:tr2bl w:val="nil"/>
                  </w:tcBorders>
                  <w:noWrap w:val="0"/>
                  <w:vAlign w:val="center"/>
                </w:tcPr>
                <w:p w14:paraId="666845CC">
                  <w:pPr>
                    <w:widowControl/>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企业总排</w:t>
                  </w:r>
                  <w:r>
                    <w:rPr>
                      <w:rFonts w:hint="eastAsia" w:ascii="Times New Roman" w:hAnsi="Times New Roman" w:eastAsia="宋体" w:cs="Times New Roman"/>
                      <w:color w:val="auto"/>
                      <w:sz w:val="21"/>
                      <w:szCs w:val="21"/>
                    </w:rPr>
                    <w:t>放</w:t>
                  </w:r>
                </w:p>
                <w:p w14:paraId="3804D7A1">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雨水排放</w:t>
                  </w:r>
                </w:p>
                <w:p w14:paraId="0AB2AD83">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清净下水排放</w:t>
                  </w:r>
                </w:p>
                <w:p w14:paraId="1E7699FA">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温排水排放</w:t>
                  </w:r>
                </w:p>
                <w:p w14:paraId="262216AA">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车间或车间处理设施排放</w:t>
                  </w:r>
                </w:p>
              </w:tc>
            </w:tr>
          </w:tbl>
          <w:p w14:paraId="522A46AE">
            <w:pPr>
              <w:adjustRightInd w:val="0"/>
              <w:snapToGrid w:val="0"/>
              <w:spacing w:before="120" w:beforeLines="5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default" w:ascii="Times New Roman" w:hAnsi="Times New Roman" w:cs="Times New Roman"/>
                <w:b/>
                <w:bCs/>
                <w:color w:val="auto"/>
                <w:sz w:val="21"/>
                <w:szCs w:val="21"/>
                <w:lang w:val="en-US" w:eastAsia="zh-CN"/>
              </w:rPr>
              <w:t>1</w:t>
            </w:r>
            <w:r>
              <w:rPr>
                <w:rFonts w:hint="eastAsia"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rPr>
              <w:t xml:space="preserve"> 废水污染物排放执行标准表</w:t>
            </w:r>
          </w:p>
          <w:tbl>
            <w:tblPr>
              <w:tblStyle w:val="41"/>
              <w:tblW w:w="8239" w:type="dxa"/>
              <w:jc w:val="center"/>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fixed"/>
              <w:tblCellMar>
                <w:top w:w="0" w:type="dxa"/>
                <w:left w:w="0" w:type="dxa"/>
                <w:bottom w:w="0" w:type="dxa"/>
                <w:right w:w="0" w:type="dxa"/>
              </w:tblCellMar>
            </w:tblPr>
            <w:tblGrid>
              <w:gridCol w:w="1805"/>
              <w:gridCol w:w="2428"/>
              <w:gridCol w:w="1980"/>
              <w:gridCol w:w="2026"/>
            </w:tblGrid>
            <w:tr w14:paraId="1B59E77A">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587" w:hRule="exact"/>
                <w:jc w:val="center"/>
              </w:trPr>
              <w:tc>
                <w:tcPr>
                  <w:tcW w:w="1805" w:type="dxa"/>
                  <w:noWrap w:val="0"/>
                  <w:vAlign w:val="center"/>
                </w:tcPr>
                <w:p w14:paraId="6ED37C8D">
                  <w:pPr>
                    <w:pStyle w:val="238"/>
                    <w:ind w:left="3"/>
                    <w:jc w:val="center"/>
                    <w:rPr>
                      <w:rFonts w:hint="default" w:ascii="Times New Roman" w:hAnsi="Times New Roman" w:cs="Times New Roman"/>
                      <w:color w:val="auto"/>
                      <w:sz w:val="21"/>
                      <w:szCs w:val="21"/>
                    </w:rPr>
                  </w:pPr>
                  <w:r>
                    <w:rPr>
                      <w:rFonts w:hint="default" w:ascii="Times New Roman" w:hAnsi="Times New Roman" w:cs="Times New Roman"/>
                      <w:b/>
                      <w:bCs/>
                      <w:color w:val="auto"/>
                      <w:spacing w:val="2"/>
                      <w:sz w:val="21"/>
                      <w:szCs w:val="21"/>
                    </w:rPr>
                    <w:t>污染物</w:t>
                  </w:r>
                </w:p>
              </w:tc>
              <w:tc>
                <w:tcPr>
                  <w:tcW w:w="2428" w:type="dxa"/>
                  <w:noWrap w:val="0"/>
                  <w:vAlign w:val="center"/>
                </w:tcPr>
                <w:p w14:paraId="77681EA6">
                  <w:pPr>
                    <w:pStyle w:val="238"/>
                    <w:ind w:left="7"/>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接管标准</w:t>
                  </w:r>
                  <w:r>
                    <w:rPr>
                      <w:rFonts w:hint="default" w:ascii="Times New Roman" w:hAnsi="Times New Roman" w:cs="Times New Roman"/>
                      <w:b/>
                      <w:bCs/>
                      <w:color w:val="auto"/>
                      <w:sz w:val="21"/>
                      <w:szCs w:val="21"/>
                      <w:lang w:val="en-US"/>
                    </w:rPr>
                    <w:t xml:space="preserve"> </w:t>
                  </w:r>
                </w:p>
              </w:tc>
              <w:tc>
                <w:tcPr>
                  <w:tcW w:w="1980" w:type="dxa"/>
                  <w:noWrap w:val="0"/>
                  <w:vAlign w:val="center"/>
                </w:tcPr>
                <w:p w14:paraId="094FBD6A">
                  <w:pPr>
                    <w:pStyle w:val="238"/>
                    <w:jc w:val="center"/>
                    <w:rPr>
                      <w:rFonts w:hint="default" w:ascii="Times New Roman" w:hAnsi="Times New Roman" w:cs="Times New Roman"/>
                      <w:color w:val="auto"/>
                      <w:sz w:val="21"/>
                      <w:szCs w:val="21"/>
                      <w:lang w:val="en-US"/>
                    </w:rPr>
                  </w:pPr>
                  <w:r>
                    <w:rPr>
                      <w:rFonts w:hint="default" w:ascii="Times New Roman" w:hAnsi="Times New Roman" w:eastAsia="宋体" w:cs="Times New Roman"/>
                      <w:b/>
                      <w:bCs/>
                      <w:color w:val="auto"/>
                      <w:sz w:val="21"/>
                      <w:szCs w:val="21"/>
                      <w:lang w:val="en-US" w:eastAsia="zh-CN"/>
                    </w:rPr>
                    <w:t>（GB3838-2002）Ⅳ类水标准</w:t>
                  </w:r>
                </w:p>
              </w:tc>
              <w:tc>
                <w:tcPr>
                  <w:tcW w:w="2026" w:type="dxa"/>
                  <w:noWrap w:val="0"/>
                  <w:vAlign w:val="center"/>
                </w:tcPr>
                <w:p w14:paraId="319EC9BD">
                  <w:pPr>
                    <w:pStyle w:val="238"/>
                    <w:jc w:val="center"/>
                    <w:rPr>
                      <w:rFonts w:hint="default" w:ascii="Times New Roman" w:hAnsi="Times New Roman" w:cs="Times New Roman"/>
                      <w:b/>
                      <w:bCs/>
                      <w:color w:val="auto"/>
                      <w:sz w:val="21"/>
                      <w:szCs w:val="21"/>
                      <w:lang w:val="en-US"/>
                    </w:rPr>
                  </w:pPr>
                  <w:r>
                    <w:rPr>
                      <w:rFonts w:hint="default" w:ascii="Times New Roman" w:hAnsi="Times New Roman" w:cs="Times New Roman"/>
                      <w:b/>
                      <w:bCs/>
                      <w:color w:val="auto"/>
                      <w:sz w:val="21"/>
                      <w:szCs w:val="21"/>
                      <w:lang w:val="en-US"/>
                    </w:rPr>
                    <w:t xml:space="preserve">GB18918-2002中一级A </w:t>
                  </w:r>
                </w:p>
              </w:tc>
            </w:tr>
            <w:tr w14:paraId="62CAC0A0">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33" w:hRule="exact"/>
                <w:jc w:val="center"/>
              </w:trPr>
              <w:tc>
                <w:tcPr>
                  <w:tcW w:w="1805" w:type="dxa"/>
                  <w:noWrap w:val="0"/>
                  <w:vAlign w:val="center"/>
                </w:tcPr>
                <w:p w14:paraId="573AB152">
                  <w:pPr>
                    <w:pStyle w:val="238"/>
                    <w:spacing w:before="13"/>
                    <w:ind w:left="2"/>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p>
              </w:tc>
              <w:tc>
                <w:tcPr>
                  <w:tcW w:w="2428" w:type="dxa"/>
                  <w:noWrap w:val="0"/>
                  <w:vAlign w:val="center"/>
                </w:tcPr>
                <w:p w14:paraId="7A9958F0">
                  <w:pPr>
                    <w:pStyle w:val="238"/>
                    <w:ind w:right="1"/>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1980" w:type="dxa"/>
                  <w:noWrap w:val="0"/>
                  <w:vAlign w:val="center"/>
                </w:tcPr>
                <w:p w14:paraId="4CC61E6C">
                  <w:pPr>
                    <w:pStyle w:val="238"/>
                    <w:ind w:right="1"/>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026" w:type="dxa"/>
                  <w:noWrap w:val="0"/>
                  <w:vAlign w:val="center"/>
                </w:tcPr>
                <w:p w14:paraId="561E2281">
                  <w:pPr>
                    <w:pStyle w:val="238"/>
                    <w:ind w:right="1"/>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r>
            <w:tr w14:paraId="39AF646D">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71" w:hRule="exact"/>
                <w:jc w:val="center"/>
              </w:trPr>
              <w:tc>
                <w:tcPr>
                  <w:tcW w:w="1805" w:type="dxa"/>
                  <w:noWrap w:val="0"/>
                  <w:vAlign w:val="center"/>
                </w:tcPr>
                <w:p w14:paraId="5645F5BF">
                  <w:pPr>
                    <w:pStyle w:val="238"/>
                    <w:ind w:left="5"/>
                    <w:jc w:val="center"/>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COD</w:t>
                  </w:r>
                </w:p>
              </w:tc>
              <w:tc>
                <w:tcPr>
                  <w:tcW w:w="2428" w:type="dxa"/>
                  <w:noWrap w:val="0"/>
                  <w:vAlign w:val="center"/>
                </w:tcPr>
                <w:p w14:paraId="04EAD751">
                  <w:pPr>
                    <w:pStyle w:val="238"/>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500</w:t>
                  </w:r>
                </w:p>
              </w:tc>
              <w:tc>
                <w:tcPr>
                  <w:tcW w:w="1980" w:type="dxa"/>
                  <w:noWrap w:val="0"/>
                  <w:vAlign w:val="center"/>
                </w:tcPr>
                <w:p w14:paraId="412D76F4">
                  <w:pPr>
                    <w:pStyle w:val="238"/>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2026" w:type="dxa"/>
                  <w:noWrap w:val="0"/>
                  <w:vAlign w:val="center"/>
                </w:tcPr>
                <w:p w14:paraId="3582A585">
                  <w:pPr>
                    <w:pStyle w:val="238"/>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46E8F8F6">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71" w:hRule="exact"/>
                <w:jc w:val="center"/>
              </w:trPr>
              <w:tc>
                <w:tcPr>
                  <w:tcW w:w="1805" w:type="dxa"/>
                  <w:noWrap w:val="0"/>
                  <w:vAlign w:val="center"/>
                </w:tcPr>
                <w:p w14:paraId="7ADD2110">
                  <w:pPr>
                    <w:pStyle w:val="238"/>
                    <w:ind w:left="5"/>
                    <w:jc w:val="center"/>
                    <w:rPr>
                      <w:rFonts w:hint="default" w:ascii="Times New Roman" w:hAnsi="Times New Roman" w:eastAsia="宋体" w:cs="Times New Roman"/>
                      <w:color w:val="auto"/>
                      <w:position w:val="2"/>
                      <w:sz w:val="21"/>
                      <w:szCs w:val="21"/>
                      <w:vertAlign w:val="baseline"/>
                      <w:lang w:val="en-US" w:eastAsia="zh-CN"/>
                    </w:rPr>
                  </w:pPr>
                  <w:r>
                    <w:rPr>
                      <w:rFonts w:hint="default" w:ascii="Times New Roman" w:hAnsi="Times New Roman" w:cs="Times New Roman"/>
                      <w:color w:val="auto"/>
                      <w:position w:val="2"/>
                      <w:sz w:val="21"/>
                      <w:szCs w:val="21"/>
                      <w:lang w:val="en-US" w:eastAsia="zh-CN"/>
                    </w:rPr>
                    <w:t>BOD</w:t>
                  </w:r>
                  <w:r>
                    <w:rPr>
                      <w:rFonts w:hint="default" w:ascii="Times New Roman" w:hAnsi="Times New Roman" w:cs="Times New Roman"/>
                      <w:color w:val="auto"/>
                      <w:position w:val="2"/>
                      <w:sz w:val="21"/>
                      <w:szCs w:val="21"/>
                      <w:vertAlign w:val="subscript"/>
                      <w:lang w:val="en-US" w:eastAsia="zh-CN"/>
                    </w:rPr>
                    <w:t>5</w:t>
                  </w:r>
                </w:p>
              </w:tc>
              <w:tc>
                <w:tcPr>
                  <w:tcW w:w="2428" w:type="dxa"/>
                  <w:noWrap w:val="0"/>
                  <w:vAlign w:val="center"/>
                </w:tcPr>
                <w:p w14:paraId="6A998AC5">
                  <w:pPr>
                    <w:pStyle w:val="238"/>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c>
                <w:tcPr>
                  <w:tcW w:w="1980" w:type="dxa"/>
                  <w:noWrap w:val="0"/>
                  <w:vAlign w:val="center"/>
                </w:tcPr>
                <w:p w14:paraId="7A7F6730">
                  <w:pPr>
                    <w:pStyle w:val="238"/>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2026" w:type="dxa"/>
                  <w:noWrap w:val="0"/>
                  <w:vAlign w:val="center"/>
                </w:tcPr>
                <w:p w14:paraId="2F8E455D">
                  <w:pPr>
                    <w:pStyle w:val="238"/>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66CE1C52">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71" w:hRule="exact"/>
                <w:jc w:val="center"/>
              </w:trPr>
              <w:tc>
                <w:tcPr>
                  <w:tcW w:w="1805" w:type="dxa"/>
                  <w:noWrap w:val="0"/>
                  <w:vAlign w:val="center"/>
                </w:tcPr>
                <w:p w14:paraId="3EBB3E65">
                  <w:pPr>
                    <w:pStyle w:val="238"/>
                    <w:ind w:left="4"/>
                    <w:jc w:val="center"/>
                    <w:rPr>
                      <w:rFonts w:hint="default" w:ascii="Times New Roman" w:hAnsi="Times New Roman" w:cs="Times New Roman"/>
                      <w:color w:val="auto"/>
                      <w:position w:val="2"/>
                      <w:sz w:val="21"/>
                      <w:szCs w:val="21"/>
                    </w:rPr>
                  </w:pPr>
                  <w:r>
                    <w:rPr>
                      <w:rFonts w:hint="default" w:ascii="Times New Roman" w:hAnsi="Times New Roman" w:cs="Times New Roman"/>
                      <w:color w:val="auto"/>
                      <w:sz w:val="21"/>
                      <w:szCs w:val="21"/>
                    </w:rPr>
                    <w:t>SS</w:t>
                  </w:r>
                </w:p>
              </w:tc>
              <w:tc>
                <w:tcPr>
                  <w:tcW w:w="2428" w:type="dxa"/>
                  <w:noWrap w:val="0"/>
                  <w:vAlign w:val="center"/>
                </w:tcPr>
                <w:p w14:paraId="36B2277A">
                  <w:pPr>
                    <w:pStyle w:val="238"/>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400</w:t>
                  </w:r>
                </w:p>
              </w:tc>
              <w:tc>
                <w:tcPr>
                  <w:tcW w:w="1980" w:type="dxa"/>
                  <w:noWrap w:val="0"/>
                  <w:vAlign w:val="center"/>
                </w:tcPr>
                <w:p w14:paraId="28D12CA3">
                  <w:pPr>
                    <w:pStyle w:val="238"/>
                    <w:spacing w:before="1"/>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026" w:type="dxa"/>
                  <w:noWrap w:val="0"/>
                  <w:vAlign w:val="center"/>
                </w:tcPr>
                <w:p w14:paraId="17CF4FBA">
                  <w:pPr>
                    <w:pStyle w:val="238"/>
                    <w:spacing w:before="1"/>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r>
            <w:tr w14:paraId="73BF10D4">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43" w:hRule="exact"/>
                <w:jc w:val="center"/>
              </w:trPr>
              <w:tc>
                <w:tcPr>
                  <w:tcW w:w="1805" w:type="dxa"/>
                  <w:noWrap w:val="0"/>
                  <w:vAlign w:val="center"/>
                </w:tcPr>
                <w:p w14:paraId="1461E0A1">
                  <w:pPr>
                    <w:pStyle w:val="238"/>
                    <w:ind w:left="2"/>
                    <w:jc w:val="center"/>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position w:val="2"/>
                      <w:sz w:val="21"/>
                      <w:szCs w:val="21"/>
                    </w:rPr>
                    <w:t>-N</w:t>
                  </w:r>
                </w:p>
              </w:tc>
              <w:tc>
                <w:tcPr>
                  <w:tcW w:w="2428" w:type="dxa"/>
                  <w:noWrap w:val="0"/>
                  <w:vAlign w:val="center"/>
                </w:tcPr>
                <w:p w14:paraId="258515B1">
                  <w:pPr>
                    <w:pStyle w:val="238"/>
                    <w:spacing w:before="1"/>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1980" w:type="dxa"/>
                  <w:noWrap w:val="0"/>
                  <w:vAlign w:val="center"/>
                </w:tcPr>
                <w:p w14:paraId="19C164B4">
                  <w:pPr>
                    <w:pStyle w:val="238"/>
                    <w:ind w:right="1"/>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2026" w:type="dxa"/>
                  <w:noWrap w:val="0"/>
                  <w:vAlign w:val="center"/>
                </w:tcPr>
                <w:p w14:paraId="353C5ACF">
                  <w:pPr>
                    <w:pStyle w:val="238"/>
                    <w:ind w:right="1"/>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381AA69D">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11" w:hRule="exact"/>
                <w:jc w:val="center"/>
              </w:trPr>
              <w:tc>
                <w:tcPr>
                  <w:tcW w:w="1805" w:type="dxa"/>
                  <w:noWrap w:val="0"/>
                  <w:vAlign w:val="center"/>
                </w:tcPr>
                <w:p w14:paraId="7E6E1AD6">
                  <w:pPr>
                    <w:pStyle w:val="238"/>
                    <w:ind w:left="3"/>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TP</w:t>
                  </w:r>
                </w:p>
              </w:tc>
              <w:tc>
                <w:tcPr>
                  <w:tcW w:w="2428" w:type="dxa"/>
                  <w:noWrap w:val="0"/>
                  <w:vAlign w:val="center"/>
                </w:tcPr>
                <w:p w14:paraId="439C92B6">
                  <w:pPr>
                    <w:pStyle w:val="238"/>
                    <w:spacing w:before="15"/>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980" w:type="dxa"/>
                  <w:noWrap w:val="0"/>
                  <w:vAlign w:val="center"/>
                </w:tcPr>
                <w:p w14:paraId="5C88DB52">
                  <w:pPr>
                    <w:pStyle w:val="238"/>
                    <w:spacing w:before="14"/>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0.3</w:t>
                  </w:r>
                </w:p>
              </w:tc>
              <w:tc>
                <w:tcPr>
                  <w:tcW w:w="2026" w:type="dxa"/>
                  <w:noWrap w:val="0"/>
                  <w:vAlign w:val="center"/>
                </w:tcPr>
                <w:p w14:paraId="4DCC9416">
                  <w:pPr>
                    <w:pStyle w:val="238"/>
                    <w:spacing w:before="14"/>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79F95ED0">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11" w:hRule="exact"/>
                <w:jc w:val="center"/>
              </w:trPr>
              <w:tc>
                <w:tcPr>
                  <w:tcW w:w="1805" w:type="dxa"/>
                  <w:noWrap w:val="0"/>
                  <w:vAlign w:val="center"/>
                </w:tcPr>
                <w:p w14:paraId="05F4277E">
                  <w:pPr>
                    <w:pStyle w:val="238"/>
                    <w:ind w:left="3"/>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TN</w:t>
                  </w:r>
                </w:p>
              </w:tc>
              <w:tc>
                <w:tcPr>
                  <w:tcW w:w="2428" w:type="dxa"/>
                  <w:noWrap w:val="0"/>
                  <w:vAlign w:val="center"/>
                </w:tcPr>
                <w:p w14:paraId="79C51A87">
                  <w:pPr>
                    <w:pStyle w:val="238"/>
                    <w:spacing w:before="15"/>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55</w:t>
                  </w:r>
                </w:p>
              </w:tc>
              <w:tc>
                <w:tcPr>
                  <w:tcW w:w="1980" w:type="dxa"/>
                  <w:noWrap w:val="0"/>
                  <w:vAlign w:val="center"/>
                </w:tcPr>
                <w:p w14:paraId="19880889">
                  <w:pPr>
                    <w:pStyle w:val="238"/>
                    <w:spacing w:before="14"/>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026" w:type="dxa"/>
                  <w:noWrap w:val="0"/>
                  <w:vAlign w:val="center"/>
                </w:tcPr>
                <w:p w14:paraId="79E2CC44">
                  <w:pPr>
                    <w:pStyle w:val="238"/>
                    <w:spacing w:before="14"/>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bl>
          <w:p w14:paraId="5EC5123B">
            <w:pPr>
              <w:pStyle w:val="4"/>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w:t>
            </w:r>
            <w:r>
              <w:rPr>
                <w:rFonts w:hint="default" w:ascii="Times New Roman" w:hAnsi="Times New Roman" w:eastAsia="宋体" w:cs="Times New Roman"/>
                <w:b w:val="0"/>
                <w:bCs w:val="0"/>
                <w:color w:val="auto"/>
                <w:sz w:val="21"/>
                <w:szCs w:val="21"/>
                <w:lang w:val="en-US" w:eastAsia="zh-CN"/>
              </w:rPr>
              <w:t>企业应按照《排污单位自行监测技术指南总则》（HJ 819-2017）、</w:t>
            </w:r>
            <w:r>
              <w:rPr>
                <w:rFonts w:hint="default" w:ascii="Times New Roman" w:hAnsi="Times New Roman" w:cs="Times New Roman"/>
                <w:b w:val="0"/>
                <w:bCs w:val="0"/>
                <w:color w:val="auto"/>
                <w:sz w:val="21"/>
                <w:szCs w:val="21"/>
                <w:lang w:val="en-US" w:eastAsia="zh-CN"/>
              </w:rPr>
              <w:t>《排污许可证申请与核发技术规范 工业炉窑》（HJ1121—2020），本项目属于非重点排污单位，仅产生间接排放的生活污水，无需开展环境监测</w:t>
            </w:r>
            <w:r>
              <w:rPr>
                <w:rFonts w:hint="default" w:ascii="Times New Roman" w:hAnsi="Times New Roman" w:cs="Times New Roman"/>
                <w:b w:val="0"/>
                <w:bCs w:val="0"/>
                <w:color w:val="auto"/>
                <w:sz w:val="21"/>
                <w:szCs w:val="21"/>
              </w:rPr>
              <w:t>。</w:t>
            </w:r>
          </w:p>
          <w:p w14:paraId="49EEC21C">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eastAsia="宋体" w:cs="Times New Roman"/>
                <w:bCs/>
                <w:color w:val="auto"/>
                <w:sz w:val="21"/>
                <w:szCs w:val="21"/>
              </w:rPr>
              <w:t>（3）</w:t>
            </w:r>
            <w:r>
              <w:rPr>
                <w:rFonts w:hint="default" w:ascii="Times New Roman" w:hAnsi="Times New Roman" w:eastAsia="宋体" w:cs="Times New Roman"/>
                <w:bCs/>
                <w:color w:val="auto"/>
                <w:sz w:val="21"/>
                <w:szCs w:val="21"/>
                <w:lang w:eastAsia="zh-CN"/>
              </w:rPr>
              <w:t>三同时验收监测计划</w:t>
            </w:r>
          </w:p>
          <w:p w14:paraId="3CA7090D">
            <w:pPr>
              <w:adjustRightInd w:val="0"/>
              <w:snapToGrid w:val="0"/>
              <w:jc w:val="center"/>
              <w:rPr>
                <w:rStyle w:val="125"/>
                <w:rFonts w:hint="default" w:ascii="Times New Roman" w:hAnsi="Times New Roman" w:cs="Times New Roman"/>
                <w:color w:val="auto"/>
                <w:sz w:val="21"/>
                <w:szCs w:val="21"/>
              </w:rPr>
            </w:pPr>
            <w:r>
              <w:rPr>
                <w:rStyle w:val="125"/>
                <w:rFonts w:hint="default" w:ascii="Times New Roman" w:hAnsi="Times New Roman" w:cs="Times New Roman"/>
                <w:color w:val="auto"/>
                <w:sz w:val="21"/>
                <w:szCs w:val="21"/>
              </w:rPr>
              <w:t>表</w:t>
            </w:r>
            <w:r>
              <w:rPr>
                <w:rStyle w:val="125"/>
                <w:rFonts w:hint="default" w:ascii="Times New Roman" w:hAnsi="Times New Roman" w:cs="Times New Roman"/>
                <w:color w:val="auto"/>
                <w:sz w:val="21"/>
                <w:szCs w:val="21"/>
                <w:lang w:val="en-US"/>
              </w:rPr>
              <w:t>4-1</w:t>
            </w:r>
            <w:r>
              <w:rPr>
                <w:rStyle w:val="125"/>
                <w:rFonts w:hint="eastAsia" w:ascii="Times New Roman" w:hAnsi="Times New Roman" w:cs="Times New Roman"/>
                <w:color w:val="auto"/>
                <w:sz w:val="21"/>
                <w:szCs w:val="21"/>
                <w:lang w:val="en-US"/>
              </w:rPr>
              <w:t>2</w:t>
            </w:r>
            <w:r>
              <w:rPr>
                <w:rStyle w:val="125"/>
                <w:rFonts w:hint="default" w:ascii="Times New Roman" w:hAnsi="Times New Roman" w:cs="Times New Roman"/>
                <w:color w:val="auto"/>
                <w:sz w:val="21"/>
                <w:szCs w:val="21"/>
                <w:lang w:val="en-US"/>
              </w:rPr>
              <w:t xml:space="preserve"> </w:t>
            </w:r>
            <w:r>
              <w:rPr>
                <w:rStyle w:val="125"/>
                <w:rFonts w:hint="default" w:ascii="Times New Roman" w:hAnsi="Times New Roman" w:cs="Times New Roman"/>
                <w:color w:val="auto"/>
                <w:sz w:val="21"/>
                <w:szCs w:val="21"/>
              </w:rPr>
              <w:t xml:space="preserve"> 本项目废水验收监测计划</w:t>
            </w:r>
          </w:p>
          <w:tbl>
            <w:tblPr>
              <w:tblStyle w:val="4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68"/>
              <w:gridCol w:w="1372"/>
              <w:gridCol w:w="3920"/>
              <w:gridCol w:w="1516"/>
              <w:gridCol w:w="695"/>
            </w:tblGrid>
            <w:tr w14:paraId="6E7D91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93" w:type="pct"/>
                  <w:gridSpan w:val="2"/>
                  <w:noWrap w:val="0"/>
                  <w:vAlign w:val="center"/>
                </w:tcPr>
                <w:p w14:paraId="7F8B5B5C">
                  <w:pPr>
                    <w:tabs>
                      <w:tab w:val="left" w:pos="0"/>
                    </w:tabs>
                    <w:adjustRightInd w:val="0"/>
                    <w:snapToGrid w:val="0"/>
                    <w:jc w:val="center"/>
                    <w:rPr>
                      <w:rFonts w:hint="default" w:ascii="Times New Roman" w:hAnsi="Times New Roman" w:eastAsia="Times New Roman" w:cs="Times New Roman"/>
                      <w:b/>
                      <w:bCs/>
                      <w:color w:val="auto"/>
                      <w:spacing w:val="4"/>
                      <w:kern w:val="18"/>
                      <w:sz w:val="21"/>
                      <w:szCs w:val="21"/>
                    </w:rPr>
                  </w:pPr>
                  <w:r>
                    <w:rPr>
                      <w:rFonts w:hint="default" w:ascii="Times New Roman" w:hAnsi="Times New Roman" w:cs="Times New Roman"/>
                      <w:b/>
                      <w:bCs/>
                      <w:color w:val="auto"/>
                      <w:spacing w:val="4"/>
                      <w:kern w:val="18"/>
                      <w:sz w:val="21"/>
                      <w:szCs w:val="21"/>
                    </w:rPr>
                    <w:t>监测点位</w:t>
                  </w:r>
                </w:p>
              </w:tc>
              <w:tc>
                <w:tcPr>
                  <w:tcW w:w="2369" w:type="pct"/>
                  <w:noWrap w:val="0"/>
                  <w:vAlign w:val="center"/>
                </w:tcPr>
                <w:p w14:paraId="585F5172">
                  <w:pPr>
                    <w:tabs>
                      <w:tab w:val="left" w:pos="0"/>
                    </w:tabs>
                    <w:adjustRightInd w:val="0"/>
                    <w:snapToGrid w:val="0"/>
                    <w:jc w:val="center"/>
                    <w:rPr>
                      <w:rFonts w:hint="default" w:ascii="Times New Roman" w:hAnsi="Times New Roman" w:eastAsia="Times New Roman" w:cs="Times New Roman"/>
                      <w:b/>
                      <w:bCs/>
                      <w:color w:val="auto"/>
                      <w:spacing w:val="4"/>
                      <w:kern w:val="18"/>
                      <w:sz w:val="21"/>
                      <w:szCs w:val="21"/>
                    </w:rPr>
                  </w:pPr>
                  <w:r>
                    <w:rPr>
                      <w:rFonts w:hint="default" w:ascii="Times New Roman" w:hAnsi="Times New Roman" w:cs="Times New Roman"/>
                      <w:b/>
                      <w:bCs/>
                      <w:color w:val="auto"/>
                      <w:spacing w:val="4"/>
                      <w:kern w:val="18"/>
                      <w:sz w:val="21"/>
                      <w:szCs w:val="21"/>
                    </w:rPr>
                    <w:t>监测项目</w:t>
                  </w:r>
                </w:p>
              </w:tc>
              <w:tc>
                <w:tcPr>
                  <w:tcW w:w="916" w:type="pct"/>
                  <w:noWrap w:val="0"/>
                  <w:vAlign w:val="center"/>
                </w:tcPr>
                <w:p w14:paraId="652A910E">
                  <w:pPr>
                    <w:tabs>
                      <w:tab w:val="left" w:pos="0"/>
                    </w:tabs>
                    <w:adjustRightInd w:val="0"/>
                    <w:snapToGrid w:val="0"/>
                    <w:jc w:val="center"/>
                    <w:rPr>
                      <w:rFonts w:hint="default" w:ascii="Times New Roman" w:hAnsi="Times New Roman" w:eastAsia="Times New Roman" w:cs="Times New Roman"/>
                      <w:b/>
                      <w:bCs/>
                      <w:color w:val="auto"/>
                      <w:spacing w:val="4"/>
                      <w:kern w:val="18"/>
                      <w:sz w:val="21"/>
                      <w:szCs w:val="21"/>
                    </w:rPr>
                  </w:pPr>
                  <w:r>
                    <w:rPr>
                      <w:rFonts w:hint="default" w:ascii="Times New Roman" w:hAnsi="Times New Roman" w:cs="Times New Roman"/>
                      <w:b/>
                      <w:bCs/>
                      <w:color w:val="auto"/>
                      <w:spacing w:val="4"/>
                      <w:kern w:val="18"/>
                      <w:sz w:val="21"/>
                      <w:szCs w:val="21"/>
                    </w:rPr>
                    <w:t>监测频次</w:t>
                  </w:r>
                </w:p>
              </w:tc>
              <w:tc>
                <w:tcPr>
                  <w:tcW w:w="420" w:type="pct"/>
                  <w:noWrap w:val="0"/>
                  <w:vAlign w:val="center"/>
                </w:tcPr>
                <w:p w14:paraId="7E1C33CE">
                  <w:pPr>
                    <w:tabs>
                      <w:tab w:val="left" w:pos="0"/>
                    </w:tabs>
                    <w:adjustRightInd w:val="0"/>
                    <w:snapToGrid w:val="0"/>
                    <w:jc w:val="center"/>
                    <w:rPr>
                      <w:rFonts w:hint="default" w:ascii="Times New Roman" w:hAnsi="Times New Roman" w:eastAsia="Times New Roman" w:cs="Times New Roman"/>
                      <w:b/>
                      <w:bCs/>
                      <w:color w:val="auto"/>
                      <w:spacing w:val="4"/>
                      <w:kern w:val="18"/>
                      <w:sz w:val="21"/>
                      <w:szCs w:val="21"/>
                    </w:rPr>
                  </w:pPr>
                  <w:r>
                    <w:rPr>
                      <w:rFonts w:hint="default" w:ascii="Times New Roman" w:hAnsi="Times New Roman" w:cs="Times New Roman"/>
                      <w:b/>
                      <w:bCs/>
                      <w:color w:val="auto"/>
                      <w:spacing w:val="4"/>
                      <w:kern w:val="18"/>
                      <w:sz w:val="21"/>
                      <w:szCs w:val="21"/>
                    </w:rPr>
                    <w:t>备注</w:t>
                  </w:r>
                </w:p>
              </w:tc>
            </w:tr>
            <w:tr w14:paraId="580E48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64" w:type="pct"/>
                  <w:vMerge w:val="restart"/>
                  <w:noWrap w:val="0"/>
                  <w:vAlign w:val="center"/>
                </w:tcPr>
                <w:p w14:paraId="53174CB0">
                  <w:pPr>
                    <w:tabs>
                      <w:tab w:val="left" w:pos="0"/>
                    </w:tabs>
                    <w:adjustRightInd w:val="0"/>
                    <w:snapToGrid w:val="0"/>
                    <w:jc w:val="center"/>
                    <w:rPr>
                      <w:rFonts w:hint="default" w:ascii="Times New Roman" w:hAnsi="Times New Roman" w:eastAsia="宋体" w:cs="Times New Roman"/>
                      <w:color w:val="auto"/>
                      <w:spacing w:val="4"/>
                      <w:kern w:val="18"/>
                      <w:sz w:val="21"/>
                      <w:szCs w:val="21"/>
                      <w:lang w:eastAsia="zh-CN"/>
                    </w:rPr>
                  </w:pPr>
                  <w:r>
                    <w:rPr>
                      <w:rFonts w:hint="default" w:ascii="Times New Roman" w:hAnsi="Times New Roman" w:cs="Times New Roman"/>
                      <w:color w:val="auto"/>
                      <w:spacing w:val="4"/>
                      <w:kern w:val="18"/>
                      <w:sz w:val="21"/>
                      <w:szCs w:val="21"/>
                      <w:lang w:eastAsia="zh-CN"/>
                    </w:rPr>
                    <w:t>废水</w:t>
                  </w:r>
                </w:p>
              </w:tc>
              <w:tc>
                <w:tcPr>
                  <w:tcW w:w="829" w:type="pct"/>
                  <w:noWrap w:val="0"/>
                  <w:vAlign w:val="center"/>
                </w:tcPr>
                <w:p w14:paraId="6B9F40D0">
                  <w:pPr>
                    <w:tabs>
                      <w:tab w:val="left" w:pos="0"/>
                    </w:tabs>
                    <w:adjustRightInd w:val="0"/>
                    <w:snapToGrid w:val="0"/>
                    <w:jc w:val="center"/>
                    <w:rPr>
                      <w:rFonts w:hint="default" w:ascii="Times New Roman" w:hAnsi="Times New Roman" w:cs="Times New Roman"/>
                      <w:color w:val="auto"/>
                      <w:spacing w:val="4"/>
                      <w:kern w:val="18"/>
                      <w:sz w:val="21"/>
                      <w:szCs w:val="21"/>
                    </w:rPr>
                  </w:pPr>
                  <w:r>
                    <w:rPr>
                      <w:rFonts w:hint="default" w:ascii="Times New Roman" w:hAnsi="Times New Roman" w:cs="Times New Roman"/>
                      <w:color w:val="auto"/>
                      <w:kern w:val="0"/>
                      <w:sz w:val="21"/>
                      <w:szCs w:val="21"/>
                    </w:rPr>
                    <w:t>污水接管口</w:t>
                  </w:r>
                </w:p>
              </w:tc>
              <w:tc>
                <w:tcPr>
                  <w:tcW w:w="2369" w:type="pct"/>
                  <w:noWrap w:val="0"/>
                  <w:vAlign w:val="center"/>
                </w:tcPr>
                <w:p w14:paraId="5F87B24E">
                  <w:pPr>
                    <w:tabs>
                      <w:tab w:val="left" w:pos="0"/>
                    </w:tabs>
                    <w:adjustRightInd w:val="0"/>
                    <w:snapToGrid w:val="0"/>
                    <w:jc w:val="center"/>
                    <w:rPr>
                      <w:rFonts w:hint="default" w:ascii="Times New Roman" w:hAnsi="Times New Roman" w:eastAsia="宋体" w:cs="Times New Roman"/>
                      <w:color w:val="auto"/>
                      <w:spacing w:val="4"/>
                      <w:kern w:val="18"/>
                      <w:sz w:val="21"/>
                      <w:szCs w:val="21"/>
                      <w:lang w:eastAsia="zh-CN"/>
                    </w:rPr>
                  </w:pPr>
                  <w:r>
                    <w:rPr>
                      <w:rFonts w:hint="default" w:ascii="Times New Roman" w:hAnsi="Times New Roman" w:cs="Times New Roman"/>
                      <w:color w:val="auto"/>
                      <w:kern w:val="0"/>
                      <w:sz w:val="21"/>
                      <w:szCs w:val="21"/>
                    </w:rPr>
                    <w:t>pH、COD</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position w:val="2"/>
                      <w:sz w:val="21"/>
                      <w:szCs w:val="21"/>
                      <w:lang w:val="en-US" w:eastAsia="zh-CN"/>
                    </w:rPr>
                    <w:t>BOD</w:t>
                  </w:r>
                  <w:r>
                    <w:rPr>
                      <w:rFonts w:hint="default" w:ascii="Times New Roman" w:hAnsi="Times New Roman" w:cs="Times New Roman"/>
                      <w:color w:val="auto"/>
                      <w:position w:val="2"/>
                      <w:sz w:val="21"/>
                      <w:szCs w:val="21"/>
                      <w:vertAlign w:val="subscript"/>
                      <w:lang w:val="en-US" w:eastAsia="zh-CN"/>
                    </w:rPr>
                    <w:t>5</w:t>
                  </w:r>
                  <w:r>
                    <w:rPr>
                      <w:rFonts w:hint="default" w:ascii="Times New Roman" w:hAnsi="Times New Roman" w:cs="Times New Roman"/>
                      <w:color w:val="auto"/>
                      <w:kern w:val="0"/>
                      <w:sz w:val="21"/>
                      <w:szCs w:val="21"/>
                    </w:rPr>
                    <w:t>、SS、</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r>
                    <w:rPr>
                      <w:rFonts w:hint="default" w:ascii="Times New Roman" w:hAnsi="Times New Roman" w:cs="Times New Roman"/>
                      <w:color w:val="auto"/>
                      <w:kern w:val="0"/>
                      <w:sz w:val="21"/>
                      <w:szCs w:val="21"/>
                    </w:rPr>
                    <w:t>、</w:t>
                  </w:r>
                  <w:r>
                    <w:rPr>
                      <w:rFonts w:hint="default" w:ascii="Times New Roman" w:hAnsi="Times New Roman" w:cs="Times New Roman"/>
                      <w:color w:val="auto"/>
                      <w:sz w:val="21"/>
                      <w:szCs w:val="21"/>
                    </w:rPr>
                    <w:t>TP</w:t>
                  </w:r>
                  <w:r>
                    <w:rPr>
                      <w:rFonts w:hint="default" w:ascii="Times New Roman" w:hAnsi="Times New Roman" w:cs="Times New Roman"/>
                      <w:color w:val="auto"/>
                      <w:kern w:val="0"/>
                      <w:sz w:val="21"/>
                      <w:szCs w:val="21"/>
                    </w:rPr>
                    <w:t>、</w:t>
                  </w:r>
                  <w:r>
                    <w:rPr>
                      <w:rFonts w:hint="default" w:ascii="Times New Roman" w:hAnsi="Times New Roman" w:cs="Times New Roman"/>
                      <w:color w:val="auto"/>
                      <w:sz w:val="21"/>
                      <w:szCs w:val="21"/>
                    </w:rPr>
                    <w:t>TN</w:t>
                  </w:r>
                </w:p>
              </w:tc>
              <w:tc>
                <w:tcPr>
                  <w:tcW w:w="916" w:type="pct"/>
                  <w:noWrap w:val="0"/>
                  <w:vAlign w:val="center"/>
                </w:tcPr>
                <w:p w14:paraId="2CF5A416">
                  <w:pPr>
                    <w:tabs>
                      <w:tab w:val="left" w:pos="0"/>
                    </w:tabs>
                    <w:adjustRightInd w:val="0"/>
                    <w:snapToGrid w:val="0"/>
                    <w:jc w:val="center"/>
                    <w:rPr>
                      <w:rFonts w:hint="default" w:ascii="Times New Roman" w:hAnsi="Times New Roman" w:eastAsia="Times New Roman" w:cs="Times New Roman"/>
                      <w:color w:val="auto"/>
                      <w:spacing w:val="4"/>
                      <w:kern w:val="18"/>
                      <w:sz w:val="21"/>
                      <w:szCs w:val="21"/>
                    </w:rPr>
                  </w:pPr>
                  <w:r>
                    <w:rPr>
                      <w:rFonts w:hint="default" w:ascii="Times New Roman" w:hAnsi="Times New Roman" w:cs="Times New Roman"/>
                      <w:color w:val="auto"/>
                      <w:kern w:val="0"/>
                      <w:sz w:val="21"/>
                      <w:szCs w:val="21"/>
                    </w:rPr>
                    <w:t>2天（</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次/天）</w:t>
                  </w:r>
                </w:p>
              </w:tc>
              <w:tc>
                <w:tcPr>
                  <w:tcW w:w="420" w:type="pct"/>
                  <w:noWrap w:val="0"/>
                  <w:vAlign w:val="center"/>
                </w:tcPr>
                <w:p w14:paraId="0EE3AA50">
                  <w:pPr>
                    <w:tabs>
                      <w:tab w:val="left" w:pos="0"/>
                    </w:tabs>
                    <w:adjustRightInd w:val="0"/>
                    <w:snapToGrid w:val="0"/>
                    <w:jc w:val="center"/>
                    <w:rPr>
                      <w:rFonts w:hint="default" w:ascii="Times New Roman" w:hAnsi="Times New Roman" w:eastAsia="宋体" w:cs="Times New Roman"/>
                      <w:color w:val="auto"/>
                      <w:spacing w:val="4"/>
                      <w:kern w:val="18"/>
                      <w:sz w:val="21"/>
                      <w:szCs w:val="21"/>
                      <w:lang w:val="en-US" w:eastAsia="zh-CN"/>
                    </w:rPr>
                  </w:pPr>
                  <w:r>
                    <w:rPr>
                      <w:rFonts w:hint="default" w:ascii="Times New Roman" w:hAnsi="Times New Roman" w:eastAsia="宋体" w:cs="Times New Roman"/>
                      <w:color w:val="auto"/>
                      <w:spacing w:val="4"/>
                      <w:kern w:val="18"/>
                      <w:sz w:val="21"/>
                      <w:szCs w:val="21"/>
                      <w:lang w:val="en-US" w:eastAsia="zh-CN"/>
                    </w:rPr>
                    <w:t>/</w:t>
                  </w:r>
                </w:p>
              </w:tc>
            </w:tr>
            <w:tr w14:paraId="2369CC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64" w:type="pct"/>
                  <w:vMerge w:val="continue"/>
                  <w:noWrap w:val="0"/>
                  <w:vAlign w:val="center"/>
                </w:tcPr>
                <w:p w14:paraId="31D94209">
                  <w:pPr>
                    <w:tabs>
                      <w:tab w:val="left" w:pos="0"/>
                    </w:tabs>
                    <w:adjustRightInd w:val="0"/>
                    <w:snapToGrid w:val="0"/>
                    <w:jc w:val="center"/>
                    <w:rPr>
                      <w:rFonts w:hint="default" w:ascii="Times New Roman" w:hAnsi="Times New Roman" w:cs="Times New Roman"/>
                      <w:color w:val="auto"/>
                      <w:spacing w:val="4"/>
                      <w:kern w:val="18"/>
                      <w:sz w:val="21"/>
                      <w:szCs w:val="21"/>
                      <w:lang w:eastAsia="zh-CN"/>
                    </w:rPr>
                  </w:pPr>
                </w:p>
              </w:tc>
              <w:tc>
                <w:tcPr>
                  <w:tcW w:w="829" w:type="pct"/>
                  <w:noWrap w:val="0"/>
                  <w:vAlign w:val="center"/>
                </w:tcPr>
                <w:p w14:paraId="048C2C42">
                  <w:pPr>
                    <w:tabs>
                      <w:tab w:val="left" w:pos="0"/>
                    </w:tabs>
                    <w:adjustRightInd w:val="0"/>
                    <w:snapToGrid w:val="0"/>
                    <w:jc w:val="center"/>
                    <w:rPr>
                      <w:rFonts w:hint="default" w:ascii="Times New Roman" w:hAnsi="Times New Roman" w:cs="Times New Roman"/>
                      <w:color w:val="auto"/>
                      <w:kern w:val="0"/>
                      <w:sz w:val="21"/>
                      <w:szCs w:val="21"/>
                    </w:rPr>
                  </w:pPr>
                  <w:r>
                    <w:rPr>
                      <w:rFonts w:hint="eastAsia"/>
                      <w:color w:val="auto"/>
                      <w:sz w:val="21"/>
                      <w:szCs w:val="21"/>
                    </w:rPr>
                    <w:t>雨水排口</w:t>
                  </w:r>
                </w:p>
              </w:tc>
              <w:tc>
                <w:tcPr>
                  <w:tcW w:w="2369" w:type="pct"/>
                  <w:noWrap w:val="0"/>
                  <w:vAlign w:val="center"/>
                </w:tcPr>
                <w:p w14:paraId="012D7A3B">
                  <w:pPr>
                    <w:tabs>
                      <w:tab w:val="left" w:pos="0"/>
                    </w:tabs>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pacing w:val="4"/>
                      <w:kern w:val="18"/>
                      <w:szCs w:val="21"/>
                    </w:rPr>
                    <w:t>COD、SS</w:t>
                  </w:r>
                </w:p>
              </w:tc>
              <w:tc>
                <w:tcPr>
                  <w:tcW w:w="916" w:type="pct"/>
                  <w:noWrap w:val="0"/>
                  <w:vAlign w:val="center"/>
                </w:tcPr>
                <w:p w14:paraId="34DF97BD">
                  <w:pPr>
                    <w:tabs>
                      <w:tab w:val="left" w:pos="0"/>
                    </w:tabs>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2天（</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次/天）</w:t>
                  </w:r>
                </w:p>
              </w:tc>
              <w:tc>
                <w:tcPr>
                  <w:tcW w:w="420" w:type="pct"/>
                  <w:noWrap w:val="0"/>
                  <w:vAlign w:val="center"/>
                </w:tcPr>
                <w:p w14:paraId="454E26CA">
                  <w:pPr>
                    <w:tabs>
                      <w:tab w:val="left" w:pos="0"/>
                    </w:tabs>
                    <w:adjustRightInd w:val="0"/>
                    <w:snapToGrid w:val="0"/>
                    <w:jc w:val="center"/>
                    <w:rPr>
                      <w:rFonts w:hint="default" w:ascii="Times New Roman" w:hAnsi="Times New Roman" w:eastAsia="宋体" w:cs="Times New Roman"/>
                      <w:color w:val="auto"/>
                      <w:spacing w:val="4"/>
                      <w:kern w:val="18"/>
                      <w:sz w:val="21"/>
                      <w:szCs w:val="21"/>
                      <w:lang w:val="en-US" w:eastAsia="zh-CN"/>
                    </w:rPr>
                  </w:pPr>
                  <w:r>
                    <w:rPr>
                      <w:rFonts w:hint="eastAsia" w:ascii="Times New Roman" w:hAnsi="Times New Roman" w:cs="Times New Roman"/>
                      <w:color w:val="auto"/>
                      <w:spacing w:val="4"/>
                      <w:kern w:val="18"/>
                      <w:sz w:val="21"/>
                      <w:szCs w:val="21"/>
                      <w:lang w:val="en-US" w:eastAsia="zh-CN"/>
                    </w:rPr>
                    <w:t>/</w:t>
                  </w:r>
                </w:p>
              </w:tc>
            </w:tr>
          </w:tbl>
          <w:p w14:paraId="290E862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r>
              <w:rPr>
                <w:rFonts w:hint="default" w:ascii="Times New Roman" w:hAnsi="Times New Roman" w:eastAsia="宋体" w:cs="Times New Roman"/>
                <w:b w:val="0"/>
                <w:bCs w:val="0"/>
                <w:color w:val="auto"/>
                <w:kern w:val="2"/>
                <w:sz w:val="21"/>
                <w:szCs w:val="21"/>
                <w:lang w:val="en-US" w:eastAsia="zh-CN" w:bidi="ar-SA"/>
              </w:rPr>
              <w:t>接管</w:t>
            </w:r>
            <w:r>
              <w:rPr>
                <w:rFonts w:hint="default" w:ascii="Times New Roman" w:hAnsi="Times New Roman" w:cs="Times New Roman"/>
                <w:b w:val="0"/>
                <w:bCs w:val="0"/>
                <w:color w:val="auto"/>
                <w:kern w:val="2"/>
                <w:sz w:val="21"/>
                <w:szCs w:val="21"/>
                <w:lang w:val="en-US" w:eastAsia="zh-CN" w:bidi="ar-SA"/>
              </w:rPr>
              <w:t>海门经济技术开发区污水处理厂</w:t>
            </w:r>
            <w:r>
              <w:rPr>
                <w:rFonts w:hint="default" w:ascii="Times New Roman" w:hAnsi="Times New Roman" w:eastAsia="宋体" w:cs="Times New Roman"/>
                <w:b w:val="0"/>
                <w:bCs w:val="0"/>
                <w:color w:val="auto"/>
                <w:kern w:val="2"/>
                <w:sz w:val="21"/>
                <w:szCs w:val="21"/>
                <w:lang w:val="en-US" w:eastAsia="zh-CN" w:bidi="ar-SA"/>
              </w:rPr>
              <w:t>处理生活污水可行性分析</w:t>
            </w:r>
          </w:p>
          <w:p w14:paraId="4D023CA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水量可行性分析</w:t>
            </w:r>
            <w:r>
              <w:rPr>
                <w:rFonts w:hint="default" w:ascii="Times New Roman" w:hAnsi="Times New Roman" w:cs="Times New Roman"/>
                <w:bCs/>
                <w:color w:val="auto"/>
                <w:sz w:val="21"/>
                <w:szCs w:val="21"/>
                <w:lang w:eastAsia="zh-CN"/>
              </w:rPr>
              <w:t>：</w:t>
            </w:r>
            <w:r>
              <w:rPr>
                <w:rFonts w:hint="default" w:ascii="Times New Roman" w:hAnsi="Times New Roman" w:eastAsia="宋体" w:cs="Times New Roman"/>
                <w:color w:val="auto"/>
                <w:sz w:val="21"/>
                <w:szCs w:val="21"/>
                <w:lang w:eastAsia="zh-CN"/>
              </w:rPr>
              <w:t>本项目废水主要为生活污水，生活污水经厂区化粪池处理后排入</w:t>
            </w:r>
            <w:r>
              <w:rPr>
                <w:rFonts w:hint="default" w:ascii="Times New Roman" w:hAnsi="Times New Roman" w:cs="Times New Roman"/>
                <w:b w:val="0"/>
                <w:bCs w:val="0"/>
                <w:color w:val="auto"/>
                <w:kern w:val="2"/>
                <w:sz w:val="21"/>
                <w:szCs w:val="21"/>
                <w:lang w:val="en-US" w:eastAsia="zh-CN" w:bidi="ar-SA"/>
              </w:rPr>
              <w:t>海门经济技术开发区污水处理厂</w:t>
            </w:r>
            <w:r>
              <w:rPr>
                <w:rFonts w:hint="default" w:ascii="Times New Roman" w:hAnsi="Times New Roman" w:eastAsia="宋体" w:cs="Times New Roman"/>
                <w:color w:val="auto"/>
                <w:sz w:val="21"/>
                <w:szCs w:val="21"/>
                <w:lang w:eastAsia="zh-CN"/>
              </w:rPr>
              <w:t>处理，</w:t>
            </w:r>
            <w:r>
              <w:rPr>
                <w:rFonts w:hint="default" w:ascii="Times New Roman" w:hAnsi="Times New Roman" w:eastAsia="宋体" w:cs="Times New Roman"/>
                <w:color w:val="auto"/>
                <w:sz w:val="21"/>
                <w:szCs w:val="21"/>
              </w:rPr>
              <w:t>废水产生</w:t>
            </w:r>
            <w:r>
              <w:rPr>
                <w:rFonts w:hint="default" w:ascii="Times New Roman" w:hAnsi="Times New Roman" w:eastAsia="宋体" w:cs="Times New Roman"/>
                <w:color w:val="auto"/>
                <w:sz w:val="21"/>
                <w:szCs w:val="21"/>
                <w:lang w:eastAsia="zh-CN"/>
              </w:rPr>
              <w:t>总</w:t>
            </w:r>
            <w:r>
              <w:rPr>
                <w:rFonts w:hint="default" w:ascii="Times New Roman" w:hAnsi="Times New Roman" w:eastAsia="宋体" w:cs="Times New Roman"/>
                <w:color w:val="auto"/>
                <w:sz w:val="21"/>
                <w:szCs w:val="21"/>
              </w:rPr>
              <w:t>量为</w:t>
            </w:r>
            <w:r>
              <w:rPr>
                <w:rFonts w:hint="default" w:ascii="Times New Roman" w:hAnsi="Times New Roman" w:cs="Times New Roman"/>
                <w:color w:val="auto"/>
                <w:sz w:val="21"/>
                <w:szCs w:val="21"/>
                <w:lang w:val="en-US" w:eastAsia="zh-CN"/>
              </w:rPr>
              <w:t>1460t</w:t>
            </w:r>
            <w:r>
              <w:rPr>
                <w:rFonts w:hint="default" w:ascii="Times New Roman" w:hAnsi="Times New Roman" w:eastAsia="宋体" w:cs="Times New Roman"/>
                <w:color w:val="auto"/>
                <w:sz w:val="21"/>
                <w:szCs w:val="21"/>
              </w:rPr>
              <w:t>/a，</w:t>
            </w:r>
            <w:r>
              <w:rPr>
                <w:rFonts w:hint="default" w:ascii="Times New Roman" w:hAnsi="Times New Roman" w:eastAsia="宋体" w:cs="Times New Roman"/>
                <w:bCs/>
                <w:color w:val="auto"/>
                <w:sz w:val="21"/>
                <w:szCs w:val="21"/>
              </w:rPr>
              <w:t>约</w:t>
            </w:r>
            <w:r>
              <w:rPr>
                <w:rFonts w:hint="default" w:ascii="Times New Roman" w:hAnsi="Times New Roman" w:cs="Times New Roman"/>
                <w:bCs/>
                <w:color w:val="auto"/>
                <w:sz w:val="21"/>
                <w:szCs w:val="21"/>
                <w:lang w:val="en-US" w:eastAsia="zh-CN"/>
              </w:rPr>
              <w:t>5.84</w:t>
            </w:r>
            <w:r>
              <w:rPr>
                <w:rFonts w:hint="default" w:ascii="Times New Roman" w:hAnsi="Times New Roman" w:eastAsia="宋体" w:cs="Times New Roman"/>
                <w:bCs/>
                <w:color w:val="auto"/>
                <w:sz w:val="21"/>
                <w:szCs w:val="21"/>
              </w:rPr>
              <w:t>t/d，</w:t>
            </w:r>
            <w:r>
              <w:rPr>
                <w:rFonts w:hint="default" w:ascii="Times New Roman" w:hAnsi="Times New Roman" w:cs="Times New Roman" w:eastAsiaTheme="minorEastAsia"/>
                <w:color w:val="auto"/>
                <w:sz w:val="21"/>
                <w:szCs w:val="21"/>
              </w:rPr>
              <w:t>海门经济技术开发区污水处理厂设计总规模10万m</w:t>
            </w:r>
            <w:r>
              <w:rPr>
                <w:rFonts w:hint="default" w:ascii="Times New Roman" w:hAnsi="Times New Roman" w:cs="Times New Roman" w:eastAsiaTheme="minorEastAsia"/>
                <w:color w:val="auto"/>
                <w:sz w:val="21"/>
                <w:szCs w:val="21"/>
                <w:vertAlign w:val="superscript"/>
              </w:rPr>
              <w:t>3</w:t>
            </w:r>
            <w:r>
              <w:rPr>
                <w:rFonts w:hint="default" w:ascii="Times New Roman" w:hAnsi="Times New Roman" w:cs="Times New Roman" w:eastAsiaTheme="minorEastAsia"/>
                <w:color w:val="auto"/>
                <w:sz w:val="21"/>
                <w:szCs w:val="21"/>
              </w:rPr>
              <w:t>/d。污水处理厂建成后，拟接入本项目污水，本项目废水总量占总容量的0.0</w:t>
            </w:r>
            <w:r>
              <w:rPr>
                <w:rFonts w:hint="default" w:ascii="Times New Roman" w:hAnsi="Times New Roman" w:cs="Times New Roman" w:eastAsiaTheme="minorEastAsia"/>
                <w:color w:val="auto"/>
                <w:sz w:val="21"/>
                <w:szCs w:val="21"/>
                <w:lang w:val="en-US" w:eastAsia="zh-CN"/>
              </w:rPr>
              <w:t>0584</w:t>
            </w:r>
            <w:r>
              <w:rPr>
                <w:rFonts w:hint="default" w:ascii="Times New Roman" w:hAnsi="Times New Roman" w:cs="Times New Roman" w:eastAsiaTheme="minorEastAsia"/>
                <w:color w:val="auto"/>
                <w:sz w:val="21"/>
                <w:szCs w:val="21"/>
              </w:rPr>
              <w:t>%</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color w:val="auto"/>
                <w:sz w:val="21"/>
                <w:szCs w:val="21"/>
              </w:rPr>
              <w:t>因此，废水排入</w:t>
            </w:r>
            <w:r>
              <w:rPr>
                <w:rFonts w:hint="default" w:ascii="Times New Roman" w:hAnsi="Times New Roman" w:cs="Times New Roman"/>
                <w:b w:val="0"/>
                <w:bCs w:val="0"/>
                <w:color w:val="auto"/>
                <w:kern w:val="2"/>
                <w:sz w:val="21"/>
                <w:szCs w:val="21"/>
                <w:lang w:val="en-US" w:eastAsia="zh-CN" w:bidi="ar-SA"/>
              </w:rPr>
              <w:t>海门经济技术开发区污水处理厂</w:t>
            </w:r>
            <w:r>
              <w:rPr>
                <w:rFonts w:hint="default" w:ascii="Times New Roman" w:hAnsi="Times New Roman" w:eastAsia="宋体" w:cs="Times New Roman"/>
                <w:color w:val="auto"/>
                <w:sz w:val="21"/>
                <w:szCs w:val="21"/>
              </w:rPr>
              <w:t>内处理是可行的。</w:t>
            </w:r>
          </w:p>
          <w:p w14:paraId="109F26C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水质可行性分析</w:t>
            </w:r>
            <w:r>
              <w:rPr>
                <w:rFonts w:hint="default" w:ascii="Times New Roman" w:hAnsi="Times New Roman" w:cs="Times New Roman"/>
                <w:bCs/>
                <w:color w:val="auto"/>
                <w:sz w:val="21"/>
                <w:szCs w:val="21"/>
                <w:lang w:eastAsia="zh-CN"/>
              </w:rPr>
              <w:t>：</w:t>
            </w:r>
            <w:r>
              <w:rPr>
                <w:rFonts w:hint="default" w:ascii="Times New Roman" w:hAnsi="Times New Roman" w:eastAsia="宋体" w:cs="Times New Roman"/>
                <w:color w:val="auto"/>
                <w:sz w:val="21"/>
                <w:szCs w:val="21"/>
                <w:lang w:eastAsia="zh-CN"/>
              </w:rPr>
              <w:t>南通市</w:t>
            </w:r>
            <w:r>
              <w:rPr>
                <w:rFonts w:hint="default" w:ascii="Times New Roman" w:hAnsi="Times New Roman" w:cs="Times New Roman"/>
                <w:b w:val="0"/>
                <w:bCs w:val="0"/>
                <w:color w:val="auto"/>
                <w:kern w:val="2"/>
                <w:sz w:val="21"/>
                <w:szCs w:val="21"/>
                <w:lang w:val="en-US" w:eastAsia="zh-CN" w:bidi="ar-SA"/>
              </w:rPr>
              <w:t>海门经济技术开发区污水处理厂</w:t>
            </w:r>
            <w:r>
              <w:rPr>
                <w:rFonts w:hint="default" w:ascii="Times New Roman" w:hAnsi="Times New Roman" w:eastAsia="宋体" w:cs="Times New Roman"/>
                <w:color w:val="auto"/>
                <w:sz w:val="21"/>
                <w:szCs w:val="21"/>
                <w:lang w:val="en-US" w:eastAsia="zh-CN"/>
              </w:rPr>
              <w:t>属于城市污水处理厂，</w:t>
            </w:r>
            <w:r>
              <w:rPr>
                <w:rFonts w:hint="default" w:ascii="Times New Roman" w:hAnsi="Times New Roman" w:eastAsia="宋体" w:cs="Times New Roman"/>
                <w:b w:val="0"/>
                <w:bCs w:val="0"/>
                <w:color w:val="auto"/>
                <w:kern w:val="2"/>
                <w:sz w:val="21"/>
                <w:szCs w:val="21"/>
                <w:highlight w:val="none"/>
                <w:lang w:val="en-US" w:eastAsia="zh-CN" w:bidi="ar-SA"/>
              </w:rPr>
              <w:t>本项目接管污水仅为生活污水，水质简单，通过化粪池预处理后水质可达</w:t>
            </w:r>
            <w:r>
              <w:rPr>
                <w:rFonts w:hint="default" w:ascii="Times New Roman" w:hAnsi="Times New Roman" w:cs="Times New Roman"/>
                <w:b w:val="0"/>
                <w:bCs w:val="0"/>
                <w:color w:val="auto"/>
                <w:kern w:val="2"/>
                <w:sz w:val="21"/>
                <w:szCs w:val="21"/>
                <w:lang w:val="en-US" w:eastAsia="zh-CN" w:bidi="ar-SA"/>
              </w:rPr>
              <w:t>海门经济技术开发区污水处理厂</w:t>
            </w:r>
            <w:r>
              <w:rPr>
                <w:rFonts w:hint="default" w:ascii="Times New Roman" w:hAnsi="Times New Roman" w:eastAsia="宋体" w:cs="Times New Roman"/>
                <w:b w:val="0"/>
                <w:bCs w:val="0"/>
                <w:color w:val="auto"/>
                <w:kern w:val="2"/>
                <w:sz w:val="21"/>
                <w:szCs w:val="21"/>
                <w:highlight w:val="none"/>
                <w:lang w:val="en-US" w:eastAsia="zh-CN" w:bidi="ar-SA"/>
              </w:rPr>
              <w:t>接管要求</w:t>
            </w:r>
            <w:r>
              <w:rPr>
                <w:rFonts w:hint="default" w:ascii="Times New Roman" w:hAnsi="Times New Roman" w:eastAsia="宋体" w:cs="Times New Roman"/>
                <w:color w:val="auto"/>
                <w:sz w:val="21"/>
                <w:szCs w:val="21"/>
              </w:rPr>
              <w:t>，废水排入</w:t>
            </w:r>
            <w:r>
              <w:rPr>
                <w:rFonts w:hint="default" w:ascii="Times New Roman" w:hAnsi="Times New Roman" w:cs="Times New Roman"/>
                <w:b w:val="0"/>
                <w:bCs w:val="0"/>
                <w:color w:val="auto"/>
                <w:kern w:val="2"/>
                <w:sz w:val="21"/>
                <w:szCs w:val="21"/>
                <w:lang w:val="en-US" w:eastAsia="zh-CN" w:bidi="ar-SA"/>
              </w:rPr>
              <w:t>海门经济技术开发区污水处理厂</w:t>
            </w:r>
            <w:r>
              <w:rPr>
                <w:rFonts w:hint="default" w:ascii="Times New Roman" w:hAnsi="Times New Roman" w:eastAsia="宋体" w:cs="Times New Roman"/>
                <w:color w:val="auto"/>
                <w:sz w:val="21"/>
                <w:szCs w:val="21"/>
              </w:rPr>
              <w:t>内进行集中处理是可行的。</w:t>
            </w:r>
          </w:p>
          <w:p w14:paraId="2FF7FF1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管网配套可行性分析</w:t>
            </w:r>
            <w:r>
              <w:rPr>
                <w:rFonts w:hint="default" w:ascii="Times New Roman" w:hAnsi="Times New Roman" w:eastAsia="宋体" w:cs="Times New Roman"/>
                <w:bCs/>
                <w:color w:val="auto"/>
                <w:sz w:val="21"/>
                <w:szCs w:val="21"/>
                <w:lang w:eastAsia="zh-CN"/>
              </w:rPr>
              <w:t>：</w:t>
            </w:r>
            <w:r>
              <w:rPr>
                <w:rFonts w:hint="default" w:ascii="Times New Roman" w:hAnsi="Times New Roman" w:cs="Times New Roman" w:eastAsiaTheme="minorEastAsia"/>
                <w:color w:val="auto"/>
                <w:sz w:val="21"/>
                <w:szCs w:val="21"/>
                <w:lang w:val="en-US"/>
              </w:rPr>
              <w:t>目前，海门经济技术开发区污水处理厂</w:t>
            </w:r>
            <w:r>
              <w:rPr>
                <w:rFonts w:hint="default" w:ascii="Times New Roman" w:hAnsi="Times New Roman" w:cs="Times New Roman" w:eastAsiaTheme="minorEastAsia"/>
                <w:color w:val="auto"/>
                <w:sz w:val="21"/>
                <w:szCs w:val="21"/>
                <w:lang w:val="en-US" w:eastAsia="zh-CN"/>
              </w:rPr>
              <w:t>已试运行</w:t>
            </w:r>
            <w:r>
              <w:rPr>
                <w:rFonts w:hint="default" w:ascii="Times New Roman" w:hAnsi="Times New Roman" w:cs="Times New Roman" w:eastAsiaTheme="minorEastAsia"/>
                <w:color w:val="auto"/>
                <w:sz w:val="21"/>
                <w:szCs w:val="21"/>
                <w:lang w:val="en-US"/>
              </w:rPr>
              <w:t>，服务范围：海门经济技术开发区范围内的滨江街道部分(包含江海物流园区)，海门街道部分和三星镇内的部分污水，服务面积154km</w:t>
            </w:r>
            <w:r>
              <w:rPr>
                <w:rFonts w:hint="default" w:ascii="Times New Roman" w:hAnsi="Times New Roman" w:cs="Times New Roman" w:eastAsiaTheme="minorEastAsia"/>
                <w:color w:val="auto"/>
                <w:sz w:val="21"/>
                <w:szCs w:val="21"/>
                <w:vertAlign w:val="superscript"/>
                <w:lang w:val="en-US"/>
              </w:rPr>
              <w:t>2</w:t>
            </w:r>
            <w:r>
              <w:rPr>
                <w:rFonts w:hint="default" w:ascii="Times New Roman" w:hAnsi="Times New Roman" w:cs="Times New Roman" w:eastAsiaTheme="minorEastAsia"/>
                <w:color w:val="auto"/>
                <w:sz w:val="21"/>
                <w:szCs w:val="21"/>
                <w:lang w:val="en-US"/>
              </w:rPr>
              <w:t>。本项目位于海门经济技术开发区污水处理厂服务范围内</w:t>
            </w:r>
            <w:r>
              <w:rPr>
                <w:rFonts w:hint="default" w:ascii="Times New Roman" w:hAnsi="Times New Roman" w:eastAsia="宋体" w:cs="Times New Roman"/>
                <w:color w:val="auto"/>
                <w:sz w:val="21"/>
                <w:szCs w:val="21"/>
              </w:rPr>
              <w:t>。</w:t>
            </w:r>
          </w:p>
          <w:p w14:paraId="4B292D4A">
            <w:pPr>
              <w:pStyle w:val="17"/>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lang w:val="en-US" w:eastAsia="zh-CN"/>
              </w:rPr>
              <w:t>因此，对照</w:t>
            </w:r>
            <w:r>
              <w:rPr>
                <w:rFonts w:hint="default" w:ascii="Times New Roman" w:hAnsi="Times New Roman" w:cs="Times New Roman"/>
                <w:b w:val="0"/>
                <w:bCs w:val="0"/>
                <w:color w:val="auto"/>
                <w:sz w:val="21"/>
                <w:szCs w:val="21"/>
              </w:rPr>
              <w:t>《关于印发&lt;南通市地表水工业特征污染物专项整治工作实施方案&gt;的通知》</w:t>
            </w:r>
            <w:r>
              <w:rPr>
                <w:rFonts w:hint="default" w:ascii="Times New Roman" w:hAnsi="Times New Roman" w:cs="Times New Roman"/>
                <w:bCs/>
                <w:color w:val="auto"/>
                <w:sz w:val="21"/>
                <w:szCs w:val="21"/>
                <w:lang w:val="en-US" w:eastAsia="zh-CN"/>
              </w:rPr>
              <w:t>，本项目满足相关要求。</w:t>
            </w:r>
          </w:p>
          <w:p w14:paraId="1AACD1FA">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3、噪声</w:t>
            </w:r>
          </w:p>
          <w:p w14:paraId="2A68689E">
            <w:pPr>
              <w:pStyle w:val="17"/>
              <w:spacing w:after="0" w:line="360" w:lineRule="auto"/>
              <w:ind w:left="0" w:lef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（1）源强</w:t>
            </w:r>
          </w:p>
          <w:p w14:paraId="49FF7003">
            <w:pPr>
              <w:pStyle w:val="17"/>
              <w:spacing w:after="0" w:line="360" w:lineRule="auto"/>
              <w:ind w:left="0" w:lef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
              </w:rPr>
              <w:t>本项目噪声主要来自各生产设备和配套设备运行产生的噪声</w:t>
            </w:r>
            <w:r>
              <w:rPr>
                <w:rFonts w:hint="default" w:ascii="Times New Roman" w:hAnsi="Times New Roman" w:cs="Times New Roman"/>
                <w:color w:val="auto"/>
                <w:sz w:val="21"/>
                <w:szCs w:val="21"/>
                <w:lang w:val="en-US" w:eastAsia="zh-CN"/>
              </w:rPr>
              <w:t>，主要采取安装消声装置、减振措施设施，并通过合理布局以及采用建筑物进行隔声。</w:t>
            </w:r>
          </w:p>
          <w:p w14:paraId="615458F5">
            <w:pPr>
              <w:spacing w:line="360" w:lineRule="auto"/>
              <w:ind w:left="34" w:firstLine="371" w:firstLineChars="177"/>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本项目主要设备噪声源强见表4-1</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p>
          <w:p w14:paraId="010105DA">
            <w:pPr>
              <w:pStyle w:val="155"/>
              <w:adjustRightInd w:val="0"/>
              <w:snapToGrid w:val="0"/>
              <w:ind w:left="0" w:firstLine="0"/>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表4-1</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 xml:space="preserve">  主要设备噪声源强参数表</w:t>
            </w:r>
          </w:p>
          <w:tbl>
            <w:tblPr>
              <w:tblStyle w:val="4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8"/>
              <w:gridCol w:w="397"/>
              <w:gridCol w:w="818"/>
              <w:gridCol w:w="687"/>
              <w:gridCol w:w="609"/>
              <w:gridCol w:w="626"/>
              <w:gridCol w:w="626"/>
              <w:gridCol w:w="462"/>
              <w:gridCol w:w="431"/>
              <w:gridCol w:w="757"/>
              <w:gridCol w:w="409"/>
              <w:gridCol w:w="757"/>
              <w:gridCol w:w="758"/>
              <w:gridCol w:w="436"/>
            </w:tblGrid>
            <w:tr w14:paraId="4AB723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01" w:type="pct"/>
                  <w:vMerge w:val="restart"/>
                  <w:tcBorders>
                    <w:tl2br w:val="nil"/>
                    <w:tr2bl w:val="nil"/>
                  </w:tcBorders>
                  <w:noWrap w:val="0"/>
                  <w:vAlign w:val="center"/>
                </w:tcPr>
                <w:p w14:paraId="06670FFB">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序号</w:t>
                  </w:r>
                </w:p>
              </w:tc>
              <w:tc>
                <w:tcPr>
                  <w:tcW w:w="239" w:type="pct"/>
                  <w:vMerge w:val="restart"/>
                  <w:tcBorders>
                    <w:tl2br w:val="nil"/>
                    <w:tr2bl w:val="nil"/>
                  </w:tcBorders>
                  <w:noWrap w:val="0"/>
                  <w:vAlign w:val="center"/>
                </w:tcPr>
                <w:p w14:paraId="4007C5F3">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建筑物名称</w:t>
                  </w:r>
                </w:p>
              </w:tc>
              <w:tc>
                <w:tcPr>
                  <w:tcW w:w="494" w:type="pct"/>
                  <w:vMerge w:val="restart"/>
                  <w:tcBorders>
                    <w:tl2br w:val="nil"/>
                    <w:tr2bl w:val="nil"/>
                  </w:tcBorders>
                  <w:noWrap w:val="0"/>
                  <w:vAlign w:val="center"/>
                </w:tcPr>
                <w:p w14:paraId="198D3513">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声源名称</w:t>
                  </w:r>
                </w:p>
              </w:tc>
              <w:tc>
                <w:tcPr>
                  <w:tcW w:w="415" w:type="pct"/>
                  <w:vMerge w:val="restart"/>
                  <w:tcBorders>
                    <w:tl2br w:val="nil"/>
                    <w:tr2bl w:val="nil"/>
                  </w:tcBorders>
                  <w:noWrap w:val="0"/>
                  <w:vAlign w:val="center"/>
                </w:tcPr>
                <w:p w14:paraId="2F37AA83">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单台声功率级/dB（A）</w:t>
                  </w:r>
                </w:p>
              </w:tc>
              <w:tc>
                <w:tcPr>
                  <w:tcW w:w="368" w:type="pct"/>
                  <w:vMerge w:val="restart"/>
                  <w:tcBorders>
                    <w:tl2br w:val="nil"/>
                    <w:tr2bl w:val="nil"/>
                  </w:tcBorders>
                  <w:noWrap w:val="0"/>
                  <w:vAlign w:val="center"/>
                </w:tcPr>
                <w:p w14:paraId="198EFC88">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声源控制措施</w:t>
                  </w:r>
                </w:p>
              </w:tc>
              <w:tc>
                <w:tcPr>
                  <w:tcW w:w="1036" w:type="pct"/>
                  <w:gridSpan w:val="3"/>
                  <w:tcBorders>
                    <w:tl2br w:val="nil"/>
                    <w:tr2bl w:val="nil"/>
                  </w:tcBorders>
                  <w:noWrap w:val="0"/>
                  <w:vAlign w:val="center"/>
                </w:tcPr>
                <w:p w14:paraId="411E78B9">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空间相对位置/m</w:t>
                  </w:r>
                </w:p>
              </w:tc>
              <w:tc>
                <w:tcPr>
                  <w:tcW w:w="260" w:type="pct"/>
                  <w:vMerge w:val="restart"/>
                  <w:tcBorders>
                    <w:tl2br w:val="nil"/>
                    <w:tr2bl w:val="nil"/>
                  </w:tcBorders>
                  <w:noWrap w:val="0"/>
                  <w:vAlign w:val="center"/>
                </w:tcPr>
                <w:p w14:paraId="781295B0">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距室内边界距离/m</w:t>
                  </w:r>
                </w:p>
              </w:tc>
              <w:tc>
                <w:tcPr>
                  <w:tcW w:w="457" w:type="pct"/>
                  <w:vMerge w:val="restart"/>
                  <w:tcBorders>
                    <w:tl2br w:val="nil"/>
                    <w:tr2bl w:val="nil"/>
                  </w:tcBorders>
                  <w:noWrap w:val="0"/>
                  <w:vAlign w:val="center"/>
                </w:tcPr>
                <w:p w14:paraId="2173F24F">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室内边界声级/dB（A）</w:t>
                  </w:r>
                </w:p>
              </w:tc>
              <w:tc>
                <w:tcPr>
                  <w:tcW w:w="247" w:type="pct"/>
                  <w:vMerge w:val="restart"/>
                  <w:tcBorders>
                    <w:tl2br w:val="nil"/>
                    <w:tr2bl w:val="nil"/>
                  </w:tcBorders>
                  <w:noWrap w:val="0"/>
                  <w:vAlign w:val="center"/>
                </w:tcPr>
                <w:p w14:paraId="46816CE4">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运行时段</w:t>
                  </w:r>
                </w:p>
              </w:tc>
              <w:tc>
                <w:tcPr>
                  <w:tcW w:w="457" w:type="pct"/>
                  <w:vMerge w:val="restart"/>
                  <w:tcBorders>
                    <w:tl2br w:val="nil"/>
                    <w:tr2bl w:val="nil"/>
                  </w:tcBorders>
                  <w:noWrap w:val="0"/>
                  <w:vAlign w:val="center"/>
                </w:tcPr>
                <w:p w14:paraId="1FD7B10C">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建筑物插入损失/dB（A）</w:t>
                  </w:r>
                </w:p>
              </w:tc>
              <w:tc>
                <w:tcPr>
                  <w:tcW w:w="721" w:type="pct"/>
                  <w:gridSpan w:val="2"/>
                  <w:tcBorders>
                    <w:tl2br w:val="nil"/>
                    <w:tr2bl w:val="nil"/>
                  </w:tcBorders>
                  <w:noWrap w:val="0"/>
                  <w:vAlign w:val="center"/>
                </w:tcPr>
                <w:p w14:paraId="301FC63E">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建筑物外噪声</w:t>
                  </w:r>
                </w:p>
              </w:tc>
            </w:tr>
            <w:tr w14:paraId="5892E4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01" w:type="pct"/>
                  <w:vMerge w:val="continue"/>
                  <w:tcBorders>
                    <w:tl2br w:val="nil"/>
                    <w:tr2bl w:val="nil"/>
                  </w:tcBorders>
                  <w:noWrap w:val="0"/>
                  <w:vAlign w:val="center"/>
                </w:tcPr>
                <w:p w14:paraId="11BAE9A0">
                  <w:pPr>
                    <w:adjustRightInd w:val="0"/>
                    <w:snapToGrid w:val="0"/>
                    <w:jc w:val="center"/>
                    <w:rPr>
                      <w:rFonts w:hint="default" w:ascii="Times New Roman" w:hAnsi="Times New Roman" w:eastAsia="宋体" w:cs="Times New Roman"/>
                      <w:b/>
                      <w:bCs/>
                      <w:color w:val="auto"/>
                      <w:sz w:val="18"/>
                      <w:szCs w:val="18"/>
                    </w:rPr>
                  </w:pPr>
                </w:p>
              </w:tc>
              <w:tc>
                <w:tcPr>
                  <w:tcW w:w="239" w:type="pct"/>
                  <w:vMerge w:val="continue"/>
                  <w:tcBorders>
                    <w:tl2br w:val="nil"/>
                    <w:tr2bl w:val="nil"/>
                  </w:tcBorders>
                  <w:noWrap w:val="0"/>
                  <w:vAlign w:val="center"/>
                </w:tcPr>
                <w:p w14:paraId="256C8D1C">
                  <w:pPr>
                    <w:adjustRightInd w:val="0"/>
                    <w:snapToGrid w:val="0"/>
                    <w:jc w:val="center"/>
                    <w:rPr>
                      <w:rFonts w:hint="default" w:ascii="Times New Roman" w:hAnsi="Times New Roman" w:eastAsia="宋体" w:cs="Times New Roman"/>
                      <w:b/>
                      <w:bCs/>
                      <w:color w:val="auto"/>
                      <w:sz w:val="18"/>
                      <w:szCs w:val="18"/>
                    </w:rPr>
                  </w:pPr>
                </w:p>
              </w:tc>
              <w:tc>
                <w:tcPr>
                  <w:tcW w:w="494" w:type="pct"/>
                  <w:vMerge w:val="continue"/>
                  <w:tcBorders>
                    <w:tl2br w:val="nil"/>
                    <w:tr2bl w:val="nil"/>
                  </w:tcBorders>
                  <w:noWrap w:val="0"/>
                  <w:vAlign w:val="center"/>
                </w:tcPr>
                <w:p w14:paraId="762983F3">
                  <w:pPr>
                    <w:adjustRightInd w:val="0"/>
                    <w:snapToGrid w:val="0"/>
                    <w:jc w:val="center"/>
                    <w:rPr>
                      <w:rFonts w:hint="default" w:ascii="Times New Roman" w:hAnsi="Times New Roman" w:eastAsia="宋体" w:cs="Times New Roman"/>
                      <w:b/>
                      <w:bCs/>
                      <w:color w:val="auto"/>
                      <w:sz w:val="18"/>
                      <w:szCs w:val="18"/>
                    </w:rPr>
                  </w:pPr>
                </w:p>
              </w:tc>
              <w:tc>
                <w:tcPr>
                  <w:tcW w:w="415" w:type="pct"/>
                  <w:vMerge w:val="continue"/>
                  <w:tcBorders>
                    <w:tl2br w:val="nil"/>
                    <w:tr2bl w:val="nil"/>
                  </w:tcBorders>
                  <w:noWrap w:val="0"/>
                  <w:vAlign w:val="center"/>
                </w:tcPr>
                <w:p w14:paraId="76CEDB39">
                  <w:pPr>
                    <w:adjustRightInd w:val="0"/>
                    <w:snapToGrid w:val="0"/>
                    <w:jc w:val="center"/>
                    <w:rPr>
                      <w:rFonts w:hint="default" w:ascii="Times New Roman" w:hAnsi="Times New Roman" w:eastAsia="宋体" w:cs="Times New Roman"/>
                      <w:b/>
                      <w:bCs/>
                      <w:color w:val="auto"/>
                      <w:sz w:val="18"/>
                      <w:szCs w:val="18"/>
                    </w:rPr>
                  </w:pPr>
                </w:p>
              </w:tc>
              <w:tc>
                <w:tcPr>
                  <w:tcW w:w="368" w:type="pct"/>
                  <w:vMerge w:val="continue"/>
                  <w:tcBorders>
                    <w:tl2br w:val="nil"/>
                    <w:tr2bl w:val="nil"/>
                  </w:tcBorders>
                  <w:noWrap w:val="0"/>
                  <w:vAlign w:val="center"/>
                </w:tcPr>
                <w:p w14:paraId="60C27456">
                  <w:pPr>
                    <w:adjustRightInd w:val="0"/>
                    <w:snapToGrid w:val="0"/>
                    <w:jc w:val="center"/>
                    <w:rPr>
                      <w:rFonts w:hint="default" w:ascii="Times New Roman" w:hAnsi="Times New Roman" w:eastAsia="宋体" w:cs="Times New Roman"/>
                      <w:b/>
                      <w:bCs/>
                      <w:color w:val="auto"/>
                      <w:sz w:val="18"/>
                      <w:szCs w:val="18"/>
                    </w:rPr>
                  </w:pPr>
                </w:p>
              </w:tc>
              <w:tc>
                <w:tcPr>
                  <w:tcW w:w="378" w:type="pct"/>
                  <w:tcBorders>
                    <w:tl2br w:val="nil"/>
                    <w:tr2bl w:val="nil"/>
                  </w:tcBorders>
                  <w:noWrap w:val="0"/>
                  <w:vAlign w:val="center"/>
                </w:tcPr>
                <w:p w14:paraId="0EAAF2FB">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X</w:t>
                  </w:r>
                </w:p>
              </w:tc>
              <w:tc>
                <w:tcPr>
                  <w:tcW w:w="378" w:type="pct"/>
                  <w:tcBorders>
                    <w:tl2br w:val="nil"/>
                    <w:tr2bl w:val="nil"/>
                  </w:tcBorders>
                  <w:noWrap w:val="0"/>
                  <w:vAlign w:val="center"/>
                </w:tcPr>
                <w:p w14:paraId="304FE7FD">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Y</w:t>
                  </w:r>
                </w:p>
              </w:tc>
              <w:tc>
                <w:tcPr>
                  <w:tcW w:w="279" w:type="pct"/>
                  <w:tcBorders>
                    <w:tl2br w:val="nil"/>
                    <w:tr2bl w:val="nil"/>
                  </w:tcBorders>
                  <w:noWrap w:val="0"/>
                  <w:vAlign w:val="center"/>
                </w:tcPr>
                <w:p w14:paraId="670B1305">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Z</w:t>
                  </w:r>
                </w:p>
              </w:tc>
              <w:tc>
                <w:tcPr>
                  <w:tcW w:w="260" w:type="pct"/>
                  <w:vMerge w:val="continue"/>
                  <w:tcBorders>
                    <w:tl2br w:val="nil"/>
                    <w:tr2bl w:val="nil"/>
                  </w:tcBorders>
                  <w:noWrap w:val="0"/>
                  <w:vAlign w:val="center"/>
                </w:tcPr>
                <w:p w14:paraId="21FFDF52">
                  <w:pPr>
                    <w:adjustRightInd w:val="0"/>
                    <w:snapToGrid w:val="0"/>
                    <w:jc w:val="center"/>
                    <w:rPr>
                      <w:rFonts w:hint="default" w:ascii="Times New Roman" w:hAnsi="Times New Roman" w:eastAsia="宋体" w:cs="Times New Roman"/>
                      <w:b/>
                      <w:bCs/>
                      <w:color w:val="auto"/>
                      <w:sz w:val="18"/>
                      <w:szCs w:val="18"/>
                    </w:rPr>
                  </w:pPr>
                </w:p>
              </w:tc>
              <w:tc>
                <w:tcPr>
                  <w:tcW w:w="457" w:type="pct"/>
                  <w:vMerge w:val="continue"/>
                  <w:tcBorders>
                    <w:tl2br w:val="nil"/>
                    <w:tr2bl w:val="nil"/>
                  </w:tcBorders>
                  <w:noWrap w:val="0"/>
                  <w:vAlign w:val="center"/>
                </w:tcPr>
                <w:p w14:paraId="5B41A22D">
                  <w:pPr>
                    <w:adjustRightInd w:val="0"/>
                    <w:snapToGrid w:val="0"/>
                    <w:jc w:val="center"/>
                    <w:rPr>
                      <w:rFonts w:hint="default" w:ascii="Times New Roman" w:hAnsi="Times New Roman" w:eastAsia="宋体" w:cs="Times New Roman"/>
                      <w:b/>
                      <w:bCs/>
                      <w:color w:val="auto"/>
                      <w:sz w:val="18"/>
                      <w:szCs w:val="18"/>
                    </w:rPr>
                  </w:pPr>
                </w:p>
              </w:tc>
              <w:tc>
                <w:tcPr>
                  <w:tcW w:w="247" w:type="pct"/>
                  <w:vMerge w:val="continue"/>
                  <w:tcBorders>
                    <w:tl2br w:val="nil"/>
                    <w:tr2bl w:val="nil"/>
                  </w:tcBorders>
                  <w:noWrap w:val="0"/>
                  <w:vAlign w:val="center"/>
                </w:tcPr>
                <w:p w14:paraId="0311B9C0">
                  <w:pPr>
                    <w:adjustRightInd w:val="0"/>
                    <w:snapToGrid w:val="0"/>
                    <w:jc w:val="center"/>
                    <w:rPr>
                      <w:rFonts w:hint="default" w:ascii="Times New Roman" w:hAnsi="Times New Roman" w:eastAsia="宋体" w:cs="Times New Roman"/>
                      <w:b/>
                      <w:bCs/>
                      <w:color w:val="auto"/>
                      <w:sz w:val="18"/>
                      <w:szCs w:val="18"/>
                    </w:rPr>
                  </w:pPr>
                </w:p>
              </w:tc>
              <w:tc>
                <w:tcPr>
                  <w:tcW w:w="457" w:type="pct"/>
                  <w:vMerge w:val="continue"/>
                  <w:tcBorders>
                    <w:tl2br w:val="nil"/>
                    <w:tr2bl w:val="nil"/>
                  </w:tcBorders>
                  <w:noWrap w:val="0"/>
                  <w:vAlign w:val="center"/>
                </w:tcPr>
                <w:p w14:paraId="0E464D72">
                  <w:pPr>
                    <w:adjustRightInd w:val="0"/>
                    <w:snapToGrid w:val="0"/>
                    <w:jc w:val="center"/>
                    <w:rPr>
                      <w:rFonts w:hint="default" w:ascii="Times New Roman" w:hAnsi="Times New Roman" w:eastAsia="宋体" w:cs="Times New Roman"/>
                      <w:b/>
                      <w:bCs/>
                      <w:color w:val="auto"/>
                      <w:sz w:val="18"/>
                      <w:szCs w:val="18"/>
                    </w:rPr>
                  </w:pPr>
                </w:p>
              </w:tc>
              <w:tc>
                <w:tcPr>
                  <w:tcW w:w="458" w:type="pct"/>
                  <w:tcBorders>
                    <w:tl2br w:val="nil"/>
                    <w:tr2bl w:val="nil"/>
                  </w:tcBorders>
                  <w:noWrap w:val="0"/>
                  <w:vAlign w:val="center"/>
                </w:tcPr>
                <w:p w14:paraId="26008C47">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声压级/dB（A）</w:t>
                  </w:r>
                </w:p>
              </w:tc>
              <w:tc>
                <w:tcPr>
                  <w:tcW w:w="263" w:type="pct"/>
                  <w:tcBorders>
                    <w:tl2br w:val="nil"/>
                    <w:tr2bl w:val="nil"/>
                  </w:tcBorders>
                  <w:noWrap w:val="0"/>
                  <w:vAlign w:val="center"/>
                </w:tcPr>
                <w:p w14:paraId="0BB4A488">
                  <w:pPr>
                    <w:adjustRightInd w:val="0"/>
                    <w:snapToGrid w:val="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建筑物外距离/m</w:t>
                  </w:r>
                </w:p>
              </w:tc>
            </w:tr>
            <w:tr w14:paraId="3FDC21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71CB734C">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c>
                <w:tcPr>
                  <w:tcW w:w="239" w:type="pct"/>
                  <w:vMerge w:val="restart"/>
                  <w:tcBorders>
                    <w:tl2br w:val="nil"/>
                    <w:tr2bl w:val="nil"/>
                  </w:tcBorders>
                  <w:noWrap w:val="0"/>
                  <w:vAlign w:val="center"/>
                </w:tcPr>
                <w:p w14:paraId="422FED06">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一层</w:t>
                  </w:r>
                </w:p>
              </w:tc>
              <w:tc>
                <w:tcPr>
                  <w:tcW w:w="494" w:type="pct"/>
                  <w:tcBorders>
                    <w:tl2br w:val="nil"/>
                    <w:tr2bl w:val="nil"/>
                  </w:tcBorders>
                  <w:noWrap w:val="0"/>
                  <w:vAlign w:val="center"/>
                </w:tcPr>
                <w:p w14:paraId="5A61F750">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天然气加热炉</w:t>
                  </w:r>
                </w:p>
              </w:tc>
              <w:tc>
                <w:tcPr>
                  <w:tcW w:w="415" w:type="pct"/>
                  <w:tcBorders>
                    <w:tl2br w:val="nil"/>
                    <w:tr2bl w:val="nil"/>
                  </w:tcBorders>
                  <w:noWrap w:val="0"/>
                  <w:vAlign w:val="center"/>
                </w:tcPr>
                <w:p w14:paraId="01E8DC8B">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restart"/>
                  <w:tcBorders>
                    <w:tl2br w:val="nil"/>
                    <w:tr2bl w:val="nil"/>
                  </w:tcBorders>
                  <w:noWrap w:val="0"/>
                  <w:vAlign w:val="center"/>
                </w:tcPr>
                <w:p w14:paraId="0404AD67">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减振、隔声等</w:t>
                  </w:r>
                </w:p>
              </w:tc>
              <w:tc>
                <w:tcPr>
                  <w:tcW w:w="378" w:type="pct"/>
                  <w:tcBorders>
                    <w:tl2br w:val="nil"/>
                    <w:tr2bl w:val="nil"/>
                  </w:tcBorders>
                  <w:noWrap w:val="0"/>
                  <w:vAlign w:val="center"/>
                </w:tcPr>
                <w:p w14:paraId="058DDF89">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16.2</w:t>
                  </w:r>
                </w:p>
              </w:tc>
              <w:tc>
                <w:tcPr>
                  <w:tcW w:w="378" w:type="pct"/>
                  <w:tcBorders>
                    <w:tl2br w:val="nil"/>
                    <w:tr2bl w:val="nil"/>
                  </w:tcBorders>
                  <w:noWrap w:val="0"/>
                  <w:vAlign w:val="center"/>
                </w:tcPr>
                <w:p w14:paraId="3264ED14">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-7.5</w:t>
                  </w:r>
                </w:p>
              </w:tc>
              <w:tc>
                <w:tcPr>
                  <w:tcW w:w="279" w:type="pct"/>
                  <w:tcBorders>
                    <w:tl2br w:val="nil"/>
                    <w:tr2bl w:val="nil"/>
                  </w:tcBorders>
                  <w:noWrap w:val="0"/>
                  <w:vAlign w:val="center"/>
                </w:tcPr>
                <w:p w14:paraId="144B891F">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09AD51E4">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163688AB">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34B63292">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3312895E">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7119B7CA">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5A9904B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254883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7F67763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w:t>
                  </w:r>
                </w:p>
              </w:tc>
              <w:tc>
                <w:tcPr>
                  <w:tcW w:w="239" w:type="pct"/>
                  <w:vMerge w:val="continue"/>
                  <w:tcBorders>
                    <w:tl2br w:val="nil"/>
                    <w:tr2bl w:val="nil"/>
                  </w:tcBorders>
                  <w:noWrap w:val="0"/>
                  <w:vAlign w:val="center"/>
                </w:tcPr>
                <w:p w14:paraId="145CC946">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0D02648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天然气加热炉</w:t>
                  </w:r>
                </w:p>
              </w:tc>
              <w:tc>
                <w:tcPr>
                  <w:tcW w:w="415" w:type="pct"/>
                  <w:tcBorders>
                    <w:tl2br w:val="nil"/>
                    <w:tr2bl w:val="nil"/>
                  </w:tcBorders>
                  <w:noWrap w:val="0"/>
                  <w:vAlign w:val="center"/>
                </w:tcPr>
                <w:p w14:paraId="538FE05A">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4BC39145">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6CF2AA51">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20</w:t>
                  </w:r>
                  <w:r>
                    <w:rPr>
                      <w:rFonts w:hint="eastAsia" w:ascii="Times New Roman" w:hAnsi="Times New Roman" w:cs="Times New Roman"/>
                      <w:color w:val="auto"/>
                      <w:kern w:val="0"/>
                      <w:sz w:val="18"/>
                      <w:szCs w:val="18"/>
                      <w:lang w:val="en-US" w:eastAsia="zh-CN"/>
                    </w:rPr>
                    <w:t>.1</w:t>
                  </w:r>
                </w:p>
              </w:tc>
              <w:tc>
                <w:tcPr>
                  <w:tcW w:w="378" w:type="pct"/>
                  <w:tcBorders>
                    <w:tl2br w:val="nil"/>
                    <w:tr2bl w:val="nil"/>
                  </w:tcBorders>
                  <w:noWrap w:val="0"/>
                  <w:vAlign w:val="center"/>
                </w:tcPr>
                <w:p w14:paraId="273BF5A2">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w:t>
                  </w:r>
                </w:p>
              </w:tc>
              <w:tc>
                <w:tcPr>
                  <w:tcW w:w="279" w:type="pct"/>
                  <w:tcBorders>
                    <w:tl2br w:val="nil"/>
                    <w:tr2bl w:val="nil"/>
                  </w:tcBorders>
                  <w:noWrap w:val="0"/>
                  <w:vAlign w:val="center"/>
                </w:tcPr>
                <w:p w14:paraId="7B4B491F">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0BEB1946">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4F81D768">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4041527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31340522">
                  <w:pPr>
                    <w:adjustRightInd w:val="0"/>
                    <w:snapToGrid w:val="0"/>
                    <w:jc w:val="center"/>
                    <w:rPr>
                      <w:rFonts w:hint="default" w:ascii="Times New Roman" w:hAnsi="Times New Roman" w:eastAsia="宋体" w:cs="Times New Roman"/>
                      <w:color w:val="auto"/>
                      <w:kern w:val="0"/>
                      <w:sz w:val="18"/>
                      <w:szCs w:val="18"/>
                      <w:lang w:val="en-US"/>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37BBDFB3">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1474F19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3ADEE4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56F3F8C5">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w:t>
                  </w:r>
                </w:p>
              </w:tc>
              <w:tc>
                <w:tcPr>
                  <w:tcW w:w="239" w:type="pct"/>
                  <w:vMerge w:val="continue"/>
                  <w:tcBorders>
                    <w:tl2br w:val="nil"/>
                    <w:tr2bl w:val="nil"/>
                  </w:tcBorders>
                  <w:noWrap w:val="0"/>
                  <w:vAlign w:val="center"/>
                </w:tcPr>
                <w:p w14:paraId="58983A47">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B126E26">
                  <w:pPr>
                    <w:jc w:val="center"/>
                    <w:rPr>
                      <w:rFonts w:hint="default" w:ascii="Times New Roman" w:hAnsi="Times New Roman"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天然气加热炉</w:t>
                  </w:r>
                </w:p>
              </w:tc>
              <w:tc>
                <w:tcPr>
                  <w:tcW w:w="415" w:type="pct"/>
                  <w:tcBorders>
                    <w:tl2br w:val="nil"/>
                    <w:tr2bl w:val="nil"/>
                  </w:tcBorders>
                  <w:noWrap w:val="0"/>
                  <w:vAlign w:val="center"/>
                </w:tcPr>
                <w:p w14:paraId="204E4735">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760E17F1">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2BCF02D">
                  <w:pPr>
                    <w:widowControl/>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16.7</w:t>
                  </w:r>
                </w:p>
              </w:tc>
              <w:tc>
                <w:tcPr>
                  <w:tcW w:w="378" w:type="pct"/>
                  <w:tcBorders>
                    <w:tl2br w:val="nil"/>
                    <w:tr2bl w:val="nil"/>
                  </w:tcBorders>
                  <w:noWrap w:val="0"/>
                  <w:vAlign w:val="center"/>
                </w:tcPr>
                <w:p w14:paraId="62A0F325">
                  <w:pPr>
                    <w:widowControl/>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-13.1</w:t>
                  </w:r>
                </w:p>
              </w:tc>
              <w:tc>
                <w:tcPr>
                  <w:tcW w:w="279" w:type="pct"/>
                  <w:tcBorders>
                    <w:tl2br w:val="nil"/>
                    <w:tr2bl w:val="nil"/>
                  </w:tcBorders>
                  <w:noWrap w:val="0"/>
                  <w:vAlign w:val="center"/>
                </w:tcPr>
                <w:p w14:paraId="1F50BA3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4BE4602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w:t>
                  </w:r>
                </w:p>
              </w:tc>
              <w:tc>
                <w:tcPr>
                  <w:tcW w:w="457" w:type="pct"/>
                  <w:tcBorders>
                    <w:tl2br w:val="nil"/>
                    <w:tr2bl w:val="nil"/>
                  </w:tcBorders>
                  <w:noWrap w:val="0"/>
                  <w:vAlign w:val="center"/>
                </w:tcPr>
                <w:p w14:paraId="1F9983B9">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71</w:t>
                  </w:r>
                </w:p>
              </w:tc>
              <w:tc>
                <w:tcPr>
                  <w:tcW w:w="247" w:type="pct"/>
                  <w:tcBorders>
                    <w:tl2br w:val="nil"/>
                    <w:tr2bl w:val="nil"/>
                  </w:tcBorders>
                  <w:noWrap w:val="0"/>
                  <w:vAlign w:val="center"/>
                </w:tcPr>
                <w:p w14:paraId="37BC44C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162D366">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2147217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51</w:t>
                  </w:r>
                </w:p>
              </w:tc>
              <w:tc>
                <w:tcPr>
                  <w:tcW w:w="263" w:type="pct"/>
                  <w:tcBorders>
                    <w:tl2br w:val="nil"/>
                    <w:tr2bl w:val="nil"/>
                  </w:tcBorders>
                  <w:noWrap w:val="0"/>
                  <w:vAlign w:val="center"/>
                </w:tcPr>
                <w:p w14:paraId="21079EC9">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r>
            <w:tr w14:paraId="72C851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1BE33C52">
                  <w:pPr>
                    <w:adjustRightInd w:val="0"/>
                    <w:snapToGrid w:val="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w:t>
                  </w:r>
                </w:p>
              </w:tc>
              <w:tc>
                <w:tcPr>
                  <w:tcW w:w="239" w:type="pct"/>
                  <w:vMerge w:val="continue"/>
                  <w:tcBorders>
                    <w:tl2br w:val="nil"/>
                    <w:tr2bl w:val="nil"/>
                  </w:tcBorders>
                  <w:noWrap w:val="0"/>
                  <w:vAlign w:val="center"/>
                </w:tcPr>
                <w:p w14:paraId="2E1F7844">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F3F054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自动带锯</w:t>
                  </w:r>
                </w:p>
              </w:tc>
              <w:tc>
                <w:tcPr>
                  <w:tcW w:w="415" w:type="pct"/>
                  <w:tcBorders>
                    <w:tl2br w:val="nil"/>
                    <w:tr2bl w:val="nil"/>
                  </w:tcBorders>
                  <w:noWrap w:val="0"/>
                  <w:vAlign w:val="center"/>
                </w:tcPr>
                <w:p w14:paraId="64F33A70">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238AA09B">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47256B64">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w:t>
                  </w:r>
                </w:p>
              </w:tc>
              <w:tc>
                <w:tcPr>
                  <w:tcW w:w="378" w:type="pct"/>
                  <w:tcBorders>
                    <w:tl2br w:val="nil"/>
                    <w:tr2bl w:val="nil"/>
                  </w:tcBorders>
                  <w:noWrap w:val="0"/>
                  <w:vAlign w:val="center"/>
                </w:tcPr>
                <w:p w14:paraId="21BBCC3D">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w:t>
                  </w:r>
                </w:p>
              </w:tc>
              <w:tc>
                <w:tcPr>
                  <w:tcW w:w="279" w:type="pct"/>
                  <w:tcBorders>
                    <w:tl2br w:val="nil"/>
                    <w:tr2bl w:val="nil"/>
                  </w:tcBorders>
                  <w:noWrap w:val="0"/>
                  <w:vAlign w:val="center"/>
                </w:tcPr>
                <w:p w14:paraId="1B06711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69E3FC81">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1227050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60</w:t>
                  </w:r>
                </w:p>
              </w:tc>
              <w:tc>
                <w:tcPr>
                  <w:tcW w:w="247" w:type="pct"/>
                  <w:tcBorders>
                    <w:tl2br w:val="nil"/>
                    <w:tr2bl w:val="nil"/>
                  </w:tcBorders>
                  <w:noWrap w:val="0"/>
                  <w:vAlign w:val="center"/>
                </w:tcPr>
                <w:p w14:paraId="73DE549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CED7C42">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6D9730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45</w:t>
                  </w:r>
                </w:p>
              </w:tc>
              <w:tc>
                <w:tcPr>
                  <w:tcW w:w="263" w:type="pct"/>
                  <w:tcBorders>
                    <w:tl2br w:val="nil"/>
                    <w:tr2bl w:val="nil"/>
                  </w:tcBorders>
                  <w:noWrap w:val="0"/>
                  <w:vAlign w:val="center"/>
                </w:tcPr>
                <w:p w14:paraId="11026DFC">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r>
            <w:tr w14:paraId="6BE802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76CBE8E">
                  <w:pPr>
                    <w:adjustRightInd w:val="0"/>
                    <w:snapToGrid w:val="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w:t>
                  </w:r>
                </w:p>
              </w:tc>
              <w:tc>
                <w:tcPr>
                  <w:tcW w:w="239" w:type="pct"/>
                  <w:vMerge w:val="continue"/>
                  <w:tcBorders>
                    <w:tl2br w:val="nil"/>
                    <w:tr2bl w:val="nil"/>
                  </w:tcBorders>
                  <w:noWrap w:val="0"/>
                  <w:vAlign w:val="center"/>
                </w:tcPr>
                <w:p w14:paraId="77645153">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4C2EC9C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自动带锯</w:t>
                  </w:r>
                </w:p>
              </w:tc>
              <w:tc>
                <w:tcPr>
                  <w:tcW w:w="415" w:type="pct"/>
                  <w:tcBorders>
                    <w:tl2br w:val="nil"/>
                    <w:tr2bl w:val="nil"/>
                  </w:tcBorders>
                  <w:noWrap w:val="0"/>
                  <w:vAlign w:val="center"/>
                </w:tcPr>
                <w:p w14:paraId="5B7A4D4D">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148D8DD2">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187F4205">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14.5</w:t>
                  </w:r>
                </w:p>
              </w:tc>
              <w:tc>
                <w:tcPr>
                  <w:tcW w:w="378" w:type="pct"/>
                  <w:tcBorders>
                    <w:tl2br w:val="nil"/>
                    <w:tr2bl w:val="nil"/>
                  </w:tcBorders>
                  <w:noWrap w:val="0"/>
                  <w:vAlign w:val="center"/>
                </w:tcPr>
                <w:p w14:paraId="5069C5D5">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w:t>
                  </w:r>
                </w:p>
              </w:tc>
              <w:tc>
                <w:tcPr>
                  <w:tcW w:w="279" w:type="pct"/>
                  <w:tcBorders>
                    <w:tl2br w:val="nil"/>
                    <w:tr2bl w:val="nil"/>
                  </w:tcBorders>
                  <w:noWrap w:val="0"/>
                  <w:vAlign w:val="center"/>
                </w:tcPr>
                <w:p w14:paraId="3C4ACE4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029E0AE1">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w:t>
                  </w:r>
                </w:p>
              </w:tc>
              <w:tc>
                <w:tcPr>
                  <w:tcW w:w="457" w:type="pct"/>
                  <w:tcBorders>
                    <w:tl2br w:val="nil"/>
                    <w:tr2bl w:val="nil"/>
                  </w:tcBorders>
                  <w:noWrap w:val="0"/>
                  <w:vAlign w:val="center"/>
                </w:tcPr>
                <w:p w14:paraId="7CF42710">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60</w:t>
                  </w:r>
                </w:p>
              </w:tc>
              <w:tc>
                <w:tcPr>
                  <w:tcW w:w="247" w:type="pct"/>
                  <w:tcBorders>
                    <w:tl2br w:val="nil"/>
                    <w:tr2bl w:val="nil"/>
                  </w:tcBorders>
                  <w:noWrap w:val="0"/>
                  <w:vAlign w:val="center"/>
                </w:tcPr>
                <w:p w14:paraId="7BEBF972">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13D329F9">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24DE2AB">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45</w:t>
                  </w:r>
                </w:p>
              </w:tc>
              <w:tc>
                <w:tcPr>
                  <w:tcW w:w="263" w:type="pct"/>
                  <w:tcBorders>
                    <w:tl2br w:val="nil"/>
                    <w:tr2bl w:val="nil"/>
                  </w:tcBorders>
                  <w:noWrap w:val="0"/>
                  <w:vAlign w:val="center"/>
                </w:tcPr>
                <w:p w14:paraId="407B4B2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r>
            <w:tr w14:paraId="3FF4BD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EC26CA6">
                  <w:pPr>
                    <w:adjustRightInd w:val="0"/>
                    <w:snapToGrid w:val="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w:t>
                  </w:r>
                </w:p>
              </w:tc>
              <w:tc>
                <w:tcPr>
                  <w:tcW w:w="239" w:type="pct"/>
                  <w:vMerge w:val="continue"/>
                  <w:tcBorders>
                    <w:tl2br w:val="nil"/>
                    <w:tr2bl w:val="nil"/>
                  </w:tcBorders>
                  <w:noWrap w:val="0"/>
                  <w:vAlign w:val="center"/>
                </w:tcPr>
                <w:p w14:paraId="350CFA0B">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2C6DA8A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自动带锯</w:t>
                  </w:r>
                </w:p>
              </w:tc>
              <w:tc>
                <w:tcPr>
                  <w:tcW w:w="415" w:type="pct"/>
                  <w:tcBorders>
                    <w:tl2br w:val="nil"/>
                    <w:tr2bl w:val="nil"/>
                  </w:tcBorders>
                  <w:noWrap w:val="0"/>
                  <w:vAlign w:val="center"/>
                </w:tcPr>
                <w:p w14:paraId="6B26FB66">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1B55C4D2">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5941E14C">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12.2</w:t>
                  </w:r>
                </w:p>
              </w:tc>
              <w:tc>
                <w:tcPr>
                  <w:tcW w:w="378" w:type="pct"/>
                  <w:tcBorders>
                    <w:tl2br w:val="nil"/>
                    <w:tr2bl w:val="nil"/>
                  </w:tcBorders>
                  <w:noWrap w:val="0"/>
                  <w:vAlign w:val="center"/>
                </w:tcPr>
                <w:p w14:paraId="246814E2">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w:t>
                  </w:r>
                </w:p>
              </w:tc>
              <w:tc>
                <w:tcPr>
                  <w:tcW w:w="279" w:type="pct"/>
                  <w:tcBorders>
                    <w:tl2br w:val="nil"/>
                    <w:tr2bl w:val="nil"/>
                  </w:tcBorders>
                  <w:noWrap w:val="0"/>
                  <w:vAlign w:val="center"/>
                </w:tcPr>
                <w:p w14:paraId="3FBA9C4A">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45B80CE6">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w:t>
                  </w:r>
                </w:p>
              </w:tc>
              <w:tc>
                <w:tcPr>
                  <w:tcW w:w="457" w:type="pct"/>
                  <w:tcBorders>
                    <w:tl2br w:val="nil"/>
                    <w:tr2bl w:val="nil"/>
                  </w:tcBorders>
                  <w:noWrap w:val="0"/>
                  <w:vAlign w:val="center"/>
                </w:tcPr>
                <w:p w14:paraId="567B1F73">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355CC1C3">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41D9F257">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AB9CED3">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44</w:t>
                  </w:r>
                </w:p>
              </w:tc>
              <w:tc>
                <w:tcPr>
                  <w:tcW w:w="263" w:type="pct"/>
                  <w:tcBorders>
                    <w:tl2br w:val="nil"/>
                    <w:tr2bl w:val="nil"/>
                  </w:tcBorders>
                  <w:noWrap w:val="0"/>
                  <w:vAlign w:val="center"/>
                </w:tcPr>
                <w:p w14:paraId="5A9A72B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r>
            <w:tr w14:paraId="611EEF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23150C2A">
                  <w:pPr>
                    <w:adjustRightInd w:val="0"/>
                    <w:snapToGrid w:val="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w:t>
                  </w:r>
                </w:p>
              </w:tc>
              <w:tc>
                <w:tcPr>
                  <w:tcW w:w="239" w:type="pct"/>
                  <w:vMerge w:val="continue"/>
                  <w:tcBorders>
                    <w:tl2br w:val="nil"/>
                    <w:tr2bl w:val="nil"/>
                  </w:tcBorders>
                  <w:noWrap w:val="0"/>
                  <w:vAlign w:val="center"/>
                </w:tcPr>
                <w:p w14:paraId="43C6B148">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22A7D4F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自动带锯</w:t>
                  </w:r>
                </w:p>
              </w:tc>
              <w:tc>
                <w:tcPr>
                  <w:tcW w:w="415" w:type="pct"/>
                  <w:tcBorders>
                    <w:tl2br w:val="nil"/>
                    <w:tr2bl w:val="nil"/>
                  </w:tcBorders>
                  <w:noWrap w:val="0"/>
                  <w:vAlign w:val="center"/>
                </w:tcPr>
                <w:p w14:paraId="0059F0A2">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633922DB">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4D098756">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13.4</w:t>
                  </w:r>
                </w:p>
              </w:tc>
              <w:tc>
                <w:tcPr>
                  <w:tcW w:w="378" w:type="pct"/>
                  <w:tcBorders>
                    <w:tl2br w:val="nil"/>
                    <w:tr2bl w:val="nil"/>
                  </w:tcBorders>
                  <w:noWrap w:val="0"/>
                  <w:vAlign w:val="center"/>
                </w:tcPr>
                <w:p w14:paraId="1D825452">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w:t>
                  </w:r>
                </w:p>
              </w:tc>
              <w:tc>
                <w:tcPr>
                  <w:tcW w:w="279" w:type="pct"/>
                  <w:tcBorders>
                    <w:tl2br w:val="nil"/>
                    <w:tr2bl w:val="nil"/>
                  </w:tcBorders>
                  <w:noWrap w:val="0"/>
                  <w:vAlign w:val="center"/>
                </w:tcPr>
                <w:p w14:paraId="39BBD3A9">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7BF7B61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540738D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60</w:t>
                  </w:r>
                </w:p>
              </w:tc>
              <w:tc>
                <w:tcPr>
                  <w:tcW w:w="247" w:type="pct"/>
                  <w:tcBorders>
                    <w:tl2br w:val="nil"/>
                    <w:tr2bl w:val="nil"/>
                  </w:tcBorders>
                  <w:noWrap w:val="0"/>
                  <w:vAlign w:val="center"/>
                </w:tcPr>
                <w:p w14:paraId="6FF2F81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6E9A92CA">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FC060D4">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45</w:t>
                  </w:r>
                </w:p>
              </w:tc>
              <w:tc>
                <w:tcPr>
                  <w:tcW w:w="263" w:type="pct"/>
                  <w:tcBorders>
                    <w:tl2br w:val="nil"/>
                    <w:tr2bl w:val="nil"/>
                  </w:tcBorders>
                  <w:noWrap w:val="0"/>
                  <w:vAlign w:val="center"/>
                </w:tcPr>
                <w:p w14:paraId="6E98B430">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r>
            <w:tr w14:paraId="578FF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19F20BEC">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8</w:t>
                  </w:r>
                </w:p>
              </w:tc>
              <w:tc>
                <w:tcPr>
                  <w:tcW w:w="239" w:type="pct"/>
                  <w:vMerge w:val="continue"/>
                  <w:tcBorders>
                    <w:tl2br w:val="nil"/>
                    <w:tr2bl w:val="nil"/>
                  </w:tcBorders>
                  <w:noWrap w:val="0"/>
                  <w:vAlign w:val="center"/>
                </w:tcPr>
                <w:p w14:paraId="58E10BCD">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533D4E9C">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出料机</w:t>
                  </w:r>
                </w:p>
              </w:tc>
              <w:tc>
                <w:tcPr>
                  <w:tcW w:w="415" w:type="pct"/>
                  <w:tcBorders>
                    <w:tl2br w:val="nil"/>
                    <w:tr2bl w:val="nil"/>
                  </w:tcBorders>
                  <w:noWrap w:val="0"/>
                  <w:vAlign w:val="center"/>
                </w:tcPr>
                <w:p w14:paraId="6A86E480">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80</w:t>
                  </w:r>
                </w:p>
              </w:tc>
              <w:tc>
                <w:tcPr>
                  <w:tcW w:w="368" w:type="pct"/>
                  <w:vMerge w:val="continue"/>
                  <w:tcBorders>
                    <w:tl2br w:val="nil"/>
                    <w:tr2bl w:val="nil"/>
                  </w:tcBorders>
                  <w:noWrap w:val="0"/>
                  <w:vAlign w:val="center"/>
                </w:tcPr>
                <w:p w14:paraId="67AF0EB9">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6E8455FB">
                  <w:pPr>
                    <w:snapToGrid w:val="0"/>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40.2</w:t>
                  </w:r>
                </w:p>
              </w:tc>
              <w:tc>
                <w:tcPr>
                  <w:tcW w:w="378" w:type="pct"/>
                  <w:tcBorders>
                    <w:tl2br w:val="nil"/>
                    <w:tr2bl w:val="nil"/>
                  </w:tcBorders>
                  <w:noWrap w:val="0"/>
                  <w:vAlign w:val="center"/>
                </w:tcPr>
                <w:p w14:paraId="44B5BC93">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16</w:t>
                  </w:r>
                </w:p>
              </w:tc>
              <w:tc>
                <w:tcPr>
                  <w:tcW w:w="279" w:type="pct"/>
                  <w:tcBorders>
                    <w:tl2br w:val="nil"/>
                    <w:tr2bl w:val="nil"/>
                  </w:tcBorders>
                  <w:noWrap w:val="0"/>
                  <w:vAlign w:val="center"/>
                </w:tcPr>
                <w:p w14:paraId="6565913B">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45E429B3">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131CFA9B">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63</w:t>
                  </w:r>
                </w:p>
              </w:tc>
              <w:tc>
                <w:tcPr>
                  <w:tcW w:w="247" w:type="pct"/>
                  <w:tcBorders>
                    <w:tl2br w:val="nil"/>
                    <w:tr2bl w:val="nil"/>
                  </w:tcBorders>
                  <w:noWrap w:val="0"/>
                  <w:vAlign w:val="center"/>
                </w:tcPr>
                <w:p w14:paraId="6A350B92">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071BEBB">
                  <w:pPr>
                    <w:adjustRightInd w:val="0"/>
                    <w:snapToGrid w:val="0"/>
                    <w:jc w:val="center"/>
                    <w:rPr>
                      <w:rFonts w:hint="default" w:ascii="Times New Roman" w:hAnsi="Times New Roman" w:eastAsia="宋体" w:cs="Times New Roman"/>
                      <w:color w:val="auto"/>
                      <w:kern w:val="0"/>
                      <w:sz w:val="18"/>
                      <w:szCs w:val="18"/>
                      <w:lang w:val="en-US"/>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2602E0F4">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43</w:t>
                  </w:r>
                </w:p>
              </w:tc>
              <w:tc>
                <w:tcPr>
                  <w:tcW w:w="263" w:type="pct"/>
                  <w:tcBorders>
                    <w:tl2br w:val="nil"/>
                    <w:tr2bl w:val="nil"/>
                  </w:tcBorders>
                  <w:noWrap w:val="0"/>
                  <w:vAlign w:val="center"/>
                </w:tcPr>
                <w:p w14:paraId="68DE8E7D">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29F10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5A50CD1A">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9</w:t>
                  </w:r>
                </w:p>
              </w:tc>
              <w:tc>
                <w:tcPr>
                  <w:tcW w:w="239" w:type="pct"/>
                  <w:vMerge w:val="continue"/>
                  <w:tcBorders>
                    <w:tl2br w:val="nil"/>
                    <w:tr2bl w:val="nil"/>
                  </w:tcBorders>
                  <w:noWrap w:val="0"/>
                  <w:vAlign w:val="center"/>
                </w:tcPr>
                <w:p w14:paraId="438C0791">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6774D722">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操作机</w:t>
                  </w:r>
                </w:p>
              </w:tc>
              <w:tc>
                <w:tcPr>
                  <w:tcW w:w="415" w:type="pct"/>
                  <w:tcBorders>
                    <w:tl2br w:val="nil"/>
                    <w:tr2bl w:val="nil"/>
                  </w:tcBorders>
                  <w:noWrap w:val="0"/>
                  <w:vAlign w:val="center"/>
                </w:tcPr>
                <w:p w14:paraId="1AC8EB10">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80</w:t>
                  </w:r>
                </w:p>
              </w:tc>
              <w:tc>
                <w:tcPr>
                  <w:tcW w:w="368" w:type="pct"/>
                  <w:vMerge w:val="continue"/>
                  <w:tcBorders>
                    <w:tl2br w:val="nil"/>
                    <w:tr2bl w:val="nil"/>
                  </w:tcBorders>
                  <w:noWrap w:val="0"/>
                  <w:vAlign w:val="center"/>
                </w:tcPr>
                <w:p w14:paraId="60F1D4F8">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66504699">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41</w:t>
                  </w:r>
                </w:p>
              </w:tc>
              <w:tc>
                <w:tcPr>
                  <w:tcW w:w="378" w:type="pct"/>
                  <w:tcBorders>
                    <w:tl2br w:val="nil"/>
                    <w:tr2bl w:val="nil"/>
                  </w:tcBorders>
                  <w:noWrap w:val="0"/>
                  <w:vAlign w:val="center"/>
                </w:tcPr>
                <w:p w14:paraId="255BCC78">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-7.2</w:t>
                  </w:r>
                </w:p>
              </w:tc>
              <w:tc>
                <w:tcPr>
                  <w:tcW w:w="279" w:type="pct"/>
                  <w:tcBorders>
                    <w:tl2br w:val="nil"/>
                    <w:tr2bl w:val="nil"/>
                  </w:tcBorders>
                  <w:noWrap w:val="0"/>
                  <w:vAlign w:val="center"/>
                </w:tcPr>
                <w:p w14:paraId="5C34F858">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71197C6D">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188DBC52">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63</w:t>
                  </w:r>
                </w:p>
              </w:tc>
              <w:tc>
                <w:tcPr>
                  <w:tcW w:w="247" w:type="pct"/>
                  <w:tcBorders>
                    <w:tl2br w:val="nil"/>
                    <w:tr2bl w:val="nil"/>
                  </w:tcBorders>
                  <w:noWrap w:val="0"/>
                  <w:vAlign w:val="center"/>
                </w:tcPr>
                <w:p w14:paraId="0DD92EB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16548E2E">
                  <w:pPr>
                    <w:adjustRightInd w:val="0"/>
                    <w:snapToGrid w:val="0"/>
                    <w:jc w:val="center"/>
                    <w:rPr>
                      <w:rFonts w:hint="default" w:ascii="Times New Roman" w:hAnsi="Times New Roman" w:eastAsia="宋体" w:cs="Times New Roman"/>
                      <w:color w:val="auto"/>
                      <w:kern w:val="0"/>
                      <w:sz w:val="18"/>
                      <w:szCs w:val="18"/>
                      <w:lang w:val="en-US"/>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B25E954">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43</w:t>
                  </w:r>
                </w:p>
              </w:tc>
              <w:tc>
                <w:tcPr>
                  <w:tcW w:w="263" w:type="pct"/>
                  <w:tcBorders>
                    <w:tl2br w:val="nil"/>
                    <w:tr2bl w:val="nil"/>
                  </w:tcBorders>
                  <w:noWrap w:val="0"/>
                  <w:vAlign w:val="center"/>
                </w:tcPr>
                <w:p w14:paraId="70F007AD">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2F577A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BDDDA8D">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10</w:t>
                  </w:r>
                </w:p>
              </w:tc>
              <w:tc>
                <w:tcPr>
                  <w:tcW w:w="239" w:type="pct"/>
                  <w:vMerge w:val="continue"/>
                  <w:tcBorders>
                    <w:tl2br w:val="nil"/>
                    <w:tr2bl w:val="nil"/>
                  </w:tcBorders>
                  <w:noWrap w:val="0"/>
                  <w:vAlign w:val="center"/>
                </w:tcPr>
                <w:p w14:paraId="37895208">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295F2072">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压机</w:t>
                  </w:r>
                </w:p>
              </w:tc>
              <w:tc>
                <w:tcPr>
                  <w:tcW w:w="415" w:type="pct"/>
                  <w:tcBorders>
                    <w:tl2br w:val="nil"/>
                    <w:tr2bl w:val="nil"/>
                  </w:tcBorders>
                  <w:noWrap w:val="0"/>
                  <w:vAlign w:val="center"/>
                </w:tcPr>
                <w:p w14:paraId="7D5492BF">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3362A688">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48111A6D">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3.3</w:t>
                  </w:r>
                </w:p>
              </w:tc>
              <w:tc>
                <w:tcPr>
                  <w:tcW w:w="378" w:type="pct"/>
                  <w:tcBorders>
                    <w:tl2br w:val="nil"/>
                    <w:tr2bl w:val="nil"/>
                  </w:tcBorders>
                  <w:noWrap w:val="0"/>
                  <w:vAlign w:val="center"/>
                </w:tcPr>
                <w:p w14:paraId="117B4E99">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-9.3</w:t>
                  </w:r>
                </w:p>
              </w:tc>
              <w:tc>
                <w:tcPr>
                  <w:tcW w:w="279" w:type="pct"/>
                  <w:tcBorders>
                    <w:tl2br w:val="nil"/>
                    <w:tr2bl w:val="nil"/>
                  </w:tcBorders>
                  <w:noWrap w:val="0"/>
                  <w:vAlign w:val="center"/>
                </w:tcPr>
                <w:p w14:paraId="41DD036E">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50592C36">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6C999AA9">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1FD40E1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2F3E821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D345D99">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736A9472">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4A493B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2FE4119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cs="Times New Roman"/>
                      <w:color w:val="auto"/>
                      <w:kern w:val="0"/>
                      <w:sz w:val="18"/>
                      <w:szCs w:val="18"/>
                      <w:lang w:val="en-US" w:eastAsia="zh-CN"/>
                    </w:rPr>
                    <w:t>11</w:t>
                  </w:r>
                </w:p>
              </w:tc>
              <w:tc>
                <w:tcPr>
                  <w:tcW w:w="239" w:type="pct"/>
                  <w:vMerge w:val="continue"/>
                  <w:tcBorders>
                    <w:tl2br w:val="nil"/>
                    <w:tr2bl w:val="nil"/>
                  </w:tcBorders>
                  <w:noWrap w:val="0"/>
                  <w:vAlign w:val="center"/>
                </w:tcPr>
                <w:p w14:paraId="11C5184F">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788320D6">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电液锤</w:t>
                  </w:r>
                </w:p>
              </w:tc>
              <w:tc>
                <w:tcPr>
                  <w:tcW w:w="415" w:type="pct"/>
                  <w:tcBorders>
                    <w:tl2br w:val="nil"/>
                    <w:tr2bl w:val="nil"/>
                  </w:tcBorders>
                  <w:noWrap w:val="0"/>
                  <w:vAlign w:val="center"/>
                </w:tcPr>
                <w:p w14:paraId="2362C386">
                  <w:pPr>
                    <w:widowControl/>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04815B05">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F9A5EB6">
                  <w:pPr>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25.8</w:t>
                  </w:r>
                </w:p>
              </w:tc>
              <w:tc>
                <w:tcPr>
                  <w:tcW w:w="378" w:type="pct"/>
                  <w:tcBorders>
                    <w:tl2br w:val="nil"/>
                    <w:tr2bl w:val="nil"/>
                  </w:tcBorders>
                  <w:noWrap w:val="0"/>
                  <w:vAlign w:val="center"/>
                </w:tcPr>
                <w:p w14:paraId="71C53A78">
                  <w:pPr>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-5.2</w:t>
                  </w:r>
                </w:p>
              </w:tc>
              <w:tc>
                <w:tcPr>
                  <w:tcW w:w="279" w:type="pct"/>
                  <w:tcBorders>
                    <w:tl2br w:val="nil"/>
                    <w:tr2bl w:val="nil"/>
                  </w:tcBorders>
                  <w:noWrap w:val="0"/>
                  <w:vAlign w:val="center"/>
                </w:tcPr>
                <w:p w14:paraId="1AA87D5C">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10D53CC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10</w:t>
                  </w:r>
                </w:p>
              </w:tc>
              <w:tc>
                <w:tcPr>
                  <w:tcW w:w="457" w:type="pct"/>
                  <w:tcBorders>
                    <w:tl2br w:val="nil"/>
                    <w:tr2bl w:val="nil"/>
                  </w:tcBorders>
                  <w:noWrap w:val="0"/>
                  <w:vAlign w:val="center"/>
                </w:tcPr>
                <w:p w14:paraId="551E08C4">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73</w:t>
                  </w:r>
                </w:p>
              </w:tc>
              <w:tc>
                <w:tcPr>
                  <w:tcW w:w="247" w:type="pct"/>
                  <w:tcBorders>
                    <w:tl2br w:val="nil"/>
                    <w:tr2bl w:val="nil"/>
                  </w:tcBorders>
                  <w:noWrap w:val="0"/>
                  <w:vAlign w:val="center"/>
                </w:tcPr>
                <w:p w14:paraId="5188EDBE">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6E26F567">
                  <w:pPr>
                    <w:adjustRightInd w:val="0"/>
                    <w:snapToGrid w:val="0"/>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20</w:t>
                  </w:r>
                </w:p>
              </w:tc>
              <w:tc>
                <w:tcPr>
                  <w:tcW w:w="458" w:type="pct"/>
                  <w:tcBorders>
                    <w:tl2br w:val="nil"/>
                    <w:tr2bl w:val="nil"/>
                  </w:tcBorders>
                  <w:noWrap w:val="0"/>
                  <w:vAlign w:val="center"/>
                </w:tcPr>
                <w:p w14:paraId="1E91727C">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50</w:t>
                  </w:r>
                </w:p>
              </w:tc>
              <w:tc>
                <w:tcPr>
                  <w:tcW w:w="263" w:type="pct"/>
                  <w:tcBorders>
                    <w:tl2br w:val="nil"/>
                    <w:tr2bl w:val="nil"/>
                  </w:tcBorders>
                  <w:noWrap w:val="0"/>
                  <w:vAlign w:val="center"/>
                </w:tcPr>
                <w:p w14:paraId="54FF6455">
                  <w:pPr>
                    <w:adjustRightInd w:val="0"/>
                    <w:snapToGrid w:val="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r>
            <w:tr w14:paraId="6512F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5D7F4C90">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12</w:t>
                  </w:r>
                </w:p>
              </w:tc>
              <w:tc>
                <w:tcPr>
                  <w:tcW w:w="239" w:type="pct"/>
                  <w:vMerge w:val="continue"/>
                  <w:tcBorders>
                    <w:tl2br w:val="nil"/>
                    <w:tr2bl w:val="nil"/>
                  </w:tcBorders>
                  <w:noWrap w:val="0"/>
                  <w:vAlign w:val="center"/>
                </w:tcPr>
                <w:p w14:paraId="256428B1">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1167AA6E">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碾环机</w:t>
                  </w:r>
                </w:p>
              </w:tc>
              <w:tc>
                <w:tcPr>
                  <w:tcW w:w="415" w:type="pct"/>
                  <w:tcBorders>
                    <w:tl2br w:val="nil"/>
                    <w:tr2bl w:val="nil"/>
                  </w:tcBorders>
                  <w:noWrap w:val="0"/>
                  <w:vAlign w:val="center"/>
                </w:tcPr>
                <w:p w14:paraId="2F3E85DF">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1200E06C">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2B6835A1">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w:t>
                  </w:r>
                </w:p>
              </w:tc>
              <w:tc>
                <w:tcPr>
                  <w:tcW w:w="378" w:type="pct"/>
                  <w:tcBorders>
                    <w:tl2br w:val="nil"/>
                    <w:tr2bl w:val="nil"/>
                  </w:tcBorders>
                  <w:noWrap w:val="0"/>
                  <w:vAlign w:val="center"/>
                </w:tcPr>
                <w:p w14:paraId="310CEB4C">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-10.5</w:t>
                  </w:r>
                </w:p>
              </w:tc>
              <w:tc>
                <w:tcPr>
                  <w:tcW w:w="279" w:type="pct"/>
                  <w:tcBorders>
                    <w:tl2br w:val="nil"/>
                    <w:tr2bl w:val="nil"/>
                  </w:tcBorders>
                  <w:noWrap w:val="0"/>
                  <w:vAlign w:val="center"/>
                </w:tcPr>
                <w:p w14:paraId="20D7B6D9">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145D5FE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0F3C6ED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449BBF0A">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63093139">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7DD210FC">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7BCB0FD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760684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23EE5087">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13</w:t>
                  </w:r>
                </w:p>
              </w:tc>
              <w:tc>
                <w:tcPr>
                  <w:tcW w:w="239" w:type="pct"/>
                  <w:vMerge w:val="continue"/>
                  <w:tcBorders>
                    <w:tl2br w:val="nil"/>
                    <w:tr2bl w:val="nil"/>
                  </w:tcBorders>
                  <w:noWrap w:val="0"/>
                  <w:vAlign w:val="center"/>
                </w:tcPr>
                <w:p w14:paraId="79E726B6">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063F4DBA">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5406398B">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25EF9920">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132197F2">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378" w:type="pct"/>
                  <w:tcBorders>
                    <w:tl2br w:val="nil"/>
                    <w:tr2bl w:val="nil"/>
                  </w:tcBorders>
                  <w:noWrap w:val="0"/>
                  <w:vAlign w:val="center"/>
                </w:tcPr>
                <w:p w14:paraId="6096C01B">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w:t>
                  </w:r>
                </w:p>
              </w:tc>
              <w:tc>
                <w:tcPr>
                  <w:tcW w:w="279" w:type="pct"/>
                  <w:tcBorders>
                    <w:tl2br w:val="nil"/>
                    <w:tr2bl w:val="nil"/>
                  </w:tcBorders>
                  <w:noWrap w:val="0"/>
                  <w:vAlign w:val="center"/>
                </w:tcPr>
                <w:p w14:paraId="61F3A51B">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7DA651D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46E6BB2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1FBA66C9">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257591E2">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7E8AEA0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09CB6E2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3C60A7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79649380">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14</w:t>
                  </w:r>
                </w:p>
              </w:tc>
              <w:tc>
                <w:tcPr>
                  <w:tcW w:w="239" w:type="pct"/>
                  <w:vMerge w:val="continue"/>
                  <w:tcBorders>
                    <w:tl2br w:val="nil"/>
                    <w:tr2bl w:val="nil"/>
                  </w:tcBorders>
                  <w:noWrap w:val="0"/>
                  <w:vAlign w:val="center"/>
                </w:tcPr>
                <w:p w14:paraId="23BAA5DB">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6BD27A17">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603B4EC6">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088FE5F1">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3D002FD3">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5.3</w:t>
                  </w:r>
                </w:p>
              </w:tc>
              <w:tc>
                <w:tcPr>
                  <w:tcW w:w="378" w:type="pct"/>
                  <w:tcBorders>
                    <w:tl2br w:val="nil"/>
                    <w:tr2bl w:val="nil"/>
                  </w:tcBorders>
                  <w:noWrap w:val="0"/>
                  <w:vAlign w:val="center"/>
                </w:tcPr>
                <w:p w14:paraId="03663BA0">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-11.3</w:t>
                  </w:r>
                </w:p>
              </w:tc>
              <w:tc>
                <w:tcPr>
                  <w:tcW w:w="279" w:type="pct"/>
                  <w:tcBorders>
                    <w:tl2br w:val="nil"/>
                    <w:tr2bl w:val="nil"/>
                  </w:tcBorders>
                  <w:noWrap w:val="0"/>
                  <w:vAlign w:val="center"/>
                </w:tcPr>
                <w:p w14:paraId="3679266F">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6EC5396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55E7E6B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276588B6">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3B2F91A7">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CDAE9D6">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60BACDCA">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0AE23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3803A303">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15</w:t>
                  </w:r>
                </w:p>
              </w:tc>
              <w:tc>
                <w:tcPr>
                  <w:tcW w:w="239" w:type="pct"/>
                  <w:vMerge w:val="continue"/>
                  <w:tcBorders>
                    <w:tl2br w:val="nil"/>
                    <w:tr2bl w:val="nil"/>
                  </w:tcBorders>
                  <w:noWrap w:val="0"/>
                  <w:vAlign w:val="center"/>
                </w:tcPr>
                <w:p w14:paraId="544864CE">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1A2A7FB6">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5D5A627E">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45B042B5">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4A630F79">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-4.8</w:t>
                  </w:r>
                </w:p>
              </w:tc>
              <w:tc>
                <w:tcPr>
                  <w:tcW w:w="378" w:type="pct"/>
                  <w:tcBorders>
                    <w:tl2br w:val="nil"/>
                    <w:tr2bl w:val="nil"/>
                  </w:tcBorders>
                  <w:noWrap w:val="0"/>
                  <w:vAlign w:val="center"/>
                </w:tcPr>
                <w:p w14:paraId="2674FAED">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13.6</w:t>
                  </w:r>
                </w:p>
              </w:tc>
              <w:tc>
                <w:tcPr>
                  <w:tcW w:w="279" w:type="pct"/>
                  <w:tcBorders>
                    <w:tl2br w:val="nil"/>
                    <w:tr2bl w:val="nil"/>
                  </w:tcBorders>
                  <w:noWrap w:val="0"/>
                  <w:vAlign w:val="center"/>
                </w:tcPr>
                <w:p w14:paraId="5B4C38DD">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5C7B3A36">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w:t>
                  </w:r>
                </w:p>
              </w:tc>
              <w:tc>
                <w:tcPr>
                  <w:tcW w:w="457" w:type="pct"/>
                  <w:tcBorders>
                    <w:tl2br w:val="nil"/>
                    <w:tr2bl w:val="nil"/>
                  </w:tcBorders>
                  <w:noWrap w:val="0"/>
                  <w:vAlign w:val="center"/>
                </w:tcPr>
                <w:p w14:paraId="5355D00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247" w:type="pct"/>
                  <w:tcBorders>
                    <w:tl2br w:val="nil"/>
                    <w:tr2bl w:val="nil"/>
                  </w:tcBorders>
                  <w:noWrap w:val="0"/>
                  <w:vAlign w:val="center"/>
                </w:tcPr>
                <w:p w14:paraId="732667E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376A4BAB">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32F998A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49</w:t>
                  </w:r>
                </w:p>
              </w:tc>
              <w:tc>
                <w:tcPr>
                  <w:tcW w:w="263" w:type="pct"/>
                  <w:tcBorders>
                    <w:tl2br w:val="nil"/>
                    <w:tr2bl w:val="nil"/>
                  </w:tcBorders>
                  <w:noWrap w:val="0"/>
                  <w:vAlign w:val="center"/>
                </w:tcPr>
                <w:p w14:paraId="3FBBB0A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6FF53B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FFBEB31">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16</w:t>
                  </w:r>
                </w:p>
              </w:tc>
              <w:tc>
                <w:tcPr>
                  <w:tcW w:w="239" w:type="pct"/>
                  <w:vMerge w:val="continue"/>
                  <w:tcBorders>
                    <w:tl2br w:val="nil"/>
                    <w:tr2bl w:val="nil"/>
                  </w:tcBorders>
                  <w:noWrap w:val="0"/>
                  <w:vAlign w:val="center"/>
                </w:tcPr>
                <w:p w14:paraId="2F5B6FF9">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283B9BC2">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电炉</w:t>
                  </w:r>
                </w:p>
              </w:tc>
              <w:tc>
                <w:tcPr>
                  <w:tcW w:w="415" w:type="pct"/>
                  <w:tcBorders>
                    <w:tl2br w:val="nil"/>
                    <w:tr2bl w:val="nil"/>
                  </w:tcBorders>
                  <w:noWrap w:val="0"/>
                  <w:vAlign w:val="center"/>
                </w:tcPr>
                <w:p w14:paraId="154860A2">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162446D0">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DFC4976">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-6.6</w:t>
                  </w:r>
                </w:p>
              </w:tc>
              <w:tc>
                <w:tcPr>
                  <w:tcW w:w="378" w:type="pct"/>
                  <w:tcBorders>
                    <w:tl2br w:val="nil"/>
                    <w:tr2bl w:val="nil"/>
                  </w:tcBorders>
                  <w:noWrap w:val="0"/>
                  <w:vAlign w:val="center"/>
                </w:tcPr>
                <w:p w14:paraId="20E7DAF6">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-10.3</w:t>
                  </w:r>
                </w:p>
              </w:tc>
              <w:tc>
                <w:tcPr>
                  <w:tcW w:w="279" w:type="pct"/>
                  <w:tcBorders>
                    <w:tl2br w:val="nil"/>
                    <w:tr2bl w:val="nil"/>
                  </w:tcBorders>
                  <w:noWrap w:val="0"/>
                  <w:vAlign w:val="center"/>
                </w:tcPr>
                <w:p w14:paraId="4A4118C9">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7446E0B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65BDA2C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5C3B41A4">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9D223E4">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3F1D018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0DD9473E">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0135BD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563BCF71">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17</w:t>
                  </w:r>
                </w:p>
              </w:tc>
              <w:tc>
                <w:tcPr>
                  <w:tcW w:w="239" w:type="pct"/>
                  <w:vMerge w:val="continue"/>
                  <w:tcBorders>
                    <w:tl2br w:val="nil"/>
                    <w:tr2bl w:val="nil"/>
                  </w:tcBorders>
                  <w:noWrap w:val="0"/>
                  <w:vAlign w:val="center"/>
                </w:tcPr>
                <w:p w14:paraId="1C04EBCB">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2F36504D">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电炉</w:t>
                  </w:r>
                </w:p>
              </w:tc>
              <w:tc>
                <w:tcPr>
                  <w:tcW w:w="415" w:type="pct"/>
                  <w:tcBorders>
                    <w:tl2br w:val="nil"/>
                    <w:tr2bl w:val="nil"/>
                  </w:tcBorders>
                  <w:noWrap w:val="0"/>
                  <w:vAlign w:val="center"/>
                </w:tcPr>
                <w:p w14:paraId="518034A6">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214C70F4">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157AE10D">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-2.3</w:t>
                  </w:r>
                </w:p>
              </w:tc>
              <w:tc>
                <w:tcPr>
                  <w:tcW w:w="378" w:type="pct"/>
                  <w:tcBorders>
                    <w:tl2br w:val="nil"/>
                    <w:tr2bl w:val="nil"/>
                  </w:tcBorders>
                  <w:noWrap w:val="0"/>
                  <w:vAlign w:val="center"/>
                </w:tcPr>
                <w:p w14:paraId="2156714E">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-14.6</w:t>
                  </w:r>
                </w:p>
              </w:tc>
              <w:tc>
                <w:tcPr>
                  <w:tcW w:w="279" w:type="pct"/>
                  <w:tcBorders>
                    <w:tl2br w:val="nil"/>
                    <w:tr2bl w:val="nil"/>
                  </w:tcBorders>
                  <w:noWrap w:val="0"/>
                  <w:vAlign w:val="center"/>
                </w:tcPr>
                <w:p w14:paraId="194937DB">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1A5FE40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w:t>
                  </w:r>
                </w:p>
              </w:tc>
              <w:tc>
                <w:tcPr>
                  <w:tcW w:w="457" w:type="pct"/>
                  <w:tcBorders>
                    <w:tl2br w:val="nil"/>
                    <w:tr2bl w:val="nil"/>
                  </w:tcBorders>
                  <w:noWrap w:val="0"/>
                  <w:vAlign w:val="center"/>
                </w:tcPr>
                <w:p w14:paraId="598EDE5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71</w:t>
                  </w:r>
                </w:p>
              </w:tc>
              <w:tc>
                <w:tcPr>
                  <w:tcW w:w="247" w:type="pct"/>
                  <w:tcBorders>
                    <w:tl2br w:val="nil"/>
                    <w:tr2bl w:val="nil"/>
                  </w:tcBorders>
                  <w:noWrap w:val="0"/>
                  <w:vAlign w:val="center"/>
                </w:tcPr>
                <w:p w14:paraId="0A8E077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850F236">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13C3A2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51</w:t>
                  </w:r>
                </w:p>
              </w:tc>
              <w:tc>
                <w:tcPr>
                  <w:tcW w:w="263" w:type="pct"/>
                  <w:tcBorders>
                    <w:tl2br w:val="nil"/>
                    <w:tr2bl w:val="nil"/>
                  </w:tcBorders>
                  <w:noWrap w:val="0"/>
                  <w:vAlign w:val="center"/>
                </w:tcPr>
                <w:p w14:paraId="38C692F9">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089E6D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6467A68F">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18</w:t>
                  </w:r>
                </w:p>
              </w:tc>
              <w:tc>
                <w:tcPr>
                  <w:tcW w:w="239" w:type="pct"/>
                  <w:vMerge w:val="continue"/>
                  <w:tcBorders>
                    <w:tl2br w:val="nil"/>
                    <w:tr2bl w:val="nil"/>
                  </w:tcBorders>
                  <w:noWrap w:val="0"/>
                  <w:vAlign w:val="center"/>
                </w:tcPr>
                <w:p w14:paraId="325A43FC">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77462DA">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电炉</w:t>
                  </w:r>
                </w:p>
              </w:tc>
              <w:tc>
                <w:tcPr>
                  <w:tcW w:w="415" w:type="pct"/>
                  <w:tcBorders>
                    <w:tl2br w:val="nil"/>
                    <w:tr2bl w:val="nil"/>
                  </w:tcBorders>
                  <w:noWrap w:val="0"/>
                  <w:vAlign w:val="center"/>
                </w:tcPr>
                <w:p w14:paraId="4A185703">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31DC9553">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13CB6B95">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2.3</w:t>
                  </w:r>
                </w:p>
              </w:tc>
              <w:tc>
                <w:tcPr>
                  <w:tcW w:w="378" w:type="pct"/>
                  <w:tcBorders>
                    <w:tl2br w:val="nil"/>
                    <w:tr2bl w:val="nil"/>
                  </w:tcBorders>
                  <w:noWrap w:val="0"/>
                  <w:vAlign w:val="center"/>
                </w:tcPr>
                <w:p w14:paraId="59095712">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-13.1</w:t>
                  </w:r>
                </w:p>
              </w:tc>
              <w:tc>
                <w:tcPr>
                  <w:tcW w:w="279" w:type="pct"/>
                  <w:tcBorders>
                    <w:tl2br w:val="nil"/>
                    <w:tr2bl w:val="nil"/>
                  </w:tcBorders>
                  <w:noWrap w:val="0"/>
                  <w:vAlign w:val="center"/>
                </w:tcPr>
                <w:p w14:paraId="6A531286">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63C8CC26">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w:t>
                  </w:r>
                </w:p>
              </w:tc>
              <w:tc>
                <w:tcPr>
                  <w:tcW w:w="457" w:type="pct"/>
                  <w:tcBorders>
                    <w:tl2br w:val="nil"/>
                    <w:tr2bl w:val="nil"/>
                  </w:tcBorders>
                  <w:noWrap w:val="0"/>
                  <w:vAlign w:val="center"/>
                </w:tcPr>
                <w:p w14:paraId="386E3EC9">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247" w:type="pct"/>
                  <w:tcBorders>
                    <w:tl2br w:val="nil"/>
                    <w:tr2bl w:val="nil"/>
                  </w:tcBorders>
                  <w:noWrap w:val="0"/>
                  <w:vAlign w:val="center"/>
                </w:tcPr>
                <w:p w14:paraId="7C5EA4D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23DDCF4">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17D6F5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49</w:t>
                  </w:r>
                </w:p>
              </w:tc>
              <w:tc>
                <w:tcPr>
                  <w:tcW w:w="263" w:type="pct"/>
                  <w:tcBorders>
                    <w:tl2br w:val="nil"/>
                    <w:tr2bl w:val="nil"/>
                  </w:tcBorders>
                  <w:noWrap w:val="0"/>
                  <w:vAlign w:val="center"/>
                </w:tcPr>
                <w:p w14:paraId="331FAF9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48A7A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6C0081F">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19</w:t>
                  </w:r>
                </w:p>
              </w:tc>
              <w:tc>
                <w:tcPr>
                  <w:tcW w:w="239" w:type="pct"/>
                  <w:vMerge w:val="continue"/>
                  <w:tcBorders>
                    <w:tl2br w:val="nil"/>
                    <w:tr2bl w:val="nil"/>
                  </w:tcBorders>
                  <w:noWrap w:val="0"/>
                  <w:vAlign w:val="center"/>
                </w:tcPr>
                <w:p w14:paraId="3720DFE6">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7577FDB0">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电炉</w:t>
                  </w:r>
                </w:p>
              </w:tc>
              <w:tc>
                <w:tcPr>
                  <w:tcW w:w="415" w:type="pct"/>
                  <w:tcBorders>
                    <w:tl2br w:val="nil"/>
                    <w:tr2bl w:val="nil"/>
                  </w:tcBorders>
                  <w:noWrap w:val="0"/>
                  <w:vAlign w:val="center"/>
                </w:tcPr>
                <w:p w14:paraId="56A8553E">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54D25756">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966E339">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378" w:type="pct"/>
                  <w:tcBorders>
                    <w:tl2br w:val="nil"/>
                    <w:tr2bl w:val="nil"/>
                  </w:tcBorders>
                  <w:noWrap w:val="0"/>
                  <w:vAlign w:val="center"/>
                </w:tcPr>
                <w:p w14:paraId="528820B9">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12.6</w:t>
                  </w:r>
                </w:p>
              </w:tc>
              <w:tc>
                <w:tcPr>
                  <w:tcW w:w="279" w:type="pct"/>
                  <w:tcBorders>
                    <w:tl2br w:val="nil"/>
                    <w:tr2bl w:val="nil"/>
                  </w:tcBorders>
                  <w:noWrap w:val="0"/>
                  <w:vAlign w:val="center"/>
                </w:tcPr>
                <w:p w14:paraId="5061283F">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2FC74A7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1F740BD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68</w:t>
                  </w:r>
                </w:p>
              </w:tc>
              <w:tc>
                <w:tcPr>
                  <w:tcW w:w="247" w:type="pct"/>
                  <w:tcBorders>
                    <w:tl2br w:val="nil"/>
                    <w:tr2bl w:val="nil"/>
                  </w:tcBorders>
                  <w:noWrap w:val="0"/>
                  <w:vAlign w:val="center"/>
                </w:tcPr>
                <w:p w14:paraId="1F289B19">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4E1A41E0">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10DB5D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48</w:t>
                  </w:r>
                </w:p>
              </w:tc>
              <w:tc>
                <w:tcPr>
                  <w:tcW w:w="263" w:type="pct"/>
                  <w:tcBorders>
                    <w:tl2br w:val="nil"/>
                    <w:tr2bl w:val="nil"/>
                  </w:tcBorders>
                  <w:noWrap w:val="0"/>
                  <w:vAlign w:val="center"/>
                </w:tcPr>
                <w:p w14:paraId="586456F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0E54CD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727C879A">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20</w:t>
                  </w:r>
                </w:p>
              </w:tc>
              <w:tc>
                <w:tcPr>
                  <w:tcW w:w="239" w:type="pct"/>
                  <w:vMerge w:val="continue"/>
                  <w:tcBorders>
                    <w:tl2br w:val="nil"/>
                    <w:tr2bl w:val="nil"/>
                  </w:tcBorders>
                  <w:noWrap w:val="0"/>
                  <w:vAlign w:val="center"/>
                </w:tcPr>
                <w:p w14:paraId="0339E1CF">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05CDB9D3">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电炉</w:t>
                  </w:r>
                </w:p>
              </w:tc>
              <w:tc>
                <w:tcPr>
                  <w:tcW w:w="415" w:type="pct"/>
                  <w:tcBorders>
                    <w:tl2br w:val="nil"/>
                    <w:tr2bl w:val="nil"/>
                  </w:tcBorders>
                  <w:noWrap w:val="0"/>
                  <w:vAlign w:val="center"/>
                </w:tcPr>
                <w:p w14:paraId="4AADBF2F">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0327A893">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5B20F69B">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-4.6</w:t>
                  </w:r>
                </w:p>
              </w:tc>
              <w:tc>
                <w:tcPr>
                  <w:tcW w:w="378" w:type="pct"/>
                  <w:tcBorders>
                    <w:tl2br w:val="nil"/>
                    <w:tr2bl w:val="nil"/>
                  </w:tcBorders>
                  <w:noWrap w:val="0"/>
                  <w:vAlign w:val="center"/>
                </w:tcPr>
                <w:p w14:paraId="595667B4">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w:t>
                  </w:r>
                </w:p>
              </w:tc>
              <w:tc>
                <w:tcPr>
                  <w:tcW w:w="279" w:type="pct"/>
                  <w:tcBorders>
                    <w:tl2br w:val="nil"/>
                    <w:tr2bl w:val="nil"/>
                  </w:tcBorders>
                  <w:noWrap w:val="0"/>
                  <w:vAlign w:val="center"/>
                </w:tcPr>
                <w:p w14:paraId="62E0B35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187198F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648BBBBC">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771C2D6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834756E">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AD50A8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552E962D">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1BFE4B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2CF88252">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21</w:t>
                  </w:r>
                </w:p>
              </w:tc>
              <w:tc>
                <w:tcPr>
                  <w:tcW w:w="239" w:type="pct"/>
                  <w:vMerge w:val="continue"/>
                  <w:tcBorders>
                    <w:tl2br w:val="nil"/>
                    <w:tr2bl w:val="nil"/>
                  </w:tcBorders>
                  <w:noWrap w:val="0"/>
                  <w:vAlign w:val="center"/>
                </w:tcPr>
                <w:p w14:paraId="3913B87C">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1E04260E">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电炉</w:t>
                  </w:r>
                </w:p>
              </w:tc>
              <w:tc>
                <w:tcPr>
                  <w:tcW w:w="415" w:type="pct"/>
                  <w:tcBorders>
                    <w:tl2br w:val="nil"/>
                    <w:tr2bl w:val="nil"/>
                  </w:tcBorders>
                  <w:noWrap w:val="0"/>
                  <w:vAlign w:val="center"/>
                </w:tcPr>
                <w:p w14:paraId="6C73549A">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40F6F9AD">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09F51770">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8.6</w:t>
                  </w:r>
                </w:p>
              </w:tc>
              <w:tc>
                <w:tcPr>
                  <w:tcW w:w="378" w:type="pct"/>
                  <w:tcBorders>
                    <w:tl2br w:val="nil"/>
                    <w:tr2bl w:val="nil"/>
                  </w:tcBorders>
                  <w:noWrap w:val="0"/>
                  <w:vAlign w:val="center"/>
                </w:tcPr>
                <w:p w14:paraId="635CFFDD">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-9</w:t>
                  </w:r>
                </w:p>
              </w:tc>
              <w:tc>
                <w:tcPr>
                  <w:tcW w:w="279" w:type="pct"/>
                  <w:tcBorders>
                    <w:tl2br w:val="nil"/>
                    <w:tr2bl w:val="nil"/>
                  </w:tcBorders>
                  <w:noWrap w:val="0"/>
                  <w:vAlign w:val="center"/>
                </w:tcPr>
                <w:p w14:paraId="679CDB2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2998358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575FEF2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76FB2D79">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201233F8">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3340B60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32D7C37A">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1B436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15A32681">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22</w:t>
                  </w:r>
                </w:p>
              </w:tc>
              <w:tc>
                <w:tcPr>
                  <w:tcW w:w="239" w:type="pct"/>
                  <w:vMerge w:val="continue"/>
                  <w:tcBorders>
                    <w:tl2br w:val="nil"/>
                    <w:tr2bl w:val="nil"/>
                  </w:tcBorders>
                  <w:noWrap w:val="0"/>
                  <w:vAlign w:val="center"/>
                </w:tcPr>
                <w:p w14:paraId="70A2F163">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6667C1F9">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地坑电炉</w:t>
                  </w:r>
                </w:p>
              </w:tc>
              <w:tc>
                <w:tcPr>
                  <w:tcW w:w="415" w:type="pct"/>
                  <w:tcBorders>
                    <w:tl2br w:val="nil"/>
                    <w:tr2bl w:val="nil"/>
                  </w:tcBorders>
                  <w:noWrap w:val="0"/>
                  <w:vAlign w:val="center"/>
                </w:tcPr>
                <w:p w14:paraId="24C439EB">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14BDD382">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28F7BA95">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8.9</w:t>
                  </w:r>
                </w:p>
              </w:tc>
              <w:tc>
                <w:tcPr>
                  <w:tcW w:w="378" w:type="pct"/>
                  <w:tcBorders>
                    <w:tl2br w:val="nil"/>
                    <w:tr2bl w:val="nil"/>
                  </w:tcBorders>
                  <w:noWrap w:val="0"/>
                  <w:vAlign w:val="center"/>
                </w:tcPr>
                <w:p w14:paraId="68527E16">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-11.3</w:t>
                  </w:r>
                </w:p>
              </w:tc>
              <w:tc>
                <w:tcPr>
                  <w:tcW w:w="279" w:type="pct"/>
                  <w:tcBorders>
                    <w:tl2br w:val="nil"/>
                    <w:tr2bl w:val="nil"/>
                  </w:tcBorders>
                  <w:noWrap w:val="0"/>
                  <w:vAlign w:val="center"/>
                </w:tcPr>
                <w:p w14:paraId="5ECE8FC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5B07FC6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6B88209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57287C5C">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3643BC8B">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18C2E36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0E592A3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7982C8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35541CD9">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23</w:t>
                  </w:r>
                </w:p>
              </w:tc>
              <w:tc>
                <w:tcPr>
                  <w:tcW w:w="239" w:type="pct"/>
                  <w:vMerge w:val="continue"/>
                  <w:tcBorders>
                    <w:tl2br w:val="nil"/>
                    <w:tr2bl w:val="nil"/>
                  </w:tcBorders>
                  <w:noWrap w:val="0"/>
                  <w:vAlign w:val="center"/>
                </w:tcPr>
                <w:p w14:paraId="61BECE24">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497CF63A">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地坑电炉</w:t>
                  </w:r>
                </w:p>
              </w:tc>
              <w:tc>
                <w:tcPr>
                  <w:tcW w:w="415" w:type="pct"/>
                  <w:tcBorders>
                    <w:tl2br w:val="nil"/>
                    <w:tr2bl w:val="nil"/>
                  </w:tcBorders>
                  <w:noWrap w:val="0"/>
                  <w:vAlign w:val="center"/>
                </w:tcPr>
                <w:p w14:paraId="65526298">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45D3D927">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E50B5AB">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11.7</w:t>
                  </w:r>
                </w:p>
              </w:tc>
              <w:tc>
                <w:tcPr>
                  <w:tcW w:w="378" w:type="pct"/>
                  <w:tcBorders>
                    <w:tl2br w:val="nil"/>
                    <w:tr2bl w:val="nil"/>
                  </w:tcBorders>
                  <w:noWrap w:val="0"/>
                  <w:vAlign w:val="center"/>
                </w:tcPr>
                <w:p w14:paraId="3BF6111A">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-9.3</w:t>
                  </w:r>
                </w:p>
              </w:tc>
              <w:tc>
                <w:tcPr>
                  <w:tcW w:w="279" w:type="pct"/>
                  <w:tcBorders>
                    <w:tl2br w:val="nil"/>
                    <w:tr2bl w:val="nil"/>
                  </w:tcBorders>
                  <w:noWrap w:val="0"/>
                  <w:vAlign w:val="center"/>
                </w:tcPr>
                <w:p w14:paraId="5AF9D64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36F115B0">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0F111926">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440B8A6D">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3D170E0">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7A94B7B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5CCF7DF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7AEB7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2DDA526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24</w:t>
                  </w:r>
                </w:p>
              </w:tc>
              <w:tc>
                <w:tcPr>
                  <w:tcW w:w="239" w:type="pct"/>
                  <w:vMerge w:val="continue"/>
                  <w:tcBorders>
                    <w:tl2br w:val="nil"/>
                    <w:tr2bl w:val="nil"/>
                  </w:tcBorders>
                  <w:noWrap w:val="0"/>
                  <w:vAlign w:val="center"/>
                </w:tcPr>
                <w:p w14:paraId="2FAF7B71">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18CC1119">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地坑电炉</w:t>
                  </w:r>
                </w:p>
              </w:tc>
              <w:tc>
                <w:tcPr>
                  <w:tcW w:w="415" w:type="pct"/>
                  <w:tcBorders>
                    <w:tl2br w:val="nil"/>
                    <w:tr2bl w:val="nil"/>
                  </w:tcBorders>
                  <w:noWrap w:val="0"/>
                  <w:vAlign w:val="center"/>
                </w:tcPr>
                <w:p w14:paraId="1628F2C0">
                  <w:pPr>
                    <w:widowControl/>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4703B76F">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305302D2">
                  <w:pPr>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11.8</w:t>
                  </w:r>
                </w:p>
              </w:tc>
              <w:tc>
                <w:tcPr>
                  <w:tcW w:w="378" w:type="pct"/>
                  <w:tcBorders>
                    <w:tl2br w:val="nil"/>
                    <w:tr2bl w:val="nil"/>
                  </w:tcBorders>
                  <w:noWrap w:val="0"/>
                  <w:vAlign w:val="center"/>
                </w:tcPr>
                <w:p w14:paraId="2A626B1C">
                  <w:pPr>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-8.5</w:t>
                  </w:r>
                </w:p>
              </w:tc>
              <w:tc>
                <w:tcPr>
                  <w:tcW w:w="279" w:type="pct"/>
                  <w:tcBorders>
                    <w:tl2br w:val="nil"/>
                    <w:tr2bl w:val="nil"/>
                  </w:tcBorders>
                  <w:noWrap w:val="0"/>
                  <w:vAlign w:val="center"/>
                </w:tcPr>
                <w:p w14:paraId="199A9B10">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0461EFD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2C71F679">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65</w:t>
                  </w:r>
                </w:p>
              </w:tc>
              <w:tc>
                <w:tcPr>
                  <w:tcW w:w="247" w:type="pct"/>
                  <w:tcBorders>
                    <w:tl2br w:val="nil"/>
                    <w:tr2bl w:val="nil"/>
                  </w:tcBorders>
                  <w:noWrap w:val="0"/>
                  <w:vAlign w:val="center"/>
                </w:tcPr>
                <w:p w14:paraId="294208E4">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221B72E6">
                  <w:pPr>
                    <w:adjustRightInd w:val="0"/>
                    <w:snapToGrid w:val="0"/>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20</w:t>
                  </w:r>
                </w:p>
              </w:tc>
              <w:tc>
                <w:tcPr>
                  <w:tcW w:w="458" w:type="pct"/>
                  <w:tcBorders>
                    <w:tl2br w:val="nil"/>
                    <w:tr2bl w:val="nil"/>
                  </w:tcBorders>
                  <w:noWrap w:val="0"/>
                  <w:vAlign w:val="center"/>
                </w:tcPr>
                <w:p w14:paraId="2201A96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46</w:t>
                  </w:r>
                </w:p>
              </w:tc>
              <w:tc>
                <w:tcPr>
                  <w:tcW w:w="263" w:type="pct"/>
                  <w:tcBorders>
                    <w:tl2br w:val="nil"/>
                    <w:tr2bl w:val="nil"/>
                  </w:tcBorders>
                  <w:noWrap w:val="0"/>
                  <w:vAlign w:val="center"/>
                </w:tcPr>
                <w:p w14:paraId="4869D238">
                  <w:pPr>
                    <w:adjustRightInd w:val="0"/>
                    <w:snapToGrid w:val="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r>
            <w:tr w14:paraId="3B146B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5278C48">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25</w:t>
                  </w:r>
                </w:p>
              </w:tc>
              <w:tc>
                <w:tcPr>
                  <w:tcW w:w="239" w:type="pct"/>
                  <w:vMerge w:val="continue"/>
                  <w:tcBorders>
                    <w:tl2br w:val="nil"/>
                    <w:tr2bl w:val="nil"/>
                  </w:tcBorders>
                  <w:noWrap w:val="0"/>
                  <w:vAlign w:val="center"/>
                </w:tcPr>
                <w:p w14:paraId="2E1CC3DD">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5A301C3C">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14264114">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6EBAEC80">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33CD9092">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11.9</w:t>
                  </w:r>
                </w:p>
              </w:tc>
              <w:tc>
                <w:tcPr>
                  <w:tcW w:w="378" w:type="pct"/>
                  <w:tcBorders>
                    <w:tl2br w:val="nil"/>
                    <w:tr2bl w:val="nil"/>
                  </w:tcBorders>
                  <w:noWrap w:val="0"/>
                  <w:vAlign w:val="center"/>
                </w:tcPr>
                <w:p w14:paraId="113634D1">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-11.5</w:t>
                  </w:r>
                </w:p>
              </w:tc>
              <w:tc>
                <w:tcPr>
                  <w:tcW w:w="279" w:type="pct"/>
                  <w:tcBorders>
                    <w:tl2br w:val="nil"/>
                    <w:tr2bl w:val="nil"/>
                  </w:tcBorders>
                  <w:noWrap w:val="0"/>
                  <w:vAlign w:val="center"/>
                </w:tcPr>
                <w:p w14:paraId="5550576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688C01F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7B89B5D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68</w:t>
                  </w:r>
                </w:p>
              </w:tc>
              <w:tc>
                <w:tcPr>
                  <w:tcW w:w="247" w:type="pct"/>
                  <w:tcBorders>
                    <w:tl2br w:val="nil"/>
                    <w:tr2bl w:val="nil"/>
                  </w:tcBorders>
                  <w:noWrap w:val="0"/>
                  <w:vAlign w:val="center"/>
                </w:tcPr>
                <w:p w14:paraId="0EFDA26C">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535737BA">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026EF4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48</w:t>
                  </w:r>
                </w:p>
              </w:tc>
              <w:tc>
                <w:tcPr>
                  <w:tcW w:w="263" w:type="pct"/>
                  <w:tcBorders>
                    <w:tl2br w:val="nil"/>
                    <w:tr2bl w:val="nil"/>
                  </w:tcBorders>
                  <w:noWrap w:val="0"/>
                  <w:vAlign w:val="center"/>
                </w:tcPr>
                <w:p w14:paraId="1778988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5DC276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5908AC08">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26</w:t>
                  </w:r>
                </w:p>
              </w:tc>
              <w:tc>
                <w:tcPr>
                  <w:tcW w:w="239" w:type="pct"/>
                  <w:vMerge w:val="continue"/>
                  <w:tcBorders>
                    <w:tl2br w:val="nil"/>
                    <w:tr2bl w:val="nil"/>
                  </w:tcBorders>
                  <w:noWrap w:val="0"/>
                  <w:vAlign w:val="center"/>
                </w:tcPr>
                <w:p w14:paraId="13522AE5">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1BCD6D2C">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6A40FFEE">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233B94A5">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53D8D102">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6.1</w:t>
                  </w:r>
                </w:p>
              </w:tc>
              <w:tc>
                <w:tcPr>
                  <w:tcW w:w="378" w:type="pct"/>
                  <w:tcBorders>
                    <w:tl2br w:val="nil"/>
                    <w:tr2bl w:val="nil"/>
                  </w:tcBorders>
                  <w:noWrap w:val="0"/>
                  <w:vAlign w:val="center"/>
                </w:tcPr>
                <w:p w14:paraId="0A6292E4">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-9.3</w:t>
                  </w:r>
                </w:p>
              </w:tc>
              <w:tc>
                <w:tcPr>
                  <w:tcW w:w="279" w:type="pct"/>
                  <w:tcBorders>
                    <w:tl2br w:val="nil"/>
                    <w:tr2bl w:val="nil"/>
                  </w:tcBorders>
                  <w:noWrap w:val="0"/>
                  <w:vAlign w:val="center"/>
                </w:tcPr>
                <w:p w14:paraId="7E3DF5E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52DEDAC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w:t>
                  </w:r>
                </w:p>
              </w:tc>
              <w:tc>
                <w:tcPr>
                  <w:tcW w:w="457" w:type="pct"/>
                  <w:tcBorders>
                    <w:tl2br w:val="nil"/>
                    <w:tr2bl w:val="nil"/>
                  </w:tcBorders>
                  <w:noWrap w:val="0"/>
                  <w:vAlign w:val="center"/>
                </w:tcPr>
                <w:p w14:paraId="239FF54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67</w:t>
                  </w:r>
                </w:p>
              </w:tc>
              <w:tc>
                <w:tcPr>
                  <w:tcW w:w="247" w:type="pct"/>
                  <w:tcBorders>
                    <w:tl2br w:val="nil"/>
                    <w:tr2bl w:val="nil"/>
                  </w:tcBorders>
                  <w:noWrap w:val="0"/>
                  <w:vAlign w:val="center"/>
                </w:tcPr>
                <w:p w14:paraId="3DEA8D0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2C707F6">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A997CCD">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47</w:t>
                  </w:r>
                </w:p>
              </w:tc>
              <w:tc>
                <w:tcPr>
                  <w:tcW w:w="263" w:type="pct"/>
                  <w:tcBorders>
                    <w:tl2br w:val="nil"/>
                    <w:tr2bl w:val="nil"/>
                  </w:tcBorders>
                  <w:noWrap w:val="0"/>
                  <w:vAlign w:val="center"/>
                </w:tcPr>
                <w:p w14:paraId="40F0558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762EE9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5ECDED5">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27</w:t>
                  </w:r>
                </w:p>
              </w:tc>
              <w:tc>
                <w:tcPr>
                  <w:tcW w:w="239" w:type="pct"/>
                  <w:vMerge w:val="continue"/>
                  <w:tcBorders>
                    <w:tl2br w:val="nil"/>
                    <w:tr2bl w:val="nil"/>
                  </w:tcBorders>
                  <w:noWrap w:val="0"/>
                  <w:vAlign w:val="center"/>
                </w:tcPr>
                <w:p w14:paraId="0321E235">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1D948308">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5FBCEEA1">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59A6C029">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5F25946B">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378" w:type="pct"/>
                  <w:tcBorders>
                    <w:tl2br w:val="nil"/>
                    <w:tr2bl w:val="nil"/>
                  </w:tcBorders>
                  <w:noWrap w:val="0"/>
                  <w:vAlign w:val="center"/>
                </w:tcPr>
                <w:p w14:paraId="370C6A61">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-12.1</w:t>
                  </w:r>
                </w:p>
              </w:tc>
              <w:tc>
                <w:tcPr>
                  <w:tcW w:w="279" w:type="pct"/>
                  <w:tcBorders>
                    <w:tl2br w:val="nil"/>
                    <w:tr2bl w:val="nil"/>
                  </w:tcBorders>
                  <w:noWrap w:val="0"/>
                  <w:vAlign w:val="center"/>
                </w:tcPr>
                <w:p w14:paraId="7E0B0019">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30B81A0D">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w:t>
                  </w:r>
                </w:p>
              </w:tc>
              <w:tc>
                <w:tcPr>
                  <w:tcW w:w="457" w:type="pct"/>
                  <w:tcBorders>
                    <w:tl2br w:val="nil"/>
                    <w:tr2bl w:val="nil"/>
                  </w:tcBorders>
                  <w:noWrap w:val="0"/>
                  <w:vAlign w:val="center"/>
                </w:tcPr>
                <w:p w14:paraId="7D86782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68</w:t>
                  </w:r>
                </w:p>
              </w:tc>
              <w:tc>
                <w:tcPr>
                  <w:tcW w:w="247" w:type="pct"/>
                  <w:tcBorders>
                    <w:tl2br w:val="nil"/>
                    <w:tr2bl w:val="nil"/>
                  </w:tcBorders>
                  <w:noWrap w:val="0"/>
                  <w:vAlign w:val="center"/>
                </w:tcPr>
                <w:p w14:paraId="171F913E">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52657B1C">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AF87A6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48</w:t>
                  </w:r>
                </w:p>
              </w:tc>
              <w:tc>
                <w:tcPr>
                  <w:tcW w:w="263" w:type="pct"/>
                  <w:tcBorders>
                    <w:tl2br w:val="nil"/>
                    <w:tr2bl w:val="nil"/>
                  </w:tcBorders>
                  <w:noWrap w:val="0"/>
                  <w:vAlign w:val="center"/>
                </w:tcPr>
                <w:p w14:paraId="45157C82">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4FCAD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692077A1">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28</w:t>
                  </w:r>
                </w:p>
              </w:tc>
              <w:tc>
                <w:tcPr>
                  <w:tcW w:w="239" w:type="pct"/>
                  <w:vMerge w:val="continue"/>
                  <w:tcBorders>
                    <w:tl2br w:val="nil"/>
                    <w:tr2bl w:val="nil"/>
                  </w:tcBorders>
                  <w:noWrap w:val="0"/>
                  <w:vAlign w:val="center"/>
                </w:tcPr>
                <w:p w14:paraId="3562B4A7">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5931A1B">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554D237F">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7D4A3FD0">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0A3F032C">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5.6</w:t>
                  </w:r>
                </w:p>
              </w:tc>
              <w:tc>
                <w:tcPr>
                  <w:tcW w:w="378" w:type="pct"/>
                  <w:tcBorders>
                    <w:tl2br w:val="nil"/>
                    <w:tr2bl w:val="nil"/>
                  </w:tcBorders>
                  <w:noWrap w:val="0"/>
                  <w:vAlign w:val="center"/>
                </w:tcPr>
                <w:p w14:paraId="0471FCEC">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-13.6</w:t>
                  </w:r>
                </w:p>
              </w:tc>
              <w:tc>
                <w:tcPr>
                  <w:tcW w:w="279" w:type="pct"/>
                  <w:tcBorders>
                    <w:tl2br w:val="nil"/>
                    <w:tr2bl w:val="nil"/>
                  </w:tcBorders>
                  <w:noWrap w:val="0"/>
                  <w:vAlign w:val="center"/>
                </w:tcPr>
                <w:p w14:paraId="5CAF1BD0">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14B883A9">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w:t>
                  </w:r>
                </w:p>
              </w:tc>
              <w:tc>
                <w:tcPr>
                  <w:tcW w:w="457" w:type="pct"/>
                  <w:tcBorders>
                    <w:tl2br w:val="nil"/>
                    <w:tr2bl w:val="nil"/>
                  </w:tcBorders>
                  <w:noWrap w:val="0"/>
                  <w:vAlign w:val="center"/>
                </w:tcPr>
                <w:p w14:paraId="11D843C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247" w:type="pct"/>
                  <w:tcBorders>
                    <w:tl2br w:val="nil"/>
                    <w:tr2bl w:val="nil"/>
                  </w:tcBorders>
                  <w:noWrap w:val="0"/>
                  <w:vAlign w:val="center"/>
                </w:tcPr>
                <w:p w14:paraId="4CAD4E0A">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5EED39B8">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6CC4B2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49</w:t>
                  </w:r>
                </w:p>
              </w:tc>
              <w:tc>
                <w:tcPr>
                  <w:tcW w:w="263" w:type="pct"/>
                  <w:tcBorders>
                    <w:tl2br w:val="nil"/>
                    <w:tr2bl w:val="nil"/>
                  </w:tcBorders>
                  <w:noWrap w:val="0"/>
                  <w:vAlign w:val="center"/>
                </w:tcPr>
                <w:p w14:paraId="6EF5B6C5">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02337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2348C9C3">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29</w:t>
                  </w:r>
                </w:p>
              </w:tc>
              <w:tc>
                <w:tcPr>
                  <w:tcW w:w="239" w:type="pct"/>
                  <w:vMerge w:val="continue"/>
                  <w:tcBorders>
                    <w:tl2br w:val="nil"/>
                    <w:tr2bl w:val="nil"/>
                  </w:tcBorders>
                  <w:noWrap w:val="0"/>
                  <w:vAlign w:val="center"/>
                </w:tcPr>
                <w:p w14:paraId="09912F4D">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051D6D91">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39B5572E">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3D913105">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11EC5F98">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8.6</w:t>
                  </w:r>
                </w:p>
              </w:tc>
              <w:tc>
                <w:tcPr>
                  <w:tcW w:w="378" w:type="pct"/>
                  <w:tcBorders>
                    <w:tl2br w:val="nil"/>
                    <w:tr2bl w:val="nil"/>
                  </w:tcBorders>
                  <w:noWrap w:val="0"/>
                  <w:vAlign w:val="center"/>
                </w:tcPr>
                <w:p w14:paraId="4A05F1E4">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-13.6</w:t>
                  </w:r>
                </w:p>
              </w:tc>
              <w:tc>
                <w:tcPr>
                  <w:tcW w:w="279" w:type="pct"/>
                  <w:tcBorders>
                    <w:tl2br w:val="nil"/>
                    <w:tr2bl w:val="nil"/>
                  </w:tcBorders>
                  <w:noWrap w:val="0"/>
                  <w:vAlign w:val="center"/>
                </w:tcPr>
                <w:p w14:paraId="7A07F0D0">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280D006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w:t>
                  </w:r>
                </w:p>
              </w:tc>
              <w:tc>
                <w:tcPr>
                  <w:tcW w:w="457" w:type="pct"/>
                  <w:tcBorders>
                    <w:tl2br w:val="nil"/>
                    <w:tr2bl w:val="nil"/>
                  </w:tcBorders>
                  <w:noWrap w:val="0"/>
                  <w:vAlign w:val="center"/>
                </w:tcPr>
                <w:p w14:paraId="655FBF1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247" w:type="pct"/>
                  <w:tcBorders>
                    <w:tl2br w:val="nil"/>
                    <w:tr2bl w:val="nil"/>
                  </w:tcBorders>
                  <w:noWrap w:val="0"/>
                  <w:vAlign w:val="center"/>
                </w:tcPr>
                <w:p w14:paraId="2EEF3A8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77CA9F1">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FD458F6">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49</w:t>
                  </w:r>
                </w:p>
              </w:tc>
              <w:tc>
                <w:tcPr>
                  <w:tcW w:w="263" w:type="pct"/>
                  <w:tcBorders>
                    <w:tl2br w:val="nil"/>
                    <w:tr2bl w:val="nil"/>
                  </w:tcBorders>
                  <w:noWrap w:val="0"/>
                  <w:vAlign w:val="center"/>
                </w:tcPr>
                <w:p w14:paraId="59D5BE4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71BAD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602ABD53">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30</w:t>
                  </w:r>
                </w:p>
              </w:tc>
              <w:tc>
                <w:tcPr>
                  <w:tcW w:w="239" w:type="pct"/>
                  <w:vMerge w:val="continue"/>
                  <w:tcBorders>
                    <w:tl2br w:val="nil"/>
                    <w:tr2bl w:val="nil"/>
                  </w:tcBorders>
                  <w:noWrap w:val="0"/>
                  <w:vAlign w:val="center"/>
                </w:tcPr>
                <w:p w14:paraId="58ED4068">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0F6D1213">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64BBE4C4">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2D588823">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21757ED6">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10.9</w:t>
                  </w:r>
                </w:p>
              </w:tc>
              <w:tc>
                <w:tcPr>
                  <w:tcW w:w="378" w:type="pct"/>
                  <w:tcBorders>
                    <w:tl2br w:val="nil"/>
                    <w:tr2bl w:val="nil"/>
                  </w:tcBorders>
                  <w:noWrap w:val="0"/>
                  <w:vAlign w:val="center"/>
                </w:tcPr>
                <w:p w14:paraId="335A902A">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-13.3</w:t>
                  </w:r>
                </w:p>
              </w:tc>
              <w:tc>
                <w:tcPr>
                  <w:tcW w:w="279" w:type="pct"/>
                  <w:tcBorders>
                    <w:tl2br w:val="nil"/>
                    <w:tr2bl w:val="nil"/>
                  </w:tcBorders>
                  <w:noWrap w:val="0"/>
                  <w:vAlign w:val="center"/>
                </w:tcPr>
                <w:p w14:paraId="173C4AC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649B4B8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w:t>
                  </w:r>
                </w:p>
              </w:tc>
              <w:tc>
                <w:tcPr>
                  <w:tcW w:w="457" w:type="pct"/>
                  <w:tcBorders>
                    <w:tl2br w:val="nil"/>
                    <w:tr2bl w:val="nil"/>
                  </w:tcBorders>
                  <w:noWrap w:val="0"/>
                  <w:vAlign w:val="center"/>
                </w:tcPr>
                <w:p w14:paraId="48E6A54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247" w:type="pct"/>
                  <w:tcBorders>
                    <w:tl2br w:val="nil"/>
                    <w:tr2bl w:val="nil"/>
                  </w:tcBorders>
                  <w:noWrap w:val="0"/>
                  <w:vAlign w:val="center"/>
                </w:tcPr>
                <w:p w14:paraId="7DFF970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4AAD8A5C">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10C6278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49</w:t>
                  </w:r>
                </w:p>
              </w:tc>
              <w:tc>
                <w:tcPr>
                  <w:tcW w:w="263" w:type="pct"/>
                  <w:tcBorders>
                    <w:tl2br w:val="nil"/>
                    <w:tr2bl w:val="nil"/>
                  </w:tcBorders>
                  <w:noWrap w:val="0"/>
                  <w:vAlign w:val="center"/>
                </w:tcPr>
                <w:p w14:paraId="30C9112E">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7287B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560FB31">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31</w:t>
                  </w:r>
                </w:p>
              </w:tc>
              <w:tc>
                <w:tcPr>
                  <w:tcW w:w="239" w:type="pct"/>
                  <w:vMerge w:val="continue"/>
                  <w:tcBorders>
                    <w:tl2br w:val="nil"/>
                    <w:tr2bl w:val="nil"/>
                  </w:tcBorders>
                  <w:noWrap w:val="0"/>
                  <w:vAlign w:val="center"/>
                </w:tcPr>
                <w:p w14:paraId="5D3E7BB6">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E2801E3">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锯床</w:t>
                  </w:r>
                </w:p>
              </w:tc>
              <w:tc>
                <w:tcPr>
                  <w:tcW w:w="415" w:type="pct"/>
                  <w:tcBorders>
                    <w:tl2br w:val="nil"/>
                    <w:tr2bl w:val="nil"/>
                  </w:tcBorders>
                  <w:noWrap w:val="0"/>
                  <w:vAlign w:val="center"/>
                </w:tcPr>
                <w:p w14:paraId="45119C8D">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0CE47D5E">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13F1A2E1">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6.6</w:t>
                  </w:r>
                </w:p>
              </w:tc>
              <w:tc>
                <w:tcPr>
                  <w:tcW w:w="378" w:type="pct"/>
                  <w:tcBorders>
                    <w:tl2br w:val="nil"/>
                    <w:tr2bl w:val="nil"/>
                  </w:tcBorders>
                  <w:noWrap w:val="0"/>
                  <w:vAlign w:val="center"/>
                </w:tcPr>
                <w:p w14:paraId="28862489">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-13.9</w:t>
                  </w:r>
                </w:p>
              </w:tc>
              <w:tc>
                <w:tcPr>
                  <w:tcW w:w="279" w:type="pct"/>
                  <w:tcBorders>
                    <w:tl2br w:val="nil"/>
                    <w:tr2bl w:val="nil"/>
                  </w:tcBorders>
                  <w:noWrap w:val="0"/>
                  <w:vAlign w:val="center"/>
                </w:tcPr>
                <w:p w14:paraId="4C15881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475AF59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w:t>
                  </w:r>
                </w:p>
              </w:tc>
              <w:tc>
                <w:tcPr>
                  <w:tcW w:w="457" w:type="pct"/>
                  <w:tcBorders>
                    <w:tl2br w:val="nil"/>
                    <w:tr2bl w:val="nil"/>
                  </w:tcBorders>
                  <w:noWrap w:val="0"/>
                  <w:vAlign w:val="center"/>
                </w:tcPr>
                <w:p w14:paraId="4A33AF2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247" w:type="pct"/>
                  <w:tcBorders>
                    <w:tl2br w:val="nil"/>
                    <w:tr2bl w:val="nil"/>
                  </w:tcBorders>
                  <w:noWrap w:val="0"/>
                  <w:vAlign w:val="center"/>
                </w:tcPr>
                <w:p w14:paraId="61A07874">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9126371">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1EBF8FF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49</w:t>
                  </w:r>
                </w:p>
              </w:tc>
              <w:tc>
                <w:tcPr>
                  <w:tcW w:w="263" w:type="pct"/>
                  <w:tcBorders>
                    <w:tl2br w:val="nil"/>
                    <w:tr2bl w:val="nil"/>
                  </w:tcBorders>
                  <w:noWrap w:val="0"/>
                  <w:vAlign w:val="center"/>
                </w:tcPr>
                <w:p w14:paraId="31204CB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6637AD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81F720E">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32</w:t>
                  </w:r>
                </w:p>
              </w:tc>
              <w:tc>
                <w:tcPr>
                  <w:tcW w:w="239" w:type="pct"/>
                  <w:vMerge w:val="continue"/>
                  <w:tcBorders>
                    <w:tl2br w:val="nil"/>
                    <w:tr2bl w:val="nil"/>
                  </w:tcBorders>
                  <w:noWrap w:val="0"/>
                  <w:vAlign w:val="center"/>
                </w:tcPr>
                <w:p w14:paraId="7DCC1FA9">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0F650C23">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5D181755">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6D40BA22">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6C1B5344">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23.6</w:t>
                  </w:r>
                </w:p>
              </w:tc>
              <w:tc>
                <w:tcPr>
                  <w:tcW w:w="378" w:type="pct"/>
                  <w:tcBorders>
                    <w:tl2br w:val="nil"/>
                    <w:tr2bl w:val="nil"/>
                  </w:tcBorders>
                  <w:noWrap w:val="0"/>
                  <w:vAlign w:val="center"/>
                </w:tcPr>
                <w:p w14:paraId="61BC7F9E">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-12.1</w:t>
                  </w:r>
                </w:p>
              </w:tc>
              <w:tc>
                <w:tcPr>
                  <w:tcW w:w="279" w:type="pct"/>
                  <w:tcBorders>
                    <w:tl2br w:val="nil"/>
                    <w:tr2bl w:val="nil"/>
                  </w:tcBorders>
                  <w:noWrap w:val="0"/>
                  <w:vAlign w:val="center"/>
                </w:tcPr>
                <w:p w14:paraId="1112F339">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350BDCB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w:t>
                  </w:r>
                </w:p>
              </w:tc>
              <w:tc>
                <w:tcPr>
                  <w:tcW w:w="457" w:type="pct"/>
                  <w:tcBorders>
                    <w:tl2br w:val="nil"/>
                    <w:tr2bl w:val="nil"/>
                  </w:tcBorders>
                  <w:noWrap w:val="0"/>
                  <w:vAlign w:val="center"/>
                </w:tcPr>
                <w:p w14:paraId="5FE027E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69</w:t>
                  </w:r>
                </w:p>
              </w:tc>
              <w:tc>
                <w:tcPr>
                  <w:tcW w:w="247" w:type="pct"/>
                  <w:tcBorders>
                    <w:tl2br w:val="nil"/>
                    <w:tr2bl w:val="nil"/>
                  </w:tcBorders>
                  <w:noWrap w:val="0"/>
                  <w:vAlign w:val="center"/>
                </w:tcPr>
                <w:p w14:paraId="2B22C8B8">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D2CCB54">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16C719E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49</w:t>
                  </w:r>
                </w:p>
              </w:tc>
              <w:tc>
                <w:tcPr>
                  <w:tcW w:w="263" w:type="pct"/>
                  <w:tcBorders>
                    <w:tl2br w:val="nil"/>
                    <w:tr2bl w:val="nil"/>
                  </w:tcBorders>
                  <w:noWrap w:val="0"/>
                  <w:vAlign w:val="center"/>
                </w:tcPr>
                <w:p w14:paraId="59BC058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46500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31BB3EA5">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33</w:t>
                  </w:r>
                </w:p>
              </w:tc>
              <w:tc>
                <w:tcPr>
                  <w:tcW w:w="239" w:type="pct"/>
                  <w:vMerge w:val="continue"/>
                  <w:tcBorders>
                    <w:tl2br w:val="nil"/>
                    <w:tr2bl w:val="nil"/>
                  </w:tcBorders>
                  <w:noWrap w:val="0"/>
                  <w:vAlign w:val="center"/>
                </w:tcPr>
                <w:p w14:paraId="7FBE3112">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537EC5DD">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40756FD6">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6DCEE710">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4C4ABA0">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-18.3</w:t>
                  </w:r>
                </w:p>
              </w:tc>
              <w:tc>
                <w:tcPr>
                  <w:tcW w:w="378" w:type="pct"/>
                  <w:tcBorders>
                    <w:tl2br w:val="nil"/>
                    <w:tr2bl w:val="nil"/>
                  </w:tcBorders>
                  <w:noWrap w:val="0"/>
                  <w:vAlign w:val="center"/>
                </w:tcPr>
                <w:p w14:paraId="482F8E63">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-15.4</w:t>
                  </w:r>
                </w:p>
              </w:tc>
              <w:tc>
                <w:tcPr>
                  <w:tcW w:w="279" w:type="pct"/>
                  <w:tcBorders>
                    <w:tl2br w:val="nil"/>
                    <w:tr2bl w:val="nil"/>
                  </w:tcBorders>
                  <w:noWrap w:val="0"/>
                  <w:vAlign w:val="center"/>
                </w:tcPr>
                <w:p w14:paraId="0D9054D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759222C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w:t>
                  </w:r>
                </w:p>
              </w:tc>
              <w:tc>
                <w:tcPr>
                  <w:tcW w:w="457" w:type="pct"/>
                  <w:tcBorders>
                    <w:tl2br w:val="nil"/>
                    <w:tr2bl w:val="nil"/>
                  </w:tcBorders>
                  <w:noWrap w:val="0"/>
                  <w:vAlign w:val="center"/>
                </w:tcPr>
                <w:p w14:paraId="05BD5CB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71</w:t>
                  </w:r>
                </w:p>
              </w:tc>
              <w:tc>
                <w:tcPr>
                  <w:tcW w:w="247" w:type="pct"/>
                  <w:tcBorders>
                    <w:tl2br w:val="nil"/>
                    <w:tr2bl w:val="nil"/>
                  </w:tcBorders>
                  <w:noWrap w:val="0"/>
                  <w:vAlign w:val="center"/>
                </w:tcPr>
                <w:p w14:paraId="7322C935">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A06F131">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3D43DE0">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51</w:t>
                  </w:r>
                </w:p>
              </w:tc>
              <w:tc>
                <w:tcPr>
                  <w:tcW w:w="263" w:type="pct"/>
                  <w:tcBorders>
                    <w:tl2br w:val="nil"/>
                    <w:tr2bl w:val="nil"/>
                  </w:tcBorders>
                  <w:noWrap w:val="0"/>
                  <w:vAlign w:val="center"/>
                </w:tcPr>
                <w:p w14:paraId="728446B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0A7134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1D576419">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0"/>
                      <w:sz w:val="18"/>
                      <w:szCs w:val="18"/>
                      <w:lang w:val="en-US" w:eastAsia="zh-CN"/>
                    </w:rPr>
                    <w:t>34</w:t>
                  </w:r>
                </w:p>
              </w:tc>
              <w:tc>
                <w:tcPr>
                  <w:tcW w:w="239" w:type="pct"/>
                  <w:vMerge w:val="continue"/>
                  <w:tcBorders>
                    <w:tl2br w:val="nil"/>
                    <w:tr2bl w:val="nil"/>
                  </w:tcBorders>
                  <w:noWrap w:val="0"/>
                  <w:vAlign w:val="center"/>
                </w:tcPr>
                <w:p w14:paraId="2E570537">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76B04AB">
                  <w:pPr>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47CEEF19">
                  <w:pPr>
                    <w:widowControl/>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7C1137FF">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54CE3D8E">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-14.7</w:t>
                  </w:r>
                </w:p>
              </w:tc>
              <w:tc>
                <w:tcPr>
                  <w:tcW w:w="378" w:type="pct"/>
                  <w:tcBorders>
                    <w:tl2br w:val="nil"/>
                    <w:tr2bl w:val="nil"/>
                  </w:tcBorders>
                  <w:noWrap w:val="0"/>
                  <w:vAlign w:val="center"/>
                </w:tcPr>
                <w:p w14:paraId="596C7972">
                  <w:pPr>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-14.8</w:t>
                  </w:r>
                </w:p>
              </w:tc>
              <w:tc>
                <w:tcPr>
                  <w:tcW w:w="279" w:type="pct"/>
                  <w:tcBorders>
                    <w:tl2br w:val="nil"/>
                    <w:tr2bl w:val="nil"/>
                  </w:tcBorders>
                  <w:noWrap w:val="0"/>
                  <w:vAlign w:val="center"/>
                </w:tcPr>
                <w:p w14:paraId="42A4074C">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7684E9B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w:t>
                  </w:r>
                </w:p>
              </w:tc>
              <w:tc>
                <w:tcPr>
                  <w:tcW w:w="457" w:type="pct"/>
                  <w:tcBorders>
                    <w:tl2br w:val="nil"/>
                    <w:tr2bl w:val="nil"/>
                  </w:tcBorders>
                  <w:noWrap w:val="0"/>
                  <w:vAlign w:val="center"/>
                </w:tcPr>
                <w:p w14:paraId="463661E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71</w:t>
                  </w:r>
                </w:p>
              </w:tc>
              <w:tc>
                <w:tcPr>
                  <w:tcW w:w="247" w:type="pct"/>
                  <w:tcBorders>
                    <w:tl2br w:val="nil"/>
                    <w:tr2bl w:val="nil"/>
                  </w:tcBorders>
                  <w:noWrap w:val="0"/>
                  <w:vAlign w:val="center"/>
                </w:tcPr>
                <w:p w14:paraId="3B2BBE4E">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3F42EB1">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19442C0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51</w:t>
                  </w:r>
                </w:p>
              </w:tc>
              <w:tc>
                <w:tcPr>
                  <w:tcW w:w="263" w:type="pct"/>
                  <w:tcBorders>
                    <w:tl2br w:val="nil"/>
                    <w:tr2bl w:val="nil"/>
                  </w:tcBorders>
                  <w:noWrap w:val="0"/>
                  <w:vAlign w:val="center"/>
                </w:tcPr>
                <w:p w14:paraId="20A2E14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27DDAA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3CDAEFC2">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35</w:t>
                  </w:r>
                </w:p>
              </w:tc>
              <w:tc>
                <w:tcPr>
                  <w:tcW w:w="239" w:type="pct"/>
                  <w:vMerge w:val="continue"/>
                  <w:tcBorders>
                    <w:tl2br w:val="nil"/>
                    <w:tr2bl w:val="nil"/>
                  </w:tcBorders>
                  <w:noWrap w:val="0"/>
                  <w:vAlign w:val="center"/>
                </w:tcPr>
                <w:p w14:paraId="5ABDC696">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A364AA4">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7291ED84">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7737B2D4">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EBCACCF">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-11.4</w:t>
                  </w:r>
                </w:p>
              </w:tc>
              <w:tc>
                <w:tcPr>
                  <w:tcW w:w="378" w:type="pct"/>
                  <w:tcBorders>
                    <w:tl2br w:val="nil"/>
                    <w:tr2bl w:val="nil"/>
                  </w:tcBorders>
                  <w:noWrap w:val="0"/>
                  <w:vAlign w:val="center"/>
                </w:tcPr>
                <w:p w14:paraId="1DEC3C7F">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-14.3</w:t>
                  </w:r>
                </w:p>
              </w:tc>
              <w:tc>
                <w:tcPr>
                  <w:tcW w:w="279" w:type="pct"/>
                  <w:tcBorders>
                    <w:tl2br w:val="nil"/>
                    <w:tr2bl w:val="nil"/>
                  </w:tcBorders>
                  <w:noWrap w:val="0"/>
                  <w:vAlign w:val="center"/>
                </w:tcPr>
                <w:p w14:paraId="76324055">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0CF1ED32">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w:t>
                  </w:r>
                </w:p>
              </w:tc>
              <w:tc>
                <w:tcPr>
                  <w:tcW w:w="457" w:type="pct"/>
                  <w:tcBorders>
                    <w:tl2br w:val="nil"/>
                    <w:tr2bl w:val="nil"/>
                  </w:tcBorders>
                  <w:noWrap w:val="0"/>
                  <w:vAlign w:val="center"/>
                </w:tcPr>
                <w:p w14:paraId="45A0390D">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71</w:t>
                  </w:r>
                </w:p>
              </w:tc>
              <w:tc>
                <w:tcPr>
                  <w:tcW w:w="247" w:type="pct"/>
                  <w:tcBorders>
                    <w:tl2br w:val="nil"/>
                    <w:tr2bl w:val="nil"/>
                  </w:tcBorders>
                  <w:noWrap w:val="0"/>
                  <w:vAlign w:val="center"/>
                </w:tcPr>
                <w:p w14:paraId="38B84DB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6AD80FA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351A0B6F">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51</w:t>
                  </w:r>
                </w:p>
              </w:tc>
              <w:tc>
                <w:tcPr>
                  <w:tcW w:w="263" w:type="pct"/>
                  <w:tcBorders>
                    <w:tl2br w:val="nil"/>
                    <w:tr2bl w:val="nil"/>
                  </w:tcBorders>
                  <w:noWrap w:val="0"/>
                  <w:vAlign w:val="center"/>
                </w:tcPr>
                <w:p w14:paraId="66EB442C">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5E6349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7E196F57">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36</w:t>
                  </w:r>
                </w:p>
              </w:tc>
              <w:tc>
                <w:tcPr>
                  <w:tcW w:w="239" w:type="pct"/>
                  <w:vMerge w:val="continue"/>
                  <w:tcBorders>
                    <w:tl2br w:val="nil"/>
                    <w:tr2bl w:val="nil"/>
                  </w:tcBorders>
                  <w:noWrap w:val="0"/>
                  <w:vAlign w:val="center"/>
                </w:tcPr>
                <w:p w14:paraId="7F536495">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2C49CFF8">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2A1011AB">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1148C358">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435FA9E7">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24.9</w:t>
                  </w:r>
                </w:p>
              </w:tc>
              <w:tc>
                <w:tcPr>
                  <w:tcW w:w="378" w:type="pct"/>
                  <w:tcBorders>
                    <w:tl2br w:val="nil"/>
                    <w:tr2bl w:val="nil"/>
                  </w:tcBorders>
                  <w:noWrap w:val="0"/>
                  <w:vAlign w:val="center"/>
                </w:tcPr>
                <w:p w14:paraId="08995C2A">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-1.6</w:t>
                  </w:r>
                </w:p>
              </w:tc>
              <w:tc>
                <w:tcPr>
                  <w:tcW w:w="279" w:type="pct"/>
                  <w:tcBorders>
                    <w:tl2br w:val="nil"/>
                    <w:tr2bl w:val="nil"/>
                  </w:tcBorders>
                  <w:noWrap w:val="0"/>
                  <w:vAlign w:val="center"/>
                </w:tcPr>
                <w:p w14:paraId="7EAE9380">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0B2DC86F">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15</w:t>
                  </w:r>
                </w:p>
              </w:tc>
              <w:tc>
                <w:tcPr>
                  <w:tcW w:w="457" w:type="pct"/>
                  <w:tcBorders>
                    <w:tl2br w:val="nil"/>
                    <w:tr2bl w:val="nil"/>
                  </w:tcBorders>
                  <w:noWrap w:val="0"/>
                  <w:vAlign w:val="center"/>
                </w:tcPr>
                <w:p w14:paraId="4C45F006">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61</w:t>
                  </w:r>
                </w:p>
              </w:tc>
              <w:tc>
                <w:tcPr>
                  <w:tcW w:w="247" w:type="pct"/>
                  <w:tcBorders>
                    <w:tl2br w:val="nil"/>
                    <w:tr2bl w:val="nil"/>
                  </w:tcBorders>
                  <w:noWrap w:val="0"/>
                  <w:vAlign w:val="center"/>
                </w:tcPr>
                <w:p w14:paraId="1128AC2E">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2B14E0C">
                  <w:pPr>
                    <w:adjustRightInd w:val="0"/>
                    <w:snapToGrid w:val="0"/>
                    <w:jc w:val="center"/>
                    <w:rPr>
                      <w:rFonts w:hint="default" w:ascii="Times New Roman" w:hAnsi="Times New Roman" w:eastAsia="宋体" w:cs="Times New Roman"/>
                      <w:color w:val="auto"/>
                      <w:kern w:val="0"/>
                      <w:sz w:val="18"/>
                      <w:szCs w:val="18"/>
                      <w:lang w:val="en-US"/>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0E52363">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41</w:t>
                  </w:r>
                </w:p>
              </w:tc>
              <w:tc>
                <w:tcPr>
                  <w:tcW w:w="263" w:type="pct"/>
                  <w:tcBorders>
                    <w:tl2br w:val="nil"/>
                    <w:tr2bl w:val="nil"/>
                  </w:tcBorders>
                  <w:noWrap w:val="0"/>
                  <w:vAlign w:val="center"/>
                </w:tcPr>
                <w:p w14:paraId="1BAF225A">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2CEAF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385B401D">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37</w:t>
                  </w:r>
                </w:p>
              </w:tc>
              <w:tc>
                <w:tcPr>
                  <w:tcW w:w="239" w:type="pct"/>
                  <w:vMerge w:val="continue"/>
                  <w:tcBorders>
                    <w:tl2br w:val="nil"/>
                    <w:tr2bl w:val="nil"/>
                  </w:tcBorders>
                  <w:noWrap w:val="0"/>
                  <w:vAlign w:val="center"/>
                </w:tcPr>
                <w:p w14:paraId="4C79CBF3">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3B853D92">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0533A8E9">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5EBB6C21">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7175140D">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20.3</w:t>
                  </w:r>
                </w:p>
              </w:tc>
              <w:tc>
                <w:tcPr>
                  <w:tcW w:w="378" w:type="pct"/>
                  <w:tcBorders>
                    <w:tl2br w:val="nil"/>
                    <w:tr2bl w:val="nil"/>
                  </w:tcBorders>
                  <w:noWrap w:val="0"/>
                  <w:vAlign w:val="center"/>
                </w:tcPr>
                <w:p w14:paraId="693BA9F7">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-1.4</w:t>
                  </w:r>
                </w:p>
              </w:tc>
              <w:tc>
                <w:tcPr>
                  <w:tcW w:w="279" w:type="pct"/>
                  <w:tcBorders>
                    <w:tl2br w:val="nil"/>
                    <w:tr2bl w:val="nil"/>
                  </w:tcBorders>
                  <w:noWrap w:val="0"/>
                  <w:vAlign w:val="center"/>
                </w:tcPr>
                <w:p w14:paraId="391B6D54">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78404853">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15</w:t>
                  </w:r>
                </w:p>
              </w:tc>
              <w:tc>
                <w:tcPr>
                  <w:tcW w:w="457" w:type="pct"/>
                  <w:tcBorders>
                    <w:tl2br w:val="nil"/>
                    <w:tr2bl w:val="nil"/>
                  </w:tcBorders>
                  <w:noWrap w:val="0"/>
                  <w:vAlign w:val="center"/>
                </w:tcPr>
                <w:p w14:paraId="0446540C">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61</w:t>
                  </w:r>
                </w:p>
              </w:tc>
              <w:tc>
                <w:tcPr>
                  <w:tcW w:w="247" w:type="pct"/>
                  <w:tcBorders>
                    <w:tl2br w:val="nil"/>
                    <w:tr2bl w:val="nil"/>
                  </w:tcBorders>
                  <w:noWrap w:val="0"/>
                  <w:vAlign w:val="center"/>
                </w:tcPr>
                <w:p w14:paraId="529222F4">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3C4FE0D3">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FA1E06E">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41</w:t>
                  </w:r>
                </w:p>
              </w:tc>
              <w:tc>
                <w:tcPr>
                  <w:tcW w:w="263" w:type="pct"/>
                  <w:tcBorders>
                    <w:tl2br w:val="nil"/>
                    <w:tr2bl w:val="nil"/>
                  </w:tcBorders>
                  <w:noWrap w:val="0"/>
                  <w:vAlign w:val="center"/>
                </w:tcPr>
                <w:p w14:paraId="7ECDBA7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441B1A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6A084BF2">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38</w:t>
                  </w:r>
                </w:p>
              </w:tc>
              <w:tc>
                <w:tcPr>
                  <w:tcW w:w="239" w:type="pct"/>
                  <w:vMerge w:val="continue"/>
                  <w:tcBorders>
                    <w:tl2br w:val="nil"/>
                    <w:tr2bl w:val="nil"/>
                  </w:tcBorders>
                  <w:noWrap w:val="0"/>
                  <w:vAlign w:val="center"/>
                </w:tcPr>
                <w:p w14:paraId="451E1C1D">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5A93B73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7E4BAF73">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5054CC99">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2CBEE91A">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15.7</w:t>
                  </w:r>
                </w:p>
              </w:tc>
              <w:tc>
                <w:tcPr>
                  <w:tcW w:w="378" w:type="pct"/>
                  <w:tcBorders>
                    <w:tl2br w:val="nil"/>
                    <w:tr2bl w:val="nil"/>
                  </w:tcBorders>
                  <w:noWrap w:val="0"/>
                  <w:vAlign w:val="center"/>
                </w:tcPr>
                <w:p w14:paraId="7F1C7A0D">
                  <w:pPr>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-1.6</w:t>
                  </w:r>
                </w:p>
              </w:tc>
              <w:tc>
                <w:tcPr>
                  <w:tcW w:w="279" w:type="pct"/>
                  <w:tcBorders>
                    <w:tl2br w:val="nil"/>
                    <w:tr2bl w:val="nil"/>
                  </w:tcBorders>
                  <w:noWrap w:val="0"/>
                  <w:vAlign w:val="center"/>
                </w:tcPr>
                <w:p w14:paraId="654AAFDC">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3C9A0E9C">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15</w:t>
                  </w:r>
                </w:p>
              </w:tc>
              <w:tc>
                <w:tcPr>
                  <w:tcW w:w="457" w:type="pct"/>
                  <w:tcBorders>
                    <w:tl2br w:val="nil"/>
                    <w:tr2bl w:val="nil"/>
                  </w:tcBorders>
                  <w:noWrap w:val="0"/>
                  <w:vAlign w:val="center"/>
                </w:tcPr>
                <w:p w14:paraId="54CA2B21">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61</w:t>
                  </w:r>
                </w:p>
              </w:tc>
              <w:tc>
                <w:tcPr>
                  <w:tcW w:w="247" w:type="pct"/>
                  <w:tcBorders>
                    <w:tl2br w:val="nil"/>
                    <w:tr2bl w:val="nil"/>
                  </w:tcBorders>
                  <w:noWrap w:val="0"/>
                  <w:vAlign w:val="center"/>
                </w:tcPr>
                <w:p w14:paraId="4D41AEE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7739037">
                  <w:pPr>
                    <w:adjustRightInd w:val="0"/>
                    <w:snapToGrid w:val="0"/>
                    <w:jc w:val="center"/>
                    <w:rPr>
                      <w:rFonts w:hint="default" w:ascii="Times New Roman" w:hAnsi="Times New Roman" w:eastAsia="宋体" w:cs="Times New Roman"/>
                      <w:color w:val="auto"/>
                      <w:kern w:val="0"/>
                      <w:sz w:val="18"/>
                      <w:szCs w:val="18"/>
                      <w:lang w:val="en-US"/>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347B6D1">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41</w:t>
                  </w:r>
                </w:p>
              </w:tc>
              <w:tc>
                <w:tcPr>
                  <w:tcW w:w="263" w:type="pct"/>
                  <w:tcBorders>
                    <w:tl2br w:val="nil"/>
                    <w:tr2bl w:val="nil"/>
                  </w:tcBorders>
                  <w:noWrap w:val="0"/>
                  <w:vAlign w:val="center"/>
                </w:tcPr>
                <w:p w14:paraId="10546686">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1068BF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B496F8E">
                  <w:pPr>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39</w:t>
                  </w:r>
                </w:p>
              </w:tc>
              <w:tc>
                <w:tcPr>
                  <w:tcW w:w="239" w:type="pct"/>
                  <w:vMerge w:val="continue"/>
                  <w:tcBorders>
                    <w:tl2br w:val="nil"/>
                    <w:tr2bl w:val="nil"/>
                  </w:tcBorders>
                  <w:noWrap w:val="0"/>
                  <w:vAlign w:val="center"/>
                </w:tcPr>
                <w:p w14:paraId="36FABAF0">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1E3DD9C6">
                  <w:pPr>
                    <w:jc w:val="center"/>
                    <w:rPr>
                      <w:rFonts w:hint="default" w:ascii="Times New Roman" w:hAnsi="Times New Roman" w:eastAsia="宋体" w:cs="Times New Roman"/>
                      <w:color w:val="auto"/>
                      <w:kern w:val="2"/>
                      <w:sz w:val="18"/>
                      <w:szCs w:val="18"/>
                      <w:lang w:val="en-US"/>
                    </w:rPr>
                  </w:pPr>
                  <w:r>
                    <w:rPr>
                      <w:rFonts w:hint="default" w:ascii="Times New Roman" w:hAnsi="Times New Roman" w:eastAsia="宋体" w:cs="Times New Roman"/>
                      <w:color w:val="auto"/>
                      <w:sz w:val="18"/>
                      <w:szCs w:val="18"/>
                      <w:lang w:val="en-US" w:eastAsia="zh-CN"/>
                    </w:rPr>
                    <w:t>车床</w:t>
                  </w:r>
                </w:p>
              </w:tc>
              <w:tc>
                <w:tcPr>
                  <w:tcW w:w="415" w:type="pct"/>
                  <w:tcBorders>
                    <w:tl2br w:val="nil"/>
                    <w:tr2bl w:val="nil"/>
                  </w:tcBorders>
                  <w:noWrap w:val="0"/>
                  <w:vAlign w:val="center"/>
                </w:tcPr>
                <w:p w14:paraId="62EE9808">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85</w:t>
                  </w:r>
                </w:p>
              </w:tc>
              <w:tc>
                <w:tcPr>
                  <w:tcW w:w="368" w:type="pct"/>
                  <w:vMerge w:val="continue"/>
                  <w:tcBorders>
                    <w:tl2br w:val="nil"/>
                    <w:tr2bl w:val="nil"/>
                  </w:tcBorders>
                  <w:noWrap w:val="0"/>
                  <w:vAlign w:val="center"/>
                </w:tcPr>
                <w:p w14:paraId="3B2B3EF4">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604E5DF2">
                  <w:pPr>
                    <w:widowControl/>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12.4</w:t>
                  </w:r>
                </w:p>
              </w:tc>
              <w:tc>
                <w:tcPr>
                  <w:tcW w:w="378" w:type="pct"/>
                  <w:tcBorders>
                    <w:tl2br w:val="nil"/>
                    <w:tr2bl w:val="nil"/>
                  </w:tcBorders>
                  <w:noWrap w:val="0"/>
                  <w:vAlign w:val="center"/>
                </w:tcPr>
                <w:p w14:paraId="310B64FF">
                  <w:pPr>
                    <w:widowControl/>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-2.4</w:t>
                  </w:r>
                </w:p>
              </w:tc>
              <w:tc>
                <w:tcPr>
                  <w:tcW w:w="279" w:type="pct"/>
                  <w:tcBorders>
                    <w:tl2br w:val="nil"/>
                    <w:tr2bl w:val="nil"/>
                  </w:tcBorders>
                  <w:noWrap w:val="0"/>
                  <w:vAlign w:val="center"/>
                </w:tcPr>
                <w:p w14:paraId="1D678378">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6FD288C9">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15</w:t>
                  </w:r>
                </w:p>
              </w:tc>
              <w:tc>
                <w:tcPr>
                  <w:tcW w:w="457" w:type="pct"/>
                  <w:tcBorders>
                    <w:tl2br w:val="nil"/>
                    <w:tr2bl w:val="nil"/>
                  </w:tcBorders>
                  <w:noWrap w:val="0"/>
                  <w:vAlign w:val="center"/>
                </w:tcPr>
                <w:p w14:paraId="1AAF9F81">
                  <w:pPr>
                    <w:widowControl/>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61</w:t>
                  </w:r>
                </w:p>
              </w:tc>
              <w:tc>
                <w:tcPr>
                  <w:tcW w:w="247" w:type="pct"/>
                  <w:tcBorders>
                    <w:tl2br w:val="nil"/>
                    <w:tr2bl w:val="nil"/>
                  </w:tcBorders>
                  <w:noWrap w:val="0"/>
                  <w:vAlign w:val="center"/>
                </w:tcPr>
                <w:p w14:paraId="0513D5D1">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4BD65D55">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27832017">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41</w:t>
                  </w:r>
                </w:p>
              </w:tc>
              <w:tc>
                <w:tcPr>
                  <w:tcW w:w="263" w:type="pct"/>
                  <w:tcBorders>
                    <w:tl2br w:val="nil"/>
                    <w:tr2bl w:val="nil"/>
                  </w:tcBorders>
                  <w:noWrap w:val="0"/>
                  <w:vAlign w:val="center"/>
                </w:tcPr>
                <w:p w14:paraId="257382FB">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26E39D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0DF935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40</w:t>
                  </w:r>
                </w:p>
              </w:tc>
              <w:tc>
                <w:tcPr>
                  <w:tcW w:w="239" w:type="pct"/>
                  <w:vMerge w:val="continue"/>
                  <w:tcBorders>
                    <w:tl2br w:val="nil"/>
                    <w:tr2bl w:val="nil"/>
                  </w:tcBorders>
                  <w:noWrap w:val="0"/>
                  <w:vAlign w:val="center"/>
                </w:tcPr>
                <w:p w14:paraId="0F12679D">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59D57723">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龙门铣</w:t>
                  </w:r>
                </w:p>
              </w:tc>
              <w:tc>
                <w:tcPr>
                  <w:tcW w:w="415" w:type="pct"/>
                  <w:tcBorders>
                    <w:tl2br w:val="nil"/>
                    <w:tr2bl w:val="nil"/>
                  </w:tcBorders>
                  <w:noWrap w:val="0"/>
                  <w:vAlign w:val="center"/>
                </w:tcPr>
                <w:p w14:paraId="3E5FD6E1">
                  <w:pPr>
                    <w:widowControl/>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80</w:t>
                  </w:r>
                </w:p>
              </w:tc>
              <w:tc>
                <w:tcPr>
                  <w:tcW w:w="368" w:type="pct"/>
                  <w:vMerge w:val="continue"/>
                  <w:tcBorders>
                    <w:tl2br w:val="nil"/>
                    <w:tr2bl w:val="nil"/>
                  </w:tcBorders>
                  <w:noWrap w:val="0"/>
                  <w:vAlign w:val="center"/>
                </w:tcPr>
                <w:p w14:paraId="59AF9A94">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23227222">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12.5</w:t>
                  </w:r>
                </w:p>
              </w:tc>
              <w:tc>
                <w:tcPr>
                  <w:tcW w:w="378" w:type="pct"/>
                  <w:tcBorders>
                    <w:tl2br w:val="nil"/>
                    <w:tr2bl w:val="nil"/>
                  </w:tcBorders>
                  <w:noWrap w:val="0"/>
                  <w:vAlign w:val="center"/>
                </w:tcPr>
                <w:p w14:paraId="2361B7BD">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-5.1</w:t>
                  </w:r>
                </w:p>
              </w:tc>
              <w:tc>
                <w:tcPr>
                  <w:tcW w:w="279" w:type="pct"/>
                  <w:tcBorders>
                    <w:tl2br w:val="nil"/>
                    <w:tr2bl w:val="nil"/>
                  </w:tcBorders>
                  <w:noWrap w:val="0"/>
                  <w:vAlign w:val="center"/>
                </w:tcPr>
                <w:p w14:paraId="4B91A30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3364F63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10</w:t>
                  </w:r>
                </w:p>
              </w:tc>
              <w:tc>
                <w:tcPr>
                  <w:tcW w:w="457" w:type="pct"/>
                  <w:tcBorders>
                    <w:tl2br w:val="nil"/>
                    <w:tr2bl w:val="nil"/>
                  </w:tcBorders>
                  <w:noWrap w:val="0"/>
                  <w:vAlign w:val="center"/>
                </w:tcPr>
                <w:p w14:paraId="1D9BEF66">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65</w:t>
                  </w:r>
                </w:p>
              </w:tc>
              <w:tc>
                <w:tcPr>
                  <w:tcW w:w="247" w:type="pct"/>
                  <w:tcBorders>
                    <w:tl2br w:val="nil"/>
                    <w:tr2bl w:val="nil"/>
                  </w:tcBorders>
                  <w:noWrap w:val="0"/>
                  <w:vAlign w:val="center"/>
                </w:tcPr>
                <w:p w14:paraId="38B840B0">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1F82CAD2">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8765BC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48</w:t>
                  </w:r>
                </w:p>
              </w:tc>
              <w:tc>
                <w:tcPr>
                  <w:tcW w:w="263" w:type="pct"/>
                  <w:tcBorders>
                    <w:tl2br w:val="nil"/>
                    <w:tr2bl w:val="nil"/>
                  </w:tcBorders>
                  <w:noWrap w:val="0"/>
                  <w:vAlign w:val="center"/>
                </w:tcPr>
                <w:p w14:paraId="7F61EBEF">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r w14:paraId="40E69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1501FE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41</w:t>
                  </w:r>
                </w:p>
              </w:tc>
              <w:tc>
                <w:tcPr>
                  <w:tcW w:w="239" w:type="pct"/>
                  <w:vMerge w:val="continue"/>
                  <w:tcBorders>
                    <w:tl2br w:val="nil"/>
                    <w:tr2bl w:val="nil"/>
                  </w:tcBorders>
                  <w:noWrap w:val="0"/>
                  <w:vAlign w:val="center"/>
                </w:tcPr>
                <w:p w14:paraId="43EC4CC7">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4C07F97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sz w:val="18"/>
                      <w:szCs w:val="18"/>
                      <w:lang w:val="en-US" w:eastAsia="zh-CN"/>
                    </w:rPr>
                    <w:t>龙门铣</w:t>
                  </w:r>
                </w:p>
              </w:tc>
              <w:tc>
                <w:tcPr>
                  <w:tcW w:w="415" w:type="pct"/>
                  <w:tcBorders>
                    <w:tl2br w:val="nil"/>
                    <w:tr2bl w:val="nil"/>
                  </w:tcBorders>
                  <w:noWrap w:val="0"/>
                  <w:vAlign w:val="center"/>
                </w:tcPr>
                <w:p w14:paraId="61540B12">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sz w:val="18"/>
                      <w:szCs w:val="18"/>
                      <w:lang w:val="en-US" w:eastAsia="zh-CN"/>
                    </w:rPr>
                    <w:t>80</w:t>
                  </w:r>
                </w:p>
              </w:tc>
              <w:tc>
                <w:tcPr>
                  <w:tcW w:w="368" w:type="pct"/>
                  <w:vMerge w:val="continue"/>
                  <w:tcBorders>
                    <w:tl2br w:val="nil"/>
                    <w:tr2bl w:val="nil"/>
                  </w:tcBorders>
                  <w:noWrap w:val="0"/>
                  <w:vAlign w:val="center"/>
                </w:tcPr>
                <w:p w14:paraId="1D2B6862">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78777893">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12.6</w:t>
                  </w:r>
                </w:p>
              </w:tc>
              <w:tc>
                <w:tcPr>
                  <w:tcW w:w="378" w:type="pct"/>
                  <w:tcBorders>
                    <w:tl2br w:val="nil"/>
                    <w:tr2bl w:val="nil"/>
                  </w:tcBorders>
                  <w:noWrap w:val="0"/>
                  <w:vAlign w:val="center"/>
                </w:tcPr>
                <w:p w14:paraId="1C8832D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-5.3</w:t>
                  </w:r>
                </w:p>
              </w:tc>
              <w:tc>
                <w:tcPr>
                  <w:tcW w:w="279" w:type="pct"/>
                  <w:tcBorders>
                    <w:tl2br w:val="nil"/>
                    <w:tr2bl w:val="nil"/>
                  </w:tcBorders>
                  <w:noWrap w:val="0"/>
                  <w:vAlign w:val="center"/>
                </w:tcPr>
                <w:p w14:paraId="45F3DA7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3E34ED42">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10</w:t>
                  </w:r>
                </w:p>
              </w:tc>
              <w:tc>
                <w:tcPr>
                  <w:tcW w:w="457" w:type="pct"/>
                  <w:tcBorders>
                    <w:tl2br w:val="nil"/>
                    <w:tr2bl w:val="nil"/>
                  </w:tcBorders>
                  <w:noWrap w:val="0"/>
                  <w:vAlign w:val="center"/>
                </w:tcPr>
                <w:p w14:paraId="61933F5A">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65</w:t>
                  </w:r>
                </w:p>
              </w:tc>
              <w:tc>
                <w:tcPr>
                  <w:tcW w:w="247" w:type="pct"/>
                  <w:tcBorders>
                    <w:tl2br w:val="nil"/>
                    <w:tr2bl w:val="nil"/>
                  </w:tcBorders>
                  <w:noWrap w:val="0"/>
                  <w:vAlign w:val="center"/>
                </w:tcPr>
                <w:p w14:paraId="3BC28FE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5ACA2B2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286F44BC">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48</w:t>
                  </w:r>
                </w:p>
              </w:tc>
              <w:tc>
                <w:tcPr>
                  <w:tcW w:w="263" w:type="pct"/>
                  <w:tcBorders>
                    <w:tl2br w:val="nil"/>
                    <w:tr2bl w:val="nil"/>
                  </w:tcBorders>
                  <w:noWrap w:val="0"/>
                  <w:vAlign w:val="center"/>
                </w:tcPr>
                <w:p w14:paraId="0EA3BA7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01FFA3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6858DD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39" w:type="pct"/>
                  <w:vMerge w:val="continue"/>
                  <w:tcBorders>
                    <w:tl2br w:val="nil"/>
                    <w:tr2bl w:val="nil"/>
                  </w:tcBorders>
                  <w:noWrap w:val="0"/>
                  <w:vAlign w:val="center"/>
                </w:tcPr>
                <w:p w14:paraId="1C89C9CD">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231F2A7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sz w:val="18"/>
                      <w:szCs w:val="18"/>
                      <w:lang w:val="en-US" w:eastAsia="zh-CN"/>
                    </w:rPr>
                    <w:t>龙门铣</w:t>
                  </w:r>
                </w:p>
              </w:tc>
              <w:tc>
                <w:tcPr>
                  <w:tcW w:w="415" w:type="pct"/>
                  <w:tcBorders>
                    <w:tl2br w:val="nil"/>
                    <w:tr2bl w:val="nil"/>
                  </w:tcBorders>
                  <w:noWrap w:val="0"/>
                  <w:vAlign w:val="center"/>
                </w:tcPr>
                <w:p w14:paraId="58770E9A">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sz w:val="18"/>
                      <w:szCs w:val="18"/>
                      <w:lang w:val="en-US" w:eastAsia="zh-CN"/>
                    </w:rPr>
                    <w:t>80</w:t>
                  </w:r>
                </w:p>
              </w:tc>
              <w:tc>
                <w:tcPr>
                  <w:tcW w:w="368" w:type="pct"/>
                  <w:vMerge w:val="continue"/>
                  <w:tcBorders>
                    <w:tl2br w:val="nil"/>
                    <w:tr2bl w:val="nil"/>
                  </w:tcBorders>
                  <w:noWrap w:val="0"/>
                  <w:vAlign w:val="center"/>
                </w:tcPr>
                <w:p w14:paraId="43AA4B97">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42D828C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12.5</w:t>
                  </w:r>
                </w:p>
              </w:tc>
              <w:tc>
                <w:tcPr>
                  <w:tcW w:w="378" w:type="pct"/>
                  <w:tcBorders>
                    <w:tl2br w:val="nil"/>
                    <w:tr2bl w:val="nil"/>
                  </w:tcBorders>
                  <w:noWrap w:val="0"/>
                  <w:vAlign w:val="center"/>
                </w:tcPr>
                <w:p w14:paraId="0DF2C657">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-5.2</w:t>
                  </w:r>
                </w:p>
              </w:tc>
              <w:tc>
                <w:tcPr>
                  <w:tcW w:w="279" w:type="pct"/>
                  <w:tcBorders>
                    <w:tl2br w:val="nil"/>
                    <w:tr2bl w:val="nil"/>
                  </w:tcBorders>
                  <w:noWrap w:val="0"/>
                  <w:vAlign w:val="center"/>
                </w:tcPr>
                <w:p w14:paraId="5C7F0BC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18330A28">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10</w:t>
                  </w:r>
                </w:p>
              </w:tc>
              <w:tc>
                <w:tcPr>
                  <w:tcW w:w="457" w:type="pct"/>
                  <w:tcBorders>
                    <w:tl2br w:val="nil"/>
                    <w:tr2bl w:val="nil"/>
                  </w:tcBorders>
                  <w:noWrap w:val="0"/>
                  <w:vAlign w:val="center"/>
                </w:tcPr>
                <w:p w14:paraId="062CDED7">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65</w:t>
                  </w:r>
                </w:p>
              </w:tc>
              <w:tc>
                <w:tcPr>
                  <w:tcW w:w="247" w:type="pct"/>
                  <w:tcBorders>
                    <w:tl2br w:val="nil"/>
                    <w:tr2bl w:val="nil"/>
                  </w:tcBorders>
                  <w:noWrap w:val="0"/>
                  <w:vAlign w:val="center"/>
                </w:tcPr>
                <w:p w14:paraId="5CC2739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42C39F2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5663DD07">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48</w:t>
                  </w:r>
                </w:p>
              </w:tc>
              <w:tc>
                <w:tcPr>
                  <w:tcW w:w="263" w:type="pct"/>
                  <w:tcBorders>
                    <w:tl2br w:val="nil"/>
                    <w:tr2bl w:val="nil"/>
                  </w:tcBorders>
                  <w:noWrap w:val="0"/>
                  <w:vAlign w:val="center"/>
                </w:tcPr>
                <w:p w14:paraId="67EB668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654D67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5DE2B14">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43</w:t>
                  </w:r>
                </w:p>
              </w:tc>
              <w:tc>
                <w:tcPr>
                  <w:tcW w:w="239" w:type="pct"/>
                  <w:vMerge w:val="continue"/>
                  <w:tcBorders>
                    <w:tl2br w:val="nil"/>
                    <w:tr2bl w:val="nil"/>
                  </w:tcBorders>
                  <w:noWrap w:val="0"/>
                  <w:vAlign w:val="center"/>
                </w:tcPr>
                <w:p w14:paraId="17D7A9C1">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0E4CE11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立车</w:t>
                  </w:r>
                </w:p>
              </w:tc>
              <w:tc>
                <w:tcPr>
                  <w:tcW w:w="415" w:type="pct"/>
                  <w:tcBorders>
                    <w:tl2br w:val="nil"/>
                    <w:tr2bl w:val="nil"/>
                  </w:tcBorders>
                  <w:noWrap w:val="0"/>
                  <w:vAlign w:val="center"/>
                </w:tcPr>
                <w:p w14:paraId="653F4F6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75</w:t>
                  </w:r>
                </w:p>
              </w:tc>
              <w:tc>
                <w:tcPr>
                  <w:tcW w:w="368" w:type="pct"/>
                  <w:vMerge w:val="continue"/>
                  <w:tcBorders>
                    <w:tl2br w:val="nil"/>
                    <w:tr2bl w:val="nil"/>
                  </w:tcBorders>
                  <w:noWrap w:val="0"/>
                  <w:vAlign w:val="center"/>
                </w:tcPr>
                <w:p w14:paraId="0E540A36">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609A2466">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8.9</w:t>
                  </w:r>
                </w:p>
              </w:tc>
              <w:tc>
                <w:tcPr>
                  <w:tcW w:w="378" w:type="pct"/>
                  <w:tcBorders>
                    <w:tl2br w:val="nil"/>
                    <w:tr2bl w:val="nil"/>
                  </w:tcBorders>
                  <w:noWrap w:val="0"/>
                  <w:vAlign w:val="center"/>
                </w:tcPr>
                <w:p w14:paraId="2FBE5606">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-4.5</w:t>
                  </w:r>
                </w:p>
              </w:tc>
              <w:tc>
                <w:tcPr>
                  <w:tcW w:w="279" w:type="pct"/>
                  <w:tcBorders>
                    <w:tl2br w:val="nil"/>
                    <w:tr2bl w:val="nil"/>
                  </w:tcBorders>
                  <w:noWrap w:val="0"/>
                  <w:vAlign w:val="center"/>
                </w:tcPr>
                <w:p w14:paraId="65CBC909">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06DCA327">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w:t>
                  </w:r>
                </w:p>
              </w:tc>
              <w:tc>
                <w:tcPr>
                  <w:tcW w:w="457" w:type="pct"/>
                  <w:tcBorders>
                    <w:tl2br w:val="nil"/>
                    <w:tr2bl w:val="nil"/>
                  </w:tcBorders>
                  <w:noWrap w:val="0"/>
                  <w:vAlign w:val="center"/>
                </w:tcPr>
                <w:p w14:paraId="18012B87">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70A8F90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4920585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6B23A6FC">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63" w:type="pct"/>
                  <w:tcBorders>
                    <w:tl2br w:val="nil"/>
                    <w:tr2bl w:val="nil"/>
                  </w:tcBorders>
                  <w:noWrap w:val="0"/>
                  <w:vAlign w:val="center"/>
                </w:tcPr>
                <w:p w14:paraId="403F6A2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287109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524B5529">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44</w:t>
                  </w:r>
                </w:p>
              </w:tc>
              <w:tc>
                <w:tcPr>
                  <w:tcW w:w="239" w:type="pct"/>
                  <w:vMerge w:val="continue"/>
                  <w:tcBorders>
                    <w:tl2br w:val="nil"/>
                    <w:tr2bl w:val="nil"/>
                  </w:tcBorders>
                  <w:noWrap w:val="0"/>
                  <w:vAlign w:val="center"/>
                </w:tcPr>
                <w:p w14:paraId="7C2A4458">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6E735B6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立车</w:t>
                  </w:r>
                </w:p>
              </w:tc>
              <w:tc>
                <w:tcPr>
                  <w:tcW w:w="415" w:type="pct"/>
                  <w:tcBorders>
                    <w:tl2br w:val="nil"/>
                    <w:tr2bl w:val="nil"/>
                  </w:tcBorders>
                  <w:noWrap w:val="0"/>
                  <w:vAlign w:val="center"/>
                </w:tcPr>
                <w:p w14:paraId="6B7F4F06">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75</w:t>
                  </w:r>
                </w:p>
              </w:tc>
              <w:tc>
                <w:tcPr>
                  <w:tcW w:w="368" w:type="pct"/>
                  <w:vMerge w:val="continue"/>
                  <w:tcBorders>
                    <w:tl2br w:val="nil"/>
                    <w:tr2bl w:val="nil"/>
                  </w:tcBorders>
                  <w:noWrap w:val="0"/>
                  <w:vAlign w:val="center"/>
                </w:tcPr>
                <w:p w14:paraId="69CEA790">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4472A7D2">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8.8</w:t>
                  </w:r>
                </w:p>
              </w:tc>
              <w:tc>
                <w:tcPr>
                  <w:tcW w:w="378" w:type="pct"/>
                  <w:tcBorders>
                    <w:tl2br w:val="nil"/>
                    <w:tr2bl w:val="nil"/>
                  </w:tcBorders>
                  <w:noWrap w:val="0"/>
                  <w:vAlign w:val="center"/>
                </w:tcPr>
                <w:p w14:paraId="70008059">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79" w:type="pct"/>
                  <w:tcBorders>
                    <w:tl2br w:val="nil"/>
                    <w:tr2bl w:val="nil"/>
                  </w:tcBorders>
                  <w:noWrap w:val="0"/>
                  <w:vAlign w:val="center"/>
                </w:tcPr>
                <w:p w14:paraId="7F082D8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21C60C94">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w:t>
                  </w:r>
                </w:p>
              </w:tc>
              <w:tc>
                <w:tcPr>
                  <w:tcW w:w="457" w:type="pct"/>
                  <w:tcBorders>
                    <w:tl2br w:val="nil"/>
                    <w:tr2bl w:val="nil"/>
                  </w:tcBorders>
                  <w:noWrap w:val="0"/>
                  <w:vAlign w:val="center"/>
                </w:tcPr>
                <w:p w14:paraId="366A52A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63BF372C">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54E7C0A6">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5E1DC24">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63" w:type="pct"/>
                  <w:tcBorders>
                    <w:tl2br w:val="nil"/>
                    <w:tr2bl w:val="nil"/>
                  </w:tcBorders>
                  <w:noWrap w:val="0"/>
                  <w:vAlign w:val="center"/>
                </w:tcPr>
                <w:p w14:paraId="146D9053">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7EDA05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09E40A28">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45</w:t>
                  </w:r>
                </w:p>
              </w:tc>
              <w:tc>
                <w:tcPr>
                  <w:tcW w:w="239" w:type="pct"/>
                  <w:vMerge w:val="continue"/>
                  <w:tcBorders>
                    <w:tl2br w:val="nil"/>
                    <w:tr2bl w:val="nil"/>
                  </w:tcBorders>
                  <w:noWrap w:val="0"/>
                  <w:vAlign w:val="center"/>
                </w:tcPr>
                <w:p w14:paraId="1D64CDCD">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4C82C3C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立车</w:t>
                  </w:r>
                </w:p>
              </w:tc>
              <w:tc>
                <w:tcPr>
                  <w:tcW w:w="415" w:type="pct"/>
                  <w:tcBorders>
                    <w:tl2br w:val="nil"/>
                    <w:tr2bl w:val="nil"/>
                  </w:tcBorders>
                  <w:noWrap w:val="0"/>
                  <w:vAlign w:val="center"/>
                </w:tcPr>
                <w:p w14:paraId="21FC275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75</w:t>
                  </w:r>
                </w:p>
              </w:tc>
              <w:tc>
                <w:tcPr>
                  <w:tcW w:w="368" w:type="pct"/>
                  <w:vMerge w:val="continue"/>
                  <w:tcBorders>
                    <w:tl2br w:val="nil"/>
                    <w:tr2bl w:val="nil"/>
                  </w:tcBorders>
                  <w:noWrap w:val="0"/>
                  <w:vAlign w:val="center"/>
                </w:tcPr>
                <w:p w14:paraId="40AB9461">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3159F645">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8.8</w:t>
                  </w:r>
                </w:p>
              </w:tc>
              <w:tc>
                <w:tcPr>
                  <w:tcW w:w="378" w:type="pct"/>
                  <w:tcBorders>
                    <w:tl2br w:val="nil"/>
                    <w:tr2bl w:val="nil"/>
                  </w:tcBorders>
                  <w:noWrap w:val="0"/>
                  <w:vAlign w:val="center"/>
                </w:tcPr>
                <w:p w14:paraId="70CEC9E4">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-4.6</w:t>
                  </w:r>
                </w:p>
              </w:tc>
              <w:tc>
                <w:tcPr>
                  <w:tcW w:w="279" w:type="pct"/>
                  <w:tcBorders>
                    <w:tl2br w:val="nil"/>
                    <w:tr2bl w:val="nil"/>
                  </w:tcBorders>
                  <w:noWrap w:val="0"/>
                  <w:vAlign w:val="center"/>
                </w:tcPr>
                <w:p w14:paraId="32FFC26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1B0C0580">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w:t>
                  </w:r>
                </w:p>
              </w:tc>
              <w:tc>
                <w:tcPr>
                  <w:tcW w:w="457" w:type="pct"/>
                  <w:tcBorders>
                    <w:tl2br w:val="nil"/>
                    <w:tr2bl w:val="nil"/>
                  </w:tcBorders>
                  <w:noWrap w:val="0"/>
                  <w:vAlign w:val="center"/>
                </w:tcPr>
                <w:p w14:paraId="04870B75">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4B19B67D">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65967A2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28C96C68">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63" w:type="pct"/>
                  <w:tcBorders>
                    <w:tl2br w:val="nil"/>
                    <w:tr2bl w:val="nil"/>
                  </w:tcBorders>
                  <w:noWrap w:val="0"/>
                  <w:vAlign w:val="center"/>
                </w:tcPr>
                <w:p w14:paraId="34E4362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14F10A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50683756">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46</w:t>
                  </w:r>
                </w:p>
              </w:tc>
              <w:tc>
                <w:tcPr>
                  <w:tcW w:w="239" w:type="pct"/>
                  <w:vMerge w:val="continue"/>
                  <w:tcBorders>
                    <w:tl2br w:val="nil"/>
                    <w:tr2bl w:val="nil"/>
                  </w:tcBorders>
                  <w:noWrap w:val="0"/>
                  <w:vAlign w:val="center"/>
                </w:tcPr>
                <w:p w14:paraId="4C41F965">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23B454C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立车</w:t>
                  </w:r>
                </w:p>
              </w:tc>
              <w:tc>
                <w:tcPr>
                  <w:tcW w:w="415" w:type="pct"/>
                  <w:tcBorders>
                    <w:tl2br w:val="nil"/>
                    <w:tr2bl w:val="nil"/>
                  </w:tcBorders>
                  <w:noWrap w:val="0"/>
                  <w:vAlign w:val="center"/>
                </w:tcPr>
                <w:p w14:paraId="20B109D8">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75</w:t>
                  </w:r>
                </w:p>
              </w:tc>
              <w:tc>
                <w:tcPr>
                  <w:tcW w:w="368" w:type="pct"/>
                  <w:vMerge w:val="continue"/>
                  <w:tcBorders>
                    <w:tl2br w:val="nil"/>
                    <w:tr2bl w:val="nil"/>
                  </w:tcBorders>
                  <w:noWrap w:val="0"/>
                  <w:vAlign w:val="center"/>
                </w:tcPr>
                <w:p w14:paraId="5F862D43">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7ABFC680">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8.8</w:t>
                  </w:r>
                </w:p>
              </w:tc>
              <w:tc>
                <w:tcPr>
                  <w:tcW w:w="378" w:type="pct"/>
                  <w:tcBorders>
                    <w:tl2br w:val="nil"/>
                    <w:tr2bl w:val="nil"/>
                  </w:tcBorders>
                  <w:noWrap w:val="0"/>
                  <w:vAlign w:val="center"/>
                </w:tcPr>
                <w:p w14:paraId="5082BC21">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-4.3</w:t>
                  </w:r>
                </w:p>
              </w:tc>
              <w:tc>
                <w:tcPr>
                  <w:tcW w:w="279" w:type="pct"/>
                  <w:tcBorders>
                    <w:tl2br w:val="nil"/>
                    <w:tr2bl w:val="nil"/>
                  </w:tcBorders>
                  <w:noWrap w:val="0"/>
                  <w:vAlign w:val="center"/>
                </w:tcPr>
                <w:p w14:paraId="59FD5E3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4B8869C5">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w:t>
                  </w:r>
                </w:p>
              </w:tc>
              <w:tc>
                <w:tcPr>
                  <w:tcW w:w="457" w:type="pct"/>
                  <w:tcBorders>
                    <w:tl2br w:val="nil"/>
                    <w:tr2bl w:val="nil"/>
                  </w:tcBorders>
                  <w:noWrap w:val="0"/>
                  <w:vAlign w:val="center"/>
                </w:tcPr>
                <w:p w14:paraId="7B3705D5">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01C25209">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6242DD6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1604D399">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63" w:type="pct"/>
                  <w:tcBorders>
                    <w:tl2br w:val="nil"/>
                    <w:tr2bl w:val="nil"/>
                  </w:tcBorders>
                  <w:noWrap w:val="0"/>
                  <w:vAlign w:val="center"/>
                </w:tcPr>
                <w:p w14:paraId="18E790EF">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5B82CC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6238DA38">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47</w:t>
                  </w:r>
                </w:p>
              </w:tc>
              <w:tc>
                <w:tcPr>
                  <w:tcW w:w="239" w:type="pct"/>
                  <w:vMerge w:val="continue"/>
                  <w:tcBorders>
                    <w:tl2br w:val="nil"/>
                    <w:tr2bl w:val="nil"/>
                  </w:tcBorders>
                  <w:noWrap w:val="0"/>
                  <w:vAlign w:val="center"/>
                </w:tcPr>
                <w:p w14:paraId="1EAF4204">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3FDA386D">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立车</w:t>
                  </w:r>
                </w:p>
              </w:tc>
              <w:tc>
                <w:tcPr>
                  <w:tcW w:w="415" w:type="pct"/>
                  <w:tcBorders>
                    <w:tl2br w:val="nil"/>
                    <w:tr2bl w:val="nil"/>
                  </w:tcBorders>
                  <w:noWrap w:val="0"/>
                  <w:vAlign w:val="center"/>
                </w:tcPr>
                <w:p w14:paraId="516FD8B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75</w:t>
                  </w:r>
                </w:p>
              </w:tc>
              <w:tc>
                <w:tcPr>
                  <w:tcW w:w="368" w:type="pct"/>
                  <w:vMerge w:val="continue"/>
                  <w:tcBorders>
                    <w:tl2br w:val="nil"/>
                    <w:tr2bl w:val="nil"/>
                  </w:tcBorders>
                  <w:noWrap w:val="0"/>
                  <w:vAlign w:val="center"/>
                </w:tcPr>
                <w:p w14:paraId="32FF3F59">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1F358F08">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8.8</w:t>
                  </w:r>
                </w:p>
              </w:tc>
              <w:tc>
                <w:tcPr>
                  <w:tcW w:w="378" w:type="pct"/>
                  <w:tcBorders>
                    <w:tl2br w:val="nil"/>
                    <w:tr2bl w:val="nil"/>
                  </w:tcBorders>
                  <w:noWrap w:val="0"/>
                  <w:vAlign w:val="center"/>
                </w:tcPr>
                <w:p w14:paraId="561FCBC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-4.4</w:t>
                  </w:r>
                </w:p>
              </w:tc>
              <w:tc>
                <w:tcPr>
                  <w:tcW w:w="279" w:type="pct"/>
                  <w:tcBorders>
                    <w:tl2br w:val="nil"/>
                    <w:tr2bl w:val="nil"/>
                  </w:tcBorders>
                  <w:noWrap w:val="0"/>
                  <w:vAlign w:val="center"/>
                </w:tcPr>
                <w:p w14:paraId="7DD3E002">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4D4BC7B8">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w:t>
                  </w:r>
                </w:p>
              </w:tc>
              <w:tc>
                <w:tcPr>
                  <w:tcW w:w="457" w:type="pct"/>
                  <w:tcBorders>
                    <w:tl2br w:val="nil"/>
                    <w:tr2bl w:val="nil"/>
                  </w:tcBorders>
                  <w:noWrap w:val="0"/>
                  <w:vAlign w:val="center"/>
                </w:tcPr>
                <w:p w14:paraId="597BAFB3">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546F7331">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77451E7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47EB8421">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63" w:type="pct"/>
                  <w:tcBorders>
                    <w:tl2br w:val="nil"/>
                    <w:tr2bl w:val="nil"/>
                  </w:tcBorders>
                  <w:noWrap w:val="0"/>
                  <w:vAlign w:val="center"/>
                </w:tcPr>
                <w:p w14:paraId="48D82D4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011EA5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3F65609D">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48</w:t>
                  </w:r>
                </w:p>
              </w:tc>
              <w:tc>
                <w:tcPr>
                  <w:tcW w:w="239" w:type="pct"/>
                  <w:vMerge w:val="continue"/>
                  <w:tcBorders>
                    <w:tl2br w:val="nil"/>
                    <w:tr2bl w:val="nil"/>
                  </w:tcBorders>
                  <w:noWrap w:val="0"/>
                  <w:vAlign w:val="center"/>
                </w:tcPr>
                <w:p w14:paraId="18E843E3">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7DFB80C0">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立车</w:t>
                  </w:r>
                </w:p>
              </w:tc>
              <w:tc>
                <w:tcPr>
                  <w:tcW w:w="415" w:type="pct"/>
                  <w:tcBorders>
                    <w:tl2br w:val="nil"/>
                    <w:tr2bl w:val="nil"/>
                  </w:tcBorders>
                  <w:noWrap w:val="0"/>
                  <w:vAlign w:val="center"/>
                </w:tcPr>
                <w:p w14:paraId="659FE3D1">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75</w:t>
                  </w:r>
                </w:p>
              </w:tc>
              <w:tc>
                <w:tcPr>
                  <w:tcW w:w="368" w:type="pct"/>
                  <w:vMerge w:val="continue"/>
                  <w:tcBorders>
                    <w:tl2br w:val="nil"/>
                    <w:tr2bl w:val="nil"/>
                  </w:tcBorders>
                  <w:noWrap w:val="0"/>
                  <w:vAlign w:val="center"/>
                </w:tcPr>
                <w:p w14:paraId="729C6591">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487D24D9">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8.8</w:t>
                  </w:r>
                </w:p>
              </w:tc>
              <w:tc>
                <w:tcPr>
                  <w:tcW w:w="378" w:type="pct"/>
                  <w:tcBorders>
                    <w:tl2br w:val="nil"/>
                    <w:tr2bl w:val="nil"/>
                  </w:tcBorders>
                  <w:noWrap w:val="0"/>
                  <w:vAlign w:val="center"/>
                </w:tcPr>
                <w:p w14:paraId="13AEDBC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79" w:type="pct"/>
                  <w:tcBorders>
                    <w:tl2br w:val="nil"/>
                    <w:tr2bl w:val="nil"/>
                  </w:tcBorders>
                  <w:noWrap w:val="0"/>
                  <w:vAlign w:val="center"/>
                </w:tcPr>
                <w:p w14:paraId="37D366A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6C2FF1CE">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w:t>
                  </w:r>
                </w:p>
              </w:tc>
              <w:tc>
                <w:tcPr>
                  <w:tcW w:w="457" w:type="pct"/>
                  <w:tcBorders>
                    <w:tl2br w:val="nil"/>
                    <w:tr2bl w:val="nil"/>
                  </w:tcBorders>
                  <w:noWrap w:val="0"/>
                  <w:vAlign w:val="center"/>
                </w:tcPr>
                <w:p w14:paraId="40D9DACA">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130E7435">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0522B4AE">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376D428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63" w:type="pct"/>
                  <w:tcBorders>
                    <w:tl2br w:val="nil"/>
                    <w:tr2bl w:val="nil"/>
                  </w:tcBorders>
                  <w:noWrap w:val="0"/>
                  <w:vAlign w:val="center"/>
                </w:tcPr>
                <w:p w14:paraId="24FE1F2A">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7C3C5D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445319A0">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49</w:t>
                  </w:r>
                </w:p>
              </w:tc>
              <w:tc>
                <w:tcPr>
                  <w:tcW w:w="239" w:type="pct"/>
                  <w:vMerge w:val="continue"/>
                  <w:tcBorders>
                    <w:tl2br w:val="nil"/>
                    <w:tr2bl w:val="nil"/>
                  </w:tcBorders>
                  <w:noWrap w:val="0"/>
                  <w:vAlign w:val="center"/>
                </w:tcPr>
                <w:p w14:paraId="7ABE7727">
                  <w:pPr>
                    <w:adjustRightInd w:val="0"/>
                    <w:snapToGrid w:val="0"/>
                    <w:jc w:val="center"/>
                    <w:rPr>
                      <w:rFonts w:hint="default" w:ascii="Times New Roman" w:hAnsi="Times New Roman" w:cs="Times New Roman"/>
                      <w:color w:val="auto"/>
                      <w:kern w:val="0"/>
                      <w:sz w:val="18"/>
                      <w:szCs w:val="18"/>
                      <w:lang w:val="en-US" w:eastAsia="zh-CN"/>
                    </w:rPr>
                  </w:pPr>
                </w:p>
              </w:tc>
              <w:tc>
                <w:tcPr>
                  <w:tcW w:w="494" w:type="pct"/>
                  <w:tcBorders>
                    <w:tl2br w:val="nil"/>
                    <w:tr2bl w:val="nil"/>
                  </w:tcBorders>
                  <w:noWrap w:val="0"/>
                  <w:vAlign w:val="center"/>
                </w:tcPr>
                <w:p w14:paraId="6A0D8BA4">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立车</w:t>
                  </w:r>
                </w:p>
              </w:tc>
              <w:tc>
                <w:tcPr>
                  <w:tcW w:w="415" w:type="pct"/>
                  <w:tcBorders>
                    <w:tl2br w:val="nil"/>
                    <w:tr2bl w:val="nil"/>
                  </w:tcBorders>
                  <w:noWrap w:val="0"/>
                  <w:vAlign w:val="center"/>
                </w:tcPr>
                <w:p w14:paraId="434E55C7">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75</w:t>
                  </w:r>
                </w:p>
              </w:tc>
              <w:tc>
                <w:tcPr>
                  <w:tcW w:w="368" w:type="pct"/>
                  <w:vMerge w:val="continue"/>
                  <w:tcBorders>
                    <w:tl2br w:val="nil"/>
                    <w:tr2bl w:val="nil"/>
                  </w:tcBorders>
                  <w:noWrap w:val="0"/>
                  <w:vAlign w:val="center"/>
                </w:tcPr>
                <w:p w14:paraId="3239DE01">
                  <w:pPr>
                    <w:adjustRightInd w:val="0"/>
                    <w:snapToGrid w:val="0"/>
                    <w:jc w:val="center"/>
                    <w:rPr>
                      <w:rFonts w:hint="default" w:ascii="Times New Roman" w:hAnsi="Times New Roman" w:cs="Times New Roman"/>
                      <w:color w:val="auto"/>
                      <w:kern w:val="0"/>
                      <w:sz w:val="18"/>
                      <w:szCs w:val="18"/>
                      <w:lang w:val="en-US" w:eastAsia="zh-CN"/>
                    </w:rPr>
                  </w:pPr>
                </w:p>
              </w:tc>
              <w:tc>
                <w:tcPr>
                  <w:tcW w:w="378" w:type="pct"/>
                  <w:tcBorders>
                    <w:tl2br w:val="nil"/>
                    <w:tr2bl w:val="nil"/>
                  </w:tcBorders>
                  <w:noWrap w:val="0"/>
                  <w:vAlign w:val="center"/>
                </w:tcPr>
                <w:p w14:paraId="7467EFA7">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8.8</w:t>
                  </w:r>
                </w:p>
              </w:tc>
              <w:tc>
                <w:tcPr>
                  <w:tcW w:w="378" w:type="pct"/>
                  <w:tcBorders>
                    <w:tl2br w:val="nil"/>
                    <w:tr2bl w:val="nil"/>
                  </w:tcBorders>
                  <w:noWrap w:val="0"/>
                  <w:vAlign w:val="center"/>
                </w:tcPr>
                <w:p w14:paraId="2F24887F">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-4.5</w:t>
                  </w:r>
                </w:p>
              </w:tc>
              <w:tc>
                <w:tcPr>
                  <w:tcW w:w="279" w:type="pct"/>
                  <w:tcBorders>
                    <w:tl2br w:val="nil"/>
                    <w:tr2bl w:val="nil"/>
                  </w:tcBorders>
                  <w:noWrap w:val="0"/>
                  <w:vAlign w:val="center"/>
                </w:tcPr>
                <w:p w14:paraId="30C8EE38">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2CBF051A">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w:t>
                  </w:r>
                </w:p>
              </w:tc>
              <w:tc>
                <w:tcPr>
                  <w:tcW w:w="457" w:type="pct"/>
                  <w:tcBorders>
                    <w:tl2br w:val="nil"/>
                    <w:tr2bl w:val="nil"/>
                  </w:tcBorders>
                  <w:noWrap w:val="0"/>
                  <w:vAlign w:val="center"/>
                </w:tcPr>
                <w:p w14:paraId="567A57B6">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58</w:t>
                  </w:r>
                </w:p>
              </w:tc>
              <w:tc>
                <w:tcPr>
                  <w:tcW w:w="247" w:type="pct"/>
                  <w:tcBorders>
                    <w:tl2br w:val="nil"/>
                    <w:tr2bl w:val="nil"/>
                  </w:tcBorders>
                  <w:noWrap w:val="0"/>
                  <w:vAlign w:val="center"/>
                </w:tcPr>
                <w:p w14:paraId="6C749B30">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5CF696FB">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046A1913">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42</w:t>
                  </w:r>
                </w:p>
              </w:tc>
              <w:tc>
                <w:tcPr>
                  <w:tcW w:w="263" w:type="pct"/>
                  <w:tcBorders>
                    <w:tl2br w:val="nil"/>
                    <w:tr2bl w:val="nil"/>
                  </w:tcBorders>
                  <w:noWrap w:val="0"/>
                  <w:vAlign w:val="center"/>
                </w:tcPr>
                <w:p w14:paraId="585E84CC">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r>
            <w:tr w14:paraId="7C278F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1" w:type="pct"/>
                  <w:tcBorders>
                    <w:tl2br w:val="nil"/>
                    <w:tr2bl w:val="nil"/>
                  </w:tcBorders>
                  <w:noWrap w:val="0"/>
                  <w:vAlign w:val="center"/>
                </w:tcPr>
                <w:p w14:paraId="797423A3">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50</w:t>
                  </w:r>
                </w:p>
              </w:tc>
              <w:tc>
                <w:tcPr>
                  <w:tcW w:w="239" w:type="pct"/>
                  <w:vMerge w:val="continue"/>
                  <w:tcBorders>
                    <w:tl2br w:val="nil"/>
                    <w:tr2bl w:val="nil"/>
                  </w:tcBorders>
                  <w:noWrap w:val="0"/>
                  <w:vAlign w:val="center"/>
                </w:tcPr>
                <w:p w14:paraId="18759974">
                  <w:pPr>
                    <w:adjustRightInd w:val="0"/>
                    <w:snapToGrid w:val="0"/>
                    <w:jc w:val="center"/>
                    <w:rPr>
                      <w:rFonts w:hint="default" w:ascii="Times New Roman" w:hAnsi="Times New Roman" w:eastAsia="宋体" w:cs="Times New Roman"/>
                      <w:color w:val="auto"/>
                      <w:kern w:val="0"/>
                      <w:sz w:val="18"/>
                      <w:szCs w:val="18"/>
                    </w:rPr>
                  </w:pPr>
                </w:p>
              </w:tc>
              <w:tc>
                <w:tcPr>
                  <w:tcW w:w="494" w:type="pct"/>
                  <w:tcBorders>
                    <w:tl2br w:val="nil"/>
                    <w:tr2bl w:val="nil"/>
                  </w:tcBorders>
                  <w:noWrap w:val="0"/>
                  <w:vAlign w:val="center"/>
                </w:tcPr>
                <w:p w14:paraId="0691FCF1">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超声波探伤仪</w:t>
                  </w:r>
                </w:p>
              </w:tc>
              <w:tc>
                <w:tcPr>
                  <w:tcW w:w="415" w:type="pct"/>
                  <w:tcBorders>
                    <w:tl2br w:val="nil"/>
                    <w:tr2bl w:val="nil"/>
                  </w:tcBorders>
                  <w:noWrap w:val="0"/>
                  <w:vAlign w:val="center"/>
                </w:tcPr>
                <w:p w14:paraId="4FE8D0AE">
                  <w:pPr>
                    <w:widowControl/>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75</w:t>
                  </w:r>
                </w:p>
              </w:tc>
              <w:tc>
                <w:tcPr>
                  <w:tcW w:w="368" w:type="pct"/>
                  <w:vMerge w:val="continue"/>
                  <w:tcBorders>
                    <w:tl2br w:val="nil"/>
                    <w:tr2bl w:val="nil"/>
                  </w:tcBorders>
                  <w:noWrap w:val="0"/>
                  <w:vAlign w:val="center"/>
                </w:tcPr>
                <w:p w14:paraId="75BD5444">
                  <w:pPr>
                    <w:adjustRightInd w:val="0"/>
                    <w:snapToGrid w:val="0"/>
                    <w:jc w:val="center"/>
                    <w:rPr>
                      <w:rFonts w:hint="default" w:ascii="Times New Roman" w:hAnsi="Times New Roman" w:eastAsia="宋体" w:cs="Times New Roman"/>
                      <w:color w:val="auto"/>
                      <w:kern w:val="0"/>
                      <w:sz w:val="18"/>
                      <w:szCs w:val="18"/>
                    </w:rPr>
                  </w:pPr>
                </w:p>
              </w:tc>
              <w:tc>
                <w:tcPr>
                  <w:tcW w:w="378" w:type="pct"/>
                  <w:tcBorders>
                    <w:tl2br w:val="nil"/>
                    <w:tr2bl w:val="nil"/>
                  </w:tcBorders>
                  <w:noWrap w:val="0"/>
                  <w:vAlign w:val="center"/>
                </w:tcPr>
                <w:p w14:paraId="6585D9CC">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5.1</w:t>
                  </w:r>
                </w:p>
              </w:tc>
              <w:tc>
                <w:tcPr>
                  <w:tcW w:w="378" w:type="pct"/>
                  <w:tcBorders>
                    <w:tl2br w:val="nil"/>
                    <w:tr2bl w:val="nil"/>
                  </w:tcBorders>
                  <w:noWrap w:val="0"/>
                  <w:vAlign w:val="center"/>
                </w:tcPr>
                <w:p w14:paraId="1362E977">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-5.2</w:t>
                  </w:r>
                </w:p>
              </w:tc>
              <w:tc>
                <w:tcPr>
                  <w:tcW w:w="279" w:type="pct"/>
                  <w:tcBorders>
                    <w:tl2br w:val="nil"/>
                    <w:tr2bl w:val="nil"/>
                  </w:tcBorders>
                  <w:noWrap w:val="0"/>
                  <w:vAlign w:val="center"/>
                </w:tcPr>
                <w:p w14:paraId="2D99F917">
                  <w:pPr>
                    <w:adjustRightInd w:val="0"/>
                    <w:snapToGrid w:val="0"/>
                    <w:jc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w:t>
                  </w:r>
                </w:p>
              </w:tc>
              <w:tc>
                <w:tcPr>
                  <w:tcW w:w="260" w:type="pct"/>
                  <w:tcBorders>
                    <w:tl2br w:val="nil"/>
                    <w:tr2bl w:val="nil"/>
                  </w:tcBorders>
                  <w:noWrap w:val="0"/>
                  <w:vAlign w:val="center"/>
                </w:tcPr>
                <w:p w14:paraId="45878C9A">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16</w:t>
                  </w:r>
                </w:p>
              </w:tc>
              <w:tc>
                <w:tcPr>
                  <w:tcW w:w="457" w:type="pct"/>
                  <w:tcBorders>
                    <w:tl2br w:val="nil"/>
                    <w:tr2bl w:val="nil"/>
                  </w:tcBorders>
                  <w:noWrap w:val="0"/>
                  <w:vAlign w:val="center"/>
                </w:tcPr>
                <w:p w14:paraId="16DED411">
                  <w:pPr>
                    <w:widowControl/>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55</w:t>
                  </w:r>
                </w:p>
              </w:tc>
              <w:tc>
                <w:tcPr>
                  <w:tcW w:w="247" w:type="pct"/>
                  <w:tcBorders>
                    <w:tl2br w:val="nil"/>
                    <w:tr2bl w:val="nil"/>
                  </w:tcBorders>
                  <w:noWrap w:val="0"/>
                  <w:vAlign w:val="center"/>
                </w:tcPr>
                <w:p w14:paraId="6670FEE3">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昼间</w:t>
                  </w:r>
                </w:p>
              </w:tc>
              <w:tc>
                <w:tcPr>
                  <w:tcW w:w="457" w:type="pct"/>
                  <w:tcBorders>
                    <w:tl2br w:val="nil"/>
                    <w:tr2bl w:val="nil"/>
                  </w:tcBorders>
                  <w:noWrap w:val="0"/>
                  <w:vAlign w:val="center"/>
                </w:tcPr>
                <w:p w14:paraId="57AC179D">
                  <w:pPr>
                    <w:adjustRightInd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20</w:t>
                  </w:r>
                </w:p>
              </w:tc>
              <w:tc>
                <w:tcPr>
                  <w:tcW w:w="458" w:type="pct"/>
                  <w:tcBorders>
                    <w:tl2br w:val="nil"/>
                    <w:tr2bl w:val="nil"/>
                  </w:tcBorders>
                  <w:noWrap w:val="0"/>
                  <w:vAlign w:val="center"/>
                </w:tcPr>
                <w:p w14:paraId="653D396A">
                  <w:pPr>
                    <w:adjustRightInd w:val="0"/>
                    <w:snapToGrid w:val="0"/>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41</w:t>
                  </w:r>
                </w:p>
              </w:tc>
              <w:tc>
                <w:tcPr>
                  <w:tcW w:w="263" w:type="pct"/>
                  <w:tcBorders>
                    <w:tl2br w:val="nil"/>
                    <w:tr2bl w:val="nil"/>
                  </w:tcBorders>
                  <w:noWrap w:val="0"/>
                  <w:vAlign w:val="center"/>
                </w:tcPr>
                <w:p w14:paraId="108380E9">
                  <w:pPr>
                    <w:adjustRightInd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r>
          </w:tbl>
          <w:p w14:paraId="698B57B2">
            <w:pPr>
              <w:spacing w:before="120" w:beforeLines="50" w:line="360" w:lineRule="exact"/>
              <w:jc w:val="center"/>
              <w:outlineLvl w:val="0"/>
              <w:rPr>
                <w:rFonts w:hint="default" w:ascii="Times New Roman" w:hAnsi="Times New Roman" w:cs="Times New Roman"/>
                <w:b/>
                <w:bCs/>
                <w:color w:val="auto"/>
                <w:sz w:val="24"/>
              </w:rPr>
            </w:pPr>
            <w:r>
              <w:rPr>
                <w:rFonts w:hint="default" w:ascii="Times New Roman" w:hAnsi="Times New Roman" w:eastAsia="宋体" w:cs="Times New Roman"/>
                <w:b/>
                <w:bCs/>
                <w:color w:val="auto"/>
                <w:sz w:val="21"/>
                <w:szCs w:val="21"/>
              </w:rPr>
              <w:t>表4-1</w:t>
            </w:r>
            <w:r>
              <w:rPr>
                <w:rFonts w:hint="eastAsia" w:ascii="Times New Roman" w:hAnsi="Times New Roman" w:cs="Times New Roman"/>
                <w:b/>
                <w:bCs/>
                <w:color w:val="auto"/>
                <w:sz w:val="21"/>
                <w:szCs w:val="21"/>
                <w:lang w:val="en-US" w:eastAsia="zh-CN"/>
              </w:rPr>
              <w:t>4</w:t>
            </w:r>
            <w:r>
              <w:rPr>
                <w:rFonts w:hint="default" w:ascii="Times New Roman" w:hAnsi="Times New Roman" w:eastAsia="宋体" w:cs="Times New Roman"/>
                <w:b/>
                <w:bCs/>
                <w:color w:val="auto"/>
                <w:sz w:val="21"/>
                <w:szCs w:val="21"/>
              </w:rPr>
              <w:t xml:space="preserve">  工业企业噪声源强调查清单（室外）</w:t>
            </w:r>
          </w:p>
          <w:tbl>
            <w:tblPr>
              <w:tblStyle w:val="41"/>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052"/>
              <w:gridCol w:w="829"/>
              <w:gridCol w:w="721"/>
              <w:gridCol w:w="844"/>
              <w:gridCol w:w="1261"/>
              <w:gridCol w:w="993"/>
              <w:gridCol w:w="996"/>
              <w:gridCol w:w="1082"/>
            </w:tblGrid>
            <w:tr w14:paraId="1F6226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6" w:type="pct"/>
                  <w:vMerge w:val="restart"/>
                  <w:tcBorders>
                    <w:tl2br w:val="nil"/>
                    <w:tr2bl w:val="nil"/>
                  </w:tcBorders>
                  <w:noWrap w:val="0"/>
                  <w:vAlign w:val="center"/>
                </w:tcPr>
                <w:p w14:paraId="7639B7C4">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序号</w:t>
                  </w:r>
                </w:p>
              </w:tc>
              <w:tc>
                <w:tcPr>
                  <w:tcW w:w="636" w:type="pct"/>
                  <w:vMerge w:val="restart"/>
                  <w:tcBorders>
                    <w:tl2br w:val="nil"/>
                    <w:tr2bl w:val="nil"/>
                  </w:tcBorders>
                  <w:noWrap w:val="0"/>
                  <w:vAlign w:val="center"/>
                </w:tcPr>
                <w:p w14:paraId="17DA3123">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声源名称</w:t>
                  </w:r>
                </w:p>
              </w:tc>
              <w:tc>
                <w:tcPr>
                  <w:tcW w:w="1447" w:type="pct"/>
                  <w:gridSpan w:val="3"/>
                  <w:tcBorders>
                    <w:tl2br w:val="nil"/>
                    <w:tr2bl w:val="nil"/>
                  </w:tcBorders>
                  <w:noWrap w:val="0"/>
                  <w:vAlign w:val="center"/>
                </w:tcPr>
                <w:p w14:paraId="56D3A1E2">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空间相对位置m</w:t>
                  </w:r>
                </w:p>
              </w:tc>
              <w:tc>
                <w:tcPr>
                  <w:tcW w:w="762" w:type="pct"/>
                  <w:tcBorders>
                    <w:tl2br w:val="nil"/>
                    <w:tr2bl w:val="nil"/>
                  </w:tcBorders>
                  <w:noWrap w:val="0"/>
                  <w:vAlign w:val="center"/>
                </w:tcPr>
                <w:p w14:paraId="416ABD64">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声源源强</w:t>
                  </w:r>
                </w:p>
              </w:tc>
              <w:tc>
                <w:tcPr>
                  <w:tcW w:w="600" w:type="pct"/>
                  <w:vMerge w:val="restart"/>
                  <w:tcBorders>
                    <w:tl2br w:val="nil"/>
                    <w:tr2bl w:val="nil"/>
                  </w:tcBorders>
                  <w:noWrap w:val="0"/>
                  <w:vAlign w:val="center"/>
                </w:tcPr>
                <w:p w14:paraId="6CCE8A18">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声源控制措施</w:t>
                  </w:r>
                </w:p>
              </w:tc>
              <w:tc>
                <w:tcPr>
                  <w:tcW w:w="602" w:type="pct"/>
                  <w:vMerge w:val="restart"/>
                  <w:tcBorders>
                    <w:tl2br w:val="nil"/>
                    <w:tr2bl w:val="nil"/>
                  </w:tcBorders>
                  <w:noWrap w:val="0"/>
                  <w:vAlign w:val="center"/>
                </w:tcPr>
                <w:p w14:paraId="03284102">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采取控制措施后声功率级/dB(A)</w:t>
                  </w:r>
                </w:p>
              </w:tc>
              <w:tc>
                <w:tcPr>
                  <w:tcW w:w="654" w:type="pct"/>
                  <w:vMerge w:val="restart"/>
                  <w:tcBorders>
                    <w:tl2br w:val="nil"/>
                    <w:tr2bl w:val="nil"/>
                  </w:tcBorders>
                  <w:noWrap w:val="0"/>
                  <w:vAlign w:val="center"/>
                </w:tcPr>
                <w:p w14:paraId="08669BE5">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运行时段</w:t>
                  </w:r>
                </w:p>
              </w:tc>
            </w:tr>
            <w:tr w14:paraId="5DBB90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6" w:type="pct"/>
                  <w:vMerge w:val="continue"/>
                  <w:tcBorders>
                    <w:tl2br w:val="nil"/>
                    <w:tr2bl w:val="nil"/>
                  </w:tcBorders>
                  <w:noWrap w:val="0"/>
                  <w:vAlign w:val="center"/>
                </w:tcPr>
                <w:p w14:paraId="76092B7A">
                  <w:pPr>
                    <w:jc w:val="center"/>
                    <w:outlineLvl w:val="0"/>
                    <w:rPr>
                      <w:rFonts w:hint="default" w:ascii="Times New Roman" w:hAnsi="Times New Roman" w:cs="Times New Roman"/>
                      <w:b/>
                      <w:bCs/>
                      <w:color w:val="auto"/>
                      <w:kern w:val="0"/>
                      <w:szCs w:val="21"/>
                    </w:rPr>
                  </w:pPr>
                </w:p>
              </w:tc>
              <w:tc>
                <w:tcPr>
                  <w:tcW w:w="636" w:type="pct"/>
                  <w:vMerge w:val="continue"/>
                  <w:tcBorders>
                    <w:tl2br w:val="nil"/>
                    <w:tr2bl w:val="nil"/>
                  </w:tcBorders>
                  <w:noWrap w:val="0"/>
                  <w:vAlign w:val="center"/>
                </w:tcPr>
                <w:p w14:paraId="095C548B">
                  <w:pPr>
                    <w:jc w:val="center"/>
                    <w:outlineLvl w:val="0"/>
                    <w:rPr>
                      <w:rFonts w:hint="default" w:ascii="Times New Roman" w:hAnsi="Times New Roman" w:cs="Times New Roman"/>
                      <w:b/>
                      <w:bCs/>
                      <w:color w:val="auto"/>
                      <w:kern w:val="0"/>
                      <w:szCs w:val="21"/>
                    </w:rPr>
                  </w:pPr>
                </w:p>
              </w:tc>
              <w:tc>
                <w:tcPr>
                  <w:tcW w:w="501" w:type="pct"/>
                  <w:tcBorders>
                    <w:tl2br w:val="nil"/>
                    <w:tr2bl w:val="nil"/>
                  </w:tcBorders>
                  <w:noWrap w:val="0"/>
                  <w:vAlign w:val="center"/>
                </w:tcPr>
                <w:p w14:paraId="54A0AF1F">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X</w:t>
                  </w:r>
                </w:p>
              </w:tc>
              <w:tc>
                <w:tcPr>
                  <w:tcW w:w="436" w:type="pct"/>
                  <w:tcBorders>
                    <w:tl2br w:val="nil"/>
                    <w:tr2bl w:val="nil"/>
                  </w:tcBorders>
                  <w:noWrap w:val="0"/>
                  <w:vAlign w:val="center"/>
                </w:tcPr>
                <w:p w14:paraId="2E22A269">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Y</w:t>
                  </w:r>
                </w:p>
              </w:tc>
              <w:tc>
                <w:tcPr>
                  <w:tcW w:w="510" w:type="pct"/>
                  <w:tcBorders>
                    <w:tl2br w:val="nil"/>
                    <w:tr2bl w:val="nil"/>
                  </w:tcBorders>
                  <w:noWrap w:val="0"/>
                  <w:vAlign w:val="center"/>
                </w:tcPr>
                <w:p w14:paraId="3C32FC26">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Z</w:t>
                  </w:r>
                </w:p>
              </w:tc>
              <w:tc>
                <w:tcPr>
                  <w:tcW w:w="762" w:type="pct"/>
                  <w:tcBorders>
                    <w:tl2br w:val="nil"/>
                    <w:tr2bl w:val="nil"/>
                  </w:tcBorders>
                  <w:noWrap w:val="0"/>
                  <w:vAlign w:val="center"/>
                </w:tcPr>
                <w:p w14:paraId="5A87565E">
                  <w:pPr>
                    <w:jc w:val="center"/>
                    <w:outlineLvl w:val="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声功率级/dB(A)</w:t>
                  </w:r>
                </w:p>
              </w:tc>
              <w:tc>
                <w:tcPr>
                  <w:tcW w:w="600" w:type="pct"/>
                  <w:vMerge w:val="continue"/>
                  <w:tcBorders>
                    <w:tl2br w:val="nil"/>
                    <w:tr2bl w:val="nil"/>
                  </w:tcBorders>
                  <w:noWrap w:val="0"/>
                  <w:vAlign w:val="center"/>
                </w:tcPr>
                <w:p w14:paraId="1AD71536">
                  <w:pPr>
                    <w:jc w:val="center"/>
                    <w:outlineLvl w:val="0"/>
                    <w:rPr>
                      <w:rFonts w:hint="default" w:ascii="Times New Roman" w:hAnsi="Times New Roman" w:cs="Times New Roman"/>
                      <w:color w:val="auto"/>
                      <w:kern w:val="0"/>
                      <w:szCs w:val="21"/>
                    </w:rPr>
                  </w:pPr>
                </w:p>
              </w:tc>
              <w:tc>
                <w:tcPr>
                  <w:tcW w:w="602" w:type="pct"/>
                  <w:vMerge w:val="continue"/>
                  <w:tcBorders>
                    <w:tl2br w:val="nil"/>
                    <w:tr2bl w:val="nil"/>
                  </w:tcBorders>
                  <w:noWrap w:val="0"/>
                  <w:vAlign w:val="center"/>
                </w:tcPr>
                <w:p w14:paraId="312F3B06">
                  <w:pPr>
                    <w:jc w:val="center"/>
                    <w:outlineLvl w:val="0"/>
                    <w:rPr>
                      <w:rFonts w:hint="default" w:ascii="Times New Roman" w:hAnsi="Times New Roman" w:cs="Times New Roman"/>
                      <w:color w:val="auto"/>
                      <w:kern w:val="0"/>
                      <w:szCs w:val="21"/>
                    </w:rPr>
                  </w:pPr>
                </w:p>
              </w:tc>
              <w:tc>
                <w:tcPr>
                  <w:tcW w:w="654" w:type="pct"/>
                  <w:vMerge w:val="continue"/>
                  <w:tcBorders>
                    <w:tl2br w:val="nil"/>
                    <w:tr2bl w:val="nil"/>
                  </w:tcBorders>
                  <w:noWrap w:val="0"/>
                  <w:vAlign w:val="center"/>
                </w:tcPr>
                <w:p w14:paraId="7D728093">
                  <w:pPr>
                    <w:jc w:val="center"/>
                    <w:outlineLvl w:val="0"/>
                    <w:rPr>
                      <w:rFonts w:hint="default" w:ascii="Times New Roman" w:hAnsi="Times New Roman" w:cs="Times New Roman"/>
                      <w:color w:val="auto"/>
                      <w:kern w:val="0"/>
                      <w:szCs w:val="21"/>
                    </w:rPr>
                  </w:pPr>
                </w:p>
              </w:tc>
            </w:tr>
            <w:tr w14:paraId="7D503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6" w:type="pct"/>
                  <w:tcBorders>
                    <w:tl2br w:val="nil"/>
                    <w:tr2bl w:val="nil"/>
                  </w:tcBorders>
                  <w:noWrap w:val="0"/>
                  <w:vAlign w:val="center"/>
                </w:tcPr>
                <w:p w14:paraId="5683444C">
                  <w:pPr>
                    <w:jc w:val="center"/>
                    <w:outlineLvl w:val="0"/>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w:t>
                  </w:r>
                </w:p>
              </w:tc>
              <w:tc>
                <w:tcPr>
                  <w:tcW w:w="636" w:type="pct"/>
                  <w:tcBorders>
                    <w:tl2br w:val="nil"/>
                    <w:tr2bl w:val="nil"/>
                  </w:tcBorders>
                  <w:noWrap w:val="0"/>
                  <w:vAlign w:val="center"/>
                </w:tcPr>
                <w:p w14:paraId="502BD28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1#排气筒</w:t>
                  </w:r>
                  <w:r>
                    <w:rPr>
                      <w:rFonts w:hint="default" w:ascii="Times New Roman" w:hAnsi="Times New Roman" w:cs="Times New Roman"/>
                      <w:color w:val="auto"/>
                      <w:kern w:val="0"/>
                      <w:szCs w:val="21"/>
                    </w:rPr>
                    <w:t>风机</w:t>
                  </w:r>
                </w:p>
              </w:tc>
              <w:tc>
                <w:tcPr>
                  <w:tcW w:w="501" w:type="pct"/>
                  <w:tcBorders>
                    <w:tl2br w:val="nil"/>
                    <w:tr2bl w:val="nil"/>
                  </w:tcBorders>
                  <w:noWrap w:val="0"/>
                  <w:vAlign w:val="center"/>
                </w:tcPr>
                <w:p w14:paraId="7186CC8E">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16.7</w:t>
                  </w:r>
                </w:p>
              </w:tc>
              <w:tc>
                <w:tcPr>
                  <w:tcW w:w="436" w:type="pct"/>
                  <w:tcBorders>
                    <w:tl2br w:val="nil"/>
                    <w:tr2bl w:val="nil"/>
                  </w:tcBorders>
                  <w:noWrap w:val="0"/>
                  <w:vAlign w:val="center"/>
                </w:tcPr>
                <w:p w14:paraId="5B06A5BC">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-21.4</w:t>
                  </w:r>
                </w:p>
              </w:tc>
              <w:tc>
                <w:tcPr>
                  <w:tcW w:w="510" w:type="pct"/>
                  <w:tcBorders>
                    <w:tl2br w:val="nil"/>
                    <w:tr2bl w:val="nil"/>
                  </w:tcBorders>
                  <w:noWrap w:val="0"/>
                  <w:vAlign w:val="center"/>
                </w:tcPr>
                <w:p w14:paraId="367B9C04">
                  <w:pPr>
                    <w:adjustRightInd w:val="0"/>
                    <w:snapToGrid w:val="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w:t>
                  </w:r>
                </w:p>
              </w:tc>
              <w:tc>
                <w:tcPr>
                  <w:tcW w:w="762" w:type="pct"/>
                  <w:tcBorders>
                    <w:tl2br w:val="nil"/>
                    <w:tr2bl w:val="nil"/>
                  </w:tcBorders>
                  <w:noWrap w:val="0"/>
                  <w:vAlign w:val="center"/>
                </w:tcPr>
                <w:p w14:paraId="7DEC71DA">
                  <w:pPr>
                    <w:pStyle w:val="16"/>
                    <w:spacing w:before="0" w:after="0" w:line="240" w:lineRule="auto"/>
                    <w:ind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85</w:t>
                  </w:r>
                </w:p>
              </w:tc>
              <w:tc>
                <w:tcPr>
                  <w:tcW w:w="600" w:type="pct"/>
                  <w:tcBorders>
                    <w:tl2br w:val="nil"/>
                    <w:tr2bl w:val="nil"/>
                  </w:tcBorders>
                  <w:noWrap w:val="0"/>
                  <w:vAlign w:val="center"/>
                </w:tcPr>
                <w:p w14:paraId="2FEEDC23">
                  <w:pPr>
                    <w:jc w:val="center"/>
                    <w:outlineLvl w:val="0"/>
                    <w:rPr>
                      <w:rFonts w:hint="default" w:ascii="Times New Roman" w:hAnsi="Times New Roman" w:cs="Times New Roman"/>
                      <w:color w:val="auto"/>
                      <w:szCs w:val="21"/>
                    </w:rPr>
                  </w:pPr>
                  <w:r>
                    <w:rPr>
                      <w:rFonts w:hint="default" w:ascii="Times New Roman" w:hAnsi="Times New Roman" w:cs="Times New Roman"/>
                      <w:color w:val="auto"/>
                      <w:szCs w:val="21"/>
                    </w:rPr>
                    <w:t>减振、隔声等</w:t>
                  </w:r>
                </w:p>
              </w:tc>
              <w:tc>
                <w:tcPr>
                  <w:tcW w:w="602" w:type="pct"/>
                  <w:tcBorders>
                    <w:tl2br w:val="nil"/>
                    <w:tr2bl w:val="nil"/>
                  </w:tcBorders>
                  <w:noWrap w:val="0"/>
                  <w:vAlign w:val="center"/>
                </w:tcPr>
                <w:p w14:paraId="0B804F8C">
                  <w:pPr>
                    <w:jc w:val="center"/>
                    <w:outlineLvl w:val="0"/>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60</w:t>
                  </w:r>
                </w:p>
              </w:tc>
              <w:tc>
                <w:tcPr>
                  <w:tcW w:w="654" w:type="pct"/>
                  <w:tcBorders>
                    <w:tl2br w:val="nil"/>
                    <w:tr2bl w:val="nil"/>
                  </w:tcBorders>
                  <w:noWrap w:val="0"/>
                  <w:vAlign w:val="center"/>
                </w:tcPr>
                <w:p w14:paraId="0CFAA2B5">
                  <w:pPr>
                    <w:jc w:val="center"/>
                    <w:outlineLvl w:val="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昼间</w:t>
                  </w:r>
                </w:p>
              </w:tc>
            </w:tr>
          </w:tbl>
          <w:p w14:paraId="768B37BB">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b w:val="0"/>
                <w:bCs w:val="0"/>
                <w:color w:val="auto"/>
                <w:kern w:val="0"/>
                <w:sz w:val="21"/>
                <w:szCs w:val="21"/>
                <w:lang w:val="en-US" w:eastAsia="zh-CN" w:bidi="ar"/>
              </w:rPr>
              <w:t>（2）达标情况分析</w:t>
            </w:r>
          </w:p>
          <w:p w14:paraId="2EA47E0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4"/>
                <w:sz w:val="21"/>
                <w:szCs w:val="21"/>
              </w:rPr>
              <w:t>根据</w:t>
            </w:r>
            <w:r>
              <w:rPr>
                <w:rFonts w:hint="default" w:ascii="Times New Roman" w:hAnsi="Times New Roman" w:eastAsia="宋体" w:cs="Times New Roman"/>
                <w:color w:val="auto"/>
                <w:spacing w:val="13"/>
                <w:sz w:val="21"/>
                <w:szCs w:val="21"/>
              </w:rPr>
              <w:t>声</w:t>
            </w:r>
            <w:r>
              <w:rPr>
                <w:rFonts w:hint="default" w:ascii="Times New Roman" w:hAnsi="Times New Roman" w:eastAsia="宋体" w:cs="Times New Roman"/>
                <w:color w:val="auto"/>
                <w:spacing w:val="7"/>
                <w:sz w:val="21"/>
                <w:szCs w:val="21"/>
              </w:rPr>
              <w:t>环境评价导则的规定，选用预测模式，应用过程中将根据具体情况作</w:t>
            </w:r>
            <w:r>
              <w:rPr>
                <w:rFonts w:hint="default" w:ascii="Times New Roman" w:hAnsi="Times New Roman" w:eastAsia="宋体" w:cs="Times New Roman"/>
                <w:color w:val="auto"/>
                <w:spacing w:val="6"/>
                <w:sz w:val="21"/>
                <w:szCs w:val="21"/>
              </w:rPr>
              <w:t>必</w:t>
            </w:r>
            <w:r>
              <w:rPr>
                <w:rFonts w:hint="default" w:ascii="Times New Roman" w:hAnsi="Times New Roman" w:eastAsia="宋体" w:cs="Times New Roman"/>
                <w:color w:val="auto"/>
                <w:spacing w:val="5"/>
                <w:sz w:val="21"/>
                <w:szCs w:val="21"/>
              </w:rPr>
              <w:t>要简化。</w:t>
            </w:r>
          </w:p>
          <w:p w14:paraId="74296D0D">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7"/>
                <w:sz w:val="21"/>
                <w:szCs w:val="21"/>
              </w:rPr>
              <w:t>①</w:t>
            </w:r>
            <w:r>
              <w:rPr>
                <w:rFonts w:hint="default" w:ascii="Times New Roman" w:hAnsi="Times New Roman" w:eastAsia="宋体" w:cs="Times New Roman"/>
                <w:color w:val="auto"/>
                <w:spacing w:val="9"/>
                <w:sz w:val="21"/>
                <w:szCs w:val="21"/>
              </w:rPr>
              <w:t>室外点声源在预测点的倍频带声压级</w:t>
            </w:r>
          </w:p>
          <w:p w14:paraId="3EDCCEA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a</w:t>
            </w:r>
            <w:r>
              <w:rPr>
                <w:rFonts w:hint="default" w:ascii="Times New Roman" w:hAnsi="Times New Roman" w:eastAsia="Times New Roman" w:cs="Times New Roman"/>
                <w:color w:val="auto"/>
                <w:spacing w:val="12"/>
                <w:sz w:val="21"/>
                <w:szCs w:val="21"/>
              </w:rPr>
              <w:t>.</w:t>
            </w:r>
            <w:r>
              <w:rPr>
                <w:rFonts w:hint="default" w:ascii="Times New Roman" w:hAnsi="Times New Roman" w:eastAsia="宋体" w:cs="Times New Roman"/>
                <w:color w:val="auto"/>
                <w:spacing w:val="9"/>
                <w:sz w:val="21"/>
                <w:szCs w:val="21"/>
              </w:rPr>
              <w:t>某个点源在预测点的倍频带声压级</w:t>
            </w:r>
          </w:p>
          <w:p w14:paraId="38D899DD">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i/>
                <w:iCs/>
                <w:color w:val="auto"/>
                <w:position w:val="16"/>
                <w:sz w:val="21"/>
                <w:szCs w:val="21"/>
              </w:rPr>
              <w:t>L</w:t>
            </w:r>
            <w:r>
              <w:rPr>
                <w:rFonts w:hint="default" w:ascii="Times New Roman" w:hAnsi="Times New Roman" w:eastAsia="Times New Roman" w:cs="Times New Roman"/>
                <w:i/>
                <w:iCs/>
                <w:color w:val="auto"/>
                <w:position w:val="11"/>
                <w:sz w:val="21"/>
                <w:szCs w:val="21"/>
              </w:rPr>
              <w:t>oct</w:t>
            </w:r>
            <w:r>
              <w:rPr>
                <w:rFonts w:hint="default" w:ascii="Times New Roman" w:hAnsi="Times New Roman" w:eastAsia="Times New Roman" w:cs="Times New Roman"/>
                <w:color w:val="auto"/>
                <w:spacing w:val="4"/>
                <w:position w:val="11"/>
                <w:sz w:val="21"/>
                <w:szCs w:val="21"/>
              </w:rPr>
              <w:t xml:space="preserve"> </w:t>
            </w:r>
            <w:r>
              <w:rPr>
                <w:rFonts w:hint="default" w:ascii="Times New Roman" w:hAnsi="Times New Roman" w:eastAsia="Times New Roman" w:cs="Times New Roman"/>
                <w:color w:val="auto"/>
                <w:spacing w:val="4"/>
                <w:position w:val="16"/>
                <w:sz w:val="21"/>
                <w:szCs w:val="21"/>
              </w:rPr>
              <w:t>(</w:t>
            </w:r>
            <w:r>
              <w:rPr>
                <w:rFonts w:hint="default" w:ascii="Times New Roman" w:hAnsi="Times New Roman" w:eastAsia="Times New Roman" w:cs="Times New Roman"/>
                <w:i/>
                <w:iCs/>
                <w:color w:val="auto"/>
                <w:position w:val="16"/>
                <w:sz w:val="21"/>
                <w:szCs w:val="21"/>
              </w:rPr>
              <w:t>r</w:t>
            </w:r>
            <w:r>
              <w:rPr>
                <w:rFonts w:hint="default" w:ascii="Times New Roman" w:hAnsi="Times New Roman" w:eastAsia="Times New Roman" w:cs="Times New Roman"/>
                <w:color w:val="auto"/>
                <w:spacing w:val="4"/>
                <w:position w:val="16"/>
                <w:sz w:val="21"/>
                <w:szCs w:val="21"/>
              </w:rPr>
              <w:t xml:space="preserve">) </w:t>
            </w:r>
            <w:r>
              <w:rPr>
                <w:rFonts w:hint="default" w:ascii="Times New Roman" w:hAnsi="Times New Roman" w:eastAsia="Symbol" w:cs="Times New Roman"/>
                <w:color w:val="auto"/>
                <w:spacing w:val="4"/>
                <w:position w:val="16"/>
                <w:sz w:val="21"/>
                <w:szCs w:val="21"/>
              </w:rPr>
              <w:t xml:space="preserve">= </w:t>
            </w:r>
            <w:r>
              <w:rPr>
                <w:rFonts w:hint="default" w:ascii="Times New Roman" w:hAnsi="Times New Roman" w:eastAsia="Times New Roman" w:cs="Times New Roman"/>
                <w:i/>
                <w:iCs/>
                <w:color w:val="auto"/>
                <w:position w:val="16"/>
                <w:sz w:val="21"/>
                <w:szCs w:val="21"/>
              </w:rPr>
              <w:t>L</w:t>
            </w:r>
            <w:r>
              <w:rPr>
                <w:rFonts w:hint="default" w:ascii="Times New Roman" w:hAnsi="Times New Roman" w:eastAsia="Times New Roman" w:cs="Times New Roman"/>
                <w:i/>
                <w:iCs/>
                <w:color w:val="auto"/>
                <w:position w:val="11"/>
                <w:sz w:val="21"/>
                <w:szCs w:val="21"/>
              </w:rPr>
              <w:t>oct</w:t>
            </w:r>
            <w:r>
              <w:rPr>
                <w:rFonts w:hint="default" w:ascii="Times New Roman" w:hAnsi="Times New Roman" w:eastAsia="Times New Roman" w:cs="Times New Roman"/>
                <w:color w:val="auto"/>
                <w:spacing w:val="4"/>
                <w:position w:val="11"/>
                <w:sz w:val="21"/>
                <w:szCs w:val="21"/>
              </w:rPr>
              <w:t xml:space="preserve"> </w:t>
            </w:r>
            <w:r>
              <w:rPr>
                <w:rFonts w:hint="default" w:ascii="Times New Roman" w:hAnsi="Times New Roman" w:eastAsia="Times New Roman" w:cs="Times New Roman"/>
                <w:color w:val="auto"/>
                <w:spacing w:val="4"/>
                <w:position w:val="16"/>
                <w:sz w:val="21"/>
                <w:szCs w:val="21"/>
              </w:rPr>
              <w:t>(</w:t>
            </w:r>
            <w:r>
              <w:rPr>
                <w:rFonts w:hint="default" w:ascii="Times New Roman" w:hAnsi="Times New Roman" w:eastAsia="Times New Roman" w:cs="Times New Roman"/>
                <w:i/>
                <w:iCs/>
                <w:color w:val="auto"/>
                <w:position w:val="16"/>
                <w:sz w:val="21"/>
                <w:szCs w:val="21"/>
              </w:rPr>
              <w:t>r</w:t>
            </w:r>
            <w:r>
              <w:rPr>
                <w:rFonts w:hint="default" w:ascii="Times New Roman" w:hAnsi="Times New Roman" w:eastAsia="Times New Roman" w:cs="Times New Roman"/>
                <w:color w:val="auto"/>
                <w:spacing w:val="3"/>
                <w:position w:val="11"/>
                <w:sz w:val="21"/>
                <w:szCs w:val="21"/>
              </w:rPr>
              <w:t>0</w:t>
            </w:r>
            <w:r>
              <w:rPr>
                <w:rFonts w:hint="default" w:ascii="Times New Roman" w:hAnsi="Times New Roman" w:eastAsia="Times New Roman" w:cs="Times New Roman"/>
                <w:color w:val="auto"/>
                <w:spacing w:val="2"/>
                <w:position w:val="11"/>
                <w:sz w:val="21"/>
                <w:szCs w:val="21"/>
              </w:rPr>
              <w:t xml:space="preserve"> </w:t>
            </w:r>
            <w:r>
              <w:rPr>
                <w:rFonts w:hint="default" w:ascii="Times New Roman" w:hAnsi="Times New Roman" w:eastAsia="Times New Roman" w:cs="Times New Roman"/>
                <w:color w:val="auto"/>
                <w:spacing w:val="2"/>
                <w:position w:val="16"/>
                <w:sz w:val="21"/>
                <w:szCs w:val="21"/>
              </w:rPr>
              <w:t xml:space="preserve">) </w:t>
            </w:r>
            <w:r>
              <w:rPr>
                <w:rFonts w:hint="default" w:ascii="Times New Roman" w:hAnsi="Times New Roman" w:eastAsia="Symbol" w:cs="Times New Roman"/>
                <w:color w:val="auto"/>
                <w:spacing w:val="2"/>
                <w:position w:val="16"/>
                <w:sz w:val="21"/>
                <w:szCs w:val="21"/>
              </w:rPr>
              <w:t xml:space="preserve">- </w:t>
            </w:r>
            <w:r>
              <w:rPr>
                <w:rFonts w:hint="default" w:ascii="Times New Roman" w:hAnsi="Times New Roman" w:eastAsia="Times New Roman" w:cs="Times New Roman"/>
                <w:color w:val="auto"/>
                <w:spacing w:val="2"/>
                <w:position w:val="16"/>
                <w:sz w:val="21"/>
                <w:szCs w:val="21"/>
              </w:rPr>
              <w:t>20</w:t>
            </w:r>
            <w:r>
              <w:rPr>
                <w:rFonts w:hint="default" w:ascii="Times New Roman" w:hAnsi="Times New Roman" w:eastAsia="Times New Roman" w:cs="Times New Roman"/>
                <w:color w:val="auto"/>
                <w:position w:val="16"/>
                <w:sz w:val="21"/>
                <w:szCs w:val="21"/>
              </w:rPr>
              <w:t>lg</w:t>
            </w:r>
            <w:r>
              <w:rPr>
                <w:rFonts w:hint="default" w:ascii="Times New Roman" w:hAnsi="Times New Roman" w:eastAsia="Symbol" w:cs="Times New Roman"/>
                <w:color w:val="auto"/>
                <w:spacing w:val="2"/>
                <w:position w:val="16"/>
                <w:sz w:val="21"/>
                <w:szCs w:val="21"/>
              </w:rPr>
              <w:t>(</w:t>
            </w:r>
            <w:r>
              <w:rPr>
                <w:rFonts w:hint="default" w:ascii="Times New Roman" w:hAnsi="Times New Roman" w:eastAsia="Times New Roman" w:cs="Times New Roman"/>
                <w:i/>
                <w:iCs/>
                <w:color w:val="auto"/>
                <w:position w:val="16"/>
                <w:sz w:val="21"/>
                <w:szCs w:val="21"/>
              </w:rPr>
              <w:t>r</w:t>
            </w:r>
            <w:r>
              <w:rPr>
                <w:rFonts w:hint="default" w:ascii="Times New Roman" w:hAnsi="Times New Roman" w:cs="Times New Roman"/>
                <w:color w:val="auto"/>
                <w:position w:val="11"/>
                <w:sz w:val="21"/>
                <w:szCs w:val="21"/>
              </w:rPr>
              <w:drawing>
                <wp:inline distT="0" distB="0" distL="0" distR="0">
                  <wp:extent cx="54610" cy="161925"/>
                  <wp:effectExtent l="0" t="0" r="2540" b="9525"/>
                  <wp:docPr id="331" name="IM 7"/>
                  <wp:cNvGraphicFramePr/>
                  <a:graphic xmlns:a="http://schemas.openxmlformats.org/drawingml/2006/main">
                    <a:graphicData uri="http://schemas.openxmlformats.org/drawingml/2006/picture">
                      <pic:pic xmlns:pic="http://schemas.openxmlformats.org/drawingml/2006/picture">
                        <pic:nvPicPr>
                          <pic:cNvPr id="331" name="IM 7"/>
                          <pic:cNvPicPr/>
                        </pic:nvPicPr>
                        <pic:blipFill>
                          <a:blip r:embed="rId10"/>
                          <a:stretch>
                            <a:fillRect/>
                          </a:stretch>
                        </pic:blipFill>
                        <pic:spPr>
                          <a:xfrm>
                            <a:off x="0" y="0"/>
                            <a:ext cx="55022" cy="162293"/>
                          </a:xfrm>
                          <a:prstGeom prst="rect">
                            <a:avLst/>
                          </a:prstGeom>
                        </pic:spPr>
                      </pic:pic>
                    </a:graphicData>
                  </a:graphic>
                </wp:inline>
              </w:drawing>
            </w:r>
            <w:r>
              <w:rPr>
                <w:rFonts w:hint="default" w:ascii="Times New Roman" w:hAnsi="Times New Roman" w:eastAsia="Times New Roman" w:cs="Times New Roman"/>
                <w:i/>
                <w:iCs/>
                <w:color w:val="auto"/>
                <w:position w:val="16"/>
                <w:sz w:val="21"/>
                <w:szCs w:val="21"/>
              </w:rPr>
              <w:t>r</w:t>
            </w:r>
            <w:r>
              <w:rPr>
                <w:rFonts w:hint="default" w:ascii="Times New Roman" w:hAnsi="Times New Roman" w:eastAsia="Times New Roman" w:cs="Times New Roman"/>
                <w:color w:val="auto"/>
                <w:spacing w:val="2"/>
                <w:position w:val="11"/>
                <w:sz w:val="21"/>
                <w:szCs w:val="21"/>
              </w:rPr>
              <w:t xml:space="preserve">0 </w:t>
            </w:r>
            <w:r>
              <w:rPr>
                <w:rFonts w:hint="default" w:ascii="Times New Roman" w:hAnsi="Times New Roman" w:eastAsia="Symbol" w:cs="Times New Roman"/>
                <w:color w:val="auto"/>
                <w:spacing w:val="2"/>
                <w:position w:val="16"/>
                <w:sz w:val="21"/>
                <w:szCs w:val="21"/>
              </w:rPr>
              <w:t xml:space="preserve">) - </w:t>
            </w:r>
            <w:r>
              <w:rPr>
                <w:rFonts w:hint="default" w:ascii="Times New Roman" w:hAnsi="Times New Roman" w:cs="Times New Roman"/>
                <w:color w:val="auto"/>
                <w:position w:val="12"/>
                <w:sz w:val="21"/>
                <w:szCs w:val="21"/>
              </w:rPr>
              <w:drawing>
                <wp:inline distT="0" distB="0" distL="0" distR="0">
                  <wp:extent cx="87630" cy="184785"/>
                  <wp:effectExtent l="0" t="0" r="7620" b="4445"/>
                  <wp:docPr id="332" name="IM 8"/>
                  <wp:cNvGraphicFramePr/>
                  <a:graphic xmlns:a="http://schemas.openxmlformats.org/drawingml/2006/main">
                    <a:graphicData uri="http://schemas.openxmlformats.org/drawingml/2006/picture">
                      <pic:pic xmlns:pic="http://schemas.openxmlformats.org/drawingml/2006/picture">
                        <pic:nvPicPr>
                          <pic:cNvPr id="332" name="IM 8"/>
                          <pic:cNvPicPr/>
                        </pic:nvPicPr>
                        <pic:blipFill>
                          <a:blip r:embed="rId11"/>
                          <a:stretch>
                            <a:fillRect/>
                          </a:stretch>
                        </pic:blipFill>
                        <pic:spPr>
                          <a:xfrm>
                            <a:off x="0" y="0"/>
                            <a:ext cx="88235" cy="185045"/>
                          </a:xfrm>
                          <a:prstGeom prst="rect">
                            <a:avLst/>
                          </a:prstGeom>
                        </pic:spPr>
                      </pic:pic>
                    </a:graphicData>
                  </a:graphic>
                </wp:inline>
              </w:drawing>
            </w:r>
            <w:r>
              <w:rPr>
                <w:rFonts w:hint="default" w:ascii="Times New Roman" w:hAnsi="Times New Roman" w:eastAsia="Times New Roman" w:cs="Times New Roman"/>
                <w:i/>
                <w:iCs/>
                <w:color w:val="auto"/>
                <w:position w:val="16"/>
                <w:sz w:val="21"/>
                <w:szCs w:val="21"/>
              </w:rPr>
              <w:t>L</w:t>
            </w:r>
            <w:r>
              <w:rPr>
                <w:rFonts w:hint="default" w:ascii="Times New Roman" w:hAnsi="Times New Roman" w:eastAsia="Times New Roman" w:cs="Times New Roman"/>
                <w:i/>
                <w:iCs/>
                <w:color w:val="auto"/>
                <w:position w:val="11"/>
                <w:sz w:val="21"/>
                <w:szCs w:val="21"/>
              </w:rPr>
              <w:t>oct</w:t>
            </w:r>
          </w:p>
          <w:p w14:paraId="09617665">
            <w:pPr>
              <w:keepNext w:val="0"/>
              <w:keepLines w:val="0"/>
              <w:pageBreakBefore w:val="0"/>
              <w:widowControl w:val="0"/>
              <w:kinsoku/>
              <w:wordWrap/>
              <w:overflowPunct/>
              <w:topLinePunct w:val="0"/>
              <w:autoSpaceDE/>
              <w:autoSpaceDN/>
              <w:bidi w:val="0"/>
              <w:adjustRightInd/>
              <w:snapToGrid/>
              <w:spacing w:line="360" w:lineRule="auto"/>
              <w:ind w:left="0" w:right="0" w:firstLine="436"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position w:val="1"/>
                <w:sz w:val="21"/>
                <w:szCs w:val="21"/>
              </w:rPr>
              <w:t>式中：</w:t>
            </w:r>
            <w:r>
              <w:rPr>
                <w:rFonts w:hint="default" w:ascii="Times New Roman" w:hAnsi="Times New Roman" w:eastAsia="Times New Roman" w:cs="Times New Roman"/>
                <w:color w:val="auto"/>
                <w:position w:val="1"/>
                <w:sz w:val="21"/>
                <w:szCs w:val="21"/>
              </w:rPr>
              <w:t>L</w:t>
            </w:r>
            <w:r>
              <w:rPr>
                <w:rFonts w:hint="default" w:ascii="Times New Roman" w:hAnsi="Times New Roman" w:eastAsia="Times New Roman" w:cs="Times New Roman"/>
                <w:color w:val="auto"/>
                <w:sz w:val="21"/>
                <w:szCs w:val="21"/>
              </w:rPr>
              <w:t>oct</w:t>
            </w:r>
            <w:r>
              <w:rPr>
                <w:rFonts w:hint="default" w:ascii="Times New Roman" w:hAnsi="Times New Roman" w:eastAsia="Times New Roman" w:cs="Times New Roman"/>
                <w:color w:val="auto"/>
                <w:spacing w:val="4"/>
                <w:sz w:val="21"/>
                <w:szCs w:val="21"/>
              </w:rPr>
              <w:t xml:space="preserve">   </w:t>
            </w:r>
            <w:r>
              <w:rPr>
                <w:rFonts w:hint="default" w:ascii="Times New Roman" w:hAnsi="Times New Roman" w:eastAsia="宋体" w:cs="Times New Roman"/>
                <w:color w:val="auto"/>
                <w:spacing w:val="4"/>
                <w:position w:val="1"/>
                <w:sz w:val="21"/>
                <w:szCs w:val="21"/>
              </w:rPr>
              <w:t>(</w:t>
            </w:r>
            <w:r>
              <w:rPr>
                <w:rFonts w:hint="default" w:ascii="Times New Roman" w:hAnsi="Times New Roman" w:eastAsia="Times New Roman" w:cs="Times New Roman"/>
                <w:color w:val="auto"/>
                <w:position w:val="1"/>
                <w:sz w:val="21"/>
                <w:szCs w:val="21"/>
              </w:rPr>
              <w:t>r</w:t>
            </w:r>
            <w:r>
              <w:rPr>
                <w:rFonts w:hint="default" w:ascii="Times New Roman" w:hAnsi="Times New Roman" w:eastAsia="Times New Roman" w:cs="Times New Roman"/>
                <w:color w:val="auto"/>
                <w:spacing w:val="4"/>
                <w:position w:val="1"/>
                <w:sz w:val="21"/>
                <w:szCs w:val="21"/>
              </w:rPr>
              <w:t xml:space="preserve"> </w:t>
            </w:r>
            <w:r>
              <w:rPr>
                <w:rFonts w:hint="default" w:ascii="Times New Roman" w:hAnsi="Times New Roman" w:eastAsia="宋体" w:cs="Times New Roman"/>
                <w:color w:val="auto"/>
                <w:spacing w:val="4"/>
                <w:position w:val="1"/>
                <w:sz w:val="21"/>
                <w:szCs w:val="21"/>
              </w:rPr>
              <w:t xml:space="preserve">) </w:t>
            </w:r>
            <w:r>
              <w:rPr>
                <w:rFonts w:hint="default" w:ascii="Times New Roman" w:hAnsi="Times New Roman" w:eastAsia="Times New Roman" w:cs="Times New Roman"/>
                <w:color w:val="auto"/>
                <w:spacing w:val="4"/>
                <w:position w:val="1"/>
                <w:sz w:val="21"/>
                <w:szCs w:val="21"/>
              </w:rPr>
              <w:t xml:space="preserve">—— </w:t>
            </w:r>
            <w:r>
              <w:rPr>
                <w:rFonts w:hint="default" w:ascii="Times New Roman" w:hAnsi="Times New Roman" w:eastAsia="宋体" w:cs="Times New Roman"/>
                <w:color w:val="auto"/>
                <w:spacing w:val="4"/>
                <w:position w:val="1"/>
                <w:sz w:val="21"/>
                <w:szCs w:val="21"/>
              </w:rPr>
              <w:t>点声源在预测点产生的倍频带声压级</w:t>
            </w:r>
            <w:r>
              <w:rPr>
                <w:rFonts w:hint="default" w:ascii="Times New Roman" w:hAnsi="Times New Roman" w:eastAsia="宋体" w:cs="Times New Roman"/>
                <w:color w:val="auto"/>
                <w:spacing w:val="2"/>
                <w:position w:val="1"/>
                <w:sz w:val="21"/>
                <w:szCs w:val="21"/>
              </w:rPr>
              <w:t>；</w:t>
            </w:r>
          </w:p>
          <w:p w14:paraId="525FDD3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outlineLvl w:val="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position w:val="1"/>
                <w:sz w:val="21"/>
                <w:szCs w:val="21"/>
              </w:rPr>
              <w:t>L</w:t>
            </w:r>
            <w:r>
              <w:rPr>
                <w:rFonts w:hint="default" w:ascii="Times New Roman" w:hAnsi="Times New Roman" w:eastAsia="Times New Roman" w:cs="Times New Roman"/>
                <w:color w:val="auto"/>
                <w:sz w:val="21"/>
                <w:szCs w:val="21"/>
              </w:rPr>
              <w:t>oct</w:t>
            </w:r>
            <w:r>
              <w:rPr>
                <w:rFonts w:hint="default" w:ascii="Times New Roman" w:hAnsi="Times New Roman" w:eastAsia="Times New Roman" w:cs="Times New Roman"/>
                <w:color w:val="auto"/>
                <w:spacing w:val="6"/>
                <w:sz w:val="21"/>
                <w:szCs w:val="21"/>
              </w:rPr>
              <w:t xml:space="preserve">   </w:t>
            </w:r>
            <w:r>
              <w:rPr>
                <w:rFonts w:hint="default" w:ascii="Times New Roman" w:hAnsi="Times New Roman" w:eastAsia="宋体" w:cs="Times New Roman"/>
                <w:color w:val="auto"/>
                <w:spacing w:val="5"/>
                <w:position w:val="1"/>
                <w:sz w:val="21"/>
                <w:szCs w:val="21"/>
              </w:rPr>
              <w:t>(</w:t>
            </w:r>
            <w:r>
              <w:rPr>
                <w:rFonts w:hint="default" w:ascii="Times New Roman" w:hAnsi="Times New Roman" w:eastAsia="Times New Roman" w:cs="Times New Roman"/>
                <w:color w:val="auto"/>
                <w:position w:val="1"/>
                <w:sz w:val="21"/>
                <w:szCs w:val="21"/>
              </w:rPr>
              <w:t>r</w:t>
            </w:r>
            <w:r>
              <w:rPr>
                <w:rFonts w:hint="default" w:ascii="Times New Roman" w:hAnsi="Times New Roman" w:eastAsia="Times New Roman" w:cs="Times New Roman"/>
                <w:color w:val="auto"/>
                <w:spacing w:val="3"/>
                <w:sz w:val="21"/>
                <w:szCs w:val="21"/>
              </w:rPr>
              <w:t xml:space="preserve">0 </w:t>
            </w:r>
            <w:r>
              <w:rPr>
                <w:rFonts w:hint="default" w:ascii="Times New Roman" w:hAnsi="Times New Roman" w:eastAsia="宋体" w:cs="Times New Roman"/>
                <w:color w:val="auto"/>
                <w:spacing w:val="3"/>
                <w:position w:val="1"/>
                <w:sz w:val="21"/>
                <w:szCs w:val="21"/>
              </w:rPr>
              <w:t xml:space="preserve">) </w:t>
            </w:r>
            <w:r>
              <w:rPr>
                <w:rFonts w:hint="default" w:ascii="Times New Roman" w:hAnsi="Times New Roman" w:eastAsia="Times New Roman" w:cs="Times New Roman"/>
                <w:color w:val="auto"/>
                <w:spacing w:val="3"/>
                <w:position w:val="1"/>
                <w:sz w:val="21"/>
                <w:szCs w:val="21"/>
              </w:rPr>
              <w:t>——</w:t>
            </w:r>
            <w:r>
              <w:rPr>
                <w:rFonts w:hint="default" w:ascii="Times New Roman" w:hAnsi="Times New Roman" w:eastAsia="宋体" w:cs="Times New Roman"/>
                <w:color w:val="auto"/>
                <w:spacing w:val="3"/>
                <w:position w:val="1"/>
                <w:sz w:val="21"/>
                <w:szCs w:val="21"/>
              </w:rPr>
              <w:t xml:space="preserve">参考位置 </w:t>
            </w:r>
            <w:r>
              <w:rPr>
                <w:rFonts w:hint="default" w:ascii="Times New Roman" w:hAnsi="Times New Roman" w:eastAsia="Times New Roman" w:cs="Times New Roman"/>
                <w:color w:val="auto"/>
                <w:position w:val="1"/>
                <w:sz w:val="21"/>
                <w:szCs w:val="21"/>
              </w:rPr>
              <w:t>r</w:t>
            </w:r>
            <w:r>
              <w:rPr>
                <w:rFonts w:hint="default" w:ascii="Times New Roman" w:hAnsi="Times New Roman" w:eastAsia="Times New Roman" w:cs="Times New Roman"/>
                <w:color w:val="auto"/>
                <w:spacing w:val="3"/>
                <w:sz w:val="21"/>
                <w:szCs w:val="21"/>
              </w:rPr>
              <w:t xml:space="preserve">0 </w:t>
            </w:r>
            <w:r>
              <w:rPr>
                <w:rFonts w:hint="default" w:ascii="Times New Roman" w:hAnsi="Times New Roman" w:eastAsia="宋体" w:cs="Times New Roman"/>
                <w:color w:val="auto"/>
                <w:spacing w:val="3"/>
                <w:position w:val="1"/>
                <w:sz w:val="21"/>
                <w:szCs w:val="21"/>
              </w:rPr>
              <w:t>处的倍频带声压级；</w:t>
            </w:r>
          </w:p>
          <w:p w14:paraId="2EB2863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position w:val="17"/>
                <w:sz w:val="21"/>
                <w:szCs w:val="21"/>
              </w:rPr>
              <w:t>r</w:t>
            </w:r>
            <w:r>
              <w:rPr>
                <w:rFonts w:hint="default" w:ascii="Times New Roman" w:hAnsi="Times New Roman" w:eastAsia="Times New Roman" w:cs="Times New Roman"/>
                <w:color w:val="auto"/>
                <w:spacing w:val="10"/>
                <w:position w:val="17"/>
                <w:sz w:val="21"/>
                <w:szCs w:val="21"/>
              </w:rPr>
              <w:t>——</w:t>
            </w:r>
            <w:r>
              <w:rPr>
                <w:rFonts w:hint="default" w:ascii="Times New Roman" w:hAnsi="Times New Roman" w:eastAsia="宋体" w:cs="Times New Roman"/>
                <w:color w:val="auto"/>
                <w:spacing w:val="10"/>
                <w:position w:val="17"/>
                <w:sz w:val="21"/>
                <w:szCs w:val="21"/>
              </w:rPr>
              <w:t>预测点距声源的距离，</w:t>
            </w:r>
            <w:r>
              <w:rPr>
                <w:rFonts w:hint="default" w:ascii="Times New Roman" w:hAnsi="Times New Roman" w:eastAsia="Times New Roman" w:cs="Times New Roman"/>
                <w:color w:val="auto"/>
                <w:position w:val="17"/>
                <w:sz w:val="21"/>
                <w:szCs w:val="21"/>
              </w:rPr>
              <w:t>m</w:t>
            </w:r>
            <w:r>
              <w:rPr>
                <w:rFonts w:hint="default" w:ascii="Times New Roman" w:hAnsi="Times New Roman" w:eastAsia="宋体" w:cs="Times New Roman"/>
                <w:color w:val="auto"/>
                <w:spacing w:val="8"/>
                <w:position w:val="17"/>
                <w:sz w:val="21"/>
                <w:szCs w:val="21"/>
              </w:rPr>
              <w:t>；</w:t>
            </w:r>
          </w:p>
          <w:p w14:paraId="452DFFC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r</w:t>
            </w:r>
            <w:r>
              <w:rPr>
                <w:rFonts w:hint="default" w:ascii="Times New Roman" w:hAnsi="Times New Roman" w:eastAsia="Times New Roman" w:cs="Times New Roman"/>
                <w:color w:val="auto"/>
                <w:spacing w:val="14"/>
                <w:position w:val="-1"/>
                <w:sz w:val="21"/>
                <w:szCs w:val="21"/>
              </w:rPr>
              <w:t>0</w:t>
            </w:r>
            <w:r>
              <w:rPr>
                <w:rFonts w:hint="default" w:ascii="Times New Roman" w:hAnsi="Times New Roman" w:eastAsia="Times New Roman" w:cs="Times New Roman"/>
                <w:color w:val="auto"/>
                <w:spacing w:val="9"/>
                <w:sz w:val="21"/>
                <w:szCs w:val="21"/>
              </w:rPr>
              <w:t>——</w:t>
            </w:r>
            <w:r>
              <w:rPr>
                <w:rFonts w:hint="default" w:ascii="Times New Roman" w:hAnsi="Times New Roman" w:eastAsia="宋体" w:cs="Times New Roman"/>
                <w:color w:val="auto"/>
                <w:spacing w:val="9"/>
                <w:sz w:val="21"/>
                <w:szCs w:val="21"/>
              </w:rPr>
              <w:t>参考位置距声源的距离，</w:t>
            </w:r>
            <w:r>
              <w:rPr>
                <w:rFonts w:hint="default" w:ascii="Times New Roman" w:hAnsi="Times New Roman" w:eastAsia="Times New Roman" w:cs="Times New Roman"/>
                <w:color w:val="auto"/>
                <w:sz w:val="21"/>
                <w:szCs w:val="21"/>
              </w:rPr>
              <w:t>m</w:t>
            </w:r>
            <w:r>
              <w:rPr>
                <w:rFonts w:hint="default" w:ascii="Times New Roman" w:hAnsi="Times New Roman" w:eastAsia="宋体" w:cs="Times New Roman"/>
                <w:color w:val="auto"/>
                <w:spacing w:val="9"/>
                <w:sz w:val="21"/>
                <w:szCs w:val="21"/>
              </w:rPr>
              <w:t>；</w:t>
            </w:r>
          </w:p>
          <w:p w14:paraId="37B9126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rPr>
                <w:rFonts w:hint="default" w:ascii="Times New Roman" w:hAnsi="Times New Roman" w:eastAsia="宋体" w:cs="Times New Roman"/>
                <w:color w:val="auto"/>
                <w:spacing w:val="10"/>
                <w:position w:val="15"/>
                <w:sz w:val="21"/>
                <w:szCs w:val="21"/>
                <w:lang w:val="en-US" w:eastAsia="zh-CN"/>
              </w:rPr>
            </w:pPr>
            <w:r>
              <w:rPr>
                <w:rFonts w:hint="default" w:ascii="Times New Roman" w:hAnsi="Times New Roman" w:eastAsia="Times New Roman" w:cs="Times New Roman"/>
                <w:color w:val="auto"/>
                <w:spacing w:val="14"/>
                <w:position w:val="15"/>
                <w:sz w:val="21"/>
                <w:szCs w:val="21"/>
              </w:rPr>
              <w:t>Δ</w:t>
            </w:r>
            <w:r>
              <w:rPr>
                <w:rFonts w:hint="default" w:ascii="Times New Roman" w:hAnsi="Times New Roman" w:eastAsia="Times New Roman" w:cs="Times New Roman"/>
                <w:color w:val="auto"/>
                <w:position w:val="15"/>
                <w:sz w:val="21"/>
                <w:szCs w:val="21"/>
              </w:rPr>
              <w:t>L</w:t>
            </w:r>
            <w:r>
              <w:rPr>
                <w:rFonts w:hint="default" w:ascii="Times New Roman" w:hAnsi="Times New Roman" w:eastAsia="Times New Roman" w:cs="Times New Roman"/>
                <w:color w:val="auto"/>
                <w:position w:val="14"/>
                <w:sz w:val="21"/>
                <w:szCs w:val="21"/>
              </w:rPr>
              <w:t>oct</w:t>
            </w:r>
            <w:r>
              <w:rPr>
                <w:rFonts w:hint="default" w:ascii="Times New Roman" w:hAnsi="Times New Roman" w:eastAsia="Times New Roman" w:cs="Times New Roman"/>
                <w:color w:val="auto"/>
                <w:spacing w:val="10"/>
                <w:position w:val="15"/>
                <w:sz w:val="21"/>
                <w:szCs w:val="21"/>
              </w:rPr>
              <w:t>——</w:t>
            </w:r>
            <w:r>
              <w:rPr>
                <w:rFonts w:hint="default" w:ascii="Times New Roman" w:hAnsi="Times New Roman" w:eastAsia="宋体" w:cs="Times New Roman"/>
                <w:color w:val="auto"/>
                <w:spacing w:val="10"/>
                <w:position w:val="15"/>
                <w:sz w:val="21"/>
                <w:szCs w:val="21"/>
              </w:rPr>
              <w:t>各种因素引起的衰减量，包括声屏障、空气吸收和</w:t>
            </w:r>
            <w:r>
              <w:rPr>
                <w:rFonts w:hint="default" w:ascii="Times New Roman" w:hAnsi="Times New Roman" w:eastAsia="宋体" w:cs="Times New Roman"/>
                <w:color w:val="auto"/>
                <w:spacing w:val="10"/>
                <w:position w:val="15"/>
                <w:sz w:val="21"/>
                <w:szCs w:val="21"/>
                <w:lang w:val="en-US" w:eastAsia="zh-CN"/>
              </w:rPr>
              <w:t>地面效应引起的衰减，其计算方式分别为：</w:t>
            </w:r>
          </w:p>
          <w:p w14:paraId="6AD799B9">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0" distR="0">
                  <wp:extent cx="2532380" cy="403225"/>
                  <wp:effectExtent l="0" t="0" r="1270" b="15875"/>
                  <wp:docPr id="333" name="IM 9"/>
                  <wp:cNvGraphicFramePr/>
                  <a:graphic xmlns:a="http://schemas.openxmlformats.org/drawingml/2006/main">
                    <a:graphicData uri="http://schemas.openxmlformats.org/drawingml/2006/picture">
                      <pic:pic xmlns:pic="http://schemas.openxmlformats.org/drawingml/2006/picture">
                        <pic:nvPicPr>
                          <pic:cNvPr id="333" name="IM 9"/>
                          <pic:cNvPicPr/>
                        </pic:nvPicPr>
                        <pic:blipFill>
                          <a:blip r:embed="rId12"/>
                          <a:stretch>
                            <a:fillRect/>
                          </a:stretch>
                        </pic:blipFill>
                        <pic:spPr>
                          <a:xfrm>
                            <a:off x="0" y="0"/>
                            <a:ext cx="2532887" cy="403859"/>
                          </a:xfrm>
                          <a:prstGeom prst="rect">
                            <a:avLst/>
                          </a:prstGeom>
                        </pic:spPr>
                      </pic:pic>
                    </a:graphicData>
                  </a:graphic>
                </wp:inline>
              </w:drawing>
            </w:r>
          </w:p>
          <w:p w14:paraId="2A21578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position w:val="15"/>
                <w:sz w:val="21"/>
                <w:szCs w:val="21"/>
              </w:rPr>
              <w:t>A</w:t>
            </w:r>
            <w:r>
              <w:rPr>
                <w:rFonts w:hint="default" w:ascii="Times New Roman" w:hAnsi="Times New Roman" w:eastAsia="Times New Roman" w:cs="Times New Roman"/>
                <w:color w:val="auto"/>
                <w:position w:val="14"/>
                <w:sz w:val="21"/>
                <w:szCs w:val="21"/>
              </w:rPr>
              <w:t>oct</w:t>
            </w:r>
            <w:r>
              <w:rPr>
                <w:rFonts w:hint="default" w:ascii="Times New Roman" w:hAnsi="Times New Roman" w:eastAsia="Times New Roman" w:cs="Times New Roman"/>
                <w:color w:val="auto"/>
                <w:spacing w:val="7"/>
                <w:position w:val="14"/>
                <w:sz w:val="21"/>
                <w:szCs w:val="21"/>
              </w:rPr>
              <w:t xml:space="preserve"> </w:t>
            </w:r>
            <w:r>
              <w:rPr>
                <w:rFonts w:hint="default" w:ascii="Times New Roman" w:hAnsi="Times New Roman" w:eastAsia="Times New Roman" w:cs="Times New Roman"/>
                <w:color w:val="auto"/>
                <w:position w:val="14"/>
                <w:sz w:val="21"/>
                <w:szCs w:val="21"/>
              </w:rPr>
              <w:t>atm</w:t>
            </w:r>
            <w:r>
              <w:rPr>
                <w:rFonts w:hint="default" w:ascii="Times New Roman" w:hAnsi="Times New Roman" w:eastAsia="Times New Roman" w:cs="Times New Roman"/>
                <w:color w:val="auto"/>
                <w:spacing w:val="5"/>
                <w:position w:val="15"/>
                <w:sz w:val="21"/>
                <w:szCs w:val="21"/>
              </w:rPr>
              <w:t>=α(</w:t>
            </w:r>
            <w:r>
              <w:rPr>
                <w:rFonts w:hint="default" w:ascii="Times New Roman" w:hAnsi="Times New Roman" w:eastAsia="Times New Roman" w:cs="Times New Roman"/>
                <w:color w:val="auto"/>
                <w:position w:val="15"/>
                <w:sz w:val="21"/>
                <w:szCs w:val="21"/>
              </w:rPr>
              <w:t>r</w:t>
            </w:r>
            <w:r>
              <w:rPr>
                <w:rFonts w:hint="default" w:ascii="Times New Roman" w:hAnsi="Times New Roman" w:eastAsia="Times New Roman" w:cs="Times New Roman"/>
                <w:color w:val="auto"/>
                <w:spacing w:val="5"/>
                <w:position w:val="15"/>
                <w:sz w:val="21"/>
                <w:szCs w:val="21"/>
              </w:rPr>
              <w:t>-</w:t>
            </w:r>
            <w:r>
              <w:rPr>
                <w:rFonts w:hint="default" w:ascii="Times New Roman" w:hAnsi="Times New Roman" w:eastAsia="Times New Roman" w:cs="Times New Roman"/>
                <w:color w:val="auto"/>
                <w:position w:val="15"/>
                <w:sz w:val="21"/>
                <w:szCs w:val="21"/>
              </w:rPr>
              <w:t>r</w:t>
            </w:r>
            <w:r>
              <w:rPr>
                <w:rFonts w:hint="default" w:ascii="Times New Roman" w:hAnsi="Times New Roman" w:eastAsia="Times New Roman" w:cs="Times New Roman"/>
                <w:color w:val="auto"/>
                <w:spacing w:val="5"/>
                <w:position w:val="14"/>
                <w:sz w:val="21"/>
                <w:szCs w:val="21"/>
              </w:rPr>
              <w:t>0</w:t>
            </w:r>
            <w:r>
              <w:rPr>
                <w:rFonts w:hint="default" w:ascii="Times New Roman" w:hAnsi="Times New Roman" w:eastAsia="Times New Roman" w:cs="Times New Roman"/>
                <w:color w:val="auto"/>
                <w:spacing w:val="5"/>
                <w:position w:val="15"/>
                <w:sz w:val="21"/>
                <w:szCs w:val="21"/>
              </w:rPr>
              <w:t>)/100</w:t>
            </w:r>
            <w:r>
              <w:rPr>
                <w:rFonts w:hint="default" w:ascii="Times New Roman" w:hAnsi="Times New Roman" w:eastAsia="宋体" w:cs="Times New Roman"/>
                <w:color w:val="auto"/>
                <w:spacing w:val="5"/>
                <w:position w:val="15"/>
                <w:sz w:val="21"/>
                <w:szCs w:val="21"/>
              </w:rPr>
              <w:t>；</w:t>
            </w:r>
          </w:p>
          <w:p w14:paraId="35D29C0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position w:val="4"/>
                <w:sz w:val="21"/>
                <w:szCs w:val="21"/>
              </w:rPr>
              <w:t>A</w:t>
            </w:r>
            <w:r>
              <w:rPr>
                <w:rFonts w:hint="default" w:ascii="Times New Roman" w:hAnsi="Times New Roman" w:eastAsia="Times New Roman" w:cs="Times New Roman"/>
                <w:color w:val="auto"/>
                <w:position w:val="3"/>
                <w:sz w:val="21"/>
                <w:szCs w:val="21"/>
              </w:rPr>
              <w:t>exc</w:t>
            </w:r>
            <w:r>
              <w:rPr>
                <w:rFonts w:hint="default" w:ascii="Times New Roman" w:hAnsi="Times New Roman" w:eastAsia="Times New Roman" w:cs="Times New Roman"/>
                <w:color w:val="auto"/>
                <w:spacing w:val="7"/>
                <w:position w:val="4"/>
                <w:sz w:val="21"/>
                <w:szCs w:val="21"/>
              </w:rPr>
              <w:t>=</w:t>
            </w:r>
            <w:r>
              <w:rPr>
                <w:rFonts w:hint="default" w:ascii="Times New Roman" w:hAnsi="Times New Roman" w:eastAsia="Times New Roman" w:cs="Times New Roman"/>
                <w:color w:val="auto"/>
                <w:spacing w:val="6"/>
                <w:position w:val="4"/>
                <w:sz w:val="21"/>
                <w:szCs w:val="21"/>
              </w:rPr>
              <w:t>5</w:t>
            </w:r>
            <w:r>
              <w:rPr>
                <w:rFonts w:hint="default" w:ascii="Times New Roman" w:hAnsi="Times New Roman" w:eastAsia="Times New Roman" w:cs="Times New Roman"/>
                <w:color w:val="auto"/>
                <w:position w:val="4"/>
                <w:sz w:val="21"/>
                <w:szCs w:val="21"/>
              </w:rPr>
              <w:t>lg</w:t>
            </w:r>
            <w:r>
              <w:rPr>
                <w:rFonts w:hint="default" w:ascii="Times New Roman" w:hAnsi="Times New Roman" w:eastAsia="Times New Roman" w:cs="Times New Roman"/>
                <w:color w:val="auto"/>
                <w:spacing w:val="6"/>
                <w:position w:val="4"/>
                <w:sz w:val="21"/>
                <w:szCs w:val="21"/>
              </w:rPr>
              <w:t>(</w:t>
            </w:r>
            <w:r>
              <w:rPr>
                <w:rFonts w:hint="default" w:ascii="Times New Roman" w:hAnsi="Times New Roman" w:eastAsia="Times New Roman" w:cs="Times New Roman"/>
                <w:color w:val="auto"/>
                <w:position w:val="4"/>
                <w:sz w:val="21"/>
                <w:szCs w:val="21"/>
              </w:rPr>
              <w:t>r</w:t>
            </w:r>
            <w:r>
              <w:rPr>
                <w:rFonts w:hint="default" w:ascii="Times New Roman" w:hAnsi="Times New Roman" w:eastAsia="Times New Roman" w:cs="Times New Roman"/>
                <w:color w:val="auto"/>
                <w:spacing w:val="6"/>
                <w:position w:val="4"/>
                <w:sz w:val="21"/>
                <w:szCs w:val="21"/>
              </w:rPr>
              <w:t>-</w:t>
            </w:r>
            <w:r>
              <w:rPr>
                <w:rFonts w:hint="default" w:ascii="Times New Roman" w:hAnsi="Times New Roman" w:eastAsia="Times New Roman" w:cs="Times New Roman"/>
                <w:color w:val="auto"/>
                <w:position w:val="4"/>
                <w:sz w:val="21"/>
                <w:szCs w:val="21"/>
              </w:rPr>
              <w:t>r</w:t>
            </w:r>
            <w:r>
              <w:rPr>
                <w:rFonts w:hint="default" w:ascii="Times New Roman" w:hAnsi="Times New Roman" w:eastAsia="Times New Roman" w:cs="Times New Roman"/>
                <w:color w:val="auto"/>
                <w:spacing w:val="6"/>
                <w:position w:val="3"/>
                <w:sz w:val="21"/>
                <w:szCs w:val="21"/>
              </w:rPr>
              <w:t>0</w:t>
            </w:r>
            <w:r>
              <w:rPr>
                <w:rFonts w:hint="default" w:ascii="Times New Roman" w:hAnsi="Times New Roman" w:eastAsia="Times New Roman" w:cs="Times New Roman"/>
                <w:color w:val="auto"/>
                <w:spacing w:val="6"/>
                <w:position w:val="4"/>
                <w:sz w:val="21"/>
                <w:szCs w:val="21"/>
              </w:rPr>
              <w:t>)</w:t>
            </w:r>
            <w:r>
              <w:rPr>
                <w:rFonts w:hint="default" w:ascii="Times New Roman" w:hAnsi="Times New Roman" w:eastAsia="宋体" w:cs="Times New Roman"/>
                <w:color w:val="auto"/>
                <w:spacing w:val="6"/>
                <w:position w:val="4"/>
                <w:sz w:val="21"/>
                <w:szCs w:val="21"/>
              </w:rPr>
              <w:t>；</w:t>
            </w:r>
          </w:p>
          <w:p w14:paraId="73DB066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b</w:t>
            </w:r>
            <w:r>
              <w:rPr>
                <w:rFonts w:hint="default" w:ascii="Times New Roman" w:hAnsi="Times New Roman" w:eastAsia="Times New Roman" w:cs="Times New Roman"/>
                <w:color w:val="auto"/>
                <w:spacing w:val="22"/>
                <w:sz w:val="21"/>
                <w:szCs w:val="21"/>
              </w:rPr>
              <w:t>.</w:t>
            </w:r>
            <w:r>
              <w:rPr>
                <w:rFonts w:hint="default" w:ascii="Times New Roman" w:hAnsi="Times New Roman" w:eastAsia="宋体" w:cs="Times New Roman"/>
                <w:color w:val="auto"/>
                <w:spacing w:val="22"/>
                <w:sz w:val="21"/>
                <w:szCs w:val="21"/>
              </w:rPr>
              <w:t>如</w:t>
            </w:r>
            <w:r>
              <w:rPr>
                <w:rFonts w:hint="default" w:ascii="Times New Roman" w:hAnsi="Times New Roman" w:eastAsia="宋体" w:cs="Times New Roman"/>
                <w:color w:val="auto"/>
                <w:spacing w:val="11"/>
                <w:sz w:val="21"/>
                <w:szCs w:val="21"/>
              </w:rPr>
              <w:t xml:space="preserve">果已知声源的倍频带声功率级 </w:t>
            </w:r>
            <w:r>
              <w:rPr>
                <w:rFonts w:hint="default" w:ascii="Times New Roman" w:hAnsi="Times New Roman" w:eastAsia="Times New Roman" w:cs="Times New Roman"/>
                <w:color w:val="auto"/>
                <w:sz w:val="21"/>
                <w:szCs w:val="21"/>
              </w:rPr>
              <w:t>L</w:t>
            </w:r>
            <w:r>
              <w:rPr>
                <w:rFonts w:hint="default" w:ascii="Times New Roman" w:hAnsi="Times New Roman" w:eastAsia="Times New Roman" w:cs="Times New Roman"/>
                <w:color w:val="auto"/>
                <w:position w:val="-1"/>
                <w:sz w:val="21"/>
                <w:szCs w:val="21"/>
              </w:rPr>
              <w:t>w</w:t>
            </w:r>
            <w:r>
              <w:rPr>
                <w:rFonts w:hint="default" w:ascii="Times New Roman" w:hAnsi="Times New Roman" w:eastAsia="Times New Roman" w:cs="Times New Roman"/>
                <w:color w:val="auto"/>
                <w:spacing w:val="11"/>
                <w:position w:val="-1"/>
                <w:sz w:val="21"/>
                <w:szCs w:val="21"/>
              </w:rPr>
              <w:t xml:space="preserve"> </w:t>
            </w:r>
            <w:r>
              <w:rPr>
                <w:rFonts w:hint="default" w:ascii="Times New Roman" w:hAnsi="Times New Roman" w:eastAsia="Times New Roman" w:cs="Times New Roman"/>
                <w:color w:val="auto"/>
                <w:position w:val="-1"/>
                <w:sz w:val="21"/>
                <w:szCs w:val="21"/>
              </w:rPr>
              <w:t>cot</w:t>
            </w:r>
            <w:r>
              <w:rPr>
                <w:rFonts w:hint="default" w:ascii="Times New Roman" w:hAnsi="Times New Roman" w:eastAsia="Times New Roman" w:cs="Times New Roman"/>
                <w:color w:val="auto"/>
                <w:spacing w:val="11"/>
                <w:position w:val="-1"/>
                <w:sz w:val="21"/>
                <w:szCs w:val="21"/>
              </w:rPr>
              <w:t xml:space="preserve"> </w:t>
            </w:r>
            <w:r>
              <w:rPr>
                <w:rFonts w:hint="default" w:ascii="Times New Roman" w:hAnsi="Times New Roman" w:eastAsia="宋体" w:cs="Times New Roman"/>
                <w:color w:val="auto"/>
                <w:spacing w:val="11"/>
                <w:sz w:val="21"/>
                <w:szCs w:val="21"/>
              </w:rPr>
              <w:t>，且声源可看作是位于地面上</w:t>
            </w:r>
            <w:r>
              <w:rPr>
                <w:rFonts w:hint="default" w:ascii="Times New Roman" w:hAnsi="Times New Roman" w:eastAsia="宋体" w:cs="Times New Roman"/>
                <w:color w:val="auto"/>
                <w:sz w:val="21"/>
                <w:szCs w:val="21"/>
              </w:rPr>
              <w:t xml:space="preserve"> 的，则：</w:t>
            </w:r>
          </w:p>
          <w:p w14:paraId="75C5E45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center"/>
              <w:rPr>
                <w:rFonts w:hint="default" w:ascii="Times New Roman" w:hAnsi="Times New Roman" w:eastAsia="Times New Roman" w:cs="Times New Roman"/>
                <w:color w:val="auto"/>
                <w:spacing w:val="9"/>
                <w:position w:val="4"/>
                <w:sz w:val="21"/>
                <w:szCs w:val="21"/>
              </w:rPr>
            </w:pPr>
            <w:r>
              <w:rPr>
                <w:rFonts w:hint="default" w:ascii="Times New Roman" w:hAnsi="Times New Roman" w:eastAsia="Times New Roman" w:cs="Times New Roman"/>
                <w:color w:val="auto"/>
                <w:position w:val="4"/>
                <w:sz w:val="21"/>
                <w:szCs w:val="21"/>
              </w:rPr>
              <w:t>L</w:t>
            </w:r>
            <w:r>
              <w:rPr>
                <w:rFonts w:hint="default" w:ascii="Times New Roman" w:hAnsi="Times New Roman" w:eastAsia="Times New Roman" w:cs="Times New Roman"/>
                <w:color w:val="auto"/>
                <w:position w:val="3"/>
                <w:sz w:val="21"/>
                <w:szCs w:val="21"/>
              </w:rPr>
              <w:t>cot</w:t>
            </w:r>
            <w:r>
              <w:rPr>
                <w:rFonts w:hint="default" w:ascii="Times New Roman" w:hAnsi="Times New Roman" w:eastAsia="Times New Roman" w:cs="Times New Roman"/>
                <w:color w:val="auto"/>
                <w:spacing w:val="9"/>
                <w:position w:val="4"/>
                <w:sz w:val="21"/>
                <w:szCs w:val="21"/>
              </w:rPr>
              <w:t>=</w:t>
            </w:r>
            <w:r>
              <w:rPr>
                <w:rFonts w:hint="default" w:ascii="Times New Roman" w:hAnsi="Times New Roman" w:eastAsia="Times New Roman" w:cs="Times New Roman"/>
                <w:color w:val="auto"/>
                <w:position w:val="4"/>
                <w:sz w:val="21"/>
                <w:szCs w:val="21"/>
              </w:rPr>
              <w:t>L</w:t>
            </w:r>
            <w:r>
              <w:rPr>
                <w:rFonts w:hint="default" w:ascii="Times New Roman" w:hAnsi="Times New Roman" w:eastAsia="Times New Roman" w:cs="Times New Roman"/>
                <w:color w:val="auto"/>
                <w:position w:val="3"/>
                <w:sz w:val="21"/>
                <w:szCs w:val="21"/>
              </w:rPr>
              <w:t>w</w:t>
            </w:r>
            <w:r>
              <w:rPr>
                <w:rFonts w:hint="default" w:ascii="Times New Roman" w:hAnsi="Times New Roman" w:eastAsia="Times New Roman" w:cs="Times New Roman"/>
                <w:color w:val="auto"/>
                <w:spacing w:val="9"/>
                <w:position w:val="3"/>
                <w:sz w:val="21"/>
                <w:szCs w:val="21"/>
              </w:rPr>
              <w:t xml:space="preserve"> </w:t>
            </w:r>
            <w:r>
              <w:rPr>
                <w:rFonts w:hint="default" w:ascii="Times New Roman" w:hAnsi="Times New Roman" w:eastAsia="Times New Roman" w:cs="Times New Roman"/>
                <w:color w:val="auto"/>
                <w:position w:val="3"/>
                <w:sz w:val="21"/>
                <w:szCs w:val="21"/>
              </w:rPr>
              <w:t>cot</w:t>
            </w:r>
            <w:r>
              <w:rPr>
                <w:rFonts w:hint="default" w:ascii="Times New Roman" w:hAnsi="Times New Roman" w:eastAsia="Times New Roman" w:cs="Times New Roman"/>
                <w:color w:val="auto"/>
                <w:spacing w:val="9"/>
                <w:position w:val="4"/>
                <w:sz w:val="21"/>
                <w:szCs w:val="21"/>
              </w:rPr>
              <w:t>-20</w:t>
            </w:r>
            <w:r>
              <w:rPr>
                <w:rFonts w:hint="default" w:ascii="Times New Roman" w:hAnsi="Times New Roman" w:eastAsia="Times New Roman" w:cs="Times New Roman"/>
                <w:color w:val="auto"/>
                <w:position w:val="4"/>
                <w:sz w:val="21"/>
                <w:szCs w:val="21"/>
              </w:rPr>
              <w:t>lgr</w:t>
            </w:r>
            <w:r>
              <w:rPr>
                <w:rFonts w:hint="default" w:ascii="Times New Roman" w:hAnsi="Times New Roman" w:eastAsia="Times New Roman" w:cs="Times New Roman"/>
                <w:color w:val="auto"/>
                <w:spacing w:val="9"/>
                <w:position w:val="3"/>
                <w:sz w:val="21"/>
                <w:szCs w:val="21"/>
              </w:rPr>
              <w:t>0</w:t>
            </w:r>
            <w:r>
              <w:rPr>
                <w:rFonts w:hint="default" w:ascii="Times New Roman" w:hAnsi="Times New Roman" w:eastAsia="Times New Roman" w:cs="Times New Roman"/>
                <w:color w:val="auto"/>
                <w:spacing w:val="9"/>
                <w:position w:val="4"/>
                <w:sz w:val="21"/>
                <w:szCs w:val="21"/>
              </w:rPr>
              <w:t>-8</w:t>
            </w:r>
          </w:p>
          <w:p w14:paraId="685611F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c</w:t>
            </w:r>
            <w:r>
              <w:rPr>
                <w:rFonts w:hint="default" w:ascii="Times New Roman" w:hAnsi="Times New Roman" w:eastAsia="Times New Roman" w:cs="Times New Roman"/>
                <w:color w:val="auto"/>
                <w:spacing w:val="4"/>
                <w:sz w:val="21"/>
                <w:szCs w:val="21"/>
              </w:rPr>
              <w:t xml:space="preserve">. </w:t>
            </w:r>
            <w:r>
              <w:rPr>
                <w:rFonts w:hint="default" w:ascii="Times New Roman" w:hAnsi="Times New Roman" w:eastAsia="宋体" w:cs="Times New Roman"/>
                <w:color w:val="auto"/>
                <w:spacing w:val="3"/>
                <w:sz w:val="21"/>
                <w:szCs w:val="21"/>
              </w:rPr>
              <w:t>由</w:t>
            </w:r>
            <w:r>
              <w:rPr>
                <w:rFonts w:hint="default" w:ascii="Times New Roman" w:hAnsi="Times New Roman" w:eastAsia="宋体" w:cs="Times New Roman"/>
                <w:color w:val="auto"/>
                <w:spacing w:val="2"/>
                <w:sz w:val="21"/>
                <w:szCs w:val="21"/>
              </w:rPr>
              <w:t xml:space="preserve">各倍频带声压级合成计算出该声源产生的 </w:t>
            </w:r>
            <w:r>
              <w:rPr>
                <w:rFonts w:hint="default" w:ascii="Times New Roman" w:hAnsi="Times New Roman" w:eastAsia="Times New Roman" w:cs="Times New Roman"/>
                <w:color w:val="auto"/>
                <w:sz w:val="21"/>
                <w:szCs w:val="21"/>
              </w:rPr>
              <w:t>A</w:t>
            </w:r>
            <w:r>
              <w:rPr>
                <w:rFonts w:hint="default" w:ascii="Times New Roman" w:hAnsi="Times New Roman" w:eastAsia="Times New Roman" w:cs="Times New Roman"/>
                <w:color w:val="auto"/>
                <w:spacing w:val="2"/>
                <w:sz w:val="21"/>
                <w:szCs w:val="21"/>
              </w:rPr>
              <w:t xml:space="preserve"> </w:t>
            </w:r>
            <w:r>
              <w:rPr>
                <w:rFonts w:hint="default" w:ascii="Times New Roman" w:hAnsi="Times New Roman" w:eastAsia="宋体" w:cs="Times New Roman"/>
                <w:color w:val="auto"/>
                <w:spacing w:val="2"/>
                <w:sz w:val="21"/>
                <w:szCs w:val="21"/>
              </w:rPr>
              <w:t xml:space="preserve">声级 </w:t>
            </w:r>
            <w:r>
              <w:rPr>
                <w:rFonts w:hint="default" w:ascii="Times New Roman" w:hAnsi="Times New Roman" w:eastAsia="Times New Roman" w:cs="Times New Roman"/>
                <w:color w:val="auto"/>
                <w:sz w:val="21"/>
                <w:szCs w:val="21"/>
              </w:rPr>
              <w:t>L</w:t>
            </w:r>
            <w:r>
              <w:rPr>
                <w:rFonts w:hint="default" w:ascii="Times New Roman" w:hAnsi="Times New Roman" w:eastAsia="Times New Roman" w:cs="Times New Roman"/>
                <w:color w:val="auto"/>
                <w:position w:val="-1"/>
                <w:sz w:val="21"/>
                <w:szCs w:val="21"/>
              </w:rPr>
              <w:t>A</w:t>
            </w:r>
            <w:r>
              <w:rPr>
                <w:rFonts w:hint="default" w:ascii="Times New Roman" w:hAnsi="Times New Roman" w:eastAsia="宋体" w:cs="Times New Roman"/>
                <w:color w:val="auto"/>
                <w:spacing w:val="2"/>
                <w:sz w:val="21"/>
                <w:szCs w:val="21"/>
              </w:rPr>
              <w:t>：</w:t>
            </w:r>
          </w:p>
          <w:p w14:paraId="532222A2">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ascii="Times New Roman" w:hAnsi="Times New Roman" w:eastAsia="微软雅黑" w:cs="Times New Roman"/>
                <w:color w:val="auto"/>
                <w:sz w:val="21"/>
                <w:szCs w:val="21"/>
              </w:rPr>
            </w:pPr>
            <w:r>
              <w:rPr>
                <w:rFonts w:hint="default" w:ascii="Times New Roman" w:hAnsi="Times New Roman" w:cs="Times New Roman"/>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2548890</wp:posOffset>
                      </wp:positionH>
                      <wp:positionV relativeFrom="paragraph">
                        <wp:posOffset>304165</wp:posOffset>
                      </wp:positionV>
                      <wp:extent cx="2009775" cy="246380"/>
                      <wp:effectExtent l="0" t="0" r="0" b="0"/>
                      <wp:wrapNone/>
                      <wp:docPr id="334" name="文本框 334"/>
                      <wp:cNvGraphicFramePr/>
                      <a:graphic xmlns:a="http://schemas.openxmlformats.org/drawingml/2006/main">
                        <a:graphicData uri="http://schemas.microsoft.com/office/word/2010/wordprocessingShape">
                          <wps:wsp>
                            <wps:cNvSpPr txBox="1"/>
                            <wps:spPr>
                              <a:xfrm flipV="1">
                                <a:off x="0" y="0"/>
                                <a:ext cx="2009775" cy="246380"/>
                              </a:xfrm>
                              <a:prstGeom prst="rect">
                                <a:avLst/>
                              </a:prstGeom>
                              <a:noFill/>
                              <a:ln>
                                <a:noFill/>
                              </a:ln>
                            </wps:spPr>
                            <wps:txbx>
                              <w:txbxContent>
                                <w:p w14:paraId="7346EA59">
                                  <w:pPr>
                                    <w:spacing w:before="19" w:line="222" w:lineRule="auto"/>
                                    <w:ind w:left="20"/>
                                    <w:rPr>
                                      <w:rFonts w:ascii="微软雅黑" w:hAnsi="微软雅黑" w:eastAsia="微软雅黑" w:cs="微软雅黑"/>
                                      <w:sz w:val="24"/>
                                      <w:szCs w:val="24"/>
                                    </w:rPr>
                                  </w:pPr>
                                  <w:r>
                                    <w:rPr>
                                      <w:rFonts w:ascii="微软雅黑" w:hAnsi="微软雅黑" w:eastAsia="微软雅黑" w:cs="微软雅黑"/>
                                      <w:sz w:val="24"/>
                                      <w:szCs w:val="24"/>
                                    </w:rPr>
                                    <w:t>L</w:t>
                                  </w:r>
                                  <w:r>
                                    <w:rPr>
                                      <w:rFonts w:ascii="微软雅黑" w:hAnsi="微软雅黑" w:eastAsia="微软雅黑" w:cs="微软雅黑"/>
                                      <w:spacing w:val="-3"/>
                                      <w:sz w:val="24"/>
                                      <w:szCs w:val="24"/>
                                    </w:rPr>
                                    <w:t xml:space="preserve"> </w:t>
                                  </w:r>
                                  <w:r>
                                    <w:rPr>
                                      <w:rFonts w:ascii="Times New Roman" w:hAnsi="Times New Roman" w:eastAsia="Times New Roman" w:cs="Times New Roman"/>
                                      <w:i/>
                                      <w:iCs/>
                                      <w:sz w:val="14"/>
                                      <w:szCs w:val="14"/>
                                    </w:rPr>
                                    <w:t>i</w:t>
                                  </w:r>
                                  <w:r>
                                    <w:rPr>
                                      <w:rFonts w:ascii="微软雅黑" w:hAnsi="微软雅黑" w:eastAsia="微软雅黑" w:cs="微软雅黑"/>
                                      <w:spacing w:val="-3"/>
                                      <w:sz w:val="14"/>
                                      <w:szCs w:val="14"/>
                                    </w:rPr>
                                    <w:t>=</w:t>
                                  </w:r>
                                  <w:r>
                                    <w:rPr>
                                      <w:rFonts w:ascii="Times New Roman" w:hAnsi="Times New Roman" w:eastAsia="Times New Roman" w:cs="Times New Roman"/>
                                      <w:spacing w:val="-3"/>
                                      <w:sz w:val="14"/>
                                      <w:szCs w:val="14"/>
                                    </w:rPr>
                                    <w:t xml:space="preserve">1                              </w:t>
                                  </w:r>
                                </w:p>
                              </w:txbxContent>
                            </wps:txbx>
                            <wps:bodyPr lIns="0" tIns="0" rIns="0" bIns="0" upright="1"/>
                          </wps:wsp>
                        </a:graphicData>
                      </a:graphic>
                    </wp:anchor>
                  </w:drawing>
                </mc:Choice>
                <mc:Fallback>
                  <w:pict>
                    <v:shape id="_x0000_s1026" o:spid="_x0000_s1026" o:spt="202" type="#_x0000_t202" style="position:absolute;left:0pt;flip:y;margin-left:200.7pt;margin-top:23.95pt;height:19.4pt;width:158.25pt;z-index:251662336;mso-width-relative:page;mso-height-relative:page;" filled="f" stroked="f" coordsize="21600,21600" o:gfxdata="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7gn9V1wAAAAkBAAAPAAAAAAAAAAEAIAAAACIAAABkcnMvZG93bnJl&#10;di54bWxQSwECFAAUAAAACACHTuJA0yBe6MUBAACAAwAADgAAAAAAAAABACAAAAAmAQAAZHJzL2Uy&#10;b0RvYy54bWxQSwUGAAAAAAYABgBZAQAAXQUAAAAA&#10;">
                      <v:fill on="f" focussize="0,0"/>
                      <v:stroke on="f"/>
                      <v:imagedata o:title=""/>
                      <o:lock v:ext="edit" aspectratio="f"/>
                      <v:textbox inset="0mm,0mm,0mm,0mm">
                        <w:txbxContent>
                          <w:p w14:paraId="7346EA59">
                            <w:pPr>
                              <w:spacing w:before="19" w:line="222" w:lineRule="auto"/>
                              <w:ind w:left="20"/>
                              <w:rPr>
                                <w:rFonts w:ascii="微软雅黑" w:hAnsi="微软雅黑" w:eastAsia="微软雅黑" w:cs="微软雅黑"/>
                                <w:sz w:val="24"/>
                                <w:szCs w:val="24"/>
                              </w:rPr>
                            </w:pPr>
                            <w:r>
                              <w:rPr>
                                <w:rFonts w:ascii="微软雅黑" w:hAnsi="微软雅黑" w:eastAsia="微软雅黑" w:cs="微软雅黑"/>
                                <w:sz w:val="24"/>
                                <w:szCs w:val="24"/>
                              </w:rPr>
                              <w:t>L</w:t>
                            </w:r>
                            <w:r>
                              <w:rPr>
                                <w:rFonts w:ascii="微软雅黑" w:hAnsi="微软雅黑" w:eastAsia="微软雅黑" w:cs="微软雅黑"/>
                                <w:spacing w:val="-3"/>
                                <w:sz w:val="24"/>
                                <w:szCs w:val="24"/>
                              </w:rPr>
                              <w:t xml:space="preserve"> </w:t>
                            </w:r>
                            <w:r>
                              <w:rPr>
                                <w:rFonts w:ascii="Times New Roman" w:hAnsi="Times New Roman" w:eastAsia="Times New Roman" w:cs="Times New Roman"/>
                                <w:i/>
                                <w:iCs/>
                                <w:sz w:val="14"/>
                                <w:szCs w:val="14"/>
                              </w:rPr>
                              <w:t>i</w:t>
                            </w:r>
                            <w:r>
                              <w:rPr>
                                <w:rFonts w:ascii="微软雅黑" w:hAnsi="微软雅黑" w:eastAsia="微软雅黑" w:cs="微软雅黑"/>
                                <w:spacing w:val="-3"/>
                                <w:sz w:val="14"/>
                                <w:szCs w:val="14"/>
                              </w:rPr>
                              <w:t>=</w:t>
                            </w:r>
                            <w:r>
                              <w:rPr>
                                <w:rFonts w:ascii="Times New Roman" w:hAnsi="Times New Roman" w:eastAsia="Times New Roman" w:cs="Times New Roman"/>
                                <w:spacing w:val="-3"/>
                                <w:sz w:val="14"/>
                                <w:szCs w:val="14"/>
                              </w:rPr>
                              <w:t xml:space="preserve">1                              </w:t>
                            </w:r>
                          </w:p>
                        </w:txbxContent>
                      </v:textbox>
                    </v:shape>
                  </w:pict>
                </mc:Fallback>
              </mc:AlternateContent>
            </w:r>
            <w:r>
              <w:rPr>
                <w:rFonts w:hint="default" w:ascii="Times New Roman" w:hAnsi="Times New Roman" w:eastAsia="Times New Roman" w:cs="Times New Roman"/>
                <w:i/>
                <w:iCs/>
                <w:color w:val="auto"/>
                <w:spacing w:val="-8"/>
                <w:position w:val="-3"/>
                <w:sz w:val="21"/>
                <w:szCs w:val="21"/>
              </w:rPr>
              <w:t>L</w:t>
            </w:r>
            <w:r>
              <w:rPr>
                <w:rFonts w:hint="default" w:ascii="Times New Roman" w:hAnsi="Times New Roman" w:eastAsia="Times New Roman" w:cs="Times New Roman"/>
                <w:i/>
                <w:iCs/>
                <w:color w:val="auto"/>
                <w:spacing w:val="-8"/>
                <w:position w:val="-9"/>
                <w:sz w:val="21"/>
                <w:szCs w:val="21"/>
              </w:rPr>
              <w:t>A</w:t>
            </w:r>
            <w:r>
              <w:rPr>
                <w:rFonts w:hint="default" w:ascii="Times New Roman" w:hAnsi="Times New Roman" w:eastAsia="Times New Roman" w:cs="Times New Roman"/>
                <w:color w:val="auto"/>
                <w:spacing w:val="-16"/>
                <w:position w:val="-9"/>
                <w:sz w:val="21"/>
                <w:szCs w:val="21"/>
              </w:rPr>
              <w:t xml:space="preserve">  </w:t>
            </w:r>
            <w:r>
              <w:rPr>
                <w:rFonts w:hint="default" w:ascii="Times New Roman" w:hAnsi="Times New Roman" w:eastAsia="微软雅黑" w:cs="Times New Roman"/>
                <w:color w:val="auto"/>
                <w:spacing w:val="-8"/>
                <w:position w:val="-3"/>
                <w:sz w:val="21"/>
                <w:szCs w:val="21"/>
              </w:rPr>
              <w:t xml:space="preserve">= </w:t>
            </w:r>
            <w:r>
              <w:rPr>
                <w:rFonts w:hint="default" w:ascii="Times New Roman" w:hAnsi="Times New Roman" w:eastAsia="Times New Roman" w:cs="Times New Roman"/>
                <w:color w:val="auto"/>
                <w:spacing w:val="-8"/>
                <w:position w:val="-3"/>
                <w:sz w:val="21"/>
                <w:szCs w:val="21"/>
              </w:rPr>
              <w:t>10lg</w:t>
            </w:r>
            <w:r>
              <w:rPr>
                <w:rFonts w:hint="default" w:ascii="Times New Roman" w:hAnsi="Times New Roman" w:eastAsia="微软雅黑" w:cs="Times New Roman"/>
                <w:color w:val="auto"/>
                <w:spacing w:val="-8"/>
                <w:sz w:val="21"/>
                <w:szCs w:val="21"/>
              </w:rPr>
              <w:t>「|</w:t>
            </w:r>
            <w:r>
              <w:rPr>
                <w:rFonts w:hint="default" w:ascii="Times New Roman" w:hAnsi="Times New Roman" w:eastAsia="微软雅黑" w:cs="Times New Roman"/>
                <w:color w:val="auto"/>
                <w:spacing w:val="-8"/>
                <w:position w:val="-8"/>
                <w:sz w:val="21"/>
                <w:szCs w:val="21"/>
              </w:rPr>
              <w:t>x</w:t>
            </w:r>
            <w:r>
              <w:rPr>
                <w:rFonts w:hint="default" w:ascii="Times New Roman" w:hAnsi="Times New Roman" w:eastAsia="Times New Roman" w:cs="Times New Roman"/>
                <w:i/>
                <w:iCs/>
                <w:color w:val="auto"/>
                <w:spacing w:val="-8"/>
                <w:position w:val="21"/>
                <w:sz w:val="21"/>
                <w:szCs w:val="21"/>
              </w:rPr>
              <w:t>n</w:t>
            </w:r>
            <w:r>
              <w:rPr>
                <w:rFonts w:hint="default" w:ascii="Times New Roman" w:hAnsi="Times New Roman" w:eastAsia="Times New Roman" w:cs="Times New Roman"/>
                <w:color w:val="auto"/>
                <w:spacing w:val="-8"/>
                <w:position w:val="-3"/>
                <w:sz w:val="21"/>
                <w:szCs w:val="21"/>
              </w:rPr>
              <w:t>10</w:t>
            </w:r>
            <w:r>
              <w:rPr>
                <w:rFonts w:hint="default" w:ascii="Times New Roman" w:hAnsi="Times New Roman" w:eastAsia="Times New Roman" w:cs="Times New Roman"/>
                <w:color w:val="auto"/>
                <w:spacing w:val="-8"/>
                <w:position w:val="10"/>
                <w:sz w:val="21"/>
                <w:szCs w:val="21"/>
              </w:rPr>
              <w:t>0. 1</w:t>
            </w:r>
            <w:r>
              <w:rPr>
                <w:rFonts w:hint="default" w:ascii="Times New Roman" w:hAnsi="Times New Roman" w:eastAsia="微软雅黑" w:cs="Times New Roman"/>
                <w:color w:val="auto"/>
                <w:spacing w:val="-8"/>
                <w:position w:val="10"/>
                <w:sz w:val="21"/>
                <w:szCs w:val="21"/>
              </w:rPr>
              <w:t>(</w:t>
            </w:r>
            <w:r>
              <w:rPr>
                <w:rFonts w:hint="default" w:ascii="Times New Roman" w:hAnsi="Times New Roman" w:eastAsia="Times New Roman" w:cs="Times New Roman"/>
                <w:i/>
                <w:iCs/>
                <w:color w:val="auto"/>
                <w:spacing w:val="-8"/>
                <w:position w:val="10"/>
                <w:sz w:val="21"/>
                <w:szCs w:val="21"/>
              </w:rPr>
              <w:t>L</w:t>
            </w:r>
            <w:r>
              <w:rPr>
                <w:rFonts w:hint="default" w:ascii="Times New Roman" w:hAnsi="Times New Roman" w:eastAsia="Times New Roman" w:cs="Times New Roman"/>
                <w:i/>
                <w:iCs/>
                <w:color w:val="auto"/>
                <w:spacing w:val="-8"/>
                <w:position w:val="6"/>
                <w:sz w:val="21"/>
                <w:szCs w:val="21"/>
              </w:rPr>
              <w:t>pi</w:t>
            </w:r>
            <w:r>
              <w:rPr>
                <w:rFonts w:hint="default" w:ascii="Times New Roman" w:hAnsi="Times New Roman" w:eastAsia="Times New Roman" w:cs="Times New Roman"/>
                <w:color w:val="auto"/>
                <w:spacing w:val="-8"/>
                <w:position w:val="6"/>
                <w:sz w:val="21"/>
                <w:szCs w:val="21"/>
              </w:rPr>
              <w:t xml:space="preserve"> </w:t>
            </w:r>
            <w:r>
              <w:rPr>
                <w:rFonts w:hint="default" w:ascii="Times New Roman" w:hAnsi="Times New Roman" w:eastAsia="微软雅黑" w:cs="Times New Roman"/>
                <w:color w:val="auto"/>
                <w:spacing w:val="-8"/>
                <w:position w:val="10"/>
                <w:sz w:val="21"/>
                <w:szCs w:val="21"/>
              </w:rPr>
              <w:t>-编</w:t>
            </w:r>
            <w:r>
              <w:rPr>
                <w:rFonts w:hint="default" w:ascii="Times New Roman" w:hAnsi="Times New Roman" w:eastAsia="Times New Roman" w:cs="Times New Roman"/>
                <w:i/>
                <w:iCs/>
                <w:color w:val="auto"/>
                <w:spacing w:val="-8"/>
                <w:position w:val="10"/>
                <w:sz w:val="21"/>
                <w:szCs w:val="21"/>
              </w:rPr>
              <w:t>L</w:t>
            </w:r>
            <w:r>
              <w:rPr>
                <w:rFonts w:hint="default" w:ascii="Times New Roman" w:hAnsi="Times New Roman" w:eastAsia="Times New Roman" w:cs="Times New Roman"/>
                <w:i/>
                <w:iCs/>
                <w:color w:val="auto"/>
                <w:spacing w:val="-8"/>
                <w:position w:val="6"/>
                <w:sz w:val="21"/>
                <w:szCs w:val="21"/>
              </w:rPr>
              <w:t>i</w:t>
            </w:r>
            <w:r>
              <w:rPr>
                <w:rFonts w:hint="default" w:ascii="Times New Roman" w:hAnsi="Times New Roman" w:eastAsia="Times New Roman" w:cs="Times New Roman"/>
                <w:color w:val="auto"/>
                <w:spacing w:val="-8"/>
                <w:position w:val="6"/>
                <w:sz w:val="21"/>
                <w:szCs w:val="21"/>
              </w:rPr>
              <w:t xml:space="preserve"> </w:t>
            </w:r>
            <w:r>
              <w:rPr>
                <w:rFonts w:hint="default" w:ascii="Times New Roman" w:hAnsi="Times New Roman" w:eastAsia="微软雅黑" w:cs="Times New Roman"/>
                <w:color w:val="auto"/>
                <w:spacing w:val="-8"/>
                <w:position w:val="10"/>
                <w:sz w:val="21"/>
                <w:szCs w:val="21"/>
              </w:rPr>
              <w:t>)</w:t>
            </w:r>
            <w:r>
              <w:rPr>
                <w:rFonts w:hint="default" w:ascii="Times New Roman" w:hAnsi="Times New Roman" w:eastAsia="微软雅黑" w:cs="Times New Roman"/>
                <w:color w:val="auto"/>
                <w:spacing w:val="-8"/>
                <w:position w:val="12"/>
                <w:sz w:val="21"/>
                <w:szCs w:val="21"/>
              </w:rPr>
              <w:t>]</w:t>
            </w:r>
            <w:r>
              <w:rPr>
                <w:rFonts w:hint="default" w:ascii="Times New Roman" w:hAnsi="Times New Roman" w:eastAsia="微软雅黑" w:cs="Times New Roman"/>
                <w:color w:val="auto"/>
                <w:spacing w:val="-8"/>
                <w:position w:val="-11"/>
                <w:sz w:val="21"/>
                <w:szCs w:val="21"/>
              </w:rPr>
              <w:t>|</w:t>
            </w:r>
          </w:p>
          <w:p w14:paraId="6EE51519">
            <w:pPr>
              <w:keepNext w:val="0"/>
              <w:keepLines w:val="0"/>
              <w:pageBreakBefore w:val="0"/>
              <w:widowControl w:val="0"/>
              <w:kinsoku/>
              <w:wordWrap/>
              <w:overflowPunct/>
              <w:topLinePunct w:val="0"/>
              <w:autoSpaceDE/>
              <w:autoSpaceDN/>
              <w:bidi w:val="0"/>
              <w:adjustRightInd/>
              <w:snapToGrid/>
              <w:spacing w:line="360" w:lineRule="auto"/>
              <w:ind w:left="0" w:right="0" w:firstLine="436"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position w:val="1"/>
                <w:sz w:val="21"/>
                <w:szCs w:val="21"/>
              </w:rPr>
              <w:t>式中</w:t>
            </w:r>
            <w:r>
              <w:rPr>
                <w:rFonts w:hint="default" w:ascii="Times New Roman" w:hAnsi="Times New Roman" w:eastAsia="Times New Roman" w:cs="Times New Roman"/>
                <w:color w:val="auto"/>
                <w:spacing w:val="4"/>
                <w:position w:val="1"/>
                <w:sz w:val="21"/>
                <w:szCs w:val="21"/>
              </w:rPr>
              <w:t>Δ</w:t>
            </w:r>
            <w:r>
              <w:rPr>
                <w:rFonts w:hint="default" w:ascii="Times New Roman" w:hAnsi="Times New Roman" w:eastAsia="Times New Roman" w:cs="Times New Roman"/>
                <w:color w:val="auto"/>
                <w:position w:val="1"/>
                <w:sz w:val="21"/>
                <w:szCs w:val="21"/>
              </w:rPr>
              <w:t>Li</w:t>
            </w:r>
            <w:r>
              <w:rPr>
                <w:rFonts w:hint="default" w:ascii="Times New Roman" w:hAnsi="Times New Roman" w:eastAsia="Times New Roman" w:cs="Times New Roman"/>
                <w:color w:val="auto"/>
                <w:spacing w:val="4"/>
                <w:position w:val="1"/>
                <w:sz w:val="21"/>
                <w:szCs w:val="21"/>
              </w:rPr>
              <w:t xml:space="preserve"> </w:t>
            </w:r>
            <w:r>
              <w:rPr>
                <w:rFonts w:hint="default" w:ascii="Times New Roman" w:hAnsi="Times New Roman" w:eastAsia="宋体" w:cs="Times New Roman"/>
                <w:color w:val="auto"/>
                <w:spacing w:val="4"/>
                <w:position w:val="1"/>
                <w:sz w:val="21"/>
                <w:szCs w:val="21"/>
              </w:rPr>
              <w:t xml:space="preserve">为 </w:t>
            </w:r>
            <w:r>
              <w:rPr>
                <w:rFonts w:hint="default" w:ascii="Times New Roman" w:hAnsi="Times New Roman" w:eastAsia="Times New Roman" w:cs="Times New Roman"/>
                <w:color w:val="auto"/>
                <w:position w:val="1"/>
                <w:sz w:val="21"/>
                <w:szCs w:val="21"/>
              </w:rPr>
              <w:t>A</w:t>
            </w:r>
            <w:r>
              <w:rPr>
                <w:rFonts w:hint="default" w:ascii="Times New Roman" w:hAnsi="Times New Roman" w:eastAsia="Times New Roman" w:cs="Times New Roman"/>
                <w:color w:val="auto"/>
                <w:spacing w:val="4"/>
                <w:position w:val="1"/>
                <w:sz w:val="21"/>
                <w:szCs w:val="21"/>
              </w:rPr>
              <w:t xml:space="preserve"> </w:t>
            </w:r>
            <w:r>
              <w:rPr>
                <w:rFonts w:hint="default" w:ascii="Times New Roman" w:hAnsi="Times New Roman" w:eastAsia="宋体" w:cs="Times New Roman"/>
                <w:color w:val="auto"/>
                <w:spacing w:val="4"/>
                <w:position w:val="1"/>
                <w:sz w:val="21"/>
                <w:szCs w:val="21"/>
              </w:rPr>
              <w:t>计权网络修正值</w:t>
            </w:r>
            <w:r>
              <w:rPr>
                <w:rFonts w:hint="default" w:ascii="Times New Roman" w:hAnsi="Times New Roman" w:eastAsia="宋体" w:cs="Times New Roman"/>
                <w:color w:val="auto"/>
                <w:spacing w:val="1"/>
                <w:position w:val="1"/>
                <w:sz w:val="21"/>
                <w:szCs w:val="21"/>
              </w:rPr>
              <w:t>。</w:t>
            </w:r>
          </w:p>
          <w:p w14:paraId="1372BF0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position w:val="1"/>
                <w:sz w:val="21"/>
                <w:szCs w:val="21"/>
              </w:rPr>
              <w:t>d</w:t>
            </w:r>
            <w:r>
              <w:rPr>
                <w:rFonts w:hint="default" w:ascii="Times New Roman" w:hAnsi="Times New Roman" w:eastAsia="Times New Roman" w:cs="Times New Roman"/>
                <w:color w:val="auto"/>
                <w:spacing w:val="14"/>
                <w:position w:val="1"/>
                <w:sz w:val="21"/>
                <w:szCs w:val="21"/>
              </w:rPr>
              <w:t>.</w:t>
            </w:r>
            <w:r>
              <w:rPr>
                <w:rFonts w:hint="default" w:ascii="Times New Roman" w:hAnsi="Times New Roman" w:eastAsia="宋体" w:cs="Times New Roman"/>
                <w:color w:val="auto"/>
                <w:spacing w:val="9"/>
                <w:position w:val="1"/>
                <w:sz w:val="21"/>
                <w:szCs w:val="21"/>
              </w:rPr>
              <w:t>各声源在预测点产生的声级的合成</w:t>
            </w:r>
          </w:p>
          <w:p w14:paraId="01E5520C">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ascii="Times New Roman" w:hAnsi="Times New Roman" w:cs="Times New Roman"/>
                <w:color w:val="auto"/>
                <w:sz w:val="21"/>
                <w:szCs w:val="21"/>
              </w:rPr>
            </w:pPr>
            <w:r>
              <w:rPr>
                <w:rFonts w:hint="default" w:ascii="Times New Roman" w:hAnsi="Times New Roman" w:eastAsia="Times New Roman" w:cs="Times New Roman"/>
                <w:i/>
                <w:iCs/>
                <w:color w:val="auto"/>
                <w:position w:val="3"/>
                <w:sz w:val="21"/>
                <w:szCs w:val="21"/>
              </w:rPr>
              <w:t>L</w:t>
            </w:r>
            <w:r>
              <w:rPr>
                <w:rFonts w:hint="default" w:ascii="Times New Roman" w:hAnsi="Times New Roman" w:eastAsia="Times New Roman" w:cs="Times New Roman"/>
                <w:i/>
                <w:iCs/>
                <w:color w:val="auto"/>
                <w:position w:val="-2"/>
                <w:sz w:val="21"/>
                <w:szCs w:val="21"/>
              </w:rPr>
              <w:t>TP</w:t>
            </w:r>
            <w:r>
              <w:rPr>
                <w:rFonts w:hint="default" w:ascii="Times New Roman" w:hAnsi="Times New Roman" w:eastAsia="Times New Roman" w:cs="Times New Roman"/>
                <w:color w:val="auto"/>
                <w:spacing w:val="6"/>
                <w:position w:val="-2"/>
                <w:sz w:val="21"/>
                <w:szCs w:val="21"/>
              </w:rPr>
              <w:t xml:space="preserve">   </w:t>
            </w:r>
            <w:r>
              <w:rPr>
                <w:rFonts w:hint="default" w:ascii="Times New Roman" w:hAnsi="Times New Roman" w:eastAsia="微软雅黑" w:cs="Times New Roman"/>
                <w:color w:val="auto"/>
                <w:spacing w:val="5"/>
                <w:position w:val="3"/>
                <w:sz w:val="21"/>
                <w:szCs w:val="21"/>
              </w:rPr>
              <w:t>=</w:t>
            </w:r>
            <w:r>
              <w:rPr>
                <w:rFonts w:hint="default" w:ascii="Times New Roman" w:hAnsi="Times New Roman" w:eastAsia="微软雅黑" w:cs="Times New Roman"/>
                <w:color w:val="auto"/>
                <w:spacing w:val="3"/>
                <w:position w:val="3"/>
                <w:sz w:val="21"/>
                <w:szCs w:val="21"/>
              </w:rPr>
              <w:t xml:space="preserve"> </w:t>
            </w:r>
            <w:r>
              <w:rPr>
                <w:rFonts w:hint="default" w:ascii="Times New Roman" w:hAnsi="Times New Roman" w:eastAsia="Times New Roman" w:cs="Times New Roman"/>
                <w:color w:val="auto"/>
                <w:spacing w:val="3"/>
                <w:position w:val="3"/>
                <w:sz w:val="21"/>
                <w:szCs w:val="21"/>
              </w:rPr>
              <w:t>10</w:t>
            </w:r>
            <w:r>
              <w:rPr>
                <w:rFonts w:hint="default" w:ascii="Times New Roman" w:hAnsi="Times New Roman" w:eastAsia="Times New Roman" w:cs="Times New Roman"/>
                <w:color w:val="auto"/>
                <w:position w:val="3"/>
                <w:sz w:val="21"/>
                <w:szCs w:val="21"/>
              </w:rPr>
              <w:t>lg</w:t>
            </w:r>
            <w:r>
              <w:rPr>
                <w:rFonts w:hint="default" w:ascii="Times New Roman" w:hAnsi="Times New Roman" w:cs="Times New Roman"/>
                <w:color w:val="auto"/>
                <w:position w:val="-24"/>
                <w:sz w:val="21"/>
                <w:szCs w:val="21"/>
              </w:rPr>
              <w:drawing>
                <wp:inline distT="0" distB="0" distL="0" distR="0">
                  <wp:extent cx="62230" cy="422910"/>
                  <wp:effectExtent l="0" t="0" r="13970" b="15240"/>
                  <wp:docPr id="335" name="IM 10"/>
                  <wp:cNvGraphicFramePr/>
                  <a:graphic xmlns:a="http://schemas.openxmlformats.org/drawingml/2006/main">
                    <a:graphicData uri="http://schemas.openxmlformats.org/drawingml/2006/picture">
                      <pic:pic xmlns:pic="http://schemas.openxmlformats.org/drawingml/2006/picture">
                        <pic:nvPicPr>
                          <pic:cNvPr id="335" name="IM 10"/>
                          <pic:cNvPicPr/>
                        </pic:nvPicPr>
                        <pic:blipFill>
                          <a:blip r:embed="rId13"/>
                          <a:stretch>
                            <a:fillRect/>
                          </a:stretch>
                        </pic:blipFill>
                        <pic:spPr>
                          <a:xfrm>
                            <a:off x="0" y="0"/>
                            <a:ext cx="62365" cy="423148"/>
                          </a:xfrm>
                          <a:prstGeom prst="rect">
                            <a:avLst/>
                          </a:prstGeom>
                        </pic:spPr>
                      </pic:pic>
                    </a:graphicData>
                  </a:graphic>
                </wp:inline>
              </w:drawing>
            </w:r>
            <w:r>
              <w:rPr>
                <w:rFonts w:hint="default" w:ascii="Times New Roman" w:hAnsi="Times New Roman" w:cs="Times New Roman"/>
                <w:color w:val="auto"/>
                <w:position w:val="-22"/>
                <w:sz w:val="21"/>
                <w:szCs w:val="21"/>
              </w:rPr>
              <w:drawing>
                <wp:inline distT="0" distB="0" distL="0" distR="0">
                  <wp:extent cx="168275" cy="361950"/>
                  <wp:effectExtent l="0" t="0" r="3175" b="0"/>
                  <wp:docPr id="336" name="IM 11"/>
                  <wp:cNvGraphicFramePr/>
                  <a:graphic xmlns:a="http://schemas.openxmlformats.org/drawingml/2006/main">
                    <a:graphicData uri="http://schemas.openxmlformats.org/drawingml/2006/picture">
                      <pic:pic xmlns:pic="http://schemas.openxmlformats.org/drawingml/2006/picture">
                        <pic:nvPicPr>
                          <pic:cNvPr id="336" name="IM 11"/>
                          <pic:cNvPicPr/>
                        </pic:nvPicPr>
                        <pic:blipFill>
                          <a:blip r:embed="rId14"/>
                          <a:stretch>
                            <a:fillRect/>
                          </a:stretch>
                        </pic:blipFill>
                        <pic:spPr>
                          <a:xfrm>
                            <a:off x="0" y="0"/>
                            <a:ext cx="168778" cy="362331"/>
                          </a:xfrm>
                          <a:prstGeom prst="rect">
                            <a:avLst/>
                          </a:prstGeom>
                        </pic:spPr>
                      </pic:pic>
                    </a:graphicData>
                  </a:graphic>
                </wp:inline>
              </w:drawing>
            </w:r>
            <w:r>
              <w:rPr>
                <w:rFonts w:hint="default" w:ascii="Times New Roman" w:hAnsi="Times New Roman" w:eastAsia="Times New Roman" w:cs="Times New Roman"/>
                <w:color w:val="auto"/>
                <w:spacing w:val="3"/>
                <w:position w:val="3"/>
                <w:sz w:val="21"/>
                <w:szCs w:val="21"/>
              </w:rPr>
              <w:t>10</w:t>
            </w:r>
            <w:r>
              <w:rPr>
                <w:rFonts w:hint="default" w:ascii="Times New Roman" w:hAnsi="Times New Roman" w:eastAsia="Times New Roman" w:cs="Times New Roman"/>
                <w:color w:val="auto"/>
                <w:spacing w:val="3"/>
                <w:position w:val="16"/>
                <w:sz w:val="21"/>
                <w:szCs w:val="21"/>
              </w:rPr>
              <w:t>0. 1</w:t>
            </w:r>
            <w:r>
              <w:rPr>
                <w:rFonts w:hint="default" w:ascii="Times New Roman" w:hAnsi="Times New Roman" w:eastAsia="Times New Roman" w:cs="Times New Roman"/>
                <w:i/>
                <w:iCs/>
                <w:color w:val="auto"/>
                <w:position w:val="16"/>
                <w:sz w:val="21"/>
                <w:szCs w:val="21"/>
              </w:rPr>
              <w:t>L</w:t>
            </w:r>
            <w:r>
              <w:rPr>
                <w:rFonts w:hint="default" w:ascii="Times New Roman" w:hAnsi="Times New Roman" w:eastAsia="Times New Roman" w:cs="Times New Roman"/>
                <w:i/>
                <w:iCs/>
                <w:color w:val="auto"/>
                <w:position w:val="13"/>
                <w:sz w:val="21"/>
                <w:szCs w:val="21"/>
              </w:rPr>
              <w:t>pi</w:t>
            </w:r>
            <w:r>
              <w:rPr>
                <w:rFonts w:hint="default" w:ascii="Times New Roman" w:hAnsi="Times New Roman" w:eastAsia="Times New Roman" w:cs="Times New Roman"/>
                <w:color w:val="auto"/>
                <w:spacing w:val="3"/>
                <w:position w:val="13"/>
                <w:sz w:val="21"/>
                <w:szCs w:val="21"/>
              </w:rPr>
              <w:t xml:space="preserve">  </w:t>
            </w:r>
            <w:r>
              <w:rPr>
                <w:rFonts w:hint="default" w:ascii="Times New Roman" w:hAnsi="Times New Roman" w:cs="Times New Roman"/>
                <w:color w:val="auto"/>
                <w:position w:val="-24"/>
                <w:sz w:val="21"/>
                <w:szCs w:val="21"/>
              </w:rPr>
              <w:drawing>
                <wp:inline distT="0" distB="0" distL="0" distR="0">
                  <wp:extent cx="59055" cy="422910"/>
                  <wp:effectExtent l="0" t="0" r="17145" b="15240"/>
                  <wp:docPr id="337" name="IM 12"/>
                  <wp:cNvGraphicFramePr/>
                  <a:graphic xmlns:a="http://schemas.openxmlformats.org/drawingml/2006/main">
                    <a:graphicData uri="http://schemas.openxmlformats.org/drawingml/2006/picture">
                      <pic:pic xmlns:pic="http://schemas.openxmlformats.org/drawingml/2006/picture">
                        <pic:nvPicPr>
                          <pic:cNvPr id="337" name="IM 12"/>
                          <pic:cNvPicPr/>
                        </pic:nvPicPr>
                        <pic:blipFill>
                          <a:blip r:embed="rId15"/>
                          <a:stretch>
                            <a:fillRect/>
                          </a:stretch>
                        </pic:blipFill>
                        <pic:spPr>
                          <a:xfrm>
                            <a:off x="0" y="0"/>
                            <a:ext cx="59597" cy="423148"/>
                          </a:xfrm>
                          <a:prstGeom prst="rect">
                            <a:avLst/>
                          </a:prstGeom>
                        </pic:spPr>
                      </pic:pic>
                    </a:graphicData>
                  </a:graphic>
                </wp:inline>
              </w:drawing>
            </w:r>
          </w:p>
          <w:p w14:paraId="08BFFF33">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0"/>
                <w:sz w:val="21"/>
                <w:szCs w:val="21"/>
              </w:rPr>
              <w:t>②</w:t>
            </w:r>
            <w:r>
              <w:rPr>
                <w:rFonts w:hint="default" w:ascii="Times New Roman" w:hAnsi="Times New Roman" w:eastAsia="宋体" w:cs="Times New Roman"/>
                <w:color w:val="auto"/>
                <w:spacing w:val="19"/>
                <w:sz w:val="21"/>
                <w:szCs w:val="21"/>
              </w:rPr>
              <w:t>室内点声源的预测</w:t>
            </w:r>
          </w:p>
          <w:p w14:paraId="02733E8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a</w:t>
            </w:r>
            <w:r>
              <w:rPr>
                <w:rFonts w:hint="default" w:ascii="Times New Roman" w:hAnsi="Times New Roman" w:eastAsia="Times New Roman" w:cs="Times New Roman"/>
                <w:color w:val="auto"/>
                <w:spacing w:val="16"/>
                <w:sz w:val="21"/>
                <w:szCs w:val="21"/>
              </w:rPr>
              <w:t>.</w:t>
            </w:r>
            <w:r>
              <w:rPr>
                <w:rFonts w:hint="default" w:ascii="Times New Roman" w:hAnsi="Times New Roman" w:eastAsia="宋体" w:cs="Times New Roman"/>
                <w:color w:val="auto"/>
                <w:spacing w:val="13"/>
                <w:sz w:val="21"/>
                <w:szCs w:val="21"/>
              </w:rPr>
              <w:t>室</w:t>
            </w:r>
            <w:r>
              <w:rPr>
                <w:rFonts w:hint="default" w:ascii="Times New Roman" w:hAnsi="Times New Roman" w:eastAsia="宋体" w:cs="Times New Roman"/>
                <w:color w:val="auto"/>
                <w:spacing w:val="8"/>
                <w:sz w:val="21"/>
                <w:szCs w:val="21"/>
              </w:rPr>
              <w:t>内靠近围护结构处的倍频带声压级：</w:t>
            </w:r>
          </w:p>
          <w:p w14:paraId="5F858DA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0" distR="0">
                  <wp:extent cx="1957705" cy="528320"/>
                  <wp:effectExtent l="0" t="0" r="4445" b="5080"/>
                  <wp:docPr id="338" name="IM 13"/>
                  <wp:cNvGraphicFramePr/>
                  <a:graphic xmlns:a="http://schemas.openxmlformats.org/drawingml/2006/main">
                    <a:graphicData uri="http://schemas.openxmlformats.org/drawingml/2006/picture">
                      <pic:pic xmlns:pic="http://schemas.openxmlformats.org/drawingml/2006/picture">
                        <pic:nvPicPr>
                          <pic:cNvPr id="338" name="IM 13"/>
                          <pic:cNvPicPr/>
                        </pic:nvPicPr>
                        <pic:blipFill>
                          <a:blip r:embed="rId16"/>
                          <a:stretch>
                            <a:fillRect/>
                          </a:stretch>
                        </pic:blipFill>
                        <pic:spPr>
                          <a:xfrm>
                            <a:off x="0" y="0"/>
                            <a:ext cx="1958339" cy="528828"/>
                          </a:xfrm>
                          <a:prstGeom prst="rect">
                            <a:avLst/>
                          </a:prstGeom>
                        </pic:spPr>
                      </pic:pic>
                    </a:graphicData>
                  </a:graphic>
                </wp:inline>
              </w:drawing>
            </w:r>
          </w:p>
          <w:p w14:paraId="538C0569">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3"/>
                <w:sz w:val="21"/>
                <w:szCs w:val="21"/>
              </w:rPr>
              <w:t>式</w:t>
            </w:r>
            <w:r>
              <w:rPr>
                <w:rFonts w:hint="default" w:ascii="Times New Roman" w:hAnsi="Times New Roman" w:eastAsia="宋体" w:cs="Times New Roman"/>
                <w:color w:val="auto"/>
                <w:spacing w:val="8"/>
                <w:sz w:val="21"/>
                <w:szCs w:val="21"/>
              </w:rPr>
              <w:t>中：</w:t>
            </w:r>
            <w:r>
              <w:rPr>
                <w:rFonts w:hint="default" w:ascii="Times New Roman" w:hAnsi="Times New Roman" w:eastAsia="Times New Roman" w:cs="Times New Roman"/>
                <w:color w:val="auto"/>
                <w:sz w:val="21"/>
                <w:szCs w:val="21"/>
              </w:rPr>
              <w:t>r</w:t>
            </w:r>
            <w:r>
              <w:rPr>
                <w:rFonts w:hint="default" w:ascii="Times New Roman" w:hAnsi="Times New Roman" w:eastAsia="Times New Roman" w:cs="Times New Roman"/>
                <w:color w:val="auto"/>
                <w:spacing w:val="8"/>
                <w:sz w:val="21"/>
                <w:szCs w:val="21"/>
              </w:rPr>
              <w:t xml:space="preserve">1 </w:t>
            </w:r>
            <w:r>
              <w:rPr>
                <w:rFonts w:hint="default" w:ascii="Times New Roman" w:hAnsi="Times New Roman" w:eastAsia="宋体" w:cs="Times New Roman"/>
                <w:color w:val="auto"/>
                <w:spacing w:val="8"/>
                <w:sz w:val="21"/>
                <w:szCs w:val="21"/>
              </w:rPr>
              <w:t>为室内某源距离围护结构的距离；</w:t>
            </w:r>
          </w:p>
          <w:p w14:paraId="5046F36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outlineLvl w:val="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R</w:t>
            </w:r>
            <w:r>
              <w:rPr>
                <w:rFonts w:hint="default" w:ascii="Times New Roman" w:hAnsi="Times New Roman" w:eastAsia="Times New Roman" w:cs="Times New Roman"/>
                <w:color w:val="auto"/>
                <w:spacing w:val="8"/>
                <w:sz w:val="21"/>
                <w:szCs w:val="21"/>
              </w:rPr>
              <w:t xml:space="preserve"> </w:t>
            </w:r>
            <w:r>
              <w:rPr>
                <w:rFonts w:hint="default" w:ascii="Times New Roman" w:hAnsi="Times New Roman" w:eastAsia="宋体" w:cs="Times New Roman"/>
                <w:color w:val="auto"/>
                <w:spacing w:val="8"/>
                <w:sz w:val="21"/>
                <w:szCs w:val="21"/>
              </w:rPr>
              <w:t>为房间常数</w:t>
            </w:r>
            <w:r>
              <w:rPr>
                <w:rFonts w:hint="default" w:ascii="Times New Roman" w:hAnsi="Times New Roman" w:eastAsia="宋体" w:cs="Times New Roman"/>
                <w:color w:val="auto"/>
                <w:spacing w:val="7"/>
                <w:sz w:val="21"/>
                <w:szCs w:val="21"/>
              </w:rPr>
              <w:t>；</w:t>
            </w:r>
          </w:p>
          <w:p w14:paraId="710B5B0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Q</w:t>
            </w:r>
            <w:r>
              <w:rPr>
                <w:rFonts w:hint="default" w:ascii="Times New Roman" w:hAnsi="Times New Roman" w:eastAsia="Times New Roman" w:cs="Times New Roman"/>
                <w:color w:val="auto"/>
                <w:spacing w:val="11"/>
                <w:sz w:val="21"/>
                <w:szCs w:val="21"/>
              </w:rPr>
              <w:t xml:space="preserve"> </w:t>
            </w:r>
            <w:r>
              <w:rPr>
                <w:rFonts w:hint="default" w:ascii="Times New Roman" w:hAnsi="Times New Roman" w:eastAsia="宋体" w:cs="Times New Roman"/>
                <w:color w:val="auto"/>
                <w:spacing w:val="7"/>
                <w:sz w:val="21"/>
                <w:szCs w:val="21"/>
              </w:rPr>
              <w:t>为方向性因子。</w:t>
            </w:r>
          </w:p>
          <w:p w14:paraId="2DCAD5D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position w:val="1"/>
                <w:sz w:val="21"/>
                <w:szCs w:val="21"/>
              </w:rPr>
              <w:t>b</w:t>
            </w:r>
            <w:r>
              <w:rPr>
                <w:rFonts w:hint="default" w:ascii="Times New Roman" w:hAnsi="Times New Roman" w:eastAsia="Times New Roman" w:cs="Times New Roman"/>
                <w:color w:val="auto"/>
                <w:spacing w:val="18"/>
                <w:position w:val="1"/>
                <w:sz w:val="21"/>
                <w:szCs w:val="21"/>
              </w:rPr>
              <w:t>.</w:t>
            </w:r>
            <w:r>
              <w:rPr>
                <w:rFonts w:hint="default" w:ascii="Times New Roman" w:hAnsi="Times New Roman" w:eastAsia="宋体" w:cs="Times New Roman"/>
                <w:color w:val="auto"/>
                <w:spacing w:val="11"/>
                <w:position w:val="1"/>
                <w:sz w:val="21"/>
                <w:szCs w:val="21"/>
              </w:rPr>
              <w:t>室</w:t>
            </w:r>
            <w:r>
              <w:rPr>
                <w:rFonts w:hint="default" w:ascii="Times New Roman" w:hAnsi="Times New Roman" w:eastAsia="宋体" w:cs="Times New Roman"/>
                <w:color w:val="auto"/>
                <w:spacing w:val="9"/>
                <w:position w:val="1"/>
                <w:sz w:val="21"/>
                <w:szCs w:val="21"/>
              </w:rPr>
              <w:t>内声源在靠近围护结构处产生的总倍频带声压级：</w:t>
            </w:r>
          </w:p>
          <w:p w14:paraId="743BC0DA">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ascii="Times New Roman" w:hAnsi="Times New Roman" w:cs="Times New Roman"/>
                <w:color w:val="auto"/>
                <w:sz w:val="21"/>
                <w:szCs w:val="21"/>
              </w:rPr>
            </w:pPr>
            <w:r>
              <w:rPr>
                <w:rFonts w:hint="default" w:ascii="Times New Roman" w:hAnsi="Times New Roman" w:eastAsia="Times New Roman" w:cs="Times New Roman"/>
                <w:i/>
                <w:iCs/>
                <w:color w:val="auto"/>
                <w:position w:val="2"/>
                <w:sz w:val="21"/>
                <w:szCs w:val="21"/>
              </w:rPr>
              <w:t>L</w:t>
            </w:r>
            <w:r>
              <w:rPr>
                <w:rFonts w:hint="default" w:ascii="Times New Roman" w:hAnsi="Times New Roman" w:eastAsia="Times New Roman" w:cs="Times New Roman"/>
                <w:i/>
                <w:iCs/>
                <w:color w:val="auto"/>
                <w:position w:val="-3"/>
                <w:sz w:val="21"/>
                <w:szCs w:val="21"/>
              </w:rPr>
              <w:t>oct</w:t>
            </w:r>
            <w:r>
              <w:rPr>
                <w:rFonts w:hint="default" w:ascii="Times New Roman" w:hAnsi="Times New Roman" w:eastAsia="Times New Roman" w:cs="Times New Roman"/>
                <w:color w:val="auto"/>
                <w:spacing w:val="1"/>
                <w:position w:val="-3"/>
                <w:sz w:val="21"/>
                <w:szCs w:val="21"/>
              </w:rPr>
              <w:t xml:space="preserve"> ,1 </w:t>
            </w:r>
            <w:r>
              <w:rPr>
                <w:rFonts w:hint="default" w:ascii="Times New Roman" w:hAnsi="Times New Roman" w:eastAsia="Times New Roman" w:cs="Times New Roman"/>
                <w:color w:val="auto"/>
                <w:spacing w:val="1"/>
                <w:position w:val="2"/>
                <w:sz w:val="21"/>
                <w:szCs w:val="21"/>
              </w:rPr>
              <w:t>(</w:t>
            </w:r>
            <w:r>
              <w:rPr>
                <w:rFonts w:hint="default" w:ascii="Times New Roman" w:hAnsi="Times New Roman" w:eastAsia="Times New Roman" w:cs="Times New Roman"/>
                <w:i/>
                <w:iCs/>
                <w:color w:val="auto"/>
                <w:position w:val="2"/>
                <w:sz w:val="21"/>
                <w:szCs w:val="21"/>
              </w:rPr>
              <w:t>T</w:t>
            </w:r>
            <w:r>
              <w:rPr>
                <w:rFonts w:hint="default" w:ascii="Times New Roman" w:hAnsi="Times New Roman" w:eastAsia="Times New Roman" w:cs="Times New Roman"/>
                <w:color w:val="auto"/>
                <w:spacing w:val="1"/>
                <w:position w:val="2"/>
                <w:sz w:val="21"/>
                <w:szCs w:val="21"/>
              </w:rPr>
              <w:t xml:space="preserve">) </w:t>
            </w:r>
            <w:r>
              <w:rPr>
                <w:rFonts w:hint="default" w:ascii="Times New Roman" w:hAnsi="Times New Roman" w:eastAsia="微软雅黑" w:cs="Times New Roman"/>
                <w:color w:val="auto"/>
                <w:spacing w:val="1"/>
                <w:position w:val="2"/>
                <w:sz w:val="21"/>
                <w:szCs w:val="21"/>
              </w:rPr>
              <w:t xml:space="preserve">= </w:t>
            </w:r>
            <w:r>
              <w:rPr>
                <w:rFonts w:hint="default" w:ascii="Times New Roman" w:hAnsi="Times New Roman" w:eastAsia="Times New Roman" w:cs="Times New Roman"/>
                <w:color w:val="auto"/>
                <w:spacing w:val="1"/>
                <w:position w:val="2"/>
                <w:sz w:val="21"/>
                <w:szCs w:val="21"/>
              </w:rPr>
              <w:t>10</w:t>
            </w:r>
            <w:r>
              <w:rPr>
                <w:rFonts w:hint="default" w:ascii="Times New Roman" w:hAnsi="Times New Roman" w:eastAsia="Times New Roman" w:cs="Times New Roman"/>
                <w:color w:val="auto"/>
                <w:position w:val="2"/>
                <w:sz w:val="21"/>
                <w:szCs w:val="21"/>
              </w:rPr>
              <w:t>lg</w:t>
            </w:r>
            <w:r>
              <w:rPr>
                <w:rFonts w:hint="default" w:ascii="Times New Roman" w:hAnsi="Times New Roman" w:cs="Times New Roman"/>
                <w:color w:val="auto"/>
                <w:position w:val="-25"/>
                <w:sz w:val="21"/>
                <w:szCs w:val="21"/>
              </w:rPr>
              <w:drawing>
                <wp:inline distT="0" distB="0" distL="0" distR="0">
                  <wp:extent cx="61595" cy="422275"/>
                  <wp:effectExtent l="0" t="0" r="14605" b="15875"/>
                  <wp:docPr id="339" name="IM 14"/>
                  <wp:cNvGraphicFramePr/>
                  <a:graphic xmlns:a="http://schemas.openxmlformats.org/drawingml/2006/main">
                    <a:graphicData uri="http://schemas.openxmlformats.org/drawingml/2006/picture">
                      <pic:pic xmlns:pic="http://schemas.openxmlformats.org/drawingml/2006/picture">
                        <pic:nvPicPr>
                          <pic:cNvPr id="339" name="IM 14"/>
                          <pic:cNvPicPr/>
                        </pic:nvPicPr>
                        <pic:blipFill>
                          <a:blip r:embed="rId17"/>
                          <a:stretch>
                            <a:fillRect/>
                          </a:stretch>
                        </pic:blipFill>
                        <pic:spPr>
                          <a:xfrm>
                            <a:off x="0" y="0"/>
                            <a:ext cx="62030" cy="422557"/>
                          </a:xfrm>
                          <a:prstGeom prst="rect">
                            <a:avLst/>
                          </a:prstGeom>
                        </pic:spPr>
                      </pic:pic>
                    </a:graphicData>
                  </a:graphic>
                </wp:inline>
              </w:drawing>
            </w:r>
            <w:r>
              <w:rPr>
                <w:rFonts w:hint="default" w:ascii="Times New Roman" w:hAnsi="Times New Roman" w:cs="Times New Roman"/>
                <w:color w:val="auto"/>
                <w:position w:val="-24"/>
                <w:sz w:val="21"/>
                <w:szCs w:val="21"/>
              </w:rPr>
              <w:drawing>
                <wp:inline distT="0" distB="0" distL="0" distR="0">
                  <wp:extent cx="167640" cy="361315"/>
                  <wp:effectExtent l="0" t="0" r="3810" b="635"/>
                  <wp:docPr id="340" name="IM 15"/>
                  <wp:cNvGraphicFramePr/>
                  <a:graphic xmlns:a="http://schemas.openxmlformats.org/drawingml/2006/main">
                    <a:graphicData uri="http://schemas.openxmlformats.org/drawingml/2006/picture">
                      <pic:pic xmlns:pic="http://schemas.openxmlformats.org/drawingml/2006/picture">
                        <pic:nvPicPr>
                          <pic:cNvPr id="340" name="IM 15"/>
                          <pic:cNvPicPr/>
                        </pic:nvPicPr>
                        <pic:blipFill>
                          <a:blip r:embed="rId18"/>
                          <a:stretch>
                            <a:fillRect/>
                          </a:stretch>
                        </pic:blipFill>
                        <pic:spPr>
                          <a:xfrm>
                            <a:off x="0" y="0"/>
                            <a:ext cx="167870" cy="361689"/>
                          </a:xfrm>
                          <a:prstGeom prst="rect">
                            <a:avLst/>
                          </a:prstGeom>
                        </pic:spPr>
                      </pic:pic>
                    </a:graphicData>
                  </a:graphic>
                </wp:inline>
              </w:drawing>
            </w:r>
            <w:r>
              <w:rPr>
                <w:rFonts w:hint="default" w:ascii="Times New Roman" w:hAnsi="Times New Roman" w:eastAsia="Times New Roman" w:cs="Times New Roman"/>
                <w:color w:val="auto"/>
                <w:spacing w:val="1"/>
                <w:position w:val="2"/>
                <w:sz w:val="21"/>
                <w:szCs w:val="21"/>
              </w:rPr>
              <w:t>10</w:t>
            </w:r>
            <w:r>
              <w:rPr>
                <w:rFonts w:hint="default" w:ascii="Times New Roman" w:hAnsi="Times New Roman" w:eastAsia="Times New Roman" w:cs="Times New Roman"/>
                <w:color w:val="auto"/>
                <w:spacing w:val="1"/>
                <w:position w:val="15"/>
                <w:sz w:val="21"/>
                <w:szCs w:val="21"/>
              </w:rPr>
              <w:t>0. 1</w:t>
            </w:r>
            <w:r>
              <w:rPr>
                <w:rFonts w:hint="default" w:ascii="Times New Roman" w:hAnsi="Times New Roman" w:eastAsia="Times New Roman" w:cs="Times New Roman"/>
                <w:i/>
                <w:iCs/>
                <w:color w:val="auto"/>
                <w:position w:val="15"/>
                <w:sz w:val="21"/>
                <w:szCs w:val="21"/>
              </w:rPr>
              <w:t>L</w:t>
            </w:r>
            <w:r>
              <w:rPr>
                <w:rFonts w:hint="default" w:ascii="Times New Roman" w:hAnsi="Times New Roman" w:eastAsia="Times New Roman" w:cs="Times New Roman"/>
                <w:i/>
                <w:iCs/>
                <w:color w:val="auto"/>
                <w:position w:val="12"/>
                <w:sz w:val="21"/>
                <w:szCs w:val="21"/>
              </w:rPr>
              <w:t>oct</w:t>
            </w:r>
            <w:r>
              <w:rPr>
                <w:rFonts w:hint="default" w:ascii="Times New Roman" w:hAnsi="Times New Roman" w:eastAsia="Times New Roman" w:cs="Times New Roman"/>
                <w:color w:val="auto"/>
                <w:spacing w:val="1"/>
                <w:position w:val="12"/>
                <w:sz w:val="21"/>
                <w:szCs w:val="21"/>
              </w:rPr>
              <w:t xml:space="preserve"> , 1</w:t>
            </w:r>
            <w:r>
              <w:rPr>
                <w:rFonts w:hint="default" w:ascii="Times New Roman" w:hAnsi="Times New Roman" w:eastAsia="Times New Roman" w:cs="Times New Roman"/>
                <w:color w:val="auto"/>
                <w:position w:val="12"/>
                <w:sz w:val="21"/>
                <w:szCs w:val="21"/>
              </w:rPr>
              <w:t xml:space="preserve">( </w:t>
            </w:r>
            <w:r>
              <w:rPr>
                <w:rFonts w:hint="default" w:ascii="Times New Roman" w:hAnsi="Times New Roman" w:eastAsia="Times New Roman" w:cs="Times New Roman"/>
                <w:i/>
                <w:iCs/>
                <w:color w:val="auto"/>
                <w:position w:val="12"/>
                <w:sz w:val="21"/>
                <w:szCs w:val="21"/>
              </w:rPr>
              <w:t>i</w:t>
            </w:r>
            <w:r>
              <w:rPr>
                <w:rFonts w:hint="default" w:ascii="Times New Roman" w:hAnsi="Times New Roman" w:eastAsia="Times New Roman" w:cs="Times New Roman"/>
                <w:color w:val="auto"/>
                <w:position w:val="12"/>
                <w:sz w:val="21"/>
                <w:szCs w:val="21"/>
              </w:rPr>
              <w:t xml:space="preserve"> )  </w:t>
            </w:r>
            <w:r>
              <w:rPr>
                <w:rFonts w:hint="default" w:ascii="Times New Roman" w:hAnsi="Times New Roman" w:cs="Times New Roman"/>
                <w:color w:val="auto"/>
                <w:position w:val="-25"/>
                <w:sz w:val="21"/>
                <w:szCs w:val="21"/>
              </w:rPr>
              <w:drawing>
                <wp:inline distT="0" distB="0" distL="0" distR="0">
                  <wp:extent cx="59055" cy="422275"/>
                  <wp:effectExtent l="0" t="0" r="17145" b="15875"/>
                  <wp:docPr id="341" name="IM 16"/>
                  <wp:cNvGraphicFramePr/>
                  <a:graphic xmlns:a="http://schemas.openxmlformats.org/drawingml/2006/main">
                    <a:graphicData uri="http://schemas.openxmlformats.org/drawingml/2006/picture">
                      <pic:pic xmlns:pic="http://schemas.openxmlformats.org/drawingml/2006/picture">
                        <pic:nvPicPr>
                          <pic:cNvPr id="341" name="IM 16"/>
                          <pic:cNvPicPr/>
                        </pic:nvPicPr>
                        <pic:blipFill>
                          <a:blip r:embed="rId19"/>
                          <a:stretch>
                            <a:fillRect/>
                          </a:stretch>
                        </pic:blipFill>
                        <pic:spPr>
                          <a:xfrm>
                            <a:off x="0" y="0"/>
                            <a:ext cx="59277" cy="422557"/>
                          </a:xfrm>
                          <a:prstGeom prst="rect">
                            <a:avLst/>
                          </a:prstGeom>
                        </pic:spPr>
                      </pic:pic>
                    </a:graphicData>
                  </a:graphic>
                </wp:inline>
              </w:drawing>
            </w:r>
          </w:p>
          <w:p w14:paraId="26EE33E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sz w:val="21"/>
                <w:szCs w:val="21"/>
              </w:rPr>
              <w:t>c</w:t>
            </w:r>
            <w:r>
              <w:rPr>
                <w:rFonts w:hint="default" w:ascii="Times New Roman" w:hAnsi="Times New Roman" w:eastAsia="Times New Roman" w:cs="Times New Roman"/>
                <w:color w:val="auto"/>
                <w:spacing w:val="18"/>
                <w:sz w:val="21"/>
                <w:szCs w:val="21"/>
              </w:rPr>
              <w:t>.</w:t>
            </w:r>
            <w:r>
              <w:rPr>
                <w:rFonts w:hint="default" w:ascii="Times New Roman" w:hAnsi="Times New Roman" w:eastAsia="宋体" w:cs="Times New Roman"/>
                <w:color w:val="auto"/>
                <w:spacing w:val="18"/>
                <w:sz w:val="21"/>
                <w:szCs w:val="21"/>
              </w:rPr>
              <w:t>室外靠近围护结构处的总的声压级</w:t>
            </w:r>
            <w:r>
              <w:rPr>
                <w:rFonts w:hint="default" w:ascii="Times New Roman" w:hAnsi="Times New Roman" w:eastAsia="宋体" w:cs="Times New Roman"/>
                <w:color w:val="auto"/>
                <w:spacing w:val="16"/>
                <w:sz w:val="21"/>
                <w:szCs w:val="21"/>
              </w:rPr>
              <w:t>：</w:t>
            </w:r>
          </w:p>
          <w:p w14:paraId="67C399D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outlineLvl w:val="0"/>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position w:val="4"/>
                <w:sz w:val="21"/>
                <w:szCs w:val="21"/>
              </w:rPr>
              <w:t>L</w:t>
            </w:r>
            <w:r>
              <w:rPr>
                <w:rFonts w:hint="default" w:ascii="Times New Roman" w:hAnsi="Times New Roman" w:eastAsia="Times New Roman" w:cs="Times New Roman"/>
                <w:color w:val="auto"/>
                <w:position w:val="3"/>
                <w:sz w:val="21"/>
                <w:szCs w:val="21"/>
              </w:rPr>
              <w:t>oct</w:t>
            </w:r>
            <w:r>
              <w:rPr>
                <w:rFonts w:hint="default" w:ascii="Times New Roman" w:hAnsi="Times New Roman" w:eastAsia="Times New Roman" w:cs="Times New Roman"/>
                <w:color w:val="auto"/>
                <w:spacing w:val="1"/>
                <w:position w:val="3"/>
                <w:sz w:val="21"/>
                <w:szCs w:val="21"/>
              </w:rPr>
              <w:t>, 1</w:t>
            </w:r>
            <w:r>
              <w:rPr>
                <w:rFonts w:hint="default" w:ascii="Times New Roman" w:hAnsi="Times New Roman" w:eastAsia="Times New Roman" w:cs="Times New Roman"/>
                <w:color w:val="auto"/>
                <w:spacing w:val="1"/>
                <w:position w:val="4"/>
                <w:sz w:val="21"/>
                <w:szCs w:val="21"/>
              </w:rPr>
              <w:t>(</w:t>
            </w:r>
            <w:r>
              <w:rPr>
                <w:rFonts w:hint="default" w:ascii="Times New Roman" w:hAnsi="Times New Roman" w:eastAsia="Times New Roman" w:cs="Times New Roman"/>
                <w:color w:val="auto"/>
                <w:position w:val="4"/>
                <w:sz w:val="21"/>
                <w:szCs w:val="21"/>
              </w:rPr>
              <w:t>T</w:t>
            </w:r>
            <w:r>
              <w:rPr>
                <w:rFonts w:hint="default" w:ascii="Times New Roman" w:hAnsi="Times New Roman" w:eastAsia="Times New Roman" w:cs="Times New Roman"/>
                <w:color w:val="auto"/>
                <w:spacing w:val="1"/>
                <w:position w:val="4"/>
                <w:sz w:val="21"/>
                <w:szCs w:val="21"/>
              </w:rPr>
              <w:t>)=</w:t>
            </w:r>
            <w:r>
              <w:rPr>
                <w:rFonts w:hint="default" w:ascii="Times New Roman" w:hAnsi="Times New Roman" w:eastAsia="Times New Roman" w:cs="Times New Roman"/>
                <w:color w:val="auto"/>
                <w:position w:val="4"/>
                <w:sz w:val="21"/>
                <w:szCs w:val="21"/>
              </w:rPr>
              <w:t>L</w:t>
            </w:r>
            <w:r>
              <w:rPr>
                <w:rFonts w:hint="default" w:ascii="Times New Roman" w:hAnsi="Times New Roman" w:eastAsia="Times New Roman" w:cs="Times New Roman"/>
                <w:color w:val="auto"/>
                <w:spacing w:val="1"/>
                <w:position w:val="3"/>
                <w:sz w:val="21"/>
                <w:szCs w:val="21"/>
              </w:rPr>
              <w:t>0</w:t>
            </w:r>
            <w:r>
              <w:rPr>
                <w:rFonts w:hint="default" w:ascii="Times New Roman" w:hAnsi="Times New Roman" w:eastAsia="Times New Roman" w:cs="Times New Roman"/>
                <w:color w:val="auto"/>
                <w:position w:val="3"/>
                <w:sz w:val="21"/>
                <w:szCs w:val="21"/>
              </w:rPr>
              <w:t>ct</w:t>
            </w:r>
            <w:r>
              <w:rPr>
                <w:rFonts w:hint="default" w:ascii="Times New Roman" w:hAnsi="Times New Roman" w:eastAsia="Times New Roman" w:cs="Times New Roman"/>
                <w:color w:val="auto"/>
                <w:spacing w:val="1"/>
                <w:position w:val="3"/>
                <w:sz w:val="21"/>
                <w:szCs w:val="21"/>
              </w:rPr>
              <w:t>, 1</w:t>
            </w:r>
            <w:r>
              <w:rPr>
                <w:rFonts w:hint="default" w:ascii="Times New Roman" w:hAnsi="Times New Roman" w:eastAsia="Times New Roman" w:cs="Times New Roman"/>
                <w:color w:val="auto"/>
                <w:spacing w:val="1"/>
                <w:position w:val="4"/>
                <w:sz w:val="21"/>
                <w:szCs w:val="21"/>
              </w:rPr>
              <w:t>(</w:t>
            </w:r>
            <w:r>
              <w:rPr>
                <w:rFonts w:hint="default" w:ascii="Times New Roman" w:hAnsi="Times New Roman" w:eastAsia="Times New Roman" w:cs="Times New Roman"/>
                <w:color w:val="auto"/>
                <w:position w:val="4"/>
                <w:sz w:val="21"/>
                <w:szCs w:val="21"/>
              </w:rPr>
              <w:t>T</w:t>
            </w:r>
            <w:r>
              <w:rPr>
                <w:rFonts w:hint="default" w:ascii="Times New Roman" w:hAnsi="Times New Roman" w:eastAsia="Times New Roman" w:cs="Times New Roman"/>
                <w:color w:val="auto"/>
                <w:spacing w:val="1"/>
                <w:position w:val="4"/>
                <w:sz w:val="21"/>
                <w:szCs w:val="21"/>
              </w:rPr>
              <w:t>)-(</w:t>
            </w:r>
            <w:r>
              <w:rPr>
                <w:rFonts w:hint="default" w:ascii="Times New Roman" w:hAnsi="Times New Roman" w:eastAsia="Times New Roman" w:cs="Times New Roman"/>
                <w:color w:val="auto"/>
                <w:position w:val="4"/>
                <w:sz w:val="21"/>
                <w:szCs w:val="21"/>
              </w:rPr>
              <w:t>T</w:t>
            </w:r>
            <w:r>
              <w:rPr>
                <w:rFonts w:hint="default" w:ascii="Times New Roman" w:hAnsi="Times New Roman" w:eastAsia="Times New Roman" w:cs="Times New Roman"/>
                <w:color w:val="auto"/>
                <w:position w:val="3"/>
                <w:sz w:val="21"/>
                <w:szCs w:val="21"/>
              </w:rPr>
              <w:t>loct</w:t>
            </w:r>
            <w:r>
              <w:rPr>
                <w:rFonts w:hint="default" w:ascii="Times New Roman" w:hAnsi="Times New Roman" w:eastAsia="Times New Roman" w:cs="Times New Roman"/>
                <w:color w:val="auto"/>
                <w:spacing w:val="1"/>
                <w:position w:val="4"/>
                <w:sz w:val="21"/>
                <w:szCs w:val="21"/>
              </w:rPr>
              <w:t>+6</w:t>
            </w:r>
            <w:r>
              <w:rPr>
                <w:rFonts w:hint="default" w:ascii="Times New Roman" w:hAnsi="Times New Roman" w:eastAsia="Times New Roman" w:cs="Times New Roman"/>
                <w:color w:val="auto"/>
                <w:position w:val="4"/>
                <w:sz w:val="21"/>
                <w:szCs w:val="21"/>
              </w:rPr>
              <w:t>)</w:t>
            </w:r>
          </w:p>
          <w:p w14:paraId="706E7FA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Times New Roman" w:cs="Times New Roman"/>
                <w:color w:val="auto"/>
                <w:position w:val="1"/>
                <w:sz w:val="21"/>
                <w:szCs w:val="21"/>
              </w:rPr>
              <w:t>d</w:t>
            </w:r>
            <w:r>
              <w:rPr>
                <w:rFonts w:hint="default" w:ascii="Times New Roman" w:hAnsi="Times New Roman" w:eastAsia="Times New Roman" w:cs="Times New Roman"/>
                <w:color w:val="auto"/>
                <w:spacing w:val="16"/>
                <w:position w:val="1"/>
                <w:sz w:val="21"/>
                <w:szCs w:val="21"/>
              </w:rPr>
              <w:t>.</w:t>
            </w:r>
            <w:r>
              <w:rPr>
                <w:rFonts w:hint="default" w:ascii="Times New Roman" w:hAnsi="Times New Roman" w:eastAsia="宋体" w:cs="Times New Roman"/>
                <w:color w:val="auto"/>
                <w:spacing w:val="13"/>
                <w:position w:val="1"/>
                <w:sz w:val="21"/>
                <w:szCs w:val="21"/>
              </w:rPr>
              <w:t>室</w:t>
            </w:r>
            <w:r>
              <w:rPr>
                <w:rFonts w:hint="default" w:ascii="Times New Roman" w:hAnsi="Times New Roman" w:eastAsia="宋体" w:cs="Times New Roman"/>
                <w:color w:val="auto"/>
                <w:spacing w:val="8"/>
                <w:position w:val="1"/>
                <w:sz w:val="21"/>
                <w:szCs w:val="21"/>
              </w:rPr>
              <w:t>外声压级换算成等效的室外声源：</w:t>
            </w:r>
          </w:p>
          <w:p w14:paraId="1394D4E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outlineLvl w:val="0"/>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position w:val="4"/>
                <w:sz w:val="21"/>
                <w:szCs w:val="21"/>
              </w:rPr>
              <w:t>L</w:t>
            </w:r>
            <w:r>
              <w:rPr>
                <w:rFonts w:hint="default" w:ascii="Times New Roman" w:hAnsi="Times New Roman" w:eastAsia="Times New Roman" w:cs="Times New Roman"/>
                <w:color w:val="auto"/>
                <w:position w:val="3"/>
                <w:sz w:val="21"/>
                <w:szCs w:val="21"/>
              </w:rPr>
              <w:t>w</w:t>
            </w:r>
            <w:r>
              <w:rPr>
                <w:rFonts w:hint="default" w:ascii="Times New Roman" w:hAnsi="Times New Roman" w:eastAsia="Times New Roman" w:cs="Times New Roman"/>
                <w:color w:val="auto"/>
                <w:spacing w:val="8"/>
                <w:position w:val="3"/>
                <w:sz w:val="21"/>
                <w:szCs w:val="21"/>
              </w:rPr>
              <w:t xml:space="preserve"> </w:t>
            </w:r>
            <w:r>
              <w:rPr>
                <w:rFonts w:hint="default" w:ascii="Times New Roman" w:hAnsi="Times New Roman" w:eastAsia="Times New Roman" w:cs="Times New Roman"/>
                <w:color w:val="auto"/>
                <w:position w:val="3"/>
                <w:sz w:val="21"/>
                <w:szCs w:val="21"/>
              </w:rPr>
              <w:t>oct</w:t>
            </w:r>
            <w:r>
              <w:rPr>
                <w:rFonts w:hint="default" w:ascii="Times New Roman" w:hAnsi="Times New Roman" w:eastAsia="Times New Roman" w:cs="Times New Roman"/>
                <w:color w:val="auto"/>
                <w:spacing w:val="8"/>
                <w:position w:val="4"/>
                <w:sz w:val="21"/>
                <w:szCs w:val="21"/>
              </w:rPr>
              <w:t>=</w:t>
            </w:r>
            <w:r>
              <w:rPr>
                <w:rFonts w:hint="default" w:ascii="Times New Roman" w:hAnsi="Times New Roman" w:eastAsia="Times New Roman" w:cs="Times New Roman"/>
                <w:color w:val="auto"/>
                <w:position w:val="4"/>
                <w:sz w:val="21"/>
                <w:szCs w:val="21"/>
              </w:rPr>
              <w:t>L</w:t>
            </w:r>
            <w:r>
              <w:rPr>
                <w:rFonts w:hint="default" w:ascii="Times New Roman" w:hAnsi="Times New Roman" w:eastAsia="Times New Roman" w:cs="Times New Roman"/>
                <w:color w:val="auto"/>
                <w:position w:val="3"/>
                <w:sz w:val="21"/>
                <w:szCs w:val="21"/>
              </w:rPr>
              <w:t>oct</w:t>
            </w:r>
            <w:r>
              <w:rPr>
                <w:rFonts w:hint="default" w:ascii="Times New Roman" w:hAnsi="Times New Roman" w:eastAsia="Times New Roman" w:cs="Times New Roman"/>
                <w:color w:val="auto"/>
                <w:spacing w:val="8"/>
                <w:position w:val="3"/>
                <w:sz w:val="21"/>
                <w:szCs w:val="21"/>
              </w:rPr>
              <w:t>,2</w:t>
            </w:r>
            <w:r>
              <w:rPr>
                <w:rFonts w:hint="default" w:ascii="Times New Roman" w:hAnsi="Times New Roman" w:eastAsia="Times New Roman" w:cs="Times New Roman"/>
                <w:color w:val="auto"/>
                <w:spacing w:val="8"/>
                <w:position w:val="4"/>
                <w:sz w:val="21"/>
                <w:szCs w:val="21"/>
              </w:rPr>
              <w:t>(</w:t>
            </w:r>
            <w:r>
              <w:rPr>
                <w:rFonts w:hint="default" w:ascii="Times New Roman" w:hAnsi="Times New Roman" w:eastAsia="Times New Roman" w:cs="Times New Roman"/>
                <w:color w:val="auto"/>
                <w:position w:val="4"/>
                <w:sz w:val="21"/>
                <w:szCs w:val="21"/>
              </w:rPr>
              <w:t>T</w:t>
            </w:r>
            <w:r>
              <w:rPr>
                <w:rFonts w:hint="default" w:ascii="Times New Roman" w:hAnsi="Times New Roman" w:eastAsia="Times New Roman" w:cs="Times New Roman"/>
                <w:color w:val="auto"/>
                <w:spacing w:val="8"/>
                <w:position w:val="4"/>
                <w:sz w:val="21"/>
                <w:szCs w:val="21"/>
              </w:rPr>
              <w:t>)+10</w:t>
            </w:r>
            <w:r>
              <w:rPr>
                <w:rFonts w:hint="default" w:ascii="Times New Roman" w:hAnsi="Times New Roman" w:eastAsia="Times New Roman" w:cs="Times New Roman"/>
                <w:color w:val="auto"/>
                <w:position w:val="4"/>
                <w:sz w:val="21"/>
                <w:szCs w:val="21"/>
              </w:rPr>
              <w:t>lgS</w:t>
            </w:r>
          </w:p>
          <w:p w14:paraId="03B4D9C5">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9"/>
                <w:sz w:val="21"/>
                <w:szCs w:val="21"/>
              </w:rPr>
              <w:t>式</w:t>
            </w:r>
            <w:r>
              <w:rPr>
                <w:rFonts w:hint="default" w:ascii="Times New Roman" w:hAnsi="Times New Roman" w:eastAsia="宋体" w:cs="Times New Roman"/>
                <w:color w:val="auto"/>
                <w:spacing w:val="7"/>
                <w:sz w:val="21"/>
                <w:szCs w:val="21"/>
              </w:rPr>
              <w:t>中：</w:t>
            </w:r>
            <w:r>
              <w:rPr>
                <w:rFonts w:hint="default" w:ascii="Times New Roman" w:hAnsi="Times New Roman" w:eastAsia="Times New Roman" w:cs="Times New Roman"/>
                <w:color w:val="auto"/>
                <w:sz w:val="21"/>
                <w:szCs w:val="21"/>
              </w:rPr>
              <w:t>S</w:t>
            </w:r>
            <w:r>
              <w:rPr>
                <w:rFonts w:hint="default" w:ascii="Times New Roman" w:hAnsi="Times New Roman" w:eastAsia="Times New Roman" w:cs="Times New Roman"/>
                <w:color w:val="auto"/>
                <w:spacing w:val="7"/>
                <w:sz w:val="21"/>
                <w:szCs w:val="21"/>
              </w:rPr>
              <w:t xml:space="preserve"> </w:t>
            </w:r>
            <w:r>
              <w:rPr>
                <w:rFonts w:hint="default" w:ascii="Times New Roman" w:hAnsi="Times New Roman" w:eastAsia="宋体" w:cs="Times New Roman"/>
                <w:color w:val="auto"/>
                <w:spacing w:val="7"/>
                <w:sz w:val="21"/>
                <w:szCs w:val="21"/>
              </w:rPr>
              <w:t>为透声面积。</w:t>
            </w:r>
          </w:p>
          <w:p w14:paraId="1FF6868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Times New Roman" w:cs="Times New Roman"/>
                <w:color w:val="auto"/>
                <w:spacing w:val="6"/>
                <w:position w:val="-1"/>
                <w:sz w:val="21"/>
                <w:szCs w:val="21"/>
              </w:rPr>
            </w:pPr>
            <w:r>
              <w:rPr>
                <w:rFonts w:hint="default" w:ascii="Times New Roman" w:hAnsi="Times New Roman" w:eastAsia="Times New Roman" w:cs="Times New Roman"/>
                <w:color w:val="auto"/>
                <w:sz w:val="21"/>
                <w:szCs w:val="21"/>
              </w:rPr>
              <w:t>e</w:t>
            </w:r>
            <w:r>
              <w:rPr>
                <w:rFonts w:hint="default" w:ascii="Times New Roman" w:hAnsi="Times New Roman" w:eastAsia="Times New Roman" w:cs="Times New Roman"/>
                <w:color w:val="auto"/>
                <w:spacing w:val="6"/>
                <w:sz w:val="21"/>
                <w:szCs w:val="21"/>
              </w:rPr>
              <w:t>.</w:t>
            </w:r>
            <w:r>
              <w:rPr>
                <w:rFonts w:hint="default" w:ascii="Times New Roman" w:hAnsi="Times New Roman" w:eastAsia="宋体" w:cs="Times New Roman"/>
                <w:color w:val="auto"/>
                <w:spacing w:val="6"/>
                <w:sz w:val="21"/>
                <w:szCs w:val="21"/>
              </w:rPr>
              <w:t>等效室外声源的位置为围护结构的位置，其倍频带声功率级为</w:t>
            </w:r>
            <w:r>
              <w:rPr>
                <w:rFonts w:hint="default" w:ascii="Times New Roman" w:hAnsi="Times New Roman" w:eastAsia="Times New Roman" w:cs="Times New Roman"/>
                <w:color w:val="auto"/>
                <w:sz w:val="21"/>
                <w:szCs w:val="21"/>
              </w:rPr>
              <w:t>L</w:t>
            </w:r>
            <w:r>
              <w:rPr>
                <w:rFonts w:hint="default" w:ascii="Times New Roman" w:hAnsi="Times New Roman" w:eastAsia="Times New Roman" w:cs="Times New Roman"/>
                <w:color w:val="auto"/>
                <w:position w:val="-1"/>
                <w:sz w:val="21"/>
                <w:szCs w:val="21"/>
              </w:rPr>
              <w:t>w</w:t>
            </w:r>
            <w:r>
              <w:rPr>
                <w:rFonts w:hint="default" w:ascii="Times New Roman" w:hAnsi="Times New Roman" w:eastAsia="Times New Roman" w:cs="Times New Roman"/>
                <w:color w:val="auto"/>
                <w:spacing w:val="6"/>
                <w:position w:val="-1"/>
                <w:sz w:val="21"/>
                <w:szCs w:val="21"/>
              </w:rPr>
              <w:t xml:space="preserve"> </w:t>
            </w:r>
          </w:p>
          <w:p w14:paraId="73E6B17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rPr>
                <w:rFonts w:hint="default" w:ascii="Times New Roman" w:hAnsi="Times New Roman" w:eastAsia="宋体" w:cs="Times New Roman"/>
                <w:color w:val="auto"/>
                <w:spacing w:val="8"/>
                <w:sz w:val="21"/>
                <w:szCs w:val="21"/>
              </w:rPr>
            </w:pPr>
            <w:r>
              <w:rPr>
                <w:rFonts w:hint="default" w:ascii="Times New Roman" w:hAnsi="Times New Roman" w:eastAsia="Times New Roman" w:cs="Times New Roman"/>
                <w:color w:val="auto"/>
                <w:position w:val="-1"/>
                <w:sz w:val="21"/>
                <w:szCs w:val="21"/>
              </w:rPr>
              <w:t>oct</w:t>
            </w:r>
            <w:r>
              <w:rPr>
                <w:rFonts w:hint="default" w:ascii="Times New Roman" w:hAnsi="Times New Roman" w:eastAsia="宋体" w:cs="Times New Roman"/>
                <w:color w:val="auto"/>
                <w:spacing w:val="1"/>
                <w:sz w:val="21"/>
                <w:szCs w:val="21"/>
              </w:rPr>
              <w:t>，</w:t>
            </w:r>
            <w:r>
              <w:rPr>
                <w:rFonts w:hint="default" w:ascii="Times New Roman" w:hAnsi="Times New Roman" w:eastAsia="宋体" w:cs="Times New Roman"/>
                <w:color w:val="auto"/>
                <w:spacing w:val="13"/>
                <w:sz w:val="21"/>
                <w:szCs w:val="21"/>
              </w:rPr>
              <w:t>由</w:t>
            </w:r>
            <w:r>
              <w:rPr>
                <w:rFonts w:hint="default" w:ascii="Times New Roman" w:hAnsi="Times New Roman" w:eastAsia="宋体" w:cs="Times New Roman"/>
                <w:color w:val="auto"/>
                <w:spacing w:val="8"/>
                <w:sz w:val="21"/>
                <w:szCs w:val="21"/>
              </w:rPr>
              <w:t>此按室外声源方法计算等效室外声源在预测点产生的声级。</w:t>
            </w:r>
          </w:p>
          <w:p w14:paraId="516EF00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14"/>
                <w:sz w:val="21"/>
                <w:szCs w:val="21"/>
              </w:rPr>
              <w:t>根据</w:t>
            </w:r>
            <w:r>
              <w:rPr>
                <w:rFonts w:hint="default" w:ascii="Times New Roman" w:hAnsi="Times New Roman" w:eastAsia="宋体" w:cs="Times New Roman"/>
                <w:color w:val="auto"/>
                <w:spacing w:val="13"/>
                <w:sz w:val="21"/>
                <w:szCs w:val="21"/>
              </w:rPr>
              <w:t>本</w:t>
            </w:r>
            <w:r>
              <w:rPr>
                <w:rFonts w:hint="default" w:ascii="Times New Roman" w:hAnsi="Times New Roman" w:eastAsia="宋体" w:cs="Times New Roman"/>
                <w:color w:val="auto"/>
                <w:spacing w:val="7"/>
                <w:sz w:val="21"/>
                <w:szCs w:val="21"/>
              </w:rPr>
              <w:t>项目的特点和现有的资料数据，对计算模式进行简化并进行估算，为</w:t>
            </w:r>
            <w:r>
              <w:rPr>
                <w:rFonts w:hint="default" w:ascii="Times New Roman" w:hAnsi="Times New Roman" w:eastAsia="宋体" w:cs="Times New Roman"/>
                <w:color w:val="auto"/>
                <w:spacing w:val="14"/>
                <w:sz w:val="21"/>
                <w:szCs w:val="21"/>
              </w:rPr>
              <w:t>充分估</w:t>
            </w:r>
            <w:r>
              <w:rPr>
                <w:rFonts w:hint="default" w:ascii="Times New Roman" w:hAnsi="Times New Roman" w:eastAsia="宋体" w:cs="Times New Roman"/>
                <w:color w:val="auto"/>
                <w:spacing w:val="12"/>
                <w:sz w:val="21"/>
                <w:szCs w:val="21"/>
              </w:rPr>
              <w:t>算</w:t>
            </w:r>
            <w:r>
              <w:rPr>
                <w:rFonts w:hint="default" w:ascii="Times New Roman" w:hAnsi="Times New Roman" w:eastAsia="宋体" w:cs="Times New Roman"/>
                <w:color w:val="auto"/>
                <w:spacing w:val="7"/>
                <w:sz w:val="21"/>
                <w:szCs w:val="21"/>
              </w:rPr>
              <w:t>声源对周围环境的影响，对不满足计算条件的小额正衰减予以忽略，在</w:t>
            </w:r>
            <w:r>
              <w:rPr>
                <w:rFonts w:hint="default" w:ascii="Times New Roman" w:hAnsi="Times New Roman" w:eastAsia="宋体" w:cs="Times New Roman"/>
                <w:color w:val="auto"/>
                <w:spacing w:val="24"/>
                <w:sz w:val="21"/>
                <w:szCs w:val="21"/>
              </w:rPr>
              <w:t>基</w:t>
            </w:r>
            <w:r>
              <w:rPr>
                <w:rFonts w:hint="default" w:ascii="Times New Roman" w:hAnsi="Times New Roman" w:eastAsia="宋体" w:cs="Times New Roman"/>
                <w:color w:val="auto"/>
                <w:spacing w:val="14"/>
                <w:sz w:val="21"/>
                <w:szCs w:val="21"/>
              </w:rPr>
              <w:t>础上进一步计算各预测点的声级。先计算设备噪声到各预测点的声压级合成，即</w:t>
            </w:r>
            <w:r>
              <w:rPr>
                <w:rFonts w:hint="default" w:ascii="Times New Roman" w:hAnsi="Times New Roman" w:eastAsia="宋体" w:cs="Times New Roman"/>
                <w:color w:val="auto"/>
                <w:spacing w:val="12"/>
                <w:sz w:val="21"/>
                <w:szCs w:val="21"/>
              </w:rPr>
              <w:t>以</w:t>
            </w:r>
            <w:r>
              <w:rPr>
                <w:rFonts w:hint="default" w:ascii="Times New Roman" w:hAnsi="Times New Roman" w:eastAsia="宋体" w:cs="Times New Roman"/>
                <w:color w:val="auto"/>
                <w:spacing w:val="7"/>
                <w:sz w:val="21"/>
                <w:szCs w:val="21"/>
              </w:rPr>
              <w:t>车间或装置作为一个整体声源，分段以不同模式测算其对外辐射的衰减</w:t>
            </w:r>
            <w:r>
              <w:rPr>
                <w:rFonts w:hint="default" w:ascii="Times New Roman" w:hAnsi="Times New Roman" w:eastAsia="宋体" w:cs="Times New Roman"/>
                <w:color w:val="auto"/>
                <w:spacing w:val="14"/>
                <w:sz w:val="21"/>
                <w:szCs w:val="21"/>
              </w:rPr>
              <w:t>量，预</w:t>
            </w:r>
            <w:r>
              <w:rPr>
                <w:rFonts w:hint="default" w:ascii="Times New Roman" w:hAnsi="Times New Roman" w:eastAsia="宋体" w:cs="Times New Roman"/>
                <w:color w:val="auto"/>
                <w:spacing w:val="12"/>
                <w:sz w:val="21"/>
                <w:szCs w:val="21"/>
              </w:rPr>
              <w:t>测</w:t>
            </w:r>
            <w:r>
              <w:rPr>
                <w:rFonts w:hint="default" w:ascii="Times New Roman" w:hAnsi="Times New Roman" w:eastAsia="宋体" w:cs="Times New Roman"/>
                <w:color w:val="auto"/>
                <w:spacing w:val="7"/>
                <w:sz w:val="21"/>
                <w:szCs w:val="21"/>
              </w:rPr>
              <w:t>各主要场源对单独存在时对厂界及外环境噪声的影响，并合成设备声源</w:t>
            </w:r>
            <w:r>
              <w:rPr>
                <w:rFonts w:hint="default" w:ascii="Times New Roman" w:hAnsi="Times New Roman" w:eastAsia="宋体" w:cs="Times New Roman"/>
                <w:color w:val="auto"/>
                <w:spacing w:val="12"/>
                <w:sz w:val="21"/>
                <w:szCs w:val="21"/>
              </w:rPr>
              <w:t>对</w:t>
            </w:r>
            <w:r>
              <w:rPr>
                <w:rFonts w:hint="default" w:ascii="Times New Roman" w:hAnsi="Times New Roman" w:eastAsia="宋体" w:cs="Times New Roman"/>
                <w:color w:val="auto"/>
                <w:spacing w:val="7"/>
                <w:sz w:val="21"/>
                <w:szCs w:val="21"/>
              </w:rPr>
              <w:t>受声点的影响。</w:t>
            </w:r>
          </w:p>
          <w:p w14:paraId="66BF22E3">
            <w:pPr>
              <w:snapToGrid w:val="0"/>
              <w:spacing w:line="360" w:lineRule="auto"/>
              <w:ind w:firstLine="480"/>
              <w:rPr>
                <w:rFonts w:hint="default" w:ascii="Times New Roman" w:hAnsi="Times New Roman" w:cs="Times New Roman"/>
                <w:color w:val="auto"/>
                <w:szCs w:val="21"/>
              </w:rPr>
            </w:pPr>
            <w:r>
              <w:rPr>
                <w:rFonts w:hint="default" w:ascii="Times New Roman" w:hAnsi="Times New Roman" w:cs="Times New Roman"/>
                <w:color w:val="auto"/>
                <w:szCs w:val="21"/>
                <w:lang w:eastAsia="zh-CN"/>
              </w:rPr>
              <w:t>考虑噪声距离衰减和隔声措施，</w:t>
            </w:r>
            <w:r>
              <w:rPr>
                <w:rFonts w:hint="default" w:ascii="Times New Roman" w:hAnsi="Times New Roman" w:cs="Times New Roman"/>
                <w:color w:val="auto"/>
                <w:szCs w:val="21"/>
              </w:rPr>
              <w:t>本项目</w:t>
            </w:r>
            <w:r>
              <w:rPr>
                <w:rFonts w:hint="default" w:ascii="Times New Roman" w:hAnsi="Times New Roman" w:cs="Times New Roman"/>
                <w:color w:val="auto"/>
                <w:szCs w:val="21"/>
                <w:lang w:eastAsia="zh-CN"/>
              </w:rPr>
              <w:t>噪声源对</w:t>
            </w:r>
            <w:r>
              <w:rPr>
                <w:rFonts w:hint="default" w:ascii="Times New Roman" w:hAnsi="Times New Roman" w:cs="Times New Roman"/>
                <w:color w:val="auto"/>
                <w:szCs w:val="21"/>
              </w:rPr>
              <w:t>四周厂界</w:t>
            </w:r>
            <w:r>
              <w:rPr>
                <w:rFonts w:hint="default" w:ascii="Times New Roman" w:hAnsi="Times New Roman" w:cs="Times New Roman"/>
                <w:color w:val="auto"/>
                <w:szCs w:val="21"/>
                <w:lang w:eastAsia="zh-CN"/>
              </w:rPr>
              <w:t>贡献值</w:t>
            </w:r>
            <w:r>
              <w:rPr>
                <w:rFonts w:hint="default" w:ascii="Times New Roman" w:hAnsi="Times New Roman" w:cs="Times New Roman"/>
                <w:color w:val="auto"/>
                <w:szCs w:val="21"/>
              </w:rPr>
              <w:t>预测结果见表4-1</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w:t>
            </w:r>
          </w:p>
          <w:p w14:paraId="3354E6D4">
            <w:pPr>
              <w:ind w:firstLine="422" w:firstLine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表4-1</w:t>
            </w:r>
            <w:r>
              <w:rPr>
                <w:rFonts w:hint="eastAsia" w:ascii="Times New Roman" w:hAnsi="Times New Roman" w:cs="Times New Roman"/>
                <w:b/>
                <w:bCs/>
                <w:color w:val="auto"/>
                <w:szCs w:val="21"/>
                <w:lang w:val="en-US" w:eastAsia="zh-CN"/>
              </w:rPr>
              <w:t>5</w:t>
            </w:r>
            <w:r>
              <w:rPr>
                <w:rFonts w:hint="default" w:ascii="Times New Roman" w:hAnsi="Times New Roman" w:cs="Times New Roman"/>
                <w:b/>
                <w:bCs/>
                <w:color w:val="auto"/>
                <w:szCs w:val="21"/>
              </w:rPr>
              <w:t xml:space="preserve">  厂界噪声排放预测结果  单位：dB（A）</w:t>
            </w:r>
          </w:p>
          <w:tbl>
            <w:tblPr>
              <w:tblStyle w:val="4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4"/>
              <w:gridCol w:w="812"/>
              <w:gridCol w:w="801"/>
              <w:gridCol w:w="819"/>
              <w:gridCol w:w="794"/>
              <w:gridCol w:w="825"/>
              <w:gridCol w:w="789"/>
            </w:tblGrid>
            <w:tr w14:paraId="784D3A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6" w:type="pct"/>
                  <w:vMerge w:val="restart"/>
                  <w:noWrap w:val="0"/>
                  <w:vAlign w:val="center"/>
                </w:tcPr>
                <w:p w14:paraId="1FF8842D">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编号</w:t>
                  </w:r>
                </w:p>
              </w:tc>
              <w:tc>
                <w:tcPr>
                  <w:tcW w:w="1036" w:type="pct"/>
                  <w:vMerge w:val="restart"/>
                  <w:noWrap w:val="0"/>
                  <w:vAlign w:val="center"/>
                </w:tcPr>
                <w:p w14:paraId="3A589DE6">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预测点</w:t>
                  </w:r>
                </w:p>
              </w:tc>
              <w:tc>
                <w:tcPr>
                  <w:tcW w:w="975" w:type="pct"/>
                  <w:gridSpan w:val="2"/>
                  <w:noWrap w:val="0"/>
                  <w:vAlign w:val="center"/>
                </w:tcPr>
                <w:p w14:paraId="70DDAD81">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厂界贡献值</w:t>
                  </w:r>
                </w:p>
              </w:tc>
              <w:tc>
                <w:tcPr>
                  <w:tcW w:w="975" w:type="pct"/>
                  <w:gridSpan w:val="2"/>
                  <w:noWrap w:val="0"/>
                  <w:vAlign w:val="center"/>
                </w:tcPr>
                <w:p w14:paraId="0E28EEDD">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标准值</w:t>
                  </w:r>
                </w:p>
              </w:tc>
              <w:tc>
                <w:tcPr>
                  <w:tcW w:w="976" w:type="pct"/>
                  <w:gridSpan w:val="2"/>
                  <w:noWrap w:val="0"/>
                  <w:vAlign w:val="center"/>
                </w:tcPr>
                <w:p w14:paraId="07980114">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达标情况</w:t>
                  </w:r>
                </w:p>
              </w:tc>
            </w:tr>
            <w:tr w14:paraId="2D6B8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6" w:type="pct"/>
                  <w:vMerge w:val="continue"/>
                  <w:noWrap w:val="0"/>
                  <w:vAlign w:val="center"/>
                </w:tcPr>
                <w:p w14:paraId="25701313">
                  <w:pPr>
                    <w:jc w:val="center"/>
                    <w:rPr>
                      <w:rFonts w:hint="default" w:ascii="Times New Roman" w:hAnsi="Times New Roman" w:cs="Times New Roman"/>
                      <w:b/>
                      <w:bCs/>
                      <w:color w:val="auto"/>
                      <w:szCs w:val="21"/>
                    </w:rPr>
                  </w:pPr>
                </w:p>
              </w:tc>
              <w:tc>
                <w:tcPr>
                  <w:tcW w:w="1036" w:type="pct"/>
                  <w:vMerge w:val="continue"/>
                  <w:noWrap w:val="0"/>
                  <w:vAlign w:val="center"/>
                </w:tcPr>
                <w:p w14:paraId="7783981F">
                  <w:pPr>
                    <w:jc w:val="center"/>
                    <w:rPr>
                      <w:rFonts w:hint="default" w:ascii="Times New Roman" w:hAnsi="Times New Roman" w:cs="Times New Roman"/>
                      <w:b/>
                      <w:bCs/>
                      <w:color w:val="auto"/>
                      <w:szCs w:val="21"/>
                    </w:rPr>
                  </w:pPr>
                </w:p>
              </w:tc>
              <w:tc>
                <w:tcPr>
                  <w:tcW w:w="491" w:type="pct"/>
                  <w:noWrap w:val="0"/>
                  <w:vAlign w:val="center"/>
                </w:tcPr>
                <w:p w14:paraId="5B245FAF">
                  <w:pPr>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lang w:val="en-US" w:eastAsia="zh-CN"/>
                    </w:rPr>
                    <w:t>昼</w:t>
                  </w:r>
                </w:p>
              </w:tc>
              <w:tc>
                <w:tcPr>
                  <w:tcW w:w="484" w:type="pct"/>
                  <w:noWrap w:val="0"/>
                  <w:vAlign w:val="center"/>
                </w:tcPr>
                <w:p w14:paraId="40834BDD">
                  <w:pPr>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lang w:val="en-US" w:eastAsia="zh-CN"/>
                    </w:rPr>
                    <w:t>夜</w:t>
                  </w:r>
                </w:p>
              </w:tc>
              <w:tc>
                <w:tcPr>
                  <w:tcW w:w="819" w:type="dxa"/>
                  <w:noWrap w:val="0"/>
                  <w:vAlign w:val="center"/>
                </w:tcPr>
                <w:p w14:paraId="7F11B723">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lang w:val="en-US" w:eastAsia="zh-CN"/>
                    </w:rPr>
                    <w:t>昼</w:t>
                  </w:r>
                </w:p>
              </w:tc>
              <w:tc>
                <w:tcPr>
                  <w:tcW w:w="794" w:type="dxa"/>
                  <w:noWrap w:val="0"/>
                  <w:vAlign w:val="center"/>
                </w:tcPr>
                <w:p w14:paraId="00E158FA">
                  <w:pPr>
                    <w:jc w:val="center"/>
                    <w:rPr>
                      <w:rFonts w:hint="eastAsia" w:ascii="Times New Roman" w:hAnsi="Times New Roman" w:eastAsia="宋体" w:cs="Times New Roman"/>
                      <w:b/>
                      <w:bCs/>
                      <w:color w:val="auto"/>
                      <w:szCs w:val="21"/>
                      <w:lang w:eastAsia="zh-CN"/>
                    </w:rPr>
                  </w:pPr>
                  <w:r>
                    <w:rPr>
                      <w:rFonts w:hint="eastAsia" w:ascii="Times New Roman" w:hAnsi="Times New Roman" w:cs="Times New Roman"/>
                      <w:b/>
                      <w:bCs/>
                      <w:color w:val="auto"/>
                      <w:szCs w:val="21"/>
                      <w:lang w:eastAsia="zh-CN"/>
                    </w:rPr>
                    <w:t>夜</w:t>
                  </w:r>
                </w:p>
              </w:tc>
              <w:tc>
                <w:tcPr>
                  <w:tcW w:w="826" w:type="dxa"/>
                  <w:noWrap w:val="0"/>
                  <w:vAlign w:val="center"/>
                </w:tcPr>
                <w:p w14:paraId="6975FF9D">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lang w:val="en-US" w:eastAsia="zh-CN"/>
                    </w:rPr>
                    <w:t>昼</w:t>
                  </w:r>
                </w:p>
              </w:tc>
              <w:tc>
                <w:tcPr>
                  <w:tcW w:w="788" w:type="dxa"/>
                  <w:noWrap w:val="0"/>
                  <w:vAlign w:val="center"/>
                </w:tcPr>
                <w:p w14:paraId="6CF7EC44">
                  <w:pPr>
                    <w:jc w:val="center"/>
                    <w:rPr>
                      <w:rFonts w:hint="eastAsia" w:ascii="Times New Roman" w:hAnsi="Times New Roman" w:eastAsia="宋体" w:cs="Times New Roman"/>
                      <w:b/>
                      <w:bCs/>
                      <w:color w:val="auto"/>
                      <w:szCs w:val="21"/>
                      <w:lang w:eastAsia="zh-CN"/>
                    </w:rPr>
                  </w:pPr>
                  <w:r>
                    <w:rPr>
                      <w:rFonts w:hint="eastAsia" w:ascii="Times New Roman" w:hAnsi="Times New Roman" w:cs="Times New Roman"/>
                      <w:b/>
                      <w:bCs/>
                      <w:color w:val="auto"/>
                      <w:szCs w:val="21"/>
                      <w:lang w:eastAsia="zh-CN"/>
                    </w:rPr>
                    <w:t>夜</w:t>
                  </w:r>
                </w:p>
              </w:tc>
            </w:tr>
            <w:tr w14:paraId="25D69B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36" w:type="pct"/>
                  <w:noWrap w:val="0"/>
                  <w:vAlign w:val="center"/>
                </w:tcPr>
                <w:p w14:paraId="6BDD7FB2">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036" w:type="pct"/>
                  <w:noWrap w:val="0"/>
                  <w:vAlign w:val="center"/>
                </w:tcPr>
                <w:p w14:paraId="06F60531">
                  <w:pPr>
                    <w:jc w:val="center"/>
                    <w:rPr>
                      <w:rFonts w:hint="default" w:ascii="Times New Roman" w:hAnsi="Times New Roman" w:cs="Times New Roman"/>
                      <w:color w:val="auto"/>
                      <w:szCs w:val="21"/>
                    </w:rPr>
                  </w:pPr>
                  <w:r>
                    <w:rPr>
                      <w:rFonts w:hint="default" w:ascii="Times New Roman" w:hAnsi="Times New Roman" w:cs="Times New Roman"/>
                      <w:color w:val="auto"/>
                      <w:szCs w:val="21"/>
                    </w:rPr>
                    <w:t>东厂界</w:t>
                  </w:r>
                </w:p>
              </w:tc>
              <w:tc>
                <w:tcPr>
                  <w:tcW w:w="491" w:type="pct"/>
                  <w:noWrap w:val="0"/>
                  <w:vAlign w:val="center"/>
                </w:tcPr>
                <w:p w14:paraId="26FCF107">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58</w:t>
                  </w:r>
                </w:p>
              </w:tc>
              <w:tc>
                <w:tcPr>
                  <w:tcW w:w="484" w:type="pct"/>
                  <w:noWrap w:val="0"/>
                  <w:vAlign w:val="center"/>
                </w:tcPr>
                <w:p w14:paraId="28E3FD67">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495" w:type="pct"/>
                  <w:noWrap w:val="0"/>
                  <w:vAlign w:val="center"/>
                </w:tcPr>
                <w:p w14:paraId="4962249F">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65</w:t>
                  </w:r>
                </w:p>
              </w:tc>
              <w:tc>
                <w:tcPr>
                  <w:tcW w:w="480" w:type="pct"/>
                  <w:noWrap w:val="0"/>
                  <w:vAlign w:val="center"/>
                </w:tcPr>
                <w:p w14:paraId="3F9FC911">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499" w:type="pct"/>
                  <w:noWrap w:val="0"/>
                  <w:vAlign w:val="center"/>
                </w:tcPr>
                <w:p w14:paraId="73080EE2">
                  <w:pPr>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c>
                <w:tcPr>
                  <w:tcW w:w="788" w:type="dxa"/>
                  <w:noWrap w:val="0"/>
                  <w:vAlign w:val="center"/>
                </w:tcPr>
                <w:p w14:paraId="46D2A762">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r>
            <w:tr w14:paraId="055F58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36" w:type="pct"/>
                  <w:noWrap w:val="0"/>
                  <w:vAlign w:val="center"/>
                </w:tcPr>
                <w:p w14:paraId="4D2541F3">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036" w:type="pct"/>
                  <w:noWrap w:val="0"/>
                  <w:vAlign w:val="center"/>
                </w:tcPr>
                <w:p w14:paraId="21C37930">
                  <w:pPr>
                    <w:jc w:val="center"/>
                    <w:rPr>
                      <w:rFonts w:hint="default" w:ascii="Times New Roman" w:hAnsi="Times New Roman" w:cs="Times New Roman"/>
                      <w:color w:val="auto"/>
                      <w:szCs w:val="21"/>
                    </w:rPr>
                  </w:pPr>
                  <w:r>
                    <w:rPr>
                      <w:rFonts w:hint="default" w:ascii="Times New Roman" w:hAnsi="Times New Roman" w:cs="Times New Roman"/>
                      <w:color w:val="auto"/>
                      <w:szCs w:val="21"/>
                    </w:rPr>
                    <w:t>南厂界</w:t>
                  </w:r>
                </w:p>
              </w:tc>
              <w:tc>
                <w:tcPr>
                  <w:tcW w:w="491" w:type="pct"/>
                  <w:noWrap w:val="0"/>
                  <w:vAlign w:val="center"/>
                </w:tcPr>
                <w:p w14:paraId="0A1252F2">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61</w:t>
                  </w:r>
                </w:p>
              </w:tc>
              <w:tc>
                <w:tcPr>
                  <w:tcW w:w="484" w:type="pct"/>
                  <w:noWrap w:val="0"/>
                  <w:vAlign w:val="center"/>
                </w:tcPr>
                <w:p w14:paraId="0BF5E7F2">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819" w:type="dxa"/>
                  <w:noWrap w:val="0"/>
                  <w:vAlign w:val="center"/>
                </w:tcPr>
                <w:p w14:paraId="0D92D5C4">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65</w:t>
                  </w:r>
                </w:p>
              </w:tc>
              <w:tc>
                <w:tcPr>
                  <w:tcW w:w="794" w:type="dxa"/>
                  <w:noWrap w:val="0"/>
                  <w:vAlign w:val="center"/>
                </w:tcPr>
                <w:p w14:paraId="386D243F">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499" w:type="pct"/>
                  <w:noWrap w:val="0"/>
                  <w:vAlign w:val="center"/>
                </w:tcPr>
                <w:p w14:paraId="315153BD">
                  <w:pPr>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c>
                <w:tcPr>
                  <w:tcW w:w="788" w:type="dxa"/>
                  <w:noWrap w:val="0"/>
                  <w:vAlign w:val="center"/>
                </w:tcPr>
                <w:p w14:paraId="5D7CAED0">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r>
            <w:tr w14:paraId="1DE304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36" w:type="pct"/>
                  <w:noWrap w:val="0"/>
                  <w:vAlign w:val="center"/>
                </w:tcPr>
                <w:p w14:paraId="0A8AC1E7">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036" w:type="pct"/>
                  <w:noWrap w:val="0"/>
                  <w:vAlign w:val="center"/>
                </w:tcPr>
                <w:p w14:paraId="01C366E5">
                  <w:pPr>
                    <w:jc w:val="center"/>
                    <w:rPr>
                      <w:rFonts w:hint="default" w:ascii="Times New Roman" w:hAnsi="Times New Roman" w:cs="Times New Roman"/>
                      <w:color w:val="auto"/>
                      <w:szCs w:val="21"/>
                    </w:rPr>
                  </w:pPr>
                  <w:r>
                    <w:rPr>
                      <w:rFonts w:hint="default" w:ascii="Times New Roman" w:hAnsi="Times New Roman" w:cs="Times New Roman"/>
                      <w:color w:val="auto"/>
                      <w:szCs w:val="21"/>
                    </w:rPr>
                    <w:t>西厂界</w:t>
                  </w:r>
                </w:p>
              </w:tc>
              <w:tc>
                <w:tcPr>
                  <w:tcW w:w="491" w:type="pct"/>
                  <w:noWrap w:val="0"/>
                  <w:vAlign w:val="center"/>
                </w:tcPr>
                <w:p w14:paraId="482FA579">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46</w:t>
                  </w:r>
                </w:p>
              </w:tc>
              <w:tc>
                <w:tcPr>
                  <w:tcW w:w="484" w:type="pct"/>
                  <w:noWrap w:val="0"/>
                  <w:vAlign w:val="center"/>
                </w:tcPr>
                <w:p w14:paraId="4D517D16">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819" w:type="dxa"/>
                  <w:noWrap w:val="0"/>
                  <w:vAlign w:val="center"/>
                </w:tcPr>
                <w:p w14:paraId="30A5BEB5">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65</w:t>
                  </w:r>
                </w:p>
              </w:tc>
              <w:tc>
                <w:tcPr>
                  <w:tcW w:w="794" w:type="dxa"/>
                  <w:noWrap w:val="0"/>
                  <w:vAlign w:val="center"/>
                </w:tcPr>
                <w:p w14:paraId="00DCE0D9">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499" w:type="pct"/>
                  <w:noWrap w:val="0"/>
                  <w:vAlign w:val="center"/>
                </w:tcPr>
                <w:p w14:paraId="3FC77B83">
                  <w:pPr>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c>
                <w:tcPr>
                  <w:tcW w:w="788" w:type="dxa"/>
                  <w:noWrap w:val="0"/>
                  <w:vAlign w:val="center"/>
                </w:tcPr>
                <w:p w14:paraId="2586CA5E">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r>
            <w:tr w14:paraId="7C49F9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36" w:type="pct"/>
                  <w:noWrap w:val="0"/>
                  <w:vAlign w:val="center"/>
                </w:tcPr>
                <w:p w14:paraId="7A527BF7">
                  <w:pPr>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036" w:type="pct"/>
                  <w:noWrap w:val="0"/>
                  <w:vAlign w:val="center"/>
                </w:tcPr>
                <w:p w14:paraId="7D4D52C4">
                  <w:pPr>
                    <w:jc w:val="center"/>
                    <w:rPr>
                      <w:rFonts w:hint="default" w:ascii="Times New Roman" w:hAnsi="Times New Roman" w:cs="Times New Roman"/>
                      <w:color w:val="auto"/>
                      <w:szCs w:val="21"/>
                    </w:rPr>
                  </w:pPr>
                  <w:r>
                    <w:rPr>
                      <w:rFonts w:hint="default" w:ascii="Times New Roman" w:hAnsi="Times New Roman" w:cs="Times New Roman"/>
                      <w:color w:val="auto"/>
                      <w:szCs w:val="21"/>
                    </w:rPr>
                    <w:t>北厂界</w:t>
                  </w:r>
                </w:p>
              </w:tc>
              <w:tc>
                <w:tcPr>
                  <w:tcW w:w="491" w:type="pct"/>
                  <w:noWrap w:val="0"/>
                  <w:vAlign w:val="center"/>
                </w:tcPr>
                <w:p w14:paraId="4EA33B9C">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7</w:t>
                  </w:r>
                </w:p>
              </w:tc>
              <w:tc>
                <w:tcPr>
                  <w:tcW w:w="484" w:type="pct"/>
                  <w:noWrap w:val="0"/>
                  <w:vAlign w:val="center"/>
                </w:tcPr>
                <w:p w14:paraId="7E2165A4">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819" w:type="dxa"/>
                  <w:noWrap w:val="0"/>
                  <w:vAlign w:val="center"/>
                </w:tcPr>
                <w:p w14:paraId="39049144">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65</w:t>
                  </w:r>
                </w:p>
              </w:tc>
              <w:tc>
                <w:tcPr>
                  <w:tcW w:w="794" w:type="dxa"/>
                  <w:noWrap w:val="0"/>
                  <w:vAlign w:val="center"/>
                </w:tcPr>
                <w:p w14:paraId="464E1A37">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499" w:type="pct"/>
                  <w:noWrap w:val="0"/>
                  <w:vAlign w:val="center"/>
                </w:tcPr>
                <w:p w14:paraId="2E477AAC">
                  <w:pPr>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c>
                <w:tcPr>
                  <w:tcW w:w="788" w:type="dxa"/>
                  <w:noWrap w:val="0"/>
                  <w:vAlign w:val="center"/>
                </w:tcPr>
                <w:p w14:paraId="700EE52A">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r>
          </w:tbl>
          <w:p w14:paraId="4642F9D5">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根据预测结果，与评价标准进行对比分析表明，本项目在正常工况条件下，全厂设备产生的噪声经防治后厂界昼间噪声排放值</w:t>
            </w:r>
            <w:r>
              <w:rPr>
                <w:rFonts w:hint="default" w:ascii="Times New Roman" w:hAnsi="Times New Roman" w:cs="Times New Roman"/>
                <w:color w:val="auto"/>
                <w:sz w:val="21"/>
                <w:szCs w:val="21"/>
                <w:lang w:eastAsia="zh-CN"/>
              </w:rPr>
              <w:t>均</w:t>
            </w:r>
            <w:r>
              <w:rPr>
                <w:rFonts w:hint="default" w:ascii="Times New Roman" w:hAnsi="Times New Roman" w:cs="Times New Roman"/>
                <w:color w:val="auto"/>
                <w:sz w:val="21"/>
                <w:szCs w:val="21"/>
              </w:rPr>
              <w:t>达标</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本项目夜间不生产</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，厂界四周均达到《工业企业厂界环境噪声排放标准》（GB12348-2008）</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类标准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对周围环境影响值较小，噪声防治措施可行。</w:t>
            </w:r>
          </w:p>
          <w:p w14:paraId="447D0D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color w:val="auto"/>
                <w:kern w:val="2"/>
                <w:sz w:val="21"/>
                <w:szCs w:val="21"/>
                <w:lang w:val="zh-CN" w:eastAsia="zh-CN" w:bidi="ar-SA"/>
              </w:rPr>
              <w:t>表4-</w:t>
            </w:r>
            <w:r>
              <w:rPr>
                <w:rFonts w:hint="default" w:ascii="Times New Roman" w:hAnsi="Times New Roman" w:eastAsia="宋体" w:cs="Times New Roman"/>
                <w:b/>
                <w:color w:val="auto"/>
                <w:kern w:val="2"/>
                <w:sz w:val="21"/>
                <w:szCs w:val="21"/>
                <w:lang w:val="en-US" w:eastAsia="zh-CN" w:bidi="ar-SA"/>
              </w:rPr>
              <w:t>1</w:t>
            </w:r>
            <w:r>
              <w:rPr>
                <w:rFonts w:hint="eastAsia" w:ascii="Times New Roman" w:hAnsi="Times New Roman" w:cs="Times New Roman"/>
                <w:b/>
                <w:color w:val="auto"/>
                <w:kern w:val="2"/>
                <w:sz w:val="21"/>
                <w:szCs w:val="21"/>
                <w:lang w:val="en-US" w:eastAsia="zh-CN" w:bidi="ar-SA"/>
              </w:rPr>
              <w:t>6</w:t>
            </w:r>
            <w:r>
              <w:rPr>
                <w:rFonts w:hint="default" w:ascii="Times New Roman" w:hAnsi="Times New Roman" w:eastAsia="宋体" w:cs="Times New Roman"/>
                <w:b/>
                <w:color w:val="auto"/>
                <w:kern w:val="2"/>
                <w:sz w:val="21"/>
                <w:szCs w:val="21"/>
                <w:lang w:val="zh-CN" w:eastAsia="zh-CN" w:bidi="ar-SA"/>
              </w:rPr>
              <w:t xml:space="preserve"> 工业企业噪声防治措施及投资表</w:t>
            </w:r>
          </w:p>
          <w:tbl>
            <w:tblPr>
              <w:tblStyle w:val="4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66"/>
              <w:gridCol w:w="2066"/>
              <w:gridCol w:w="2071"/>
            </w:tblGrid>
            <w:tr w14:paraId="75E76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49" w:type="pct"/>
                  <w:tcBorders>
                    <w:tl2br w:val="nil"/>
                    <w:tr2bl w:val="nil"/>
                  </w:tcBorders>
                  <w:noWrap w:val="0"/>
                  <w:vAlign w:val="center"/>
                </w:tcPr>
                <w:p w14:paraId="424819D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噪声防治措施名称（类型）</w:t>
                  </w:r>
                </w:p>
              </w:tc>
              <w:tc>
                <w:tcPr>
                  <w:tcW w:w="1249" w:type="pct"/>
                  <w:tcBorders>
                    <w:tl2br w:val="nil"/>
                    <w:tr2bl w:val="nil"/>
                  </w:tcBorders>
                  <w:noWrap w:val="0"/>
                  <w:vAlign w:val="center"/>
                </w:tcPr>
                <w:p w14:paraId="358F2844">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噪声防治措施规模</w:t>
                  </w:r>
                </w:p>
              </w:tc>
              <w:tc>
                <w:tcPr>
                  <w:tcW w:w="1249" w:type="pct"/>
                  <w:tcBorders>
                    <w:tl2br w:val="nil"/>
                    <w:tr2bl w:val="nil"/>
                  </w:tcBorders>
                  <w:noWrap w:val="0"/>
                  <w:vAlign w:val="center"/>
                </w:tcPr>
                <w:p w14:paraId="40C4E17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噪声防治措施效果</w:t>
                  </w:r>
                </w:p>
              </w:tc>
              <w:tc>
                <w:tcPr>
                  <w:tcW w:w="1252" w:type="pct"/>
                  <w:tcBorders>
                    <w:tl2br w:val="nil"/>
                    <w:tr2bl w:val="nil"/>
                  </w:tcBorders>
                  <w:noWrap w:val="0"/>
                  <w:vAlign w:val="center"/>
                </w:tcPr>
                <w:p w14:paraId="64355E3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噪声防治措施投资/万元</w:t>
                  </w:r>
                </w:p>
              </w:tc>
            </w:tr>
            <w:tr w14:paraId="736A02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49" w:type="pct"/>
                  <w:tcBorders>
                    <w:tl2br w:val="nil"/>
                    <w:tr2bl w:val="nil"/>
                  </w:tcBorders>
                  <w:noWrap w:val="0"/>
                  <w:vAlign w:val="center"/>
                </w:tcPr>
                <w:p w14:paraId="745576D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基础减震，建筑隔声</w:t>
                  </w:r>
                </w:p>
              </w:tc>
              <w:tc>
                <w:tcPr>
                  <w:tcW w:w="1249" w:type="pct"/>
                  <w:tcBorders>
                    <w:tl2br w:val="nil"/>
                    <w:tr2bl w:val="nil"/>
                  </w:tcBorders>
                  <w:noWrap w:val="0"/>
                  <w:vAlign w:val="center"/>
                </w:tcPr>
                <w:p w14:paraId="64F8A46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优先选用低噪声先进设备；设减振垫或隔振基础；选用消声装置</w:t>
                  </w:r>
                </w:p>
              </w:tc>
              <w:tc>
                <w:tcPr>
                  <w:tcW w:w="1249" w:type="pct"/>
                  <w:tcBorders>
                    <w:tl2br w:val="nil"/>
                    <w:tr2bl w:val="nil"/>
                  </w:tcBorders>
                  <w:noWrap w:val="0"/>
                  <w:vAlign w:val="center"/>
                </w:tcPr>
                <w:p w14:paraId="662798F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隔声量20dB（A）</w:t>
                  </w:r>
                </w:p>
              </w:tc>
              <w:tc>
                <w:tcPr>
                  <w:tcW w:w="1252" w:type="pct"/>
                  <w:tcBorders>
                    <w:tl2br w:val="nil"/>
                    <w:tr2bl w:val="nil"/>
                  </w:tcBorders>
                  <w:noWrap w:val="0"/>
                  <w:vAlign w:val="center"/>
                </w:tcPr>
                <w:p w14:paraId="0E98F58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r>
          </w:tbl>
          <w:p w14:paraId="6EE34C53">
            <w:pPr>
              <w:adjustRightInd w:val="0"/>
              <w:snapToGrid w:val="0"/>
              <w:spacing w:line="360" w:lineRule="auto"/>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综上，本项目不会降低项目所在地声环境功能类别，对周围环境影响较小</w:t>
            </w:r>
            <w:r>
              <w:rPr>
                <w:rFonts w:hint="default" w:ascii="Times New Roman" w:hAnsi="Times New Roman" w:cs="Times New Roman"/>
                <w:color w:val="auto"/>
                <w:sz w:val="21"/>
                <w:szCs w:val="21"/>
                <w:lang w:eastAsia="zh-CN"/>
              </w:rPr>
              <w:t>。</w:t>
            </w:r>
          </w:p>
          <w:p w14:paraId="48307CB1">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（3）噪声监测计划</w:t>
            </w:r>
          </w:p>
          <w:p w14:paraId="12B2C491">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根据《排污单位自行监测技术指南总则》（HJ 819-2017），厂界噪声最低监测频次为季度，厂界噪声监测频次为一季度开展一次，并在噪声监测点附近醒目处设置环境保护图形标志牌。</w:t>
            </w:r>
          </w:p>
          <w:p w14:paraId="5F9CD4A7">
            <w:pPr>
              <w:ind w:firstLine="422" w:firstLineChars="20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表4-1</w:t>
            </w:r>
            <w:r>
              <w:rPr>
                <w:rFonts w:hint="eastAsia" w:ascii="Times New Roman" w:hAnsi="Times New Roman" w:cs="Times New Roman"/>
                <w:b/>
                <w:bCs/>
                <w:color w:val="auto"/>
                <w:kern w:val="0"/>
                <w:sz w:val="21"/>
                <w:szCs w:val="21"/>
                <w:lang w:val="en-US" w:eastAsia="zh-CN"/>
              </w:rPr>
              <w:t>7</w:t>
            </w:r>
            <w:r>
              <w:rPr>
                <w:rFonts w:hint="default" w:ascii="Times New Roman" w:hAnsi="Times New Roman" w:cs="Times New Roman"/>
                <w:b/>
                <w:bCs/>
                <w:color w:val="auto"/>
                <w:kern w:val="0"/>
                <w:sz w:val="21"/>
                <w:szCs w:val="21"/>
              </w:rPr>
              <w:t xml:space="preserve">  噪声环境监测计划</w:t>
            </w:r>
          </w:p>
          <w:tbl>
            <w:tblPr>
              <w:tblStyle w:val="4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09"/>
              <w:gridCol w:w="1783"/>
              <w:gridCol w:w="2268"/>
              <w:gridCol w:w="3135"/>
            </w:tblGrid>
            <w:tr w14:paraId="0679EF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1009" w:type="dxa"/>
                  <w:noWrap w:val="0"/>
                  <w:vAlign w:val="center"/>
                </w:tcPr>
                <w:p w14:paraId="2DBC916C">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类别</w:t>
                  </w:r>
                </w:p>
              </w:tc>
              <w:tc>
                <w:tcPr>
                  <w:tcW w:w="1783" w:type="dxa"/>
                  <w:noWrap w:val="0"/>
                  <w:vAlign w:val="center"/>
                </w:tcPr>
                <w:p w14:paraId="28AD6200">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监测位置</w:t>
                  </w:r>
                </w:p>
              </w:tc>
              <w:tc>
                <w:tcPr>
                  <w:tcW w:w="2268" w:type="dxa"/>
                  <w:noWrap w:val="0"/>
                  <w:vAlign w:val="center"/>
                </w:tcPr>
                <w:p w14:paraId="5388F37A">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监测项目</w:t>
                  </w:r>
                </w:p>
              </w:tc>
              <w:tc>
                <w:tcPr>
                  <w:tcW w:w="3135" w:type="dxa"/>
                  <w:noWrap w:val="0"/>
                  <w:vAlign w:val="center"/>
                </w:tcPr>
                <w:p w14:paraId="0CD618D4">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监测频次</w:t>
                  </w:r>
                </w:p>
              </w:tc>
            </w:tr>
            <w:tr w14:paraId="4FF4BF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1009" w:type="dxa"/>
                  <w:noWrap w:val="0"/>
                  <w:vAlign w:val="center"/>
                </w:tcPr>
                <w:p w14:paraId="6C88F7F6">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噪声</w:t>
                  </w:r>
                </w:p>
              </w:tc>
              <w:tc>
                <w:tcPr>
                  <w:tcW w:w="1783" w:type="dxa"/>
                  <w:noWrap w:val="0"/>
                  <w:vAlign w:val="center"/>
                </w:tcPr>
                <w:p w14:paraId="2AAFD30C">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厂界外1米</w:t>
                  </w:r>
                </w:p>
              </w:tc>
              <w:tc>
                <w:tcPr>
                  <w:tcW w:w="2268" w:type="dxa"/>
                  <w:noWrap w:val="0"/>
                  <w:vAlign w:val="center"/>
                </w:tcPr>
                <w:p w14:paraId="415DA42C">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连续等效A声级</w:t>
                  </w:r>
                </w:p>
              </w:tc>
              <w:tc>
                <w:tcPr>
                  <w:tcW w:w="3135" w:type="dxa"/>
                  <w:noWrap w:val="0"/>
                  <w:vAlign w:val="center"/>
                </w:tcPr>
                <w:p w14:paraId="74D4F877">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1次/季度；昼间一次/天</w:t>
                  </w:r>
                </w:p>
              </w:tc>
            </w:tr>
          </w:tbl>
          <w:p w14:paraId="735C37C8">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eastAsia="zh-CN"/>
              </w:rPr>
              <w:t>三同时验收监测计划</w:t>
            </w:r>
          </w:p>
          <w:p w14:paraId="3597BC50">
            <w:pPr>
              <w:adjustRightInd w:val="0"/>
              <w:snapToGrid w:val="0"/>
              <w:jc w:val="center"/>
              <w:rPr>
                <w:rFonts w:hint="default" w:ascii="Times New Roman" w:hAnsi="Times New Roman" w:eastAsia="宋体" w:cs="Times New Roman"/>
                <w:b/>
                <w:color w:val="auto"/>
                <w:sz w:val="28"/>
                <w:szCs w:val="32"/>
                <w:lang w:eastAsia="zh-CN"/>
              </w:rPr>
            </w:pPr>
            <w:r>
              <w:rPr>
                <w:rFonts w:hint="default" w:ascii="Times New Roman" w:hAnsi="Times New Roman" w:eastAsia="宋体" w:cs="Times New Roman"/>
                <w:b/>
                <w:bCs/>
                <w:snapToGrid w:val="0"/>
                <w:color w:val="auto"/>
                <w:szCs w:val="24"/>
              </w:rPr>
              <w:t>表</w:t>
            </w:r>
            <w:r>
              <w:rPr>
                <w:rFonts w:hint="default" w:ascii="Times New Roman" w:hAnsi="Times New Roman" w:eastAsia="宋体" w:cs="Times New Roman"/>
                <w:b/>
                <w:bCs/>
                <w:snapToGrid w:val="0"/>
                <w:color w:val="auto"/>
                <w:szCs w:val="24"/>
                <w:lang w:val="en-US" w:eastAsia="zh-CN"/>
              </w:rPr>
              <w:t>4-</w:t>
            </w:r>
            <w:r>
              <w:rPr>
                <w:rFonts w:hint="default" w:ascii="Times New Roman" w:hAnsi="Times New Roman" w:cs="Times New Roman"/>
                <w:b/>
                <w:bCs/>
                <w:snapToGrid w:val="0"/>
                <w:color w:val="auto"/>
                <w:szCs w:val="24"/>
                <w:lang w:val="en-US" w:eastAsia="zh-CN"/>
              </w:rPr>
              <w:t>1</w:t>
            </w:r>
            <w:r>
              <w:rPr>
                <w:rFonts w:hint="eastAsia" w:ascii="Times New Roman" w:hAnsi="Times New Roman" w:cs="Times New Roman"/>
                <w:b/>
                <w:bCs/>
                <w:snapToGrid w:val="0"/>
                <w:color w:val="auto"/>
                <w:szCs w:val="24"/>
                <w:lang w:val="en-US" w:eastAsia="zh-CN"/>
              </w:rPr>
              <w:t>8</w:t>
            </w:r>
            <w:r>
              <w:rPr>
                <w:rFonts w:hint="default" w:ascii="Times New Roman" w:hAnsi="Times New Roman" w:eastAsia="宋体" w:cs="Times New Roman"/>
                <w:b/>
                <w:bCs/>
                <w:snapToGrid w:val="0"/>
                <w:color w:val="auto"/>
                <w:szCs w:val="24"/>
              </w:rPr>
              <w:t xml:space="preserve">  </w:t>
            </w:r>
            <w:r>
              <w:rPr>
                <w:rFonts w:hint="default" w:ascii="Times New Roman" w:hAnsi="Times New Roman" w:eastAsia="宋体" w:cs="Times New Roman"/>
                <w:b/>
                <w:bCs/>
                <w:snapToGrid w:val="0"/>
                <w:color w:val="auto"/>
                <w:szCs w:val="24"/>
                <w:lang w:eastAsia="zh-CN"/>
              </w:rPr>
              <w:t>本项目噪声</w:t>
            </w:r>
            <w:r>
              <w:rPr>
                <w:rFonts w:hint="default" w:ascii="Times New Roman" w:hAnsi="Times New Roman" w:eastAsia="宋体" w:cs="Times New Roman"/>
                <w:b/>
                <w:bCs/>
                <w:snapToGrid w:val="0"/>
                <w:color w:val="auto"/>
                <w:szCs w:val="24"/>
              </w:rPr>
              <w:t>验收监测</w:t>
            </w:r>
            <w:r>
              <w:rPr>
                <w:rFonts w:hint="default" w:ascii="Times New Roman" w:hAnsi="Times New Roman" w:eastAsia="宋体" w:cs="Times New Roman"/>
                <w:b/>
                <w:bCs/>
                <w:snapToGrid w:val="0"/>
                <w:color w:val="auto"/>
                <w:szCs w:val="24"/>
                <w:lang w:eastAsia="zh-CN"/>
              </w:rPr>
              <w:t>计划</w:t>
            </w:r>
          </w:p>
          <w:tbl>
            <w:tblPr>
              <w:tblStyle w:val="41"/>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61"/>
              <w:gridCol w:w="809"/>
              <w:gridCol w:w="1545"/>
              <w:gridCol w:w="2214"/>
              <w:gridCol w:w="2739"/>
            </w:tblGrid>
            <w:tr w14:paraId="6E856D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70" w:type="pct"/>
                  <w:gridSpan w:val="2"/>
                  <w:noWrap w:val="0"/>
                  <w:vAlign w:val="center"/>
                </w:tcPr>
                <w:p w14:paraId="390F614D">
                  <w:pPr>
                    <w:pStyle w:val="13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类别</w:t>
                  </w:r>
                </w:p>
              </w:tc>
              <w:tc>
                <w:tcPr>
                  <w:tcW w:w="934" w:type="pct"/>
                  <w:noWrap w:val="0"/>
                  <w:vAlign w:val="center"/>
                </w:tcPr>
                <w:p w14:paraId="0F823851">
                  <w:pPr>
                    <w:pStyle w:val="13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监测点位</w:t>
                  </w:r>
                </w:p>
              </w:tc>
              <w:tc>
                <w:tcPr>
                  <w:tcW w:w="1338" w:type="pct"/>
                  <w:noWrap w:val="0"/>
                  <w:vAlign w:val="center"/>
                </w:tcPr>
                <w:p w14:paraId="6D0E62A2">
                  <w:pPr>
                    <w:pStyle w:val="13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监测项目</w:t>
                  </w:r>
                </w:p>
              </w:tc>
              <w:tc>
                <w:tcPr>
                  <w:tcW w:w="1655" w:type="pct"/>
                  <w:noWrap w:val="0"/>
                  <w:vAlign w:val="center"/>
                </w:tcPr>
                <w:p w14:paraId="5AB897B6">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监测频次</w:t>
                  </w:r>
                </w:p>
              </w:tc>
            </w:tr>
            <w:tr w14:paraId="7DFF1DA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81" w:type="pct"/>
                  <w:noWrap w:val="0"/>
                  <w:vAlign w:val="center"/>
                </w:tcPr>
                <w:p w14:paraId="5C41F339">
                  <w:pPr>
                    <w:pStyle w:val="13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运营期</w:t>
                  </w:r>
                </w:p>
              </w:tc>
              <w:tc>
                <w:tcPr>
                  <w:tcW w:w="489" w:type="pct"/>
                  <w:noWrap w:val="0"/>
                  <w:vAlign w:val="center"/>
                </w:tcPr>
                <w:p w14:paraId="753CAE3F">
                  <w:pPr>
                    <w:pStyle w:val="13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噪声</w:t>
                  </w:r>
                </w:p>
              </w:tc>
              <w:tc>
                <w:tcPr>
                  <w:tcW w:w="934" w:type="pct"/>
                  <w:noWrap w:val="0"/>
                  <w:vAlign w:val="center"/>
                </w:tcPr>
                <w:p w14:paraId="1353F9A7">
                  <w:pPr>
                    <w:spacing w:line="320" w:lineRule="exact"/>
                    <w:ind w:left="-8" w:leftChars="-4"/>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rPr>
                    <w:t>厂界</w:t>
                  </w:r>
                </w:p>
              </w:tc>
              <w:tc>
                <w:tcPr>
                  <w:tcW w:w="1338" w:type="pct"/>
                  <w:noWrap w:val="0"/>
                  <w:vAlign w:val="center"/>
                </w:tcPr>
                <w:p w14:paraId="1E26B0FB">
                  <w:pPr>
                    <w:spacing w:line="320" w:lineRule="exact"/>
                    <w:ind w:left="-8" w:leftChars="-4"/>
                    <w:jc w:val="center"/>
                    <w:rPr>
                      <w:rFonts w:hint="default" w:ascii="Times New Roman" w:hAnsi="Times New Roman" w:eastAsia="宋体" w:cs="Times New Roman"/>
                      <w:color w:val="auto"/>
                      <w:sz w:val="21"/>
                      <w:szCs w:val="21"/>
                      <w:lang w:bidi="ar"/>
                    </w:rPr>
                  </w:pPr>
                  <w:r>
                    <w:rPr>
                      <w:rFonts w:hint="default" w:ascii="Times New Roman" w:hAnsi="Times New Roman" w:cs="Times New Roman"/>
                      <w:color w:val="auto"/>
                      <w:sz w:val="21"/>
                    </w:rPr>
                    <w:t>等效声级</w:t>
                  </w:r>
                  <w:r>
                    <w:rPr>
                      <w:rFonts w:hint="default" w:ascii="Times New Roman" w:hAnsi="Times New Roman" w:eastAsia="Times New Roman" w:cs="Times New Roman"/>
                      <w:color w:val="auto"/>
                      <w:sz w:val="21"/>
                    </w:rPr>
                    <w:t>Leq(A)</w:t>
                  </w:r>
                </w:p>
              </w:tc>
              <w:tc>
                <w:tcPr>
                  <w:tcW w:w="1655" w:type="pct"/>
                  <w:noWrap w:val="0"/>
                  <w:vAlign w:val="center"/>
                </w:tcPr>
                <w:p w14:paraId="21EAE25E">
                  <w:pPr>
                    <w:jc w:val="center"/>
                    <w:textAlignment w:val="center"/>
                    <w:rPr>
                      <w:rFonts w:hint="default" w:ascii="Times New Roman" w:hAnsi="Times New Roman" w:eastAsia="宋体" w:cs="Times New Roman"/>
                      <w:color w:val="auto"/>
                      <w:sz w:val="21"/>
                      <w:szCs w:val="21"/>
                      <w:lang w:eastAsia="zh-CN" w:bidi="ar"/>
                    </w:rPr>
                  </w:pPr>
                  <w:r>
                    <w:rPr>
                      <w:rFonts w:hint="default" w:ascii="Times New Roman" w:hAnsi="Times New Roman" w:eastAsia="Times New Roman" w:cs="Times New Roman"/>
                      <w:color w:val="auto"/>
                      <w:sz w:val="21"/>
                    </w:rPr>
                    <w:t>2</w:t>
                  </w:r>
                  <w:r>
                    <w:rPr>
                      <w:rFonts w:hint="default" w:ascii="Times New Roman" w:hAnsi="Times New Roman" w:cs="Times New Roman"/>
                      <w:color w:val="auto"/>
                      <w:sz w:val="21"/>
                    </w:rPr>
                    <w:t>天</w:t>
                  </w:r>
                  <w:r>
                    <w:rPr>
                      <w:rFonts w:hint="default" w:ascii="Times New Roman" w:hAnsi="Times New Roman" w:eastAsia="Times New Roman" w:cs="Times New Roman"/>
                      <w:color w:val="auto"/>
                      <w:sz w:val="21"/>
                    </w:rPr>
                    <w:t>×1</w:t>
                  </w:r>
                  <w:r>
                    <w:rPr>
                      <w:rFonts w:hint="default" w:ascii="Times New Roman" w:hAnsi="Times New Roman" w:cs="Times New Roman"/>
                      <w:color w:val="auto"/>
                      <w:sz w:val="21"/>
                    </w:rPr>
                    <w:t>次</w:t>
                  </w:r>
                  <w:r>
                    <w:rPr>
                      <w:rFonts w:hint="default" w:ascii="Times New Roman" w:hAnsi="Times New Roman" w:eastAsia="Times New Roman" w:cs="Times New Roman"/>
                      <w:color w:val="auto"/>
                      <w:sz w:val="21"/>
                    </w:rPr>
                    <w:t>/</w:t>
                  </w:r>
                  <w:r>
                    <w:rPr>
                      <w:rFonts w:hint="default" w:ascii="Times New Roman" w:hAnsi="Times New Roman" w:cs="Times New Roman"/>
                      <w:color w:val="auto"/>
                      <w:sz w:val="21"/>
                    </w:rPr>
                    <w:t>天</w:t>
                  </w:r>
                  <w:r>
                    <w:rPr>
                      <w:rFonts w:hint="default" w:ascii="Times New Roman" w:hAnsi="Times New Roman" w:cs="Times New Roman"/>
                      <w:color w:val="auto"/>
                      <w:sz w:val="21"/>
                      <w:lang w:eastAsia="zh-CN"/>
                    </w:rPr>
                    <w:t>，昼间一次</w:t>
                  </w:r>
                </w:p>
              </w:tc>
            </w:tr>
          </w:tbl>
          <w:p w14:paraId="4B8122FB">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4、固体废物</w:t>
            </w:r>
          </w:p>
          <w:p w14:paraId="538AEBBB">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固体废物产生及处置情况</w:t>
            </w:r>
          </w:p>
          <w:p w14:paraId="1C612C89">
            <w:pPr>
              <w:pStyle w:val="5"/>
              <w:spacing w:line="360" w:lineRule="auto"/>
              <w:ind w:firstLine="48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①废下脚料</w:t>
            </w:r>
          </w:p>
          <w:p w14:paraId="5E063AB4">
            <w:pPr>
              <w:pStyle w:val="5"/>
              <w:spacing w:line="360" w:lineRule="auto"/>
              <w:ind w:firstLine="48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本项目下料过程会产生废下脚料</w:t>
            </w:r>
            <w:r>
              <w:rPr>
                <w:rFonts w:hint="default" w:ascii="Times New Roman" w:hAnsi="Times New Roman" w:cs="Times New Roman"/>
                <w:color w:val="auto"/>
                <w:sz w:val="21"/>
                <w:szCs w:val="21"/>
                <w:lang w:val="en-US" w:eastAsia="zh-CN"/>
              </w:rPr>
              <w:t>，根据建设单位提供的经验数据，</w:t>
            </w:r>
            <w:r>
              <w:rPr>
                <w:rFonts w:hint="default" w:ascii="Times New Roman" w:hAnsi="Times New Roman" w:cs="Times New Roman"/>
                <w:color w:val="auto"/>
                <w:sz w:val="21"/>
                <w:szCs w:val="21"/>
                <w:lang w:eastAsia="zh-CN"/>
              </w:rPr>
              <w:t>废下脚料</w:t>
            </w:r>
            <w:r>
              <w:rPr>
                <w:rFonts w:hint="default" w:ascii="Times New Roman" w:hAnsi="Times New Roman" w:cs="Times New Roman"/>
                <w:color w:val="auto"/>
                <w:sz w:val="21"/>
                <w:szCs w:val="21"/>
                <w:lang w:val="en-US" w:eastAsia="zh-CN"/>
              </w:rPr>
              <w:t>的产生量约为原材料用量的</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lang w:val="en-US" w:eastAsia="zh-CN"/>
              </w:rPr>
              <w:t>%，项目共使用原辅料</w:t>
            </w:r>
            <w:r>
              <w:rPr>
                <w:rFonts w:hint="eastAsia" w:ascii="Times New Roman" w:hAnsi="Times New Roman" w:cs="Times New Roman"/>
                <w:color w:val="auto"/>
                <w:sz w:val="21"/>
                <w:szCs w:val="21"/>
                <w:lang w:val="en-US" w:eastAsia="zh-CN"/>
              </w:rPr>
              <w:t>90</w:t>
            </w:r>
            <w:r>
              <w:rPr>
                <w:rFonts w:hint="default" w:ascii="Times New Roman" w:hAnsi="Times New Roman" w:cs="Times New Roman"/>
                <w:color w:val="auto"/>
                <w:sz w:val="21"/>
                <w:szCs w:val="21"/>
                <w:lang w:val="en-US" w:eastAsia="zh-CN"/>
              </w:rPr>
              <w:t>000t/a，则产生废下脚料</w:t>
            </w:r>
            <w:r>
              <w:rPr>
                <w:rFonts w:hint="eastAsia" w:ascii="Times New Roman" w:hAnsi="Times New Roman" w:cs="Times New Roman"/>
                <w:color w:val="auto"/>
                <w:sz w:val="21"/>
                <w:szCs w:val="21"/>
                <w:lang w:val="en-US" w:eastAsia="zh-CN"/>
              </w:rPr>
              <w:t>9000</w:t>
            </w:r>
            <w:r>
              <w:rPr>
                <w:rFonts w:hint="default" w:ascii="Times New Roman" w:hAnsi="Times New Roman" w:cs="Times New Roman"/>
                <w:color w:val="auto"/>
                <w:sz w:val="21"/>
                <w:szCs w:val="21"/>
                <w:lang w:val="en-US" w:eastAsia="zh-CN"/>
              </w:rPr>
              <w:t>t/a，</w:t>
            </w:r>
            <w:r>
              <w:rPr>
                <w:rFonts w:hint="default" w:ascii="Times New Roman" w:hAnsi="Times New Roman" w:cs="Times New Roman"/>
                <w:b w:val="0"/>
                <w:color w:val="auto"/>
                <w:sz w:val="21"/>
                <w:szCs w:val="21"/>
                <w:lang w:val="en-US" w:eastAsia="zh-CN"/>
              </w:rPr>
              <w:t>由合作钢厂回收</w:t>
            </w:r>
            <w:r>
              <w:rPr>
                <w:rFonts w:hint="default" w:ascii="Times New Roman" w:hAnsi="Times New Roman" w:cs="Times New Roman"/>
                <w:color w:val="auto"/>
                <w:sz w:val="21"/>
                <w:szCs w:val="21"/>
              </w:rPr>
              <w:t>。</w:t>
            </w:r>
          </w:p>
          <w:p w14:paraId="37F475F0">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②废氧化皮</w:t>
            </w:r>
          </w:p>
          <w:p w14:paraId="5FC341D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本项目锻压</w:t>
            </w:r>
            <w:r>
              <w:rPr>
                <w:rFonts w:hint="eastAsia" w:ascii="Times New Roman" w:hAnsi="Times New Roman" w:cs="Times New Roman"/>
                <w:color w:val="auto"/>
                <w:sz w:val="21"/>
                <w:szCs w:val="21"/>
                <w:lang w:val="en-US" w:eastAsia="zh-CN"/>
              </w:rPr>
              <w:t>、碾环</w:t>
            </w:r>
            <w:r>
              <w:rPr>
                <w:rFonts w:hint="default" w:ascii="Times New Roman" w:hAnsi="Times New Roman" w:cs="Times New Roman"/>
                <w:color w:val="auto"/>
                <w:sz w:val="21"/>
                <w:szCs w:val="21"/>
                <w:lang w:val="en-US" w:eastAsia="zh-CN"/>
              </w:rPr>
              <w:t>过程会产生废氧化皮，根据建设单位提供的经验数据，废氧化皮年产生量为200t/a，</w:t>
            </w:r>
            <w:r>
              <w:rPr>
                <w:rFonts w:hint="default" w:ascii="Times New Roman" w:hAnsi="Times New Roman" w:cs="Times New Roman"/>
                <w:b w:val="0"/>
                <w:color w:val="auto"/>
                <w:sz w:val="21"/>
                <w:szCs w:val="21"/>
                <w:lang w:val="en-US" w:eastAsia="zh-CN"/>
              </w:rPr>
              <w:t>由合作钢厂回收</w:t>
            </w:r>
            <w:r>
              <w:rPr>
                <w:rFonts w:hint="default" w:ascii="Times New Roman" w:hAnsi="Times New Roman" w:cs="Times New Roman"/>
                <w:color w:val="auto"/>
                <w:sz w:val="21"/>
                <w:szCs w:val="21"/>
                <w:lang w:val="en-US" w:eastAsia="zh-CN"/>
              </w:rPr>
              <w:t>。</w:t>
            </w:r>
          </w:p>
          <w:p w14:paraId="048AA371">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③</w:t>
            </w:r>
            <w:r>
              <w:rPr>
                <w:rFonts w:hint="eastAsia" w:ascii="Times New Roman" w:hAnsi="Times New Roman" w:cs="Times New Roman"/>
                <w:color w:val="auto"/>
                <w:sz w:val="21"/>
                <w:szCs w:val="21"/>
                <w:lang w:val="en-US" w:eastAsia="zh-CN"/>
              </w:rPr>
              <w:t>废边角料</w:t>
            </w:r>
          </w:p>
          <w:p w14:paraId="2FA3E437">
            <w:pPr>
              <w:pStyle w:val="5"/>
              <w:spacing w:line="360" w:lineRule="auto"/>
              <w:ind w:left="0" w:lef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本项目机加工过程会产生</w:t>
            </w:r>
            <w:r>
              <w:rPr>
                <w:rFonts w:hint="eastAsia" w:ascii="Times New Roman" w:hAnsi="Times New Roman" w:cs="Times New Roman"/>
                <w:color w:val="auto"/>
                <w:sz w:val="21"/>
                <w:szCs w:val="21"/>
                <w:lang w:val="en-US" w:eastAsia="zh-CN"/>
              </w:rPr>
              <w:t>废边角料</w:t>
            </w:r>
            <w:r>
              <w:rPr>
                <w:rFonts w:hint="default" w:ascii="Times New Roman" w:hAnsi="Times New Roman" w:cs="Times New Roman"/>
                <w:color w:val="auto"/>
                <w:sz w:val="21"/>
                <w:szCs w:val="21"/>
                <w:lang w:val="en-US" w:eastAsia="zh-CN"/>
              </w:rPr>
              <w:t>，根据建设单位提供的经验数据，</w:t>
            </w:r>
            <w:r>
              <w:rPr>
                <w:rFonts w:hint="eastAsia" w:ascii="Times New Roman" w:hAnsi="Times New Roman" w:cs="Times New Roman"/>
                <w:color w:val="auto"/>
                <w:sz w:val="21"/>
                <w:szCs w:val="21"/>
                <w:lang w:val="en-US" w:eastAsia="zh-CN"/>
              </w:rPr>
              <w:t>废边角料</w:t>
            </w:r>
            <w:r>
              <w:rPr>
                <w:rFonts w:hint="default" w:ascii="Times New Roman" w:hAnsi="Times New Roman" w:cs="Times New Roman"/>
                <w:color w:val="auto"/>
                <w:sz w:val="21"/>
                <w:szCs w:val="21"/>
                <w:lang w:val="en-US" w:eastAsia="zh-CN"/>
              </w:rPr>
              <w:t>年产生量为200t/a，</w:t>
            </w:r>
            <w:r>
              <w:rPr>
                <w:rFonts w:hint="default" w:ascii="Times New Roman" w:hAnsi="Times New Roman" w:cs="Times New Roman"/>
                <w:b w:val="0"/>
                <w:color w:val="auto"/>
                <w:sz w:val="21"/>
                <w:szCs w:val="21"/>
                <w:lang w:val="en-US" w:eastAsia="zh-CN"/>
              </w:rPr>
              <w:t>由合作钢厂回收</w:t>
            </w:r>
            <w:r>
              <w:rPr>
                <w:rFonts w:hint="default" w:ascii="Times New Roman" w:hAnsi="Times New Roman" w:cs="Times New Roman"/>
                <w:color w:val="auto"/>
                <w:sz w:val="21"/>
                <w:szCs w:val="21"/>
                <w:lang w:val="en-US" w:eastAsia="zh-CN"/>
              </w:rPr>
              <w:t>。</w:t>
            </w:r>
          </w:p>
          <w:p w14:paraId="1EB8347E">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④不合格品</w:t>
            </w:r>
          </w:p>
          <w:p w14:paraId="6E56FEEE">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本项目不合格品年产生量为200t/a，</w:t>
            </w:r>
            <w:r>
              <w:rPr>
                <w:rFonts w:hint="default" w:ascii="Times New Roman" w:hAnsi="Times New Roman" w:cs="Times New Roman"/>
                <w:b w:val="0"/>
                <w:color w:val="auto"/>
                <w:sz w:val="21"/>
                <w:szCs w:val="21"/>
                <w:lang w:val="en-US" w:eastAsia="zh-CN"/>
              </w:rPr>
              <w:t>由合作钢厂回收</w:t>
            </w:r>
            <w:r>
              <w:rPr>
                <w:rFonts w:hint="default" w:ascii="Times New Roman" w:hAnsi="Times New Roman" w:cs="Times New Roman"/>
                <w:color w:val="auto"/>
                <w:sz w:val="21"/>
                <w:szCs w:val="21"/>
                <w:lang w:val="en-US" w:eastAsia="zh-CN"/>
              </w:rPr>
              <w:t>。</w:t>
            </w:r>
          </w:p>
          <w:p w14:paraId="04CB62CA">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⑤废液压油</w:t>
            </w:r>
          </w:p>
          <w:p w14:paraId="409BC558">
            <w:pPr>
              <w:pStyle w:val="5"/>
              <w:spacing w:line="360" w:lineRule="auto"/>
              <w:ind w:left="0" w:leftChars="0" w:firstLine="420" w:firstLineChars="20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本项目设备中液压油会进行更换，废液压油年产生量为10t/a，</w:t>
            </w:r>
            <w:r>
              <w:rPr>
                <w:rFonts w:hint="default" w:ascii="Times New Roman" w:hAnsi="Times New Roman" w:cs="Times New Roman"/>
                <w:color w:val="auto"/>
                <w:sz w:val="21"/>
                <w:szCs w:val="21"/>
                <w:lang w:val="en-US" w:eastAsia="zh-CN"/>
              </w:rPr>
              <w:t>委托有资质的单位进行处置</w:t>
            </w:r>
            <w:r>
              <w:rPr>
                <w:rFonts w:hint="eastAsia" w:ascii="Times New Roman" w:hAnsi="Times New Roman" w:cs="Times New Roman"/>
                <w:color w:val="auto"/>
                <w:sz w:val="21"/>
                <w:szCs w:val="21"/>
                <w:lang w:val="en-US" w:eastAsia="zh-CN"/>
              </w:rPr>
              <w:t>。</w:t>
            </w:r>
          </w:p>
          <w:p w14:paraId="4098DF5C">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⑥</w:t>
            </w:r>
            <w:r>
              <w:rPr>
                <w:rFonts w:hint="default" w:ascii="Times New Roman" w:hAnsi="Times New Roman" w:cs="Times New Roman"/>
                <w:color w:val="auto"/>
                <w:sz w:val="21"/>
                <w:szCs w:val="21"/>
                <w:lang w:val="en-US" w:eastAsia="zh-CN"/>
              </w:rPr>
              <w:t>废润滑油</w:t>
            </w:r>
          </w:p>
          <w:p w14:paraId="2E4565F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本项目废润滑油年产生量为0.01t/a，委托有资质的单位进行处置。</w:t>
            </w:r>
          </w:p>
          <w:p w14:paraId="4ECF5C84">
            <w:pPr>
              <w:pStyle w:val="5"/>
              <w:spacing w:line="360" w:lineRule="auto"/>
              <w:ind w:left="420" w:leftChars="200" w:firstLine="0" w:firstLineChars="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⑦废切削液</w:t>
            </w:r>
          </w:p>
          <w:p w14:paraId="7947DE41">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本项目废切削液产生量为</w:t>
            </w:r>
            <w:r>
              <w:rPr>
                <w:rFonts w:hint="default" w:ascii="Times New Roman" w:hAnsi="Times New Roman" w:cs="Times New Roman"/>
                <w:color w:val="auto"/>
                <w:sz w:val="21"/>
                <w:szCs w:val="21"/>
                <w:lang w:val="en-US" w:eastAsia="zh-CN"/>
              </w:rPr>
              <w:t>为</w:t>
            </w:r>
            <w:r>
              <w:rPr>
                <w:rFonts w:hint="eastAsia" w:ascii="Times New Roman" w:hAnsi="Times New Roman" w:cs="Times New Roman"/>
                <w:color w:val="auto"/>
                <w:sz w:val="21"/>
                <w:szCs w:val="21"/>
                <w:lang w:val="en-US" w:eastAsia="zh-CN"/>
              </w:rPr>
              <w:t>0.5</w:t>
            </w:r>
            <w:r>
              <w:rPr>
                <w:rFonts w:hint="default" w:ascii="Times New Roman" w:hAnsi="Times New Roman" w:cs="Times New Roman"/>
                <w:color w:val="auto"/>
                <w:sz w:val="21"/>
                <w:szCs w:val="21"/>
                <w:lang w:val="en-US" w:eastAsia="zh-CN"/>
              </w:rPr>
              <w:t>t/a，委托有资质的单位进行处置。</w:t>
            </w:r>
          </w:p>
          <w:p w14:paraId="71FF38B8">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⑧废润滑油桶</w:t>
            </w:r>
          </w:p>
          <w:p w14:paraId="2BE399A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w:t>
            </w:r>
            <w:r>
              <w:rPr>
                <w:rFonts w:hint="eastAsia" w:ascii="Times New Roman" w:hAnsi="Times New Roman" w:cs="Times New Roman"/>
                <w:color w:val="auto"/>
                <w:sz w:val="21"/>
                <w:szCs w:val="21"/>
                <w:lang w:val="en-US" w:eastAsia="zh-CN"/>
              </w:rPr>
              <w:t>废润滑油桶</w:t>
            </w:r>
            <w:r>
              <w:rPr>
                <w:rFonts w:hint="default" w:ascii="Times New Roman" w:hAnsi="Times New Roman" w:cs="Times New Roman"/>
                <w:color w:val="auto"/>
                <w:sz w:val="21"/>
                <w:szCs w:val="21"/>
                <w:lang w:val="en-US" w:eastAsia="zh-CN"/>
              </w:rPr>
              <w:t>年产生量为0.05t/a，委托有资质的单位进行处置。</w:t>
            </w:r>
          </w:p>
          <w:p w14:paraId="5528B263">
            <w:pPr>
              <w:pStyle w:val="5"/>
              <w:spacing w:line="360" w:lineRule="auto"/>
              <w:ind w:left="420" w:leftChars="200" w:firstLine="0" w:firstLineChars="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⑨废切削液桶</w:t>
            </w:r>
          </w:p>
          <w:p w14:paraId="5029F69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w:t>
            </w:r>
            <w:r>
              <w:rPr>
                <w:rFonts w:hint="eastAsia" w:ascii="Times New Roman" w:hAnsi="Times New Roman" w:cs="Times New Roman"/>
                <w:color w:val="auto"/>
                <w:sz w:val="21"/>
                <w:szCs w:val="21"/>
                <w:lang w:val="en-US" w:eastAsia="zh-CN"/>
              </w:rPr>
              <w:t>废切削液桶</w:t>
            </w:r>
            <w:r>
              <w:rPr>
                <w:rFonts w:hint="default" w:ascii="Times New Roman" w:hAnsi="Times New Roman" w:cs="Times New Roman"/>
                <w:color w:val="auto"/>
                <w:sz w:val="21"/>
                <w:szCs w:val="21"/>
                <w:lang w:val="en-US" w:eastAsia="zh-CN"/>
              </w:rPr>
              <w:t>年产生量为0.05t/a，委托有资质的单位进行处置。</w:t>
            </w:r>
          </w:p>
          <w:p w14:paraId="05846B22">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⑩废液压油桶</w:t>
            </w:r>
          </w:p>
          <w:p w14:paraId="10AD465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w:t>
            </w:r>
            <w:r>
              <w:rPr>
                <w:rFonts w:hint="eastAsia" w:ascii="Times New Roman" w:hAnsi="Times New Roman" w:cs="Times New Roman"/>
                <w:color w:val="auto"/>
                <w:sz w:val="21"/>
                <w:szCs w:val="21"/>
                <w:lang w:val="en-US" w:eastAsia="zh-CN"/>
              </w:rPr>
              <w:t>废液压油桶</w:t>
            </w:r>
            <w:r>
              <w:rPr>
                <w:rFonts w:hint="default" w:ascii="Times New Roman" w:hAnsi="Times New Roman" w:cs="Times New Roman"/>
                <w:color w:val="auto"/>
                <w:sz w:val="21"/>
                <w:szCs w:val="21"/>
                <w:lang w:val="en-US" w:eastAsia="zh-CN"/>
              </w:rPr>
              <w:t>年产生量为</w:t>
            </w:r>
            <w:r>
              <w:rPr>
                <w:rFonts w:hint="eastAsia" w:ascii="Times New Roman" w:hAnsi="Times New Roman" w:cs="Times New Roman"/>
                <w:color w:val="auto"/>
                <w:sz w:val="21"/>
                <w:szCs w:val="21"/>
                <w:lang w:val="en-US" w:eastAsia="zh-CN"/>
              </w:rPr>
              <w:t>0.5</w:t>
            </w:r>
            <w:r>
              <w:rPr>
                <w:rFonts w:hint="default" w:ascii="Times New Roman" w:hAnsi="Times New Roman" w:cs="Times New Roman"/>
                <w:color w:val="auto"/>
                <w:sz w:val="21"/>
                <w:szCs w:val="21"/>
                <w:lang w:val="en-US" w:eastAsia="zh-CN"/>
              </w:rPr>
              <w:t>t/a，委托有资质的单位进行处置。</w:t>
            </w:r>
          </w:p>
          <w:p w14:paraId="2A4D8DA0">
            <w:pPr>
              <w:pStyle w:val="5"/>
              <w:spacing w:line="360" w:lineRule="auto"/>
              <w:ind w:left="420" w:leftChars="20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⑪含油抹布及手套</w:t>
            </w:r>
          </w:p>
          <w:p w14:paraId="42725BC4">
            <w:pPr>
              <w:pStyle w:val="5"/>
              <w:spacing w:line="360" w:lineRule="auto"/>
              <w:ind w:left="420" w:leftChars="20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本项目含油抹布及手套年产生量为0.01t/a，委托有资质的单位进行处置。</w:t>
            </w:r>
          </w:p>
          <w:p w14:paraId="4E9AAF86">
            <w:pPr>
              <w:pStyle w:val="5"/>
              <w:spacing w:line="360" w:lineRule="auto"/>
              <w:ind w:left="420" w:leftChars="20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⑫含油金属屑</w:t>
            </w:r>
          </w:p>
          <w:p w14:paraId="10C3F604">
            <w:pPr>
              <w:pStyle w:val="5"/>
              <w:spacing w:line="36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本项目部分产品需要机加工，</w:t>
            </w:r>
            <w:r>
              <w:rPr>
                <w:rFonts w:hint="default" w:ascii="Times New Roman" w:hAnsi="Times New Roman" w:cs="Times New Roman"/>
                <w:color w:val="auto"/>
                <w:sz w:val="21"/>
                <w:szCs w:val="21"/>
                <w:lang w:val="en-US" w:eastAsia="zh-CN"/>
              </w:rPr>
              <w:t>根据建设单位提供的经验数据</w:t>
            </w:r>
            <w:r>
              <w:rPr>
                <w:rFonts w:hint="eastAsia" w:ascii="Times New Roman" w:hAnsi="Times New Roman" w:eastAsia="宋体" w:cs="Times New Roman"/>
                <w:color w:val="auto"/>
                <w:sz w:val="21"/>
                <w:szCs w:val="21"/>
                <w:lang w:val="en-US" w:eastAsia="zh-CN"/>
              </w:rPr>
              <w:t>，产生含油金属屑约为180t/a，委托有资质的单位进行处置。</w:t>
            </w:r>
          </w:p>
          <w:p w14:paraId="275DB100">
            <w:pPr>
              <w:pStyle w:val="5"/>
              <w:spacing w:line="360" w:lineRule="auto"/>
              <w:ind w:left="420" w:leftChars="20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⑬</w:t>
            </w:r>
            <w:r>
              <w:rPr>
                <w:rFonts w:hint="default" w:ascii="Times New Roman" w:hAnsi="Times New Roman" w:eastAsia="宋体" w:cs="Times New Roman"/>
                <w:color w:val="auto"/>
                <w:sz w:val="21"/>
                <w:szCs w:val="21"/>
                <w:lang w:val="en-US" w:eastAsia="zh-CN"/>
              </w:rPr>
              <w:t>生活垃圾</w:t>
            </w:r>
          </w:p>
          <w:p w14:paraId="751F4FB9">
            <w:pPr>
              <w:pStyle w:val="5"/>
              <w:spacing w:line="360" w:lineRule="auto"/>
              <w:ind w:left="420" w:leftChars="200" w:firstLine="0" w:firstLineChars="0"/>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生活垃圾按0.5k</w:t>
            </w:r>
            <w:r>
              <w:rPr>
                <w:rFonts w:hint="default" w:ascii="Times New Roman" w:hAnsi="Times New Roman" w:cs="Times New Roman"/>
                <w:color w:val="auto"/>
                <w:sz w:val="21"/>
                <w:szCs w:val="21"/>
                <w:lang w:val="en-US" w:eastAsia="zh-CN"/>
              </w:rPr>
              <w:t>g/人·天计，项目劳动定员73人，年工作250d，则产生生活垃圾9.125t/a，生活垃圾由环卫部门清运处置。</w:t>
            </w:r>
          </w:p>
          <w:p w14:paraId="4249F496">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default" w:ascii="Times New Roman" w:hAnsi="Times New Roman" w:cs="Times New Roman"/>
                <w:b/>
                <w:bCs/>
                <w:color w:val="auto"/>
                <w:sz w:val="21"/>
                <w:szCs w:val="21"/>
                <w:lang w:val="en-US" w:eastAsia="zh-CN"/>
              </w:rPr>
              <w:t>1</w:t>
            </w:r>
            <w:r>
              <w:rPr>
                <w:rFonts w:hint="eastAsia" w:ascii="Times New Roman" w:hAnsi="Times New Roman" w:cs="Times New Roman"/>
                <w:b/>
                <w:bCs/>
                <w:color w:val="auto"/>
                <w:sz w:val="21"/>
                <w:szCs w:val="21"/>
                <w:lang w:val="en-US" w:eastAsia="zh-CN"/>
              </w:rPr>
              <w:t>9</w:t>
            </w:r>
            <w:r>
              <w:rPr>
                <w:rFonts w:hint="default" w:ascii="Times New Roman" w:hAnsi="Times New Roman" w:cs="Times New Roman"/>
                <w:b/>
                <w:bCs/>
                <w:color w:val="auto"/>
                <w:sz w:val="21"/>
                <w:szCs w:val="21"/>
              </w:rPr>
              <w:t xml:space="preserve"> 建设项目固体废物产生情况一览表</w:t>
            </w:r>
          </w:p>
          <w:tbl>
            <w:tblPr>
              <w:tblStyle w:val="4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93"/>
              <w:gridCol w:w="1244"/>
              <w:gridCol w:w="621"/>
              <w:gridCol w:w="975"/>
              <w:gridCol w:w="841"/>
              <w:gridCol w:w="856"/>
              <w:gridCol w:w="571"/>
              <w:gridCol w:w="856"/>
              <w:gridCol w:w="1143"/>
              <w:gridCol w:w="871"/>
            </w:tblGrid>
            <w:tr w14:paraId="304918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12" w:space="0"/>
                    <w:left w:val="nil"/>
                    <w:bottom w:val="single" w:color="auto" w:sz="4" w:space="0"/>
                    <w:right w:val="single" w:color="auto" w:sz="4" w:space="0"/>
                  </w:tcBorders>
                  <w:noWrap w:val="0"/>
                  <w:vAlign w:val="center"/>
                </w:tcPr>
                <w:p w14:paraId="1D652032">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752" w:type="pct"/>
                  <w:tcBorders>
                    <w:top w:val="single" w:color="auto" w:sz="12" w:space="0"/>
                    <w:left w:val="single" w:color="auto" w:sz="4" w:space="0"/>
                    <w:bottom w:val="single" w:color="auto" w:sz="4" w:space="0"/>
                    <w:right w:val="single" w:color="auto" w:sz="4" w:space="0"/>
                  </w:tcBorders>
                  <w:noWrap w:val="0"/>
                  <w:vAlign w:val="center"/>
                </w:tcPr>
                <w:p w14:paraId="3E060715">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固废名称</w:t>
                  </w:r>
                </w:p>
              </w:tc>
              <w:tc>
                <w:tcPr>
                  <w:tcW w:w="375" w:type="pct"/>
                  <w:tcBorders>
                    <w:top w:val="single" w:color="auto" w:sz="12" w:space="0"/>
                    <w:left w:val="single" w:color="auto" w:sz="4" w:space="0"/>
                    <w:bottom w:val="single" w:color="auto" w:sz="4" w:space="0"/>
                    <w:right w:val="single" w:color="auto" w:sz="4" w:space="0"/>
                  </w:tcBorders>
                  <w:noWrap w:val="0"/>
                  <w:vAlign w:val="center"/>
                </w:tcPr>
                <w:p w14:paraId="1430BCE1">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属性</w:t>
                  </w:r>
                </w:p>
              </w:tc>
              <w:tc>
                <w:tcPr>
                  <w:tcW w:w="589" w:type="pct"/>
                  <w:tcBorders>
                    <w:top w:val="single" w:color="auto" w:sz="12" w:space="0"/>
                    <w:left w:val="single" w:color="auto" w:sz="4" w:space="0"/>
                    <w:bottom w:val="single" w:color="auto" w:sz="4" w:space="0"/>
                    <w:right w:val="single" w:color="auto" w:sz="4" w:space="0"/>
                  </w:tcBorders>
                  <w:noWrap w:val="0"/>
                  <w:vAlign w:val="center"/>
                </w:tcPr>
                <w:p w14:paraId="4C80AC02">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产生工序</w:t>
                  </w:r>
                </w:p>
              </w:tc>
              <w:tc>
                <w:tcPr>
                  <w:tcW w:w="508" w:type="pct"/>
                  <w:tcBorders>
                    <w:top w:val="single" w:color="auto" w:sz="12" w:space="0"/>
                    <w:left w:val="single" w:color="auto" w:sz="4" w:space="0"/>
                    <w:bottom w:val="single" w:color="auto" w:sz="4" w:space="0"/>
                    <w:right w:val="single" w:color="auto" w:sz="4" w:space="0"/>
                  </w:tcBorders>
                  <w:noWrap w:val="0"/>
                  <w:vAlign w:val="center"/>
                </w:tcPr>
                <w:p w14:paraId="5DE7A148">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主要</w:t>
                  </w:r>
                  <w:r>
                    <w:rPr>
                      <w:rFonts w:hint="default" w:ascii="Times New Roman" w:hAnsi="Times New Roman" w:cs="Times New Roman"/>
                      <w:b/>
                      <w:bCs/>
                      <w:color w:val="auto"/>
                      <w:sz w:val="21"/>
                      <w:szCs w:val="21"/>
                    </w:rPr>
                    <w:t>成分</w:t>
                  </w:r>
                </w:p>
              </w:tc>
              <w:tc>
                <w:tcPr>
                  <w:tcW w:w="517" w:type="pct"/>
                  <w:tcBorders>
                    <w:top w:val="single" w:color="auto" w:sz="12" w:space="0"/>
                    <w:left w:val="single" w:color="auto" w:sz="4" w:space="0"/>
                    <w:bottom w:val="single" w:color="auto" w:sz="4" w:space="0"/>
                    <w:right w:val="single" w:color="auto" w:sz="4" w:space="0"/>
                  </w:tcBorders>
                  <w:noWrap w:val="0"/>
                  <w:vAlign w:val="center"/>
                </w:tcPr>
                <w:p w14:paraId="2894F31F">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形态</w:t>
                  </w:r>
                </w:p>
              </w:tc>
              <w:tc>
                <w:tcPr>
                  <w:tcW w:w="345" w:type="pct"/>
                  <w:tcBorders>
                    <w:top w:val="single" w:color="auto" w:sz="12" w:space="0"/>
                    <w:left w:val="single" w:color="auto" w:sz="4" w:space="0"/>
                    <w:bottom w:val="single" w:color="auto" w:sz="4" w:space="0"/>
                    <w:right w:val="single" w:color="auto" w:sz="4" w:space="0"/>
                  </w:tcBorders>
                  <w:noWrap w:val="0"/>
                  <w:vAlign w:val="center"/>
                </w:tcPr>
                <w:p w14:paraId="3E0181A3">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危险特性</w:t>
                  </w:r>
                </w:p>
              </w:tc>
              <w:tc>
                <w:tcPr>
                  <w:tcW w:w="517" w:type="pct"/>
                  <w:tcBorders>
                    <w:top w:val="single" w:color="auto" w:sz="12" w:space="0"/>
                    <w:left w:val="single" w:color="auto" w:sz="4" w:space="0"/>
                    <w:bottom w:val="single" w:color="auto" w:sz="4" w:space="0"/>
                    <w:right w:val="single" w:color="auto" w:sz="4" w:space="0"/>
                  </w:tcBorders>
                  <w:noWrap w:val="0"/>
                  <w:vAlign w:val="center"/>
                </w:tcPr>
                <w:p w14:paraId="7BA0B54A">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废物类别</w:t>
                  </w:r>
                </w:p>
              </w:tc>
              <w:tc>
                <w:tcPr>
                  <w:tcW w:w="690" w:type="pct"/>
                  <w:tcBorders>
                    <w:top w:val="single" w:color="auto" w:sz="12" w:space="0"/>
                    <w:left w:val="single" w:color="auto" w:sz="4" w:space="0"/>
                    <w:bottom w:val="single" w:color="auto" w:sz="4" w:space="0"/>
                    <w:right w:val="single" w:color="auto" w:sz="4" w:space="0"/>
                  </w:tcBorders>
                  <w:noWrap w:val="0"/>
                  <w:vAlign w:val="center"/>
                </w:tcPr>
                <w:p w14:paraId="3FEA1510">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废物</w:t>
                  </w:r>
                </w:p>
                <w:p w14:paraId="74F31966">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代码</w:t>
                  </w:r>
                </w:p>
              </w:tc>
              <w:tc>
                <w:tcPr>
                  <w:tcW w:w="526" w:type="pct"/>
                  <w:tcBorders>
                    <w:top w:val="single" w:color="auto" w:sz="12" w:space="0"/>
                    <w:left w:val="single" w:color="auto" w:sz="4" w:space="0"/>
                    <w:bottom w:val="single" w:color="auto" w:sz="4" w:space="0"/>
                    <w:right w:val="nil"/>
                  </w:tcBorders>
                  <w:noWrap w:val="0"/>
                  <w:vAlign w:val="center"/>
                </w:tcPr>
                <w:p w14:paraId="1B923C6B">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w:t>
                  </w:r>
                </w:p>
                <w:p w14:paraId="002F8DE8">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（t/a）</w:t>
                  </w:r>
                </w:p>
              </w:tc>
            </w:tr>
            <w:tr w14:paraId="3D2DD5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294FD850">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7E4379FA">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废下脚料</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28F1D385">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2FE662EB">
                  <w:pPr>
                    <w:pStyle w:val="238"/>
                    <w:adjustRightInd w:val="0"/>
                    <w:snapToGrid w:val="0"/>
                    <w:spacing w:line="240" w:lineRule="exact"/>
                    <w:ind w:left="105" w:leftChars="50"/>
                    <w:jc w:val="center"/>
                    <w:rPr>
                      <w:rFonts w:hint="default" w:ascii="Times New Roman" w:hAnsi="Times New Roman" w:cs="Times New Roman"/>
                      <w:color w:val="auto"/>
                      <w:sz w:val="21"/>
                      <w:szCs w:val="21"/>
                      <w:lang w:val="en-US"/>
                    </w:rPr>
                  </w:pPr>
                  <w:r>
                    <w:rPr>
                      <w:rFonts w:hint="default" w:ascii="Times New Roman" w:hAnsi="Times New Roman" w:cs="Times New Roman"/>
                      <w:snapToGrid w:val="0"/>
                      <w:color w:val="auto"/>
                      <w:sz w:val="21"/>
                      <w:szCs w:val="21"/>
                      <w:lang w:val="en-US" w:eastAsia="zh-CN"/>
                    </w:rPr>
                    <w:t>下料</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092E4BB6">
                  <w:pPr>
                    <w:pStyle w:val="238"/>
                    <w:adjustRightInd w:val="0"/>
                    <w:snapToGrid w:val="0"/>
                    <w:spacing w:line="240" w:lineRule="exact"/>
                    <w:ind w:left="105" w:leftChars="5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napToGrid w:val="0"/>
                      <w:color w:val="auto"/>
                      <w:sz w:val="21"/>
                      <w:szCs w:val="21"/>
                      <w:lang w:val="en-US" w:eastAsia="zh-CN"/>
                    </w:rPr>
                    <w:t>金属</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A5EC93A">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7B1E71E7">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485CCC2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01</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AF8E5F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313-001-S01</w:t>
                  </w:r>
                </w:p>
              </w:tc>
              <w:tc>
                <w:tcPr>
                  <w:tcW w:w="526" w:type="pct"/>
                  <w:tcBorders>
                    <w:top w:val="single" w:color="auto" w:sz="4" w:space="0"/>
                    <w:left w:val="single" w:color="auto" w:sz="4" w:space="0"/>
                    <w:bottom w:val="single" w:color="auto" w:sz="4" w:space="0"/>
                    <w:right w:val="nil"/>
                  </w:tcBorders>
                  <w:noWrap w:val="0"/>
                  <w:vAlign w:val="center"/>
                </w:tcPr>
                <w:p w14:paraId="2EB7CA48">
                  <w:pPr>
                    <w:adjustRightInd w:val="0"/>
                    <w:snapToGrid w:val="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9000</w:t>
                  </w:r>
                </w:p>
              </w:tc>
            </w:tr>
            <w:tr w14:paraId="164107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1C44F5BC">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7311BAF">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废氧化皮</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3D1629C8">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一般固废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06A3CEF0">
                  <w:pPr>
                    <w:pStyle w:val="238"/>
                    <w:adjustRightInd w:val="0"/>
                    <w:snapToGrid w:val="0"/>
                    <w:spacing w:line="240" w:lineRule="exact"/>
                    <w:ind w:left="105" w:leftChars="5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锻压</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02081BEB">
                  <w:pPr>
                    <w:pStyle w:val="238"/>
                    <w:adjustRightInd w:val="0"/>
                    <w:snapToGrid w:val="0"/>
                    <w:spacing w:line="240" w:lineRule="exact"/>
                    <w:ind w:left="105" w:leftChars="5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sz w:val="21"/>
                      <w:szCs w:val="21"/>
                      <w:lang w:val="en-US" w:eastAsia="zh-CN"/>
                    </w:rPr>
                    <w:t>金属</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26FE3CA">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6B0A77F9">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579DD7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01</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EE3976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313-001-S01</w:t>
                  </w:r>
                </w:p>
              </w:tc>
              <w:tc>
                <w:tcPr>
                  <w:tcW w:w="526" w:type="pct"/>
                  <w:tcBorders>
                    <w:top w:val="single" w:color="auto" w:sz="4" w:space="0"/>
                    <w:left w:val="single" w:color="auto" w:sz="4" w:space="0"/>
                    <w:bottom w:val="single" w:color="auto" w:sz="4" w:space="0"/>
                    <w:right w:val="nil"/>
                  </w:tcBorders>
                  <w:noWrap w:val="0"/>
                  <w:vAlign w:val="center"/>
                </w:tcPr>
                <w:p w14:paraId="793C80DE">
                  <w:pPr>
                    <w:adjustRightInd w:val="0"/>
                    <w:snapToGrid w:val="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r>
            <w:tr w14:paraId="5BD2B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470E2D13">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3F6BA03">
                  <w:pPr>
                    <w:widowControl/>
                    <w:jc w:val="center"/>
                    <w:textAlignment w:val="center"/>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val="en-US" w:eastAsia="zh-CN"/>
                    </w:rPr>
                    <w:t>废边角料</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47E8E99D">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44AD0B5F">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rPr>
                  </w:pPr>
                  <w:r>
                    <w:rPr>
                      <w:rFonts w:hint="default" w:ascii="Times New Roman" w:hAnsi="Times New Roman" w:cs="Times New Roman"/>
                      <w:snapToGrid w:val="0"/>
                      <w:color w:val="auto"/>
                      <w:sz w:val="21"/>
                      <w:szCs w:val="21"/>
                      <w:lang w:val="en-US" w:eastAsia="zh-CN"/>
                    </w:rPr>
                    <w:t>机加工</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512F7D07">
                  <w:pPr>
                    <w:pStyle w:val="238"/>
                    <w:adjustRightInd w:val="0"/>
                    <w:snapToGrid w:val="0"/>
                    <w:spacing w:line="240" w:lineRule="exact"/>
                    <w:ind w:left="105" w:leftChars="5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金属</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FF4851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1BEDA42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80CAF9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17</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695098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val="en-US" w:eastAsia="zh-CN"/>
                    </w:rPr>
                    <w:t>001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S17</w:t>
                  </w:r>
                </w:p>
              </w:tc>
              <w:tc>
                <w:tcPr>
                  <w:tcW w:w="526" w:type="pct"/>
                  <w:tcBorders>
                    <w:top w:val="single" w:color="auto" w:sz="4" w:space="0"/>
                    <w:left w:val="single" w:color="auto" w:sz="4" w:space="0"/>
                    <w:bottom w:val="single" w:color="auto" w:sz="4" w:space="0"/>
                    <w:right w:val="nil"/>
                  </w:tcBorders>
                  <w:noWrap w:val="0"/>
                  <w:vAlign w:val="center"/>
                </w:tcPr>
                <w:p w14:paraId="1960FC11">
                  <w:pPr>
                    <w:adjustRightInd w:val="0"/>
                    <w:snapToGrid w:val="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r>
            <w:tr w14:paraId="200F3A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35C815DE">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7D978353">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不合格品</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1AD2E094">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0F80D539">
                  <w:pPr>
                    <w:pStyle w:val="238"/>
                    <w:adjustRightInd w:val="0"/>
                    <w:snapToGrid w:val="0"/>
                    <w:spacing w:line="240" w:lineRule="exact"/>
                    <w:ind w:left="105" w:leftChars="5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检验</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4E8431CA">
                  <w:pPr>
                    <w:pStyle w:val="238"/>
                    <w:adjustRightInd w:val="0"/>
                    <w:snapToGrid w:val="0"/>
                    <w:spacing w:line="240" w:lineRule="exact"/>
                    <w:ind w:left="105" w:leftChars="5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金属</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25E4EC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165CFB2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4C573CE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17</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E8594D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val="en-US" w:eastAsia="zh-CN"/>
                    </w:rPr>
                    <w:t>001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S17</w:t>
                  </w:r>
                </w:p>
              </w:tc>
              <w:tc>
                <w:tcPr>
                  <w:tcW w:w="526" w:type="pct"/>
                  <w:tcBorders>
                    <w:top w:val="single" w:color="auto" w:sz="4" w:space="0"/>
                    <w:left w:val="single" w:color="auto" w:sz="4" w:space="0"/>
                    <w:bottom w:val="single" w:color="auto" w:sz="4" w:space="0"/>
                    <w:right w:val="nil"/>
                  </w:tcBorders>
                  <w:noWrap w:val="0"/>
                  <w:vAlign w:val="center"/>
                </w:tcPr>
                <w:p w14:paraId="0704802D">
                  <w:pPr>
                    <w:adjustRightInd w:val="0"/>
                    <w:snapToGrid w:val="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r>
            <w:tr w14:paraId="2D597D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443AD02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49A77FD">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废润滑油</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41EA80E7">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2ADC60B6">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kern w:val="0"/>
                      <w:sz w:val="21"/>
                      <w:szCs w:val="21"/>
                      <w:lang w:val="en-US" w:eastAsia="zh-CN" w:bidi="ar-SA"/>
                    </w:rPr>
                    <w:t>下料</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037C370D">
                  <w:pPr>
                    <w:pStyle w:val="238"/>
                    <w:adjustRightInd w:val="0"/>
                    <w:snapToGrid w:val="0"/>
                    <w:spacing w:line="240" w:lineRule="exact"/>
                    <w:ind w:left="105" w:leftChars="50"/>
                    <w:jc w:val="center"/>
                    <w:rPr>
                      <w:rFonts w:hint="default" w:ascii="Times New Roman" w:hAnsi="Times New Roman" w:cs="Times New Roman"/>
                      <w:color w:val="auto"/>
                      <w:sz w:val="21"/>
                      <w:szCs w:val="21"/>
                      <w:lang w:val="en-US" w:eastAsia="zh-CN"/>
                    </w:rPr>
                  </w:pPr>
                  <w:r>
                    <w:rPr>
                      <w:rFonts w:hint="default" w:ascii="Times New Roman" w:hAnsi="Times New Roman" w:cs="Times New Roman"/>
                      <w:snapToGrid w:val="0"/>
                      <w:color w:val="auto"/>
                      <w:kern w:val="0"/>
                      <w:sz w:val="21"/>
                      <w:szCs w:val="21"/>
                      <w:lang w:val="en-US" w:eastAsia="zh-CN" w:bidi="ar-SA"/>
                    </w:rPr>
                    <w:t>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625F123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液态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1A9F1F37">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76AC9C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21261A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900-217-08</w:t>
                  </w:r>
                </w:p>
              </w:tc>
              <w:tc>
                <w:tcPr>
                  <w:tcW w:w="526" w:type="pct"/>
                  <w:tcBorders>
                    <w:top w:val="single" w:color="auto" w:sz="4" w:space="0"/>
                    <w:left w:val="single" w:color="auto" w:sz="4" w:space="0"/>
                    <w:bottom w:val="single" w:color="auto" w:sz="4" w:space="0"/>
                    <w:right w:val="nil"/>
                  </w:tcBorders>
                  <w:noWrap w:val="0"/>
                  <w:vAlign w:val="center"/>
                </w:tcPr>
                <w:p w14:paraId="64E90CDB">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r>
            <w:tr w14:paraId="3B7FC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33BDEE80">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BDFF322">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废切削液</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5FC21B85">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17807F7F">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机加工</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28372504">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切削液</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8B55E69">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液态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0ED9DD3B">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46A775AA">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w:t>
                  </w:r>
                  <w:r>
                    <w:rPr>
                      <w:rFonts w:hint="eastAsia" w:ascii="Times New Roman" w:hAnsi="Times New Roman" w:cs="Times New Roman"/>
                      <w:color w:val="auto"/>
                      <w:sz w:val="21"/>
                      <w:szCs w:val="21"/>
                      <w:lang w:val="en-US" w:eastAsia="zh-CN"/>
                    </w:rPr>
                    <w:t>9</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C03613C">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w:t>
                  </w:r>
                  <w:r>
                    <w:rPr>
                      <w:rFonts w:hint="eastAsia" w:ascii="Times New Roman" w:hAnsi="Times New Roman" w:cs="Times New Roman"/>
                      <w:color w:val="auto"/>
                      <w:sz w:val="21"/>
                      <w:szCs w:val="21"/>
                      <w:lang w:val="en-US" w:eastAsia="zh-CN"/>
                    </w:rPr>
                    <w:t>006-09</w:t>
                  </w:r>
                </w:p>
              </w:tc>
              <w:tc>
                <w:tcPr>
                  <w:tcW w:w="526" w:type="pct"/>
                  <w:tcBorders>
                    <w:top w:val="single" w:color="auto" w:sz="4" w:space="0"/>
                    <w:left w:val="single" w:color="auto" w:sz="4" w:space="0"/>
                    <w:bottom w:val="single" w:color="auto" w:sz="4" w:space="0"/>
                    <w:right w:val="nil"/>
                  </w:tcBorders>
                  <w:noWrap w:val="0"/>
                  <w:vAlign w:val="center"/>
                </w:tcPr>
                <w:p w14:paraId="2EC1DE8B">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r>
            <w:tr w14:paraId="22AE8B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429453ED">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69CABCCF">
                  <w:pPr>
                    <w:widowControl/>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含油金属屑</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1370C525">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78C02D46">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机加工</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7D3E69BC">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切削液、油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0EAFFA2A">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4218186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1116B9E">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w:t>
                  </w:r>
                  <w:r>
                    <w:rPr>
                      <w:rFonts w:hint="eastAsia" w:ascii="Times New Roman" w:hAnsi="Times New Roman" w:cs="Times New Roman"/>
                      <w:color w:val="auto"/>
                      <w:sz w:val="21"/>
                      <w:szCs w:val="21"/>
                      <w:lang w:val="en-US" w:eastAsia="zh-CN"/>
                    </w:rPr>
                    <w:t>9</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8FB66FA">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w:t>
                  </w:r>
                  <w:r>
                    <w:rPr>
                      <w:rFonts w:hint="eastAsia" w:ascii="Times New Roman" w:hAnsi="Times New Roman" w:cs="Times New Roman"/>
                      <w:color w:val="auto"/>
                      <w:sz w:val="21"/>
                      <w:szCs w:val="21"/>
                      <w:lang w:val="en-US" w:eastAsia="zh-CN"/>
                    </w:rPr>
                    <w:t>006-09</w:t>
                  </w:r>
                </w:p>
              </w:tc>
              <w:tc>
                <w:tcPr>
                  <w:tcW w:w="526" w:type="pct"/>
                  <w:tcBorders>
                    <w:top w:val="single" w:color="auto" w:sz="4" w:space="0"/>
                    <w:left w:val="single" w:color="auto" w:sz="4" w:space="0"/>
                    <w:bottom w:val="single" w:color="auto" w:sz="4" w:space="0"/>
                    <w:right w:val="nil"/>
                  </w:tcBorders>
                  <w:noWrap w:val="0"/>
                  <w:vAlign w:val="center"/>
                </w:tcPr>
                <w:p w14:paraId="233816E8">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r>
            <w:tr w14:paraId="5FDBD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4AC7C3BC">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7F75606F">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废液压油</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67FC70DF">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3D7B8DA6">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液压动力类设备运行介质</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7B8A8F25">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 w:val="21"/>
                      <w:szCs w:val="21"/>
                      <w:lang w:val="en-US" w:eastAsia="zh-CN" w:bidi="ar-SA"/>
                    </w:rPr>
                    <w:t>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8231176">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液态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189B0F9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CE69C64">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E3E9E50">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900-21</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val="en-US" w:eastAsia="zh-CN"/>
                    </w:rPr>
                    <w:t>-08</w:t>
                  </w:r>
                </w:p>
              </w:tc>
              <w:tc>
                <w:tcPr>
                  <w:tcW w:w="526" w:type="pct"/>
                  <w:tcBorders>
                    <w:top w:val="single" w:color="auto" w:sz="4" w:space="0"/>
                    <w:left w:val="single" w:color="auto" w:sz="4" w:space="0"/>
                    <w:bottom w:val="single" w:color="auto" w:sz="4" w:space="0"/>
                    <w:right w:val="nil"/>
                  </w:tcBorders>
                  <w:noWrap w:val="0"/>
                  <w:vAlign w:val="center"/>
                </w:tcPr>
                <w:p w14:paraId="13A0D623">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r w14:paraId="5C6D30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0DEEAC04">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D643128">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废润滑油桶</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7C86B4C1">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5C9E16E7">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原料</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3073B305">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23482736">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6F1860FE">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0D5B980">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6D76DBA0">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526" w:type="pct"/>
                  <w:tcBorders>
                    <w:top w:val="single" w:color="auto" w:sz="4" w:space="0"/>
                    <w:left w:val="single" w:color="auto" w:sz="4" w:space="0"/>
                    <w:bottom w:val="single" w:color="auto" w:sz="4" w:space="0"/>
                    <w:right w:val="nil"/>
                  </w:tcBorders>
                  <w:noWrap w:val="0"/>
                  <w:vAlign w:val="center"/>
                </w:tcPr>
                <w:p w14:paraId="6B103363">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bidi="ar-SA"/>
                    </w:rPr>
                    <w:t>0.05</w:t>
                  </w:r>
                </w:p>
              </w:tc>
            </w:tr>
            <w:tr w14:paraId="65ED6E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3F9494D2">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0E708C2F">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废切削液桶</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37EEE2A4">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41991DC5">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原料</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6DC5C437">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050B5E26">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49F8421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r>
                    <w:rPr>
                      <w:rFonts w:hint="eastAsia" w:ascii="Times New Roman" w:hAnsi="Times New Roman" w:cs="Times New Roman"/>
                      <w:color w:val="auto"/>
                      <w:sz w:val="21"/>
                      <w:szCs w:val="21"/>
                      <w:lang w:val="en-US" w:eastAsia="zh-CN"/>
                    </w:rPr>
                    <w:t>n</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6B80A1D">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HW49</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6114E81F">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900-041-49</w:t>
                  </w:r>
                </w:p>
              </w:tc>
              <w:tc>
                <w:tcPr>
                  <w:tcW w:w="526" w:type="pct"/>
                  <w:tcBorders>
                    <w:top w:val="single" w:color="auto" w:sz="4" w:space="0"/>
                    <w:left w:val="single" w:color="auto" w:sz="4" w:space="0"/>
                    <w:bottom w:val="single" w:color="auto" w:sz="4" w:space="0"/>
                    <w:right w:val="nil"/>
                  </w:tcBorders>
                  <w:noWrap w:val="0"/>
                  <w:vAlign w:val="center"/>
                </w:tcPr>
                <w:p w14:paraId="17BA9247">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r>
            <w:tr w14:paraId="6A8BC6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0D4DE625">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DBE5BFA">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废液压油桶</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10A6FDC1">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27D2D7B8">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原料</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169B20FD">
                  <w:pPr>
                    <w:pStyle w:val="238"/>
                    <w:adjustRightInd w:val="0"/>
                    <w:snapToGrid w:val="0"/>
                    <w:spacing w:line="240" w:lineRule="exact"/>
                    <w:ind w:left="105" w:leftChars="50"/>
                    <w:jc w:val="center"/>
                    <w:rPr>
                      <w:rFonts w:hint="default" w:ascii="Times New Roman" w:hAnsi="Times New Roman" w:cs="Times New Roman"/>
                      <w:snapToGrid w:val="0"/>
                      <w:color w:val="auto"/>
                      <w:kern w:val="0"/>
                      <w:sz w:val="21"/>
                      <w:szCs w:val="21"/>
                      <w:lang w:val="en-US" w:eastAsia="zh-CN" w:bidi="ar-SA"/>
                    </w:rPr>
                  </w:pPr>
                  <w:r>
                    <w:rPr>
                      <w:rFonts w:hint="default" w:ascii="Times New Roman" w:hAnsi="Times New Roman" w:cs="Times New Roman"/>
                      <w:snapToGrid w:val="0"/>
                      <w:color w:val="auto"/>
                      <w:sz w:val="21"/>
                      <w:szCs w:val="21"/>
                      <w:lang w:val="en-US" w:eastAsia="zh-CN"/>
                    </w:rPr>
                    <w:t>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731D561">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082F57AB">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1439D4A">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9984B80">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526" w:type="pct"/>
                  <w:tcBorders>
                    <w:top w:val="single" w:color="auto" w:sz="4" w:space="0"/>
                    <w:left w:val="single" w:color="auto" w:sz="4" w:space="0"/>
                    <w:bottom w:val="single" w:color="auto" w:sz="4" w:space="0"/>
                    <w:right w:val="nil"/>
                  </w:tcBorders>
                  <w:noWrap w:val="0"/>
                  <w:vAlign w:val="center"/>
                </w:tcPr>
                <w:p w14:paraId="43582AFF">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r>
            <w:tr w14:paraId="0A2A66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4" w:space="0"/>
                    <w:right w:val="single" w:color="auto" w:sz="4" w:space="0"/>
                  </w:tcBorders>
                  <w:noWrap w:val="0"/>
                  <w:vAlign w:val="center"/>
                </w:tcPr>
                <w:p w14:paraId="238E4A95">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3C46F2E5">
                  <w:pPr>
                    <w:widowControl/>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含油抹布及手套</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0249FB28">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7C0D6BDE">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擦拭</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2CD9B590">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48CA3A7">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固态</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41C44C05">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r>
                    <w:rPr>
                      <w:rFonts w:hint="eastAsia" w:ascii="Times New Roman" w:hAnsi="Times New Roman" w:cs="Times New Roman"/>
                      <w:color w:val="auto"/>
                      <w:sz w:val="21"/>
                      <w:szCs w:val="21"/>
                      <w:lang w:val="en-US" w:eastAsia="zh-CN"/>
                    </w:rPr>
                    <w:t>n</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3B14527">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HW49</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519F959">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900-041-49</w:t>
                  </w:r>
                </w:p>
              </w:tc>
              <w:tc>
                <w:tcPr>
                  <w:tcW w:w="526" w:type="pct"/>
                  <w:tcBorders>
                    <w:top w:val="single" w:color="auto" w:sz="4" w:space="0"/>
                    <w:left w:val="single" w:color="auto" w:sz="4" w:space="0"/>
                    <w:bottom w:val="single" w:color="auto" w:sz="4" w:space="0"/>
                    <w:right w:val="nil"/>
                  </w:tcBorders>
                  <w:noWrap w:val="0"/>
                  <w:vAlign w:val="center"/>
                </w:tcPr>
                <w:p w14:paraId="2FEC2257">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w:t>
                  </w:r>
                </w:p>
              </w:tc>
            </w:tr>
            <w:tr w14:paraId="062670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77" w:type="pct"/>
                  <w:tcBorders>
                    <w:top w:val="single" w:color="auto" w:sz="4" w:space="0"/>
                    <w:left w:val="nil"/>
                    <w:bottom w:val="single" w:color="auto" w:sz="12" w:space="0"/>
                    <w:right w:val="single" w:color="auto" w:sz="4" w:space="0"/>
                  </w:tcBorders>
                  <w:noWrap w:val="0"/>
                  <w:vAlign w:val="center"/>
                </w:tcPr>
                <w:p w14:paraId="106DB7D6">
                  <w:pPr>
                    <w:adjustRightInd w:val="0"/>
                    <w:snapToGrid w:val="0"/>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13</w:t>
                  </w:r>
                </w:p>
              </w:tc>
              <w:tc>
                <w:tcPr>
                  <w:tcW w:w="752" w:type="pct"/>
                  <w:tcBorders>
                    <w:top w:val="single" w:color="auto" w:sz="4" w:space="0"/>
                    <w:left w:val="single" w:color="auto" w:sz="4" w:space="0"/>
                    <w:bottom w:val="single" w:color="auto" w:sz="12" w:space="0"/>
                    <w:right w:val="single" w:color="auto" w:sz="4" w:space="0"/>
                  </w:tcBorders>
                  <w:noWrap w:val="0"/>
                  <w:vAlign w:val="center"/>
                </w:tcPr>
                <w:p w14:paraId="1F9BC4CE">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生活垃圾</w:t>
                  </w:r>
                </w:p>
              </w:tc>
              <w:tc>
                <w:tcPr>
                  <w:tcW w:w="375" w:type="pct"/>
                  <w:tcBorders>
                    <w:top w:val="single" w:color="auto" w:sz="4" w:space="0"/>
                    <w:left w:val="single" w:color="auto" w:sz="4" w:space="0"/>
                    <w:bottom w:val="single" w:color="auto" w:sz="12" w:space="0"/>
                    <w:right w:val="single" w:color="auto" w:sz="4" w:space="0"/>
                  </w:tcBorders>
                  <w:noWrap w:val="0"/>
                  <w:vAlign w:val="center"/>
                </w:tcPr>
                <w:p w14:paraId="6A42FCE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一般固废</w:t>
                  </w:r>
                </w:p>
              </w:tc>
              <w:tc>
                <w:tcPr>
                  <w:tcW w:w="589" w:type="pct"/>
                  <w:tcBorders>
                    <w:top w:val="single" w:color="auto" w:sz="4" w:space="0"/>
                    <w:left w:val="single" w:color="auto" w:sz="4" w:space="0"/>
                    <w:bottom w:val="single" w:color="auto" w:sz="12" w:space="0"/>
                    <w:right w:val="single" w:color="auto" w:sz="4" w:space="0"/>
                  </w:tcBorders>
                  <w:noWrap w:val="0"/>
                  <w:vAlign w:val="center"/>
                </w:tcPr>
                <w:p w14:paraId="61AEBA39">
                  <w:pPr>
                    <w:pStyle w:val="238"/>
                    <w:adjustRightInd w:val="0"/>
                    <w:snapToGrid w:val="0"/>
                    <w:spacing w:line="240" w:lineRule="exact"/>
                    <w:ind w:left="105" w:leftChars="5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员工生活</w:t>
                  </w:r>
                </w:p>
              </w:tc>
              <w:tc>
                <w:tcPr>
                  <w:tcW w:w="508" w:type="pct"/>
                  <w:tcBorders>
                    <w:top w:val="single" w:color="auto" w:sz="4" w:space="0"/>
                    <w:left w:val="single" w:color="auto" w:sz="4" w:space="0"/>
                    <w:bottom w:val="single" w:color="auto" w:sz="12" w:space="0"/>
                    <w:right w:val="single" w:color="auto" w:sz="4" w:space="0"/>
                  </w:tcBorders>
                  <w:noWrap w:val="0"/>
                  <w:vAlign w:val="center"/>
                </w:tcPr>
                <w:p w14:paraId="527BF2B8">
                  <w:pPr>
                    <w:pStyle w:val="238"/>
                    <w:adjustRightInd w:val="0"/>
                    <w:snapToGrid w:val="0"/>
                    <w:spacing w:line="240" w:lineRule="exact"/>
                    <w:ind w:left="105" w:leftChars="5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生活垃圾</w:t>
                  </w:r>
                </w:p>
              </w:tc>
              <w:tc>
                <w:tcPr>
                  <w:tcW w:w="517" w:type="pct"/>
                  <w:tcBorders>
                    <w:top w:val="single" w:color="auto" w:sz="4" w:space="0"/>
                    <w:left w:val="single" w:color="auto" w:sz="4" w:space="0"/>
                    <w:bottom w:val="single" w:color="auto" w:sz="12" w:space="0"/>
                    <w:right w:val="single" w:color="auto" w:sz="4" w:space="0"/>
                  </w:tcBorders>
                  <w:noWrap w:val="0"/>
                  <w:vAlign w:val="center"/>
                </w:tcPr>
                <w:p w14:paraId="797871F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固态</w:t>
                  </w:r>
                </w:p>
              </w:tc>
              <w:tc>
                <w:tcPr>
                  <w:tcW w:w="345" w:type="pct"/>
                  <w:tcBorders>
                    <w:top w:val="single" w:color="auto" w:sz="4" w:space="0"/>
                    <w:left w:val="single" w:color="auto" w:sz="4" w:space="0"/>
                    <w:bottom w:val="single" w:color="auto" w:sz="12" w:space="0"/>
                    <w:right w:val="single" w:color="auto" w:sz="4" w:space="0"/>
                  </w:tcBorders>
                  <w:noWrap w:val="0"/>
                  <w:vAlign w:val="center"/>
                </w:tcPr>
                <w:p w14:paraId="66C7B4F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517" w:type="pct"/>
                  <w:tcBorders>
                    <w:top w:val="single" w:color="auto" w:sz="4" w:space="0"/>
                    <w:left w:val="single" w:color="auto" w:sz="4" w:space="0"/>
                    <w:bottom w:val="single" w:color="auto" w:sz="12" w:space="0"/>
                    <w:right w:val="single" w:color="auto" w:sz="4" w:space="0"/>
                  </w:tcBorders>
                  <w:noWrap w:val="0"/>
                  <w:vAlign w:val="center"/>
                </w:tcPr>
                <w:p w14:paraId="0F94CAF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64</w:t>
                  </w:r>
                </w:p>
              </w:tc>
              <w:tc>
                <w:tcPr>
                  <w:tcW w:w="690" w:type="pct"/>
                  <w:tcBorders>
                    <w:top w:val="single" w:color="auto" w:sz="4" w:space="0"/>
                    <w:left w:val="single" w:color="auto" w:sz="4" w:space="0"/>
                    <w:bottom w:val="single" w:color="auto" w:sz="12" w:space="0"/>
                    <w:right w:val="single" w:color="auto" w:sz="4" w:space="0"/>
                  </w:tcBorders>
                  <w:noWrap w:val="0"/>
                  <w:vAlign w:val="center"/>
                </w:tcPr>
                <w:p w14:paraId="7BE91F0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val="en-US" w:eastAsia="zh-CN"/>
                    </w:rPr>
                    <w:t>099-S64</w:t>
                  </w:r>
                </w:p>
              </w:tc>
              <w:tc>
                <w:tcPr>
                  <w:tcW w:w="526" w:type="pct"/>
                  <w:tcBorders>
                    <w:top w:val="single" w:color="auto" w:sz="4" w:space="0"/>
                    <w:left w:val="single" w:color="auto" w:sz="4" w:space="0"/>
                    <w:bottom w:val="single" w:color="auto" w:sz="12" w:space="0"/>
                    <w:right w:val="nil"/>
                  </w:tcBorders>
                  <w:noWrap w:val="0"/>
                  <w:vAlign w:val="center"/>
                </w:tcPr>
                <w:p w14:paraId="2947C845">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9.125</w:t>
                  </w:r>
                </w:p>
              </w:tc>
            </w:tr>
          </w:tbl>
          <w:p w14:paraId="4951F1B9">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ascii="Times New Roman" w:hAnsi="Times New Roman" w:cs="Times New Roman"/>
                <w:b/>
                <w:bCs/>
                <w:color w:val="auto"/>
                <w:sz w:val="21"/>
                <w:szCs w:val="21"/>
                <w:lang w:val="en-US" w:eastAsia="zh-CN"/>
              </w:rPr>
              <w:t>20</w:t>
            </w:r>
            <w:r>
              <w:rPr>
                <w:rFonts w:hint="default" w:ascii="Times New Roman" w:hAnsi="Times New Roman" w:cs="Times New Roman"/>
                <w:b/>
                <w:bCs/>
                <w:color w:val="auto"/>
                <w:sz w:val="21"/>
                <w:szCs w:val="21"/>
              </w:rPr>
              <w:t xml:space="preserve"> 建设项目固体废物利用处置情况一览表</w:t>
            </w:r>
          </w:p>
          <w:tbl>
            <w:tblPr>
              <w:tblStyle w:val="4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0"/>
              <w:gridCol w:w="1075"/>
              <w:gridCol w:w="548"/>
              <w:gridCol w:w="739"/>
              <w:gridCol w:w="765"/>
              <w:gridCol w:w="1159"/>
              <w:gridCol w:w="725"/>
              <w:gridCol w:w="888"/>
              <w:gridCol w:w="757"/>
              <w:gridCol w:w="1345"/>
            </w:tblGrid>
            <w:tr w14:paraId="2C8287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3" w:type="pct"/>
                  <w:tcBorders>
                    <w:top w:val="single" w:color="auto" w:sz="12" w:space="0"/>
                    <w:left w:val="nil"/>
                    <w:bottom w:val="single" w:color="auto" w:sz="4" w:space="0"/>
                    <w:right w:val="single" w:color="auto" w:sz="4" w:space="0"/>
                  </w:tcBorders>
                  <w:noWrap w:val="0"/>
                  <w:vAlign w:val="center"/>
                </w:tcPr>
                <w:p w14:paraId="2B89DF57">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649" w:type="pct"/>
                  <w:tcBorders>
                    <w:top w:val="single" w:color="auto" w:sz="12" w:space="0"/>
                    <w:left w:val="single" w:color="auto" w:sz="4" w:space="0"/>
                    <w:bottom w:val="single" w:color="auto" w:sz="4" w:space="0"/>
                    <w:right w:val="single" w:color="auto" w:sz="4" w:space="0"/>
                  </w:tcBorders>
                  <w:noWrap w:val="0"/>
                  <w:vAlign w:val="center"/>
                </w:tcPr>
                <w:p w14:paraId="41996B7C">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固废名称</w:t>
                  </w:r>
                </w:p>
              </w:tc>
              <w:tc>
                <w:tcPr>
                  <w:tcW w:w="331" w:type="pct"/>
                  <w:tcBorders>
                    <w:top w:val="single" w:color="auto" w:sz="12" w:space="0"/>
                    <w:left w:val="single" w:color="auto" w:sz="4" w:space="0"/>
                    <w:bottom w:val="single" w:color="auto" w:sz="4" w:space="0"/>
                    <w:right w:val="single" w:color="auto" w:sz="4" w:space="0"/>
                  </w:tcBorders>
                  <w:noWrap w:val="0"/>
                  <w:vAlign w:val="center"/>
                </w:tcPr>
                <w:p w14:paraId="49B87128">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属性</w:t>
                  </w:r>
                </w:p>
              </w:tc>
              <w:tc>
                <w:tcPr>
                  <w:tcW w:w="446" w:type="pct"/>
                  <w:tcBorders>
                    <w:top w:val="single" w:color="auto" w:sz="12" w:space="0"/>
                    <w:left w:val="single" w:color="auto" w:sz="4" w:space="0"/>
                    <w:bottom w:val="single" w:color="auto" w:sz="4" w:space="0"/>
                    <w:right w:val="single" w:color="auto" w:sz="4" w:space="0"/>
                  </w:tcBorders>
                  <w:noWrap w:val="0"/>
                  <w:vAlign w:val="center"/>
                </w:tcPr>
                <w:p w14:paraId="31245A73">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危险特性</w:t>
                  </w:r>
                </w:p>
              </w:tc>
              <w:tc>
                <w:tcPr>
                  <w:tcW w:w="462" w:type="pct"/>
                  <w:tcBorders>
                    <w:top w:val="single" w:color="auto" w:sz="12" w:space="0"/>
                    <w:left w:val="single" w:color="auto" w:sz="4" w:space="0"/>
                    <w:bottom w:val="single" w:color="auto" w:sz="4" w:space="0"/>
                    <w:right w:val="single" w:color="auto" w:sz="4" w:space="0"/>
                  </w:tcBorders>
                  <w:noWrap w:val="0"/>
                  <w:vAlign w:val="center"/>
                </w:tcPr>
                <w:p w14:paraId="6F8F5616">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废物类别</w:t>
                  </w:r>
                </w:p>
              </w:tc>
              <w:tc>
                <w:tcPr>
                  <w:tcW w:w="700" w:type="pct"/>
                  <w:tcBorders>
                    <w:top w:val="single" w:color="auto" w:sz="12" w:space="0"/>
                    <w:left w:val="single" w:color="auto" w:sz="4" w:space="0"/>
                    <w:bottom w:val="single" w:color="auto" w:sz="4" w:space="0"/>
                    <w:right w:val="single" w:color="auto" w:sz="4" w:space="0"/>
                  </w:tcBorders>
                  <w:noWrap w:val="0"/>
                  <w:vAlign w:val="center"/>
                </w:tcPr>
                <w:p w14:paraId="766D5C12">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废物</w:t>
                  </w:r>
                </w:p>
                <w:p w14:paraId="05FF89FB">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代码</w:t>
                  </w:r>
                </w:p>
              </w:tc>
              <w:tc>
                <w:tcPr>
                  <w:tcW w:w="438" w:type="pct"/>
                  <w:tcBorders>
                    <w:top w:val="single" w:color="auto" w:sz="12" w:space="0"/>
                    <w:left w:val="single" w:color="auto" w:sz="4" w:space="0"/>
                    <w:bottom w:val="single" w:color="auto" w:sz="4" w:space="0"/>
                    <w:right w:val="single" w:color="auto" w:sz="4" w:space="0"/>
                  </w:tcBorders>
                  <w:noWrap w:val="0"/>
                  <w:vAlign w:val="center"/>
                </w:tcPr>
                <w:p w14:paraId="6E6E9DD8">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w:t>
                  </w:r>
                </w:p>
                <w:p w14:paraId="24099719">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（t/a）</w:t>
                  </w:r>
                </w:p>
              </w:tc>
              <w:tc>
                <w:tcPr>
                  <w:tcW w:w="536" w:type="pct"/>
                  <w:tcBorders>
                    <w:top w:val="single" w:color="auto" w:sz="12" w:space="0"/>
                    <w:left w:val="single" w:color="auto" w:sz="4" w:space="0"/>
                    <w:bottom w:val="single" w:color="auto" w:sz="4" w:space="0"/>
                    <w:right w:val="single" w:color="auto" w:sz="4" w:space="0"/>
                  </w:tcBorders>
                  <w:noWrap w:val="0"/>
                  <w:vAlign w:val="center"/>
                </w:tcPr>
                <w:p w14:paraId="5C50A6C1">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贮存方式</w:t>
                  </w:r>
                </w:p>
              </w:tc>
              <w:tc>
                <w:tcPr>
                  <w:tcW w:w="457" w:type="pct"/>
                  <w:tcBorders>
                    <w:top w:val="single" w:color="auto" w:sz="12" w:space="0"/>
                    <w:left w:val="single" w:color="auto" w:sz="4" w:space="0"/>
                    <w:bottom w:val="single" w:color="auto" w:sz="4" w:space="0"/>
                    <w:right w:val="single" w:color="auto" w:sz="4" w:space="0"/>
                  </w:tcBorders>
                  <w:noWrap w:val="0"/>
                  <w:vAlign w:val="center"/>
                </w:tcPr>
                <w:p w14:paraId="3CFC9F7C">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利用或处置量</w:t>
                  </w:r>
                </w:p>
              </w:tc>
              <w:tc>
                <w:tcPr>
                  <w:tcW w:w="813" w:type="pct"/>
                  <w:tcBorders>
                    <w:top w:val="single" w:color="auto" w:sz="12" w:space="0"/>
                    <w:left w:val="single" w:color="auto" w:sz="4" w:space="0"/>
                    <w:bottom w:val="single" w:color="auto" w:sz="4" w:space="0"/>
                    <w:right w:val="nil"/>
                  </w:tcBorders>
                  <w:noWrap w:val="0"/>
                  <w:vAlign w:val="center"/>
                </w:tcPr>
                <w:p w14:paraId="61609E9E">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利用或处置方式</w:t>
                  </w:r>
                </w:p>
              </w:tc>
            </w:tr>
            <w:tr w14:paraId="19B6C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3" w:type="pct"/>
                  <w:tcBorders>
                    <w:top w:val="single" w:color="auto" w:sz="4" w:space="0"/>
                    <w:left w:val="nil"/>
                    <w:bottom w:val="single" w:color="auto" w:sz="4" w:space="0"/>
                    <w:right w:val="single" w:color="auto" w:sz="4" w:space="0"/>
                  </w:tcBorders>
                  <w:noWrap w:val="0"/>
                  <w:vAlign w:val="center"/>
                </w:tcPr>
                <w:p w14:paraId="56756145">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A318F1C">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废下脚料</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1A3BEEC8">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4C0A43F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08B8781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01</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1C24874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313-001-S01</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8E6FD4D">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9000</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8B7482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堆放</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6541599">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9000</w:t>
                  </w:r>
                </w:p>
              </w:tc>
              <w:tc>
                <w:tcPr>
                  <w:tcW w:w="813" w:type="pct"/>
                  <w:vMerge w:val="restart"/>
                  <w:tcBorders>
                    <w:top w:val="single" w:color="auto" w:sz="4" w:space="0"/>
                    <w:left w:val="single" w:color="auto" w:sz="4" w:space="0"/>
                    <w:right w:val="nil"/>
                  </w:tcBorders>
                  <w:noWrap w:val="0"/>
                  <w:vAlign w:val="center"/>
                </w:tcPr>
                <w:p w14:paraId="72684D4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钢厂回收</w:t>
                  </w:r>
                </w:p>
              </w:tc>
            </w:tr>
            <w:tr w14:paraId="2FE1B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3" w:type="pct"/>
                  <w:tcBorders>
                    <w:top w:val="single" w:color="auto" w:sz="4" w:space="0"/>
                    <w:left w:val="nil"/>
                    <w:bottom w:val="single" w:color="auto" w:sz="4" w:space="0"/>
                    <w:right w:val="single" w:color="auto" w:sz="4" w:space="0"/>
                  </w:tcBorders>
                  <w:noWrap w:val="0"/>
                  <w:vAlign w:val="center"/>
                </w:tcPr>
                <w:p w14:paraId="576D7B5F">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34EEEFF">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废氧化皮</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30A85146">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FEDB89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26E03C0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01</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3E2DD86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313-001-S01</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B792BC4">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009D81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堆放</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762B5712">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813" w:type="pct"/>
                  <w:vMerge w:val="continue"/>
                  <w:tcBorders>
                    <w:left w:val="single" w:color="auto" w:sz="4" w:space="0"/>
                    <w:right w:val="nil"/>
                  </w:tcBorders>
                  <w:noWrap w:val="0"/>
                  <w:vAlign w:val="center"/>
                </w:tcPr>
                <w:p w14:paraId="23683EAD">
                  <w:pPr>
                    <w:adjustRightInd w:val="0"/>
                    <w:snapToGrid w:val="0"/>
                    <w:jc w:val="center"/>
                    <w:rPr>
                      <w:rFonts w:hint="default" w:ascii="Times New Roman" w:hAnsi="Times New Roman" w:eastAsia="宋体" w:cs="Times New Roman"/>
                      <w:color w:val="auto"/>
                      <w:sz w:val="21"/>
                      <w:szCs w:val="21"/>
                      <w:lang w:eastAsia="zh-CN"/>
                    </w:rPr>
                  </w:pPr>
                </w:p>
              </w:tc>
            </w:tr>
            <w:tr w14:paraId="3768A3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3" w:type="pct"/>
                  <w:tcBorders>
                    <w:top w:val="single" w:color="auto" w:sz="4" w:space="0"/>
                    <w:left w:val="nil"/>
                    <w:bottom w:val="single" w:color="auto" w:sz="4" w:space="0"/>
                    <w:right w:val="single" w:color="auto" w:sz="4" w:space="0"/>
                  </w:tcBorders>
                  <w:noWrap w:val="0"/>
                  <w:vAlign w:val="center"/>
                </w:tcPr>
                <w:p w14:paraId="7DF96B47">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1F6F92F">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废边角料</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01D8E67C">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FF498F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7D53277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17</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3D4A84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val="en-US" w:eastAsia="zh-CN"/>
                    </w:rPr>
                    <w:t>001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S17</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532AC610">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07046F6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堆放</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19E6A61">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813" w:type="pct"/>
                  <w:vMerge w:val="continue"/>
                  <w:tcBorders>
                    <w:left w:val="single" w:color="auto" w:sz="4" w:space="0"/>
                    <w:right w:val="nil"/>
                  </w:tcBorders>
                  <w:noWrap w:val="0"/>
                  <w:vAlign w:val="center"/>
                </w:tcPr>
                <w:p w14:paraId="03B8D7C4">
                  <w:pPr>
                    <w:adjustRightInd w:val="0"/>
                    <w:snapToGrid w:val="0"/>
                    <w:jc w:val="center"/>
                    <w:rPr>
                      <w:rFonts w:hint="default" w:ascii="Times New Roman" w:hAnsi="Times New Roman" w:eastAsia="宋体" w:cs="Times New Roman"/>
                      <w:color w:val="auto"/>
                      <w:sz w:val="21"/>
                      <w:szCs w:val="21"/>
                      <w:lang w:val="en-US" w:eastAsia="zh-CN"/>
                    </w:rPr>
                  </w:pPr>
                </w:p>
              </w:tc>
            </w:tr>
            <w:tr w14:paraId="2CF3A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3" w:type="pct"/>
                  <w:tcBorders>
                    <w:top w:val="single" w:color="auto" w:sz="4" w:space="0"/>
                    <w:left w:val="nil"/>
                    <w:bottom w:val="single" w:color="auto" w:sz="4" w:space="0"/>
                    <w:right w:val="single" w:color="auto" w:sz="4" w:space="0"/>
                  </w:tcBorders>
                  <w:noWrap w:val="0"/>
                  <w:vAlign w:val="center"/>
                </w:tcPr>
                <w:p w14:paraId="3B8BF794">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4</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1B1204A">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不合格品</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6A091893">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BA7D51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4C76A6B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17</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1225211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val="en-US" w:eastAsia="zh-CN"/>
                    </w:rPr>
                    <w:t>001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S17</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2FBE60A">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70E6303A">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堆放</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5DB7F4D">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813" w:type="pct"/>
                  <w:vMerge w:val="continue"/>
                  <w:tcBorders>
                    <w:left w:val="single" w:color="auto" w:sz="4" w:space="0"/>
                    <w:right w:val="nil"/>
                  </w:tcBorders>
                  <w:noWrap w:val="0"/>
                  <w:vAlign w:val="center"/>
                </w:tcPr>
                <w:p w14:paraId="4F9BE8F5">
                  <w:pPr>
                    <w:adjustRightInd w:val="0"/>
                    <w:snapToGrid w:val="0"/>
                    <w:jc w:val="center"/>
                    <w:rPr>
                      <w:rFonts w:hint="default" w:ascii="Times New Roman" w:hAnsi="Times New Roman" w:eastAsia="宋体" w:cs="Times New Roman"/>
                      <w:color w:val="auto"/>
                      <w:sz w:val="21"/>
                      <w:szCs w:val="21"/>
                      <w:lang w:eastAsia="zh-CN"/>
                    </w:rPr>
                  </w:pPr>
                </w:p>
              </w:tc>
            </w:tr>
            <w:tr w14:paraId="28B70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3" w:type="pct"/>
                  <w:tcBorders>
                    <w:top w:val="single" w:color="auto" w:sz="4" w:space="0"/>
                    <w:left w:val="nil"/>
                    <w:bottom w:val="single" w:color="auto" w:sz="4" w:space="0"/>
                    <w:right w:val="single" w:color="auto" w:sz="4" w:space="0"/>
                  </w:tcBorders>
                  <w:noWrap w:val="0"/>
                  <w:vAlign w:val="center"/>
                </w:tcPr>
                <w:p w14:paraId="23858A89">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B276C3D">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废润滑油</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689A470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危险废物</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462574A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T/I</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336B897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HW08</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2E56886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900-217-08</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656F9C0">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FBE50CF">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13FC46F9">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c>
                <w:tcPr>
                  <w:tcW w:w="813" w:type="pct"/>
                  <w:vMerge w:val="restart"/>
                  <w:tcBorders>
                    <w:left w:val="single" w:color="auto" w:sz="4" w:space="0"/>
                    <w:right w:val="nil"/>
                  </w:tcBorders>
                  <w:noWrap w:val="0"/>
                  <w:vAlign w:val="center"/>
                </w:tcPr>
                <w:p w14:paraId="2977484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委托有资质单位处置</w:t>
                  </w:r>
                </w:p>
              </w:tc>
            </w:tr>
            <w:tr w14:paraId="5BA74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3" w:hRule="atLeast"/>
                <w:jc w:val="center"/>
              </w:trPr>
              <w:tc>
                <w:tcPr>
                  <w:tcW w:w="163" w:type="pct"/>
                  <w:tcBorders>
                    <w:top w:val="single" w:color="auto" w:sz="4" w:space="0"/>
                    <w:left w:val="nil"/>
                    <w:bottom w:val="single" w:color="auto" w:sz="4" w:space="0"/>
                    <w:right w:val="single" w:color="auto" w:sz="4" w:space="0"/>
                  </w:tcBorders>
                  <w:noWrap w:val="0"/>
                  <w:vAlign w:val="center"/>
                </w:tcPr>
                <w:p w14:paraId="60D4F1C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5A3218B">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废切削液</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027ACA70">
                  <w:pPr>
                    <w:adjustRightInd w:val="0"/>
                    <w:snapToGrid w:val="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危险废物</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BF4178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T</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30EE83E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HW0</w:t>
                  </w:r>
                  <w:r>
                    <w:rPr>
                      <w:rFonts w:hint="eastAsia" w:ascii="Times New Roman" w:hAnsi="Times New Roman" w:cs="Times New Roman"/>
                      <w:color w:val="auto"/>
                      <w:sz w:val="21"/>
                      <w:szCs w:val="21"/>
                      <w:lang w:val="en-US" w:eastAsia="zh-CN"/>
                    </w:rPr>
                    <w:t>9</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10FB830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900-</w:t>
                  </w:r>
                  <w:r>
                    <w:rPr>
                      <w:rFonts w:hint="eastAsia" w:ascii="Times New Roman" w:hAnsi="Times New Roman" w:cs="Times New Roman"/>
                      <w:color w:val="auto"/>
                      <w:sz w:val="21"/>
                      <w:szCs w:val="21"/>
                      <w:lang w:val="en-US" w:eastAsia="zh-CN"/>
                    </w:rPr>
                    <w:t>006-09</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492E7C3">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0.5</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3454B29">
                  <w:pPr>
                    <w:adjustRightInd w:val="0"/>
                    <w:snapToGrid w:val="0"/>
                    <w:jc w:val="center"/>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1429FB36">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0.5</w:t>
                  </w:r>
                </w:p>
              </w:tc>
              <w:tc>
                <w:tcPr>
                  <w:tcW w:w="813" w:type="pct"/>
                  <w:vMerge w:val="continue"/>
                  <w:tcBorders>
                    <w:left w:val="single" w:color="auto" w:sz="4" w:space="0"/>
                    <w:right w:val="nil"/>
                  </w:tcBorders>
                  <w:noWrap w:val="0"/>
                  <w:vAlign w:val="center"/>
                </w:tcPr>
                <w:p w14:paraId="27EE3B33">
                  <w:pPr>
                    <w:adjustRightInd w:val="0"/>
                    <w:snapToGrid w:val="0"/>
                    <w:jc w:val="center"/>
                    <w:rPr>
                      <w:rFonts w:hint="default" w:ascii="Times New Roman" w:hAnsi="Times New Roman" w:cs="Times New Roman"/>
                      <w:color w:val="auto"/>
                      <w:sz w:val="21"/>
                      <w:szCs w:val="21"/>
                      <w:lang w:val="en-US" w:eastAsia="zh-CN"/>
                    </w:rPr>
                  </w:pPr>
                </w:p>
              </w:tc>
            </w:tr>
            <w:tr w14:paraId="188691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3" w:hRule="atLeast"/>
                <w:jc w:val="center"/>
              </w:trPr>
              <w:tc>
                <w:tcPr>
                  <w:tcW w:w="163" w:type="pct"/>
                  <w:tcBorders>
                    <w:top w:val="single" w:color="auto" w:sz="4" w:space="0"/>
                    <w:left w:val="nil"/>
                    <w:bottom w:val="single" w:color="auto" w:sz="4" w:space="0"/>
                    <w:right w:val="single" w:color="auto" w:sz="4" w:space="0"/>
                  </w:tcBorders>
                  <w:noWrap w:val="0"/>
                  <w:vAlign w:val="center"/>
                </w:tcPr>
                <w:p w14:paraId="2AF733BC">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7E1C208">
                  <w:pPr>
                    <w:widowControl/>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含油金属屑</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3F173E5A">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54628A43">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95F61E0">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w:t>
                  </w:r>
                  <w:r>
                    <w:rPr>
                      <w:rFonts w:hint="eastAsia" w:ascii="Times New Roman" w:hAnsi="Times New Roman" w:cs="Times New Roman"/>
                      <w:color w:val="auto"/>
                      <w:sz w:val="21"/>
                      <w:szCs w:val="21"/>
                      <w:lang w:val="en-US" w:eastAsia="zh-CN"/>
                    </w:rPr>
                    <w:t>9</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F10E71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w:t>
                  </w:r>
                  <w:r>
                    <w:rPr>
                      <w:rFonts w:hint="eastAsia" w:ascii="Times New Roman" w:hAnsi="Times New Roman" w:cs="Times New Roman"/>
                      <w:color w:val="auto"/>
                      <w:sz w:val="21"/>
                      <w:szCs w:val="21"/>
                      <w:lang w:val="en-US" w:eastAsia="zh-CN"/>
                    </w:rPr>
                    <w:t>006-09</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F8B61EC">
                  <w:pPr>
                    <w:adjustRightInd w:val="0"/>
                    <w:snapToGrid w:val="0"/>
                    <w:jc w:val="center"/>
                    <w:textAlignment w:val="baseline"/>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81BAEE2">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62463AB2">
                  <w:pPr>
                    <w:adjustRightInd w:val="0"/>
                    <w:snapToGrid w:val="0"/>
                    <w:jc w:val="center"/>
                    <w:textAlignment w:val="baseline"/>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813" w:type="pct"/>
                  <w:vMerge w:val="continue"/>
                  <w:tcBorders>
                    <w:left w:val="single" w:color="auto" w:sz="4" w:space="0"/>
                    <w:right w:val="nil"/>
                  </w:tcBorders>
                  <w:noWrap w:val="0"/>
                  <w:vAlign w:val="center"/>
                </w:tcPr>
                <w:p w14:paraId="2DAC2E92">
                  <w:pPr>
                    <w:adjustRightInd w:val="0"/>
                    <w:snapToGrid w:val="0"/>
                    <w:jc w:val="center"/>
                    <w:rPr>
                      <w:rFonts w:hint="default" w:ascii="Times New Roman" w:hAnsi="Times New Roman" w:cs="Times New Roman"/>
                      <w:color w:val="auto"/>
                      <w:sz w:val="21"/>
                      <w:szCs w:val="21"/>
                      <w:lang w:val="en-US" w:eastAsia="zh-CN"/>
                    </w:rPr>
                  </w:pPr>
                </w:p>
              </w:tc>
            </w:tr>
            <w:tr w14:paraId="59DB2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70" w:type="dxa"/>
                  <w:tcBorders>
                    <w:top w:val="single" w:color="auto" w:sz="4" w:space="0"/>
                    <w:left w:val="nil"/>
                    <w:bottom w:val="single" w:color="auto" w:sz="4" w:space="0"/>
                    <w:right w:val="single" w:color="auto" w:sz="4" w:space="0"/>
                  </w:tcBorders>
                  <w:noWrap w:val="0"/>
                  <w:vAlign w:val="center"/>
                </w:tcPr>
                <w:p w14:paraId="13A3E027">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56C449C">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废液压油</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20B72127">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6D86D095">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2DED7979">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B824BFB">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900-21</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val="en-US" w:eastAsia="zh-CN"/>
                    </w:rPr>
                    <w:t>-08</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CD3AE92">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EE5FBFA">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3DE34708">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813" w:type="pct"/>
                  <w:vMerge w:val="continue"/>
                  <w:tcBorders>
                    <w:left w:val="single" w:color="auto" w:sz="4" w:space="0"/>
                    <w:right w:val="nil"/>
                  </w:tcBorders>
                  <w:noWrap w:val="0"/>
                  <w:vAlign w:val="center"/>
                </w:tcPr>
                <w:p w14:paraId="624CBDF0">
                  <w:pPr>
                    <w:adjustRightInd w:val="0"/>
                    <w:snapToGrid w:val="0"/>
                    <w:jc w:val="center"/>
                    <w:textAlignment w:val="baseline"/>
                    <w:rPr>
                      <w:rFonts w:hint="default" w:ascii="Times New Roman" w:hAnsi="Times New Roman" w:cs="Times New Roman"/>
                      <w:color w:val="auto"/>
                      <w:sz w:val="21"/>
                      <w:szCs w:val="21"/>
                      <w:lang w:val="en-US" w:eastAsia="zh-CN"/>
                    </w:rPr>
                  </w:pPr>
                </w:p>
              </w:tc>
            </w:tr>
            <w:tr w14:paraId="50F5D7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270" w:type="dxa"/>
                  <w:tcBorders>
                    <w:top w:val="single" w:color="auto" w:sz="4" w:space="0"/>
                    <w:left w:val="nil"/>
                    <w:bottom w:val="single" w:color="auto" w:sz="4" w:space="0"/>
                    <w:right w:val="single" w:color="auto" w:sz="4" w:space="0"/>
                  </w:tcBorders>
                  <w:noWrap w:val="0"/>
                  <w:vAlign w:val="center"/>
                </w:tcPr>
                <w:p w14:paraId="78B0DD68">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52AA9DF">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废润滑油桶</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749C167B">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1419CEDB">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39114D47">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1121D41">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550F95EA">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bidi="ar-SA"/>
                    </w:rPr>
                    <w:t>0.05</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0C3E264">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6F8161CD">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bidi="ar-SA"/>
                    </w:rPr>
                    <w:t>0.05</w:t>
                  </w:r>
                </w:p>
              </w:tc>
              <w:tc>
                <w:tcPr>
                  <w:tcW w:w="813" w:type="pct"/>
                  <w:vMerge w:val="continue"/>
                  <w:tcBorders>
                    <w:left w:val="single" w:color="auto" w:sz="4" w:space="0"/>
                    <w:right w:val="nil"/>
                  </w:tcBorders>
                  <w:noWrap w:val="0"/>
                  <w:vAlign w:val="center"/>
                </w:tcPr>
                <w:p w14:paraId="32F3ABC9">
                  <w:pPr>
                    <w:adjustRightInd w:val="0"/>
                    <w:snapToGrid w:val="0"/>
                    <w:jc w:val="center"/>
                    <w:textAlignment w:val="baseline"/>
                    <w:rPr>
                      <w:rFonts w:hint="default" w:ascii="Times New Roman" w:hAnsi="Times New Roman" w:cs="Times New Roman"/>
                      <w:color w:val="auto"/>
                      <w:sz w:val="21"/>
                      <w:szCs w:val="21"/>
                      <w:lang w:val="en-US" w:eastAsia="zh-CN"/>
                    </w:rPr>
                  </w:pPr>
                </w:p>
              </w:tc>
            </w:tr>
            <w:tr w14:paraId="4953B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270" w:type="dxa"/>
                  <w:tcBorders>
                    <w:top w:val="single" w:color="auto" w:sz="4" w:space="0"/>
                    <w:left w:val="nil"/>
                    <w:bottom w:val="single" w:color="auto" w:sz="4" w:space="0"/>
                    <w:right w:val="single" w:color="auto" w:sz="4" w:space="0"/>
                  </w:tcBorders>
                  <w:noWrap w:val="0"/>
                  <w:vAlign w:val="center"/>
                </w:tcPr>
                <w:p w14:paraId="1436C318">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CA1FC45">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废切削液桶</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31EEB6CD">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677F89EC">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r>
                    <w:rPr>
                      <w:rFonts w:hint="eastAsia" w:ascii="Times New Roman" w:hAnsi="Times New Roman" w:cs="Times New Roman"/>
                      <w:color w:val="auto"/>
                      <w:sz w:val="21"/>
                      <w:szCs w:val="21"/>
                      <w:lang w:val="en-US" w:eastAsia="zh-CN"/>
                    </w:rPr>
                    <w:t>n</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6A81429C">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HW49</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C6B6BD5">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900-041-49</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6C2AA4AB">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21226E76">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5DB756CE">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c>
                <w:tcPr>
                  <w:tcW w:w="813" w:type="pct"/>
                  <w:vMerge w:val="continue"/>
                  <w:tcBorders>
                    <w:left w:val="single" w:color="auto" w:sz="4" w:space="0"/>
                    <w:right w:val="nil"/>
                  </w:tcBorders>
                  <w:noWrap w:val="0"/>
                  <w:vAlign w:val="center"/>
                </w:tcPr>
                <w:p w14:paraId="18FF73D6">
                  <w:pPr>
                    <w:adjustRightInd w:val="0"/>
                    <w:snapToGrid w:val="0"/>
                    <w:jc w:val="center"/>
                    <w:textAlignment w:val="baseline"/>
                    <w:rPr>
                      <w:rFonts w:hint="default" w:ascii="Times New Roman" w:hAnsi="Times New Roman" w:cs="Times New Roman"/>
                      <w:color w:val="auto"/>
                      <w:sz w:val="21"/>
                      <w:szCs w:val="21"/>
                      <w:lang w:val="en-US" w:eastAsia="zh-CN"/>
                    </w:rPr>
                  </w:pPr>
                </w:p>
              </w:tc>
            </w:tr>
            <w:tr w14:paraId="2A6B8B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270" w:type="dxa"/>
                  <w:tcBorders>
                    <w:top w:val="single" w:color="auto" w:sz="4" w:space="0"/>
                    <w:left w:val="nil"/>
                    <w:bottom w:val="single" w:color="auto" w:sz="4" w:space="0"/>
                    <w:right w:val="single" w:color="auto" w:sz="4" w:space="0"/>
                  </w:tcBorders>
                  <w:noWrap w:val="0"/>
                  <w:vAlign w:val="center"/>
                </w:tcPr>
                <w:p w14:paraId="69CBB5E7">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C82700B">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废液压油桶</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10BF3112">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505C2D9">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263BBAE4">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08DD8193">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0212B6F">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3865270">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3890DCE2">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c>
                <w:tcPr>
                  <w:tcW w:w="813" w:type="pct"/>
                  <w:vMerge w:val="continue"/>
                  <w:tcBorders>
                    <w:left w:val="single" w:color="auto" w:sz="4" w:space="0"/>
                    <w:right w:val="nil"/>
                  </w:tcBorders>
                  <w:noWrap w:val="0"/>
                  <w:vAlign w:val="center"/>
                </w:tcPr>
                <w:p w14:paraId="24B62BD2">
                  <w:pPr>
                    <w:adjustRightInd w:val="0"/>
                    <w:snapToGrid w:val="0"/>
                    <w:jc w:val="center"/>
                    <w:textAlignment w:val="baseline"/>
                    <w:rPr>
                      <w:rFonts w:hint="default" w:ascii="Times New Roman" w:hAnsi="Times New Roman" w:cs="Times New Roman"/>
                      <w:color w:val="auto"/>
                      <w:sz w:val="21"/>
                      <w:szCs w:val="21"/>
                      <w:lang w:val="en-US" w:eastAsia="zh-CN"/>
                    </w:rPr>
                  </w:pPr>
                </w:p>
              </w:tc>
            </w:tr>
            <w:tr w14:paraId="5E9B40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270" w:type="dxa"/>
                  <w:tcBorders>
                    <w:top w:val="single" w:color="auto" w:sz="4" w:space="0"/>
                    <w:left w:val="nil"/>
                    <w:bottom w:val="single" w:color="auto" w:sz="4" w:space="0"/>
                    <w:right w:val="single" w:color="auto" w:sz="4" w:space="0"/>
                  </w:tcBorders>
                  <w:noWrap w:val="0"/>
                  <w:vAlign w:val="center"/>
                </w:tcPr>
                <w:p w14:paraId="02B95825">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C9757CA">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含油抹布及手套</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08513026">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危险固废</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80AF107">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T/I</w:t>
                  </w:r>
                  <w:r>
                    <w:rPr>
                      <w:rFonts w:hint="eastAsia" w:ascii="Times New Roman" w:hAnsi="Times New Roman" w:cs="Times New Roman"/>
                      <w:color w:val="auto"/>
                      <w:sz w:val="21"/>
                      <w:szCs w:val="21"/>
                      <w:lang w:val="en-US" w:eastAsia="zh-CN"/>
                    </w:rPr>
                    <w:t>n</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9A98F6B">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HW49</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81DB6CF">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900-041-49</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0DF4905">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8F014BC">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1B1DBF89">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w:t>
                  </w:r>
                </w:p>
              </w:tc>
              <w:tc>
                <w:tcPr>
                  <w:tcW w:w="813" w:type="pct"/>
                  <w:vMerge w:val="continue"/>
                  <w:tcBorders>
                    <w:left w:val="single" w:color="auto" w:sz="4" w:space="0"/>
                    <w:right w:val="nil"/>
                  </w:tcBorders>
                  <w:noWrap w:val="0"/>
                  <w:vAlign w:val="center"/>
                </w:tcPr>
                <w:p w14:paraId="726E362E">
                  <w:pPr>
                    <w:adjustRightInd w:val="0"/>
                    <w:snapToGrid w:val="0"/>
                    <w:jc w:val="center"/>
                    <w:textAlignment w:val="baseline"/>
                    <w:rPr>
                      <w:rFonts w:hint="default" w:ascii="Times New Roman" w:hAnsi="Times New Roman" w:cs="Times New Roman"/>
                      <w:color w:val="auto"/>
                      <w:sz w:val="21"/>
                      <w:szCs w:val="21"/>
                      <w:lang w:val="en-US" w:eastAsia="zh-CN"/>
                    </w:rPr>
                  </w:pPr>
                </w:p>
              </w:tc>
            </w:tr>
            <w:tr w14:paraId="779087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270" w:type="dxa"/>
                  <w:tcBorders>
                    <w:top w:val="single" w:color="auto" w:sz="4" w:space="0"/>
                    <w:left w:val="nil"/>
                    <w:bottom w:val="single" w:color="auto" w:sz="4" w:space="0"/>
                    <w:right w:val="single" w:color="auto" w:sz="4" w:space="0"/>
                  </w:tcBorders>
                  <w:noWrap w:val="0"/>
                  <w:vAlign w:val="center"/>
                </w:tcPr>
                <w:p w14:paraId="23E56E95">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73F6FDE">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生活垃圾</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71764235">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5ED1737A">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7E68FDE9">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lang w:val="en-US" w:eastAsia="zh-CN"/>
                    </w:rPr>
                    <w:t>W</w:t>
                  </w:r>
                  <w:r>
                    <w:rPr>
                      <w:rFonts w:hint="default" w:ascii="Times New Roman" w:hAnsi="Times New Roman" w:cs="Times New Roman"/>
                      <w:color w:val="auto"/>
                      <w:sz w:val="21"/>
                      <w:szCs w:val="21"/>
                      <w:lang w:val="en-US" w:eastAsia="zh-CN"/>
                    </w:rPr>
                    <w:t>64</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234032F0">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val="en-US" w:eastAsia="zh-CN"/>
                    </w:rPr>
                    <w:t>099-S64</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AE55A06">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9.125</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3B2CE48E">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垃圾桶</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58FA2EB6">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9.125</w:t>
                  </w:r>
                </w:p>
              </w:tc>
              <w:tc>
                <w:tcPr>
                  <w:tcW w:w="813" w:type="pct"/>
                  <w:tcBorders>
                    <w:left w:val="single" w:color="auto" w:sz="4" w:space="0"/>
                    <w:bottom w:val="single" w:color="auto" w:sz="4" w:space="0"/>
                    <w:right w:val="nil"/>
                  </w:tcBorders>
                  <w:noWrap w:val="0"/>
                  <w:vAlign w:val="center"/>
                </w:tcPr>
                <w:p w14:paraId="50A2821B">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环卫清运</w:t>
                  </w:r>
                </w:p>
              </w:tc>
            </w:tr>
          </w:tbl>
          <w:p w14:paraId="072E9CE2">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表4-</w:t>
            </w:r>
            <w:r>
              <w:rPr>
                <w:rFonts w:hint="eastAsia" w:ascii="Times New Roman" w:hAnsi="Times New Roman" w:eastAsia="宋体" w:cs="Times New Roman"/>
                <w:b/>
                <w:bCs/>
                <w:color w:val="auto"/>
                <w:sz w:val="21"/>
                <w:szCs w:val="21"/>
                <w:lang w:val="en-US" w:eastAsia="zh-CN"/>
              </w:rPr>
              <w:t>21</w:t>
            </w:r>
            <w:r>
              <w:rPr>
                <w:rFonts w:hint="default" w:ascii="Times New Roman" w:hAnsi="Times New Roman" w:eastAsia="宋体" w:cs="Times New Roman"/>
                <w:b/>
                <w:bCs/>
                <w:color w:val="auto"/>
                <w:sz w:val="21"/>
                <w:szCs w:val="21"/>
              </w:rPr>
              <w:t xml:space="preserve">  建设项目危险废物贮存场所（设施）基本情况表</w:t>
            </w:r>
          </w:p>
          <w:tbl>
            <w:tblPr>
              <w:tblStyle w:val="41"/>
              <w:tblW w:w="4996"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42"/>
              <w:gridCol w:w="939"/>
              <w:gridCol w:w="1250"/>
              <w:gridCol w:w="867"/>
              <w:gridCol w:w="1203"/>
              <w:gridCol w:w="603"/>
              <w:gridCol w:w="677"/>
              <w:gridCol w:w="939"/>
              <w:gridCol w:w="627"/>
              <w:gridCol w:w="719"/>
            </w:tblGrid>
            <w:tr w14:paraId="4C24C29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09E6331A">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567" w:type="pct"/>
                  <w:noWrap w:val="0"/>
                  <w:vAlign w:val="center"/>
                </w:tcPr>
                <w:p w14:paraId="6BA5B30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贮存场所（设施）名称</w:t>
                  </w:r>
                </w:p>
              </w:tc>
              <w:tc>
                <w:tcPr>
                  <w:tcW w:w="756" w:type="pct"/>
                  <w:noWrap w:val="0"/>
                  <w:vAlign w:val="center"/>
                </w:tcPr>
                <w:p w14:paraId="281EBE86">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危险废物名称</w:t>
                  </w:r>
                </w:p>
              </w:tc>
              <w:tc>
                <w:tcPr>
                  <w:tcW w:w="524" w:type="pct"/>
                  <w:noWrap w:val="0"/>
                  <w:vAlign w:val="center"/>
                </w:tcPr>
                <w:p w14:paraId="07621970">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危险废物类别</w:t>
                  </w:r>
                </w:p>
              </w:tc>
              <w:tc>
                <w:tcPr>
                  <w:tcW w:w="727" w:type="pct"/>
                  <w:noWrap w:val="0"/>
                  <w:vAlign w:val="center"/>
                </w:tcPr>
                <w:p w14:paraId="186E01CE">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危险废物代码</w:t>
                  </w:r>
                </w:p>
              </w:tc>
              <w:tc>
                <w:tcPr>
                  <w:tcW w:w="364" w:type="pct"/>
                  <w:noWrap w:val="0"/>
                  <w:vAlign w:val="center"/>
                </w:tcPr>
                <w:p w14:paraId="1DEAB552">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位置</w:t>
                  </w:r>
                </w:p>
              </w:tc>
              <w:tc>
                <w:tcPr>
                  <w:tcW w:w="409" w:type="pct"/>
                  <w:noWrap w:val="0"/>
                  <w:vAlign w:val="center"/>
                </w:tcPr>
                <w:p w14:paraId="497D0A3C">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占地面积</w:t>
                  </w:r>
                </w:p>
              </w:tc>
              <w:tc>
                <w:tcPr>
                  <w:tcW w:w="567" w:type="pct"/>
                  <w:noWrap w:val="0"/>
                  <w:vAlign w:val="center"/>
                </w:tcPr>
                <w:p w14:paraId="557BF67A">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贮存方式</w:t>
                  </w:r>
                </w:p>
              </w:tc>
              <w:tc>
                <w:tcPr>
                  <w:tcW w:w="379" w:type="pct"/>
                  <w:noWrap w:val="0"/>
                  <w:vAlign w:val="center"/>
                </w:tcPr>
                <w:p w14:paraId="54921870">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贮存能力</w:t>
                  </w:r>
                </w:p>
              </w:tc>
              <w:tc>
                <w:tcPr>
                  <w:tcW w:w="434" w:type="pct"/>
                  <w:noWrap w:val="0"/>
                  <w:vAlign w:val="center"/>
                </w:tcPr>
                <w:p w14:paraId="2714F2D6">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w:t>
                  </w:r>
                </w:p>
                <w:p w14:paraId="35E1E5E4">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周期</w:t>
                  </w:r>
                </w:p>
              </w:tc>
            </w:tr>
            <w:tr w14:paraId="10FB4C5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3085E46E">
                  <w:pPr>
                    <w:widowControl/>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567" w:type="pct"/>
                  <w:vMerge w:val="restart"/>
                  <w:noWrap w:val="0"/>
                  <w:vAlign w:val="center"/>
                </w:tcPr>
                <w:p w14:paraId="056F91CD">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危废仓库</w:t>
                  </w:r>
                </w:p>
              </w:tc>
              <w:tc>
                <w:tcPr>
                  <w:tcW w:w="756" w:type="pct"/>
                  <w:noWrap w:val="0"/>
                  <w:vAlign w:val="center"/>
                </w:tcPr>
                <w:p w14:paraId="17D2C88E">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废润滑油</w:t>
                  </w:r>
                </w:p>
              </w:tc>
              <w:tc>
                <w:tcPr>
                  <w:tcW w:w="524" w:type="pct"/>
                  <w:noWrap w:val="0"/>
                  <w:vAlign w:val="center"/>
                </w:tcPr>
                <w:p w14:paraId="5B795ACA">
                  <w:pPr>
                    <w:widowControl/>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p>
              </w:tc>
              <w:tc>
                <w:tcPr>
                  <w:tcW w:w="727" w:type="pct"/>
                  <w:noWrap w:val="0"/>
                  <w:vAlign w:val="center"/>
                </w:tcPr>
                <w:p w14:paraId="72267FDC">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900-217-08</w:t>
                  </w:r>
                </w:p>
              </w:tc>
              <w:tc>
                <w:tcPr>
                  <w:tcW w:w="364" w:type="pct"/>
                  <w:vMerge w:val="restart"/>
                  <w:noWrap w:val="0"/>
                  <w:vAlign w:val="center"/>
                </w:tcPr>
                <w:p w14:paraId="15481BB3">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厂内</w:t>
                  </w:r>
                </w:p>
              </w:tc>
              <w:tc>
                <w:tcPr>
                  <w:tcW w:w="409" w:type="pct"/>
                  <w:vMerge w:val="restart"/>
                  <w:noWrap w:val="0"/>
                  <w:vAlign w:val="center"/>
                </w:tcPr>
                <w:p w14:paraId="2D99BC30">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567" w:type="pct"/>
                  <w:vMerge w:val="restart"/>
                  <w:noWrap w:val="0"/>
                  <w:vAlign w:val="center"/>
                </w:tcPr>
                <w:p w14:paraId="256AD70A">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废液桶</w:t>
                  </w:r>
                </w:p>
              </w:tc>
              <w:tc>
                <w:tcPr>
                  <w:tcW w:w="379" w:type="pct"/>
                  <w:vMerge w:val="restart"/>
                  <w:noWrap w:val="0"/>
                  <w:vAlign w:val="center"/>
                </w:tcPr>
                <w:p w14:paraId="7F8DD310">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w:t>
                  </w:r>
                  <w:r>
                    <w:rPr>
                      <w:rFonts w:hint="eastAsia" w:ascii="Times New Roman" w:hAnsi="Times New Roman" w:eastAsia="宋体" w:cs="Times New Roman"/>
                      <w:color w:val="auto"/>
                      <w:sz w:val="21"/>
                      <w:szCs w:val="21"/>
                      <w:lang w:val="en-US" w:eastAsia="zh-CN"/>
                    </w:rPr>
                    <w:t>t</w:t>
                  </w:r>
                </w:p>
              </w:tc>
              <w:tc>
                <w:tcPr>
                  <w:tcW w:w="434" w:type="pct"/>
                  <w:vMerge w:val="restart"/>
                  <w:noWrap w:val="0"/>
                  <w:vAlign w:val="center"/>
                </w:tcPr>
                <w:p w14:paraId="3201235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3个月</w:t>
                  </w:r>
                </w:p>
              </w:tc>
            </w:tr>
            <w:tr w14:paraId="503782A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64DBE489">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567" w:type="pct"/>
                  <w:vMerge w:val="continue"/>
                  <w:noWrap w:val="0"/>
                  <w:vAlign w:val="center"/>
                </w:tcPr>
                <w:p w14:paraId="2ED41B0C">
                  <w:pPr>
                    <w:widowControl/>
                    <w:jc w:val="center"/>
                    <w:textAlignment w:val="center"/>
                    <w:rPr>
                      <w:rFonts w:hint="eastAsia" w:ascii="Times New Roman" w:hAnsi="Times New Roman" w:eastAsia="宋体" w:cs="Times New Roman"/>
                      <w:color w:val="auto"/>
                      <w:sz w:val="21"/>
                      <w:szCs w:val="21"/>
                      <w:lang w:val="en-US" w:eastAsia="zh-CN"/>
                    </w:rPr>
                  </w:pPr>
                </w:p>
              </w:tc>
              <w:tc>
                <w:tcPr>
                  <w:tcW w:w="756" w:type="pct"/>
                  <w:noWrap w:val="0"/>
                  <w:vAlign w:val="center"/>
                </w:tcPr>
                <w:p w14:paraId="07EE2223">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废切削液</w:t>
                  </w:r>
                </w:p>
              </w:tc>
              <w:tc>
                <w:tcPr>
                  <w:tcW w:w="524" w:type="pct"/>
                  <w:noWrap w:val="0"/>
                  <w:vAlign w:val="center"/>
                </w:tcPr>
                <w:p w14:paraId="5629AD75">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w:t>
                  </w:r>
                  <w:r>
                    <w:rPr>
                      <w:rFonts w:hint="eastAsia" w:ascii="Times New Roman" w:hAnsi="Times New Roman" w:eastAsia="宋体" w:cs="Times New Roman"/>
                      <w:color w:val="auto"/>
                      <w:sz w:val="21"/>
                      <w:szCs w:val="21"/>
                      <w:lang w:val="en-US" w:eastAsia="zh-CN"/>
                    </w:rPr>
                    <w:t>9</w:t>
                  </w:r>
                </w:p>
              </w:tc>
              <w:tc>
                <w:tcPr>
                  <w:tcW w:w="727" w:type="pct"/>
                  <w:noWrap w:val="0"/>
                  <w:vAlign w:val="center"/>
                </w:tcPr>
                <w:p w14:paraId="5892B28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900-</w:t>
                  </w:r>
                  <w:r>
                    <w:rPr>
                      <w:rFonts w:hint="eastAsia" w:ascii="Times New Roman" w:hAnsi="Times New Roman" w:cs="Times New Roman"/>
                      <w:color w:val="auto"/>
                      <w:sz w:val="21"/>
                      <w:szCs w:val="21"/>
                      <w:lang w:val="en-US" w:eastAsia="zh-CN"/>
                    </w:rPr>
                    <w:t>006-09</w:t>
                  </w:r>
                </w:p>
              </w:tc>
              <w:tc>
                <w:tcPr>
                  <w:tcW w:w="364" w:type="pct"/>
                  <w:vMerge w:val="continue"/>
                  <w:noWrap w:val="0"/>
                  <w:vAlign w:val="center"/>
                </w:tcPr>
                <w:p w14:paraId="30D496B1">
                  <w:pPr>
                    <w:widowControl/>
                    <w:jc w:val="center"/>
                    <w:textAlignment w:val="center"/>
                    <w:rPr>
                      <w:rFonts w:hint="default" w:ascii="Times New Roman" w:hAnsi="Times New Roman" w:eastAsia="宋体" w:cs="Times New Roman"/>
                      <w:color w:val="auto"/>
                      <w:sz w:val="21"/>
                      <w:szCs w:val="21"/>
                      <w:lang w:val="en-US" w:eastAsia="zh-CN"/>
                    </w:rPr>
                  </w:pPr>
                </w:p>
              </w:tc>
              <w:tc>
                <w:tcPr>
                  <w:tcW w:w="409" w:type="pct"/>
                  <w:vMerge w:val="continue"/>
                  <w:noWrap w:val="0"/>
                  <w:vAlign w:val="center"/>
                </w:tcPr>
                <w:p w14:paraId="506D5EFD">
                  <w:pPr>
                    <w:widowControl/>
                    <w:jc w:val="center"/>
                    <w:textAlignment w:val="center"/>
                    <w:rPr>
                      <w:rFonts w:hint="eastAsia" w:ascii="Times New Roman" w:hAnsi="Times New Roman" w:eastAsia="宋体" w:cs="Times New Roman"/>
                      <w:color w:val="auto"/>
                      <w:sz w:val="21"/>
                      <w:szCs w:val="21"/>
                      <w:lang w:val="en-US" w:eastAsia="zh-CN"/>
                    </w:rPr>
                  </w:pPr>
                </w:p>
              </w:tc>
              <w:tc>
                <w:tcPr>
                  <w:tcW w:w="567" w:type="pct"/>
                  <w:vMerge w:val="continue"/>
                  <w:noWrap w:val="0"/>
                  <w:vAlign w:val="center"/>
                </w:tcPr>
                <w:p w14:paraId="0C8B70EC">
                  <w:pPr>
                    <w:widowControl/>
                    <w:jc w:val="center"/>
                    <w:textAlignment w:val="center"/>
                    <w:rPr>
                      <w:rFonts w:hint="eastAsia" w:ascii="Times New Roman" w:hAnsi="Times New Roman" w:eastAsia="宋体" w:cs="Times New Roman"/>
                      <w:color w:val="auto"/>
                      <w:sz w:val="21"/>
                      <w:szCs w:val="21"/>
                      <w:lang w:val="en-US" w:eastAsia="zh-CN"/>
                    </w:rPr>
                  </w:pPr>
                </w:p>
              </w:tc>
              <w:tc>
                <w:tcPr>
                  <w:tcW w:w="379" w:type="pct"/>
                  <w:vMerge w:val="continue"/>
                  <w:noWrap w:val="0"/>
                  <w:vAlign w:val="center"/>
                </w:tcPr>
                <w:p w14:paraId="0AE67C2C">
                  <w:pPr>
                    <w:widowControl/>
                    <w:jc w:val="center"/>
                    <w:textAlignment w:val="center"/>
                    <w:rPr>
                      <w:rFonts w:hint="eastAsia" w:ascii="Times New Roman" w:hAnsi="Times New Roman" w:eastAsia="宋体" w:cs="Times New Roman"/>
                      <w:color w:val="auto"/>
                      <w:sz w:val="21"/>
                      <w:szCs w:val="21"/>
                      <w:lang w:val="en-US" w:eastAsia="zh-CN"/>
                    </w:rPr>
                  </w:pPr>
                </w:p>
              </w:tc>
              <w:tc>
                <w:tcPr>
                  <w:tcW w:w="434" w:type="pct"/>
                  <w:vMerge w:val="continue"/>
                  <w:noWrap w:val="0"/>
                  <w:vAlign w:val="center"/>
                </w:tcPr>
                <w:p w14:paraId="301529FD">
                  <w:pPr>
                    <w:widowControl/>
                    <w:jc w:val="center"/>
                    <w:textAlignment w:val="center"/>
                    <w:rPr>
                      <w:rFonts w:hint="default" w:ascii="Times New Roman" w:hAnsi="Times New Roman" w:eastAsia="宋体" w:cs="Times New Roman"/>
                      <w:color w:val="auto"/>
                      <w:sz w:val="21"/>
                      <w:szCs w:val="21"/>
                      <w:lang w:val="en-US" w:eastAsia="zh-CN"/>
                    </w:rPr>
                  </w:pPr>
                </w:p>
              </w:tc>
            </w:tr>
            <w:tr w14:paraId="302411B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290AC5DD">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567" w:type="pct"/>
                  <w:vMerge w:val="continue"/>
                  <w:noWrap w:val="0"/>
                  <w:vAlign w:val="center"/>
                </w:tcPr>
                <w:p w14:paraId="6FE89542">
                  <w:pPr>
                    <w:widowControl/>
                    <w:jc w:val="center"/>
                    <w:textAlignment w:val="center"/>
                    <w:rPr>
                      <w:rFonts w:hint="default" w:ascii="Times New Roman" w:hAnsi="Times New Roman" w:eastAsia="宋体" w:cs="Times New Roman"/>
                      <w:color w:val="auto"/>
                      <w:sz w:val="21"/>
                      <w:szCs w:val="21"/>
                      <w:lang w:val="en-US" w:eastAsia="zh-CN"/>
                    </w:rPr>
                  </w:pPr>
                </w:p>
              </w:tc>
              <w:tc>
                <w:tcPr>
                  <w:tcW w:w="756" w:type="pct"/>
                  <w:noWrap w:val="0"/>
                  <w:vAlign w:val="center"/>
                </w:tcPr>
                <w:p w14:paraId="1CF138FF">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废液压油</w:t>
                  </w:r>
                </w:p>
              </w:tc>
              <w:tc>
                <w:tcPr>
                  <w:tcW w:w="524" w:type="pct"/>
                  <w:noWrap w:val="0"/>
                  <w:vAlign w:val="center"/>
                </w:tcPr>
                <w:p w14:paraId="76DFCF70">
                  <w:pPr>
                    <w:widowControl/>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p>
              </w:tc>
              <w:tc>
                <w:tcPr>
                  <w:tcW w:w="727" w:type="pct"/>
                  <w:noWrap w:val="0"/>
                  <w:vAlign w:val="center"/>
                </w:tcPr>
                <w:p w14:paraId="0DF470E9">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900-21</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val="en-US" w:eastAsia="zh-CN"/>
                    </w:rPr>
                    <w:t>-08</w:t>
                  </w:r>
                </w:p>
              </w:tc>
              <w:tc>
                <w:tcPr>
                  <w:tcW w:w="364" w:type="pct"/>
                  <w:vMerge w:val="continue"/>
                  <w:noWrap w:val="0"/>
                  <w:vAlign w:val="center"/>
                </w:tcPr>
                <w:p w14:paraId="27A001EC">
                  <w:pPr>
                    <w:widowControl/>
                    <w:jc w:val="center"/>
                    <w:textAlignment w:val="center"/>
                    <w:rPr>
                      <w:rFonts w:hint="default" w:ascii="Times New Roman" w:hAnsi="Times New Roman" w:eastAsia="宋体" w:cs="Times New Roman"/>
                      <w:color w:val="auto"/>
                      <w:sz w:val="21"/>
                      <w:szCs w:val="21"/>
                      <w:lang w:val="en-US" w:eastAsia="zh-CN"/>
                    </w:rPr>
                  </w:pPr>
                </w:p>
              </w:tc>
              <w:tc>
                <w:tcPr>
                  <w:tcW w:w="409" w:type="pct"/>
                  <w:vMerge w:val="continue"/>
                  <w:noWrap w:val="0"/>
                  <w:vAlign w:val="center"/>
                </w:tcPr>
                <w:p w14:paraId="3C4B662B">
                  <w:pPr>
                    <w:widowControl/>
                    <w:jc w:val="center"/>
                    <w:textAlignment w:val="center"/>
                    <w:rPr>
                      <w:rFonts w:hint="default" w:ascii="Times New Roman" w:hAnsi="Times New Roman" w:eastAsia="宋体" w:cs="Times New Roman"/>
                      <w:color w:val="auto"/>
                      <w:sz w:val="21"/>
                      <w:szCs w:val="21"/>
                      <w:lang w:val="en-US" w:eastAsia="zh-CN"/>
                    </w:rPr>
                  </w:pPr>
                </w:p>
              </w:tc>
              <w:tc>
                <w:tcPr>
                  <w:tcW w:w="567" w:type="pct"/>
                  <w:vMerge w:val="continue"/>
                  <w:noWrap w:val="0"/>
                  <w:vAlign w:val="center"/>
                </w:tcPr>
                <w:p w14:paraId="1CC1DA85">
                  <w:pPr>
                    <w:widowControl/>
                    <w:jc w:val="center"/>
                    <w:textAlignment w:val="center"/>
                    <w:rPr>
                      <w:rFonts w:hint="eastAsia" w:ascii="Times New Roman" w:hAnsi="Times New Roman" w:eastAsia="宋体" w:cs="Times New Roman"/>
                      <w:color w:val="auto"/>
                      <w:sz w:val="21"/>
                      <w:szCs w:val="21"/>
                      <w:lang w:val="en-US" w:eastAsia="zh-CN"/>
                    </w:rPr>
                  </w:pPr>
                </w:p>
              </w:tc>
              <w:tc>
                <w:tcPr>
                  <w:tcW w:w="379" w:type="pct"/>
                  <w:vMerge w:val="continue"/>
                  <w:noWrap w:val="0"/>
                  <w:vAlign w:val="center"/>
                </w:tcPr>
                <w:p w14:paraId="6D5F1B37">
                  <w:pPr>
                    <w:widowControl/>
                    <w:jc w:val="center"/>
                    <w:textAlignment w:val="center"/>
                    <w:rPr>
                      <w:rFonts w:hint="default" w:ascii="Times New Roman" w:hAnsi="Times New Roman" w:eastAsia="宋体" w:cs="Times New Roman"/>
                      <w:color w:val="auto"/>
                      <w:sz w:val="21"/>
                      <w:szCs w:val="21"/>
                      <w:lang w:val="en-US" w:eastAsia="zh-CN"/>
                    </w:rPr>
                  </w:pPr>
                </w:p>
              </w:tc>
              <w:tc>
                <w:tcPr>
                  <w:tcW w:w="434" w:type="pct"/>
                  <w:vMerge w:val="continue"/>
                  <w:noWrap w:val="0"/>
                  <w:vAlign w:val="center"/>
                </w:tcPr>
                <w:p w14:paraId="0C19B2B3">
                  <w:pPr>
                    <w:widowControl/>
                    <w:jc w:val="center"/>
                    <w:textAlignment w:val="center"/>
                    <w:rPr>
                      <w:rFonts w:hint="default" w:ascii="Times New Roman" w:hAnsi="Times New Roman" w:eastAsia="宋体" w:cs="Times New Roman"/>
                      <w:color w:val="auto"/>
                      <w:sz w:val="21"/>
                      <w:szCs w:val="21"/>
                      <w:lang w:val="en-US" w:eastAsia="zh-CN"/>
                    </w:rPr>
                  </w:pPr>
                </w:p>
              </w:tc>
            </w:tr>
            <w:tr w14:paraId="3AE913E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14660F7C">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567" w:type="pct"/>
                  <w:vMerge w:val="continue"/>
                  <w:noWrap w:val="0"/>
                  <w:vAlign w:val="center"/>
                </w:tcPr>
                <w:p w14:paraId="18D973EF">
                  <w:pPr>
                    <w:widowControl/>
                    <w:jc w:val="center"/>
                    <w:textAlignment w:val="center"/>
                    <w:rPr>
                      <w:rFonts w:hint="default" w:ascii="Times New Roman" w:hAnsi="Times New Roman" w:eastAsia="宋体" w:cs="Times New Roman"/>
                      <w:color w:val="auto"/>
                      <w:sz w:val="21"/>
                      <w:szCs w:val="21"/>
                      <w:lang w:val="en-US" w:eastAsia="zh-CN"/>
                    </w:rPr>
                  </w:pPr>
                </w:p>
              </w:tc>
              <w:tc>
                <w:tcPr>
                  <w:tcW w:w="756" w:type="pct"/>
                  <w:noWrap w:val="0"/>
                  <w:vAlign w:val="center"/>
                </w:tcPr>
                <w:p w14:paraId="4F4B5333">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废润滑油桶</w:t>
                  </w:r>
                </w:p>
              </w:tc>
              <w:tc>
                <w:tcPr>
                  <w:tcW w:w="524" w:type="pct"/>
                  <w:noWrap w:val="0"/>
                  <w:vAlign w:val="center"/>
                </w:tcPr>
                <w:p w14:paraId="66C9C44C">
                  <w:pPr>
                    <w:widowControl/>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p>
              </w:tc>
              <w:tc>
                <w:tcPr>
                  <w:tcW w:w="727" w:type="pct"/>
                  <w:noWrap w:val="0"/>
                  <w:vAlign w:val="center"/>
                </w:tcPr>
                <w:p w14:paraId="33CF56F2">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364" w:type="pct"/>
                  <w:vMerge w:val="continue"/>
                  <w:noWrap w:val="0"/>
                  <w:vAlign w:val="center"/>
                </w:tcPr>
                <w:p w14:paraId="4FA8A32E">
                  <w:pPr>
                    <w:widowControl/>
                    <w:jc w:val="center"/>
                    <w:textAlignment w:val="center"/>
                    <w:rPr>
                      <w:rFonts w:hint="default" w:ascii="Times New Roman" w:hAnsi="Times New Roman" w:eastAsia="宋体" w:cs="Times New Roman"/>
                      <w:color w:val="auto"/>
                      <w:sz w:val="21"/>
                      <w:szCs w:val="21"/>
                      <w:lang w:val="en-US" w:eastAsia="zh-CN"/>
                    </w:rPr>
                  </w:pPr>
                </w:p>
              </w:tc>
              <w:tc>
                <w:tcPr>
                  <w:tcW w:w="409" w:type="pct"/>
                  <w:vMerge w:val="continue"/>
                  <w:noWrap w:val="0"/>
                  <w:vAlign w:val="center"/>
                </w:tcPr>
                <w:p w14:paraId="6B2553A7">
                  <w:pPr>
                    <w:widowControl/>
                    <w:jc w:val="center"/>
                    <w:textAlignment w:val="center"/>
                    <w:rPr>
                      <w:rFonts w:hint="default" w:ascii="Times New Roman" w:hAnsi="Times New Roman" w:eastAsia="宋体" w:cs="Times New Roman"/>
                      <w:color w:val="auto"/>
                      <w:sz w:val="21"/>
                      <w:szCs w:val="21"/>
                      <w:lang w:val="en-US" w:eastAsia="zh-CN"/>
                    </w:rPr>
                  </w:pPr>
                </w:p>
              </w:tc>
              <w:tc>
                <w:tcPr>
                  <w:tcW w:w="567" w:type="pct"/>
                  <w:noWrap w:val="0"/>
                  <w:vAlign w:val="center"/>
                </w:tcPr>
                <w:p w14:paraId="466DF259">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379" w:type="pct"/>
                  <w:vMerge w:val="continue"/>
                  <w:noWrap w:val="0"/>
                  <w:vAlign w:val="center"/>
                </w:tcPr>
                <w:p w14:paraId="29C6FC8D">
                  <w:pPr>
                    <w:widowControl/>
                    <w:jc w:val="center"/>
                    <w:textAlignment w:val="center"/>
                    <w:rPr>
                      <w:rFonts w:hint="default" w:ascii="Times New Roman" w:hAnsi="Times New Roman" w:eastAsia="宋体" w:cs="Times New Roman"/>
                      <w:color w:val="auto"/>
                      <w:sz w:val="21"/>
                      <w:szCs w:val="21"/>
                      <w:lang w:val="en-US" w:eastAsia="zh-CN"/>
                    </w:rPr>
                  </w:pPr>
                </w:p>
              </w:tc>
              <w:tc>
                <w:tcPr>
                  <w:tcW w:w="434" w:type="pct"/>
                  <w:vMerge w:val="continue"/>
                  <w:noWrap w:val="0"/>
                  <w:vAlign w:val="center"/>
                </w:tcPr>
                <w:p w14:paraId="62DBEE8B">
                  <w:pPr>
                    <w:widowControl/>
                    <w:jc w:val="center"/>
                    <w:textAlignment w:val="center"/>
                    <w:rPr>
                      <w:rFonts w:hint="default" w:ascii="Times New Roman" w:hAnsi="Times New Roman" w:eastAsia="宋体" w:cs="Times New Roman"/>
                      <w:color w:val="auto"/>
                      <w:sz w:val="21"/>
                      <w:szCs w:val="21"/>
                      <w:lang w:val="en-US" w:eastAsia="zh-CN"/>
                    </w:rPr>
                  </w:pPr>
                </w:p>
              </w:tc>
            </w:tr>
            <w:tr w14:paraId="526B946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267" w:type="pct"/>
                  <w:noWrap w:val="0"/>
                  <w:vAlign w:val="center"/>
                </w:tcPr>
                <w:p w14:paraId="33F438F0">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567" w:type="pct"/>
                  <w:vMerge w:val="continue"/>
                  <w:noWrap w:val="0"/>
                  <w:vAlign w:val="center"/>
                </w:tcPr>
                <w:p w14:paraId="5754AD05">
                  <w:pPr>
                    <w:widowControl/>
                    <w:jc w:val="center"/>
                    <w:textAlignment w:val="center"/>
                    <w:rPr>
                      <w:rFonts w:hint="default" w:ascii="Times New Roman" w:hAnsi="Times New Roman" w:eastAsia="宋体" w:cs="Times New Roman"/>
                      <w:color w:val="auto"/>
                      <w:sz w:val="21"/>
                      <w:szCs w:val="21"/>
                      <w:lang w:val="en-US" w:eastAsia="zh-CN"/>
                    </w:rPr>
                  </w:pPr>
                </w:p>
              </w:tc>
              <w:tc>
                <w:tcPr>
                  <w:tcW w:w="756" w:type="pct"/>
                  <w:noWrap w:val="0"/>
                  <w:vAlign w:val="center"/>
                </w:tcPr>
                <w:p w14:paraId="6202FFAD">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废切削液桶</w:t>
                  </w:r>
                </w:p>
              </w:tc>
              <w:tc>
                <w:tcPr>
                  <w:tcW w:w="524" w:type="pct"/>
                  <w:noWrap w:val="0"/>
                  <w:vAlign w:val="center"/>
                </w:tcPr>
                <w:p w14:paraId="25CD4698">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HW49</w:t>
                  </w:r>
                </w:p>
              </w:tc>
              <w:tc>
                <w:tcPr>
                  <w:tcW w:w="727" w:type="pct"/>
                  <w:noWrap w:val="0"/>
                  <w:vAlign w:val="center"/>
                </w:tcPr>
                <w:p w14:paraId="17BDBD8D">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900-041-49</w:t>
                  </w:r>
                </w:p>
              </w:tc>
              <w:tc>
                <w:tcPr>
                  <w:tcW w:w="364" w:type="pct"/>
                  <w:vMerge w:val="continue"/>
                  <w:noWrap w:val="0"/>
                  <w:vAlign w:val="center"/>
                </w:tcPr>
                <w:p w14:paraId="412C58C0">
                  <w:pPr>
                    <w:widowControl/>
                    <w:jc w:val="center"/>
                    <w:textAlignment w:val="center"/>
                    <w:rPr>
                      <w:rFonts w:hint="default" w:ascii="Times New Roman" w:hAnsi="Times New Roman" w:eastAsia="宋体" w:cs="Times New Roman"/>
                      <w:color w:val="auto"/>
                      <w:sz w:val="21"/>
                      <w:szCs w:val="21"/>
                      <w:lang w:val="en-US" w:eastAsia="zh-CN"/>
                    </w:rPr>
                  </w:pPr>
                </w:p>
              </w:tc>
              <w:tc>
                <w:tcPr>
                  <w:tcW w:w="409" w:type="pct"/>
                  <w:vMerge w:val="continue"/>
                  <w:noWrap w:val="0"/>
                  <w:vAlign w:val="center"/>
                </w:tcPr>
                <w:p w14:paraId="759C45A8">
                  <w:pPr>
                    <w:widowControl/>
                    <w:jc w:val="center"/>
                    <w:textAlignment w:val="center"/>
                    <w:rPr>
                      <w:rFonts w:hint="default" w:ascii="Times New Roman" w:hAnsi="Times New Roman" w:eastAsia="宋体" w:cs="Times New Roman"/>
                      <w:color w:val="auto"/>
                      <w:sz w:val="21"/>
                      <w:szCs w:val="21"/>
                      <w:lang w:val="en-US" w:eastAsia="zh-CN"/>
                    </w:rPr>
                  </w:pPr>
                </w:p>
              </w:tc>
              <w:tc>
                <w:tcPr>
                  <w:tcW w:w="567" w:type="pct"/>
                  <w:noWrap w:val="0"/>
                  <w:vAlign w:val="center"/>
                </w:tcPr>
                <w:p w14:paraId="685CC777">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379" w:type="pct"/>
                  <w:vMerge w:val="continue"/>
                  <w:noWrap w:val="0"/>
                  <w:vAlign w:val="center"/>
                </w:tcPr>
                <w:p w14:paraId="2217BB30">
                  <w:pPr>
                    <w:widowControl/>
                    <w:jc w:val="center"/>
                    <w:textAlignment w:val="center"/>
                    <w:rPr>
                      <w:rFonts w:hint="default" w:ascii="Times New Roman" w:hAnsi="Times New Roman" w:eastAsia="宋体" w:cs="Times New Roman"/>
                      <w:color w:val="auto"/>
                      <w:sz w:val="21"/>
                      <w:szCs w:val="21"/>
                      <w:lang w:val="en-US" w:eastAsia="zh-CN"/>
                    </w:rPr>
                  </w:pPr>
                </w:p>
              </w:tc>
              <w:tc>
                <w:tcPr>
                  <w:tcW w:w="434" w:type="pct"/>
                  <w:vMerge w:val="continue"/>
                  <w:noWrap w:val="0"/>
                  <w:vAlign w:val="center"/>
                </w:tcPr>
                <w:p w14:paraId="3F7EC982">
                  <w:pPr>
                    <w:widowControl/>
                    <w:jc w:val="center"/>
                    <w:textAlignment w:val="center"/>
                    <w:rPr>
                      <w:rFonts w:hint="default" w:ascii="Times New Roman" w:hAnsi="Times New Roman" w:eastAsia="宋体" w:cs="Times New Roman"/>
                      <w:color w:val="auto"/>
                      <w:sz w:val="21"/>
                      <w:szCs w:val="21"/>
                      <w:lang w:val="en-US" w:eastAsia="zh-CN"/>
                    </w:rPr>
                  </w:pPr>
                </w:p>
              </w:tc>
            </w:tr>
            <w:tr w14:paraId="1BE95CD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1F8BEFD6">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567" w:type="pct"/>
                  <w:vMerge w:val="continue"/>
                  <w:noWrap w:val="0"/>
                  <w:vAlign w:val="center"/>
                </w:tcPr>
                <w:p w14:paraId="28BC56E3">
                  <w:pPr>
                    <w:widowControl/>
                    <w:jc w:val="center"/>
                    <w:textAlignment w:val="center"/>
                    <w:rPr>
                      <w:rFonts w:hint="default" w:ascii="Times New Roman" w:hAnsi="Times New Roman" w:eastAsia="宋体" w:cs="Times New Roman"/>
                      <w:color w:val="auto"/>
                      <w:sz w:val="21"/>
                      <w:szCs w:val="21"/>
                      <w:lang w:val="en-US" w:eastAsia="zh-CN"/>
                    </w:rPr>
                  </w:pPr>
                </w:p>
              </w:tc>
              <w:tc>
                <w:tcPr>
                  <w:tcW w:w="756" w:type="pct"/>
                  <w:noWrap w:val="0"/>
                  <w:vAlign w:val="center"/>
                </w:tcPr>
                <w:p w14:paraId="2005F4C1">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废液压油桶</w:t>
                  </w:r>
                </w:p>
              </w:tc>
              <w:tc>
                <w:tcPr>
                  <w:tcW w:w="524" w:type="pct"/>
                  <w:noWrap w:val="0"/>
                  <w:vAlign w:val="center"/>
                </w:tcPr>
                <w:p w14:paraId="6D04F1B4">
                  <w:pPr>
                    <w:widowControl/>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p>
              </w:tc>
              <w:tc>
                <w:tcPr>
                  <w:tcW w:w="727" w:type="pct"/>
                  <w:noWrap w:val="0"/>
                  <w:vAlign w:val="center"/>
                </w:tcPr>
                <w:p w14:paraId="7B142877">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364" w:type="pct"/>
                  <w:vMerge w:val="continue"/>
                  <w:noWrap w:val="0"/>
                  <w:vAlign w:val="center"/>
                </w:tcPr>
                <w:p w14:paraId="2A8A3BB8">
                  <w:pPr>
                    <w:widowControl/>
                    <w:jc w:val="center"/>
                    <w:textAlignment w:val="center"/>
                    <w:rPr>
                      <w:rFonts w:hint="default" w:ascii="Times New Roman" w:hAnsi="Times New Roman" w:eastAsia="宋体" w:cs="Times New Roman"/>
                      <w:color w:val="auto"/>
                      <w:sz w:val="21"/>
                      <w:szCs w:val="21"/>
                      <w:lang w:val="en-US" w:eastAsia="zh-CN"/>
                    </w:rPr>
                  </w:pPr>
                </w:p>
              </w:tc>
              <w:tc>
                <w:tcPr>
                  <w:tcW w:w="409" w:type="pct"/>
                  <w:vMerge w:val="continue"/>
                  <w:noWrap w:val="0"/>
                  <w:vAlign w:val="center"/>
                </w:tcPr>
                <w:p w14:paraId="24292BB0">
                  <w:pPr>
                    <w:widowControl/>
                    <w:jc w:val="center"/>
                    <w:textAlignment w:val="center"/>
                    <w:rPr>
                      <w:rFonts w:hint="default" w:ascii="Times New Roman" w:hAnsi="Times New Roman" w:eastAsia="宋体" w:cs="Times New Roman"/>
                      <w:color w:val="auto"/>
                      <w:sz w:val="21"/>
                      <w:szCs w:val="21"/>
                      <w:lang w:val="en-US" w:eastAsia="zh-CN"/>
                    </w:rPr>
                  </w:pPr>
                </w:p>
              </w:tc>
              <w:tc>
                <w:tcPr>
                  <w:tcW w:w="567" w:type="pct"/>
                  <w:noWrap w:val="0"/>
                  <w:vAlign w:val="center"/>
                </w:tcPr>
                <w:p w14:paraId="4767AE53">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379" w:type="pct"/>
                  <w:vMerge w:val="continue"/>
                  <w:noWrap w:val="0"/>
                  <w:vAlign w:val="center"/>
                </w:tcPr>
                <w:p w14:paraId="63522EC4">
                  <w:pPr>
                    <w:widowControl/>
                    <w:jc w:val="center"/>
                    <w:textAlignment w:val="center"/>
                    <w:rPr>
                      <w:rFonts w:hint="default" w:ascii="Times New Roman" w:hAnsi="Times New Roman" w:eastAsia="宋体" w:cs="Times New Roman"/>
                      <w:color w:val="auto"/>
                      <w:sz w:val="21"/>
                      <w:szCs w:val="21"/>
                      <w:lang w:val="en-US" w:eastAsia="zh-CN"/>
                    </w:rPr>
                  </w:pPr>
                </w:p>
              </w:tc>
              <w:tc>
                <w:tcPr>
                  <w:tcW w:w="434" w:type="pct"/>
                  <w:vMerge w:val="continue"/>
                  <w:noWrap w:val="0"/>
                  <w:vAlign w:val="center"/>
                </w:tcPr>
                <w:p w14:paraId="4DCAA4E5">
                  <w:pPr>
                    <w:widowControl/>
                    <w:jc w:val="center"/>
                    <w:textAlignment w:val="center"/>
                    <w:rPr>
                      <w:rFonts w:hint="default" w:ascii="Times New Roman" w:hAnsi="Times New Roman" w:eastAsia="宋体" w:cs="Times New Roman"/>
                      <w:color w:val="auto"/>
                      <w:sz w:val="21"/>
                      <w:szCs w:val="21"/>
                      <w:lang w:val="en-US" w:eastAsia="zh-CN"/>
                    </w:rPr>
                  </w:pPr>
                </w:p>
              </w:tc>
            </w:tr>
            <w:tr w14:paraId="484C9CA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4421F7AF">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567" w:type="pct"/>
                  <w:vMerge w:val="continue"/>
                  <w:noWrap w:val="0"/>
                  <w:vAlign w:val="center"/>
                </w:tcPr>
                <w:p w14:paraId="6367404E">
                  <w:pPr>
                    <w:widowControl/>
                    <w:jc w:val="center"/>
                    <w:textAlignment w:val="center"/>
                    <w:rPr>
                      <w:rFonts w:hint="default" w:ascii="Times New Roman" w:hAnsi="Times New Roman" w:eastAsia="宋体" w:cs="Times New Roman"/>
                      <w:color w:val="auto"/>
                      <w:sz w:val="21"/>
                      <w:szCs w:val="21"/>
                      <w:lang w:val="en-US" w:eastAsia="zh-CN"/>
                    </w:rPr>
                  </w:pPr>
                </w:p>
              </w:tc>
              <w:tc>
                <w:tcPr>
                  <w:tcW w:w="756" w:type="pct"/>
                  <w:noWrap w:val="0"/>
                  <w:vAlign w:val="center"/>
                </w:tcPr>
                <w:p w14:paraId="5C4A9039">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含油抹布及手套</w:t>
                  </w:r>
                </w:p>
              </w:tc>
              <w:tc>
                <w:tcPr>
                  <w:tcW w:w="524" w:type="pct"/>
                  <w:noWrap w:val="0"/>
                  <w:vAlign w:val="center"/>
                </w:tcPr>
                <w:p w14:paraId="6FEB1DD6">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HW49</w:t>
                  </w:r>
                </w:p>
              </w:tc>
              <w:tc>
                <w:tcPr>
                  <w:tcW w:w="727" w:type="pct"/>
                  <w:noWrap w:val="0"/>
                  <w:vAlign w:val="center"/>
                </w:tcPr>
                <w:p w14:paraId="715B316F">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900-041-49</w:t>
                  </w:r>
                </w:p>
              </w:tc>
              <w:tc>
                <w:tcPr>
                  <w:tcW w:w="364" w:type="pct"/>
                  <w:vMerge w:val="continue"/>
                  <w:noWrap w:val="0"/>
                  <w:vAlign w:val="center"/>
                </w:tcPr>
                <w:p w14:paraId="3C0CF072">
                  <w:pPr>
                    <w:widowControl/>
                    <w:jc w:val="center"/>
                    <w:textAlignment w:val="center"/>
                    <w:rPr>
                      <w:rFonts w:hint="default" w:ascii="Times New Roman" w:hAnsi="Times New Roman" w:eastAsia="宋体" w:cs="Times New Roman"/>
                      <w:color w:val="auto"/>
                      <w:sz w:val="21"/>
                      <w:szCs w:val="21"/>
                      <w:lang w:val="en-US" w:eastAsia="zh-CN"/>
                    </w:rPr>
                  </w:pPr>
                </w:p>
              </w:tc>
              <w:tc>
                <w:tcPr>
                  <w:tcW w:w="409" w:type="pct"/>
                  <w:vMerge w:val="continue"/>
                  <w:noWrap w:val="0"/>
                  <w:vAlign w:val="center"/>
                </w:tcPr>
                <w:p w14:paraId="7FEB993D">
                  <w:pPr>
                    <w:widowControl/>
                    <w:jc w:val="center"/>
                    <w:textAlignment w:val="center"/>
                    <w:rPr>
                      <w:rFonts w:hint="default" w:ascii="Times New Roman" w:hAnsi="Times New Roman" w:eastAsia="宋体" w:cs="Times New Roman"/>
                      <w:color w:val="auto"/>
                      <w:sz w:val="21"/>
                      <w:szCs w:val="21"/>
                      <w:lang w:val="en-US" w:eastAsia="zh-CN"/>
                    </w:rPr>
                  </w:pPr>
                </w:p>
              </w:tc>
              <w:tc>
                <w:tcPr>
                  <w:tcW w:w="567" w:type="pct"/>
                  <w:noWrap w:val="0"/>
                  <w:vAlign w:val="center"/>
                </w:tcPr>
                <w:p w14:paraId="4DC89E8D">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379" w:type="pct"/>
                  <w:vMerge w:val="continue"/>
                  <w:noWrap w:val="0"/>
                  <w:vAlign w:val="center"/>
                </w:tcPr>
                <w:p w14:paraId="786D4477">
                  <w:pPr>
                    <w:widowControl/>
                    <w:jc w:val="center"/>
                    <w:textAlignment w:val="center"/>
                    <w:rPr>
                      <w:rFonts w:hint="default" w:ascii="Times New Roman" w:hAnsi="Times New Roman" w:eastAsia="宋体" w:cs="Times New Roman"/>
                      <w:color w:val="auto"/>
                      <w:sz w:val="21"/>
                      <w:szCs w:val="21"/>
                      <w:lang w:val="en-US" w:eastAsia="zh-CN"/>
                    </w:rPr>
                  </w:pPr>
                </w:p>
              </w:tc>
              <w:tc>
                <w:tcPr>
                  <w:tcW w:w="434" w:type="pct"/>
                  <w:vMerge w:val="continue"/>
                  <w:noWrap w:val="0"/>
                  <w:vAlign w:val="center"/>
                </w:tcPr>
                <w:p w14:paraId="63B6C374">
                  <w:pPr>
                    <w:widowControl/>
                    <w:jc w:val="center"/>
                    <w:textAlignment w:val="center"/>
                    <w:rPr>
                      <w:rFonts w:hint="default" w:ascii="Times New Roman" w:hAnsi="Times New Roman" w:eastAsia="宋体" w:cs="Times New Roman"/>
                      <w:color w:val="auto"/>
                      <w:sz w:val="21"/>
                      <w:szCs w:val="21"/>
                      <w:lang w:val="en-US" w:eastAsia="zh-CN"/>
                    </w:rPr>
                  </w:pPr>
                </w:p>
              </w:tc>
            </w:tr>
            <w:tr w14:paraId="46D945F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7" w:type="pct"/>
                  <w:noWrap w:val="0"/>
                  <w:vAlign w:val="center"/>
                </w:tcPr>
                <w:p w14:paraId="7913F4B9">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567" w:type="pct"/>
                  <w:vMerge w:val="continue"/>
                  <w:noWrap w:val="0"/>
                  <w:vAlign w:val="center"/>
                </w:tcPr>
                <w:p w14:paraId="5C5B41A9">
                  <w:pPr>
                    <w:widowControl/>
                    <w:jc w:val="center"/>
                    <w:textAlignment w:val="center"/>
                    <w:rPr>
                      <w:rFonts w:hint="default" w:ascii="Times New Roman" w:hAnsi="Times New Roman" w:eastAsia="宋体" w:cs="Times New Roman"/>
                      <w:color w:val="auto"/>
                      <w:sz w:val="21"/>
                      <w:szCs w:val="21"/>
                      <w:lang w:val="en-US" w:eastAsia="zh-CN"/>
                    </w:rPr>
                  </w:pPr>
                </w:p>
              </w:tc>
              <w:tc>
                <w:tcPr>
                  <w:tcW w:w="756" w:type="pct"/>
                  <w:noWrap w:val="0"/>
                  <w:vAlign w:val="center"/>
                </w:tcPr>
                <w:p w14:paraId="1B5CAB5F">
                  <w:pPr>
                    <w:widowControl/>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含油金属屑</w:t>
                  </w:r>
                </w:p>
              </w:tc>
              <w:tc>
                <w:tcPr>
                  <w:tcW w:w="524" w:type="pct"/>
                  <w:noWrap w:val="0"/>
                  <w:vAlign w:val="center"/>
                </w:tcPr>
                <w:p w14:paraId="27F2A3AF">
                  <w:pPr>
                    <w:widowControl/>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w:t>
                  </w:r>
                  <w:r>
                    <w:rPr>
                      <w:rFonts w:hint="eastAsia" w:ascii="Times New Roman" w:hAnsi="Times New Roman" w:eastAsia="宋体" w:cs="Times New Roman"/>
                      <w:color w:val="auto"/>
                      <w:sz w:val="21"/>
                      <w:szCs w:val="21"/>
                      <w:lang w:val="en-US" w:eastAsia="zh-CN"/>
                    </w:rPr>
                    <w:t>9</w:t>
                  </w:r>
                </w:p>
              </w:tc>
              <w:tc>
                <w:tcPr>
                  <w:tcW w:w="727" w:type="pct"/>
                  <w:noWrap w:val="0"/>
                  <w:vAlign w:val="center"/>
                </w:tcPr>
                <w:p w14:paraId="53B8921E">
                  <w:pPr>
                    <w:widowControl/>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w:t>
                  </w:r>
                  <w:r>
                    <w:rPr>
                      <w:rFonts w:hint="eastAsia" w:ascii="Times New Roman" w:hAnsi="Times New Roman" w:eastAsia="宋体" w:cs="Times New Roman"/>
                      <w:color w:val="auto"/>
                      <w:sz w:val="21"/>
                      <w:szCs w:val="21"/>
                      <w:lang w:val="en-US" w:eastAsia="zh-CN"/>
                    </w:rPr>
                    <w:t>006-09</w:t>
                  </w:r>
                </w:p>
              </w:tc>
              <w:tc>
                <w:tcPr>
                  <w:tcW w:w="364" w:type="pct"/>
                  <w:vMerge w:val="continue"/>
                  <w:noWrap w:val="0"/>
                  <w:vAlign w:val="center"/>
                </w:tcPr>
                <w:p w14:paraId="38B0337C">
                  <w:pPr>
                    <w:widowControl/>
                    <w:jc w:val="center"/>
                    <w:textAlignment w:val="center"/>
                    <w:rPr>
                      <w:rFonts w:hint="default" w:ascii="Times New Roman" w:hAnsi="Times New Roman" w:eastAsia="宋体" w:cs="Times New Roman"/>
                      <w:color w:val="auto"/>
                      <w:sz w:val="21"/>
                      <w:szCs w:val="21"/>
                      <w:lang w:val="en-US" w:eastAsia="zh-CN"/>
                    </w:rPr>
                  </w:pPr>
                </w:p>
              </w:tc>
              <w:tc>
                <w:tcPr>
                  <w:tcW w:w="409" w:type="pct"/>
                  <w:vMerge w:val="continue"/>
                  <w:noWrap w:val="0"/>
                  <w:vAlign w:val="center"/>
                </w:tcPr>
                <w:p w14:paraId="327441A3">
                  <w:pPr>
                    <w:widowControl/>
                    <w:jc w:val="center"/>
                    <w:textAlignment w:val="center"/>
                    <w:rPr>
                      <w:rFonts w:hint="default" w:ascii="Times New Roman" w:hAnsi="Times New Roman" w:eastAsia="宋体" w:cs="Times New Roman"/>
                      <w:color w:val="auto"/>
                      <w:sz w:val="21"/>
                      <w:szCs w:val="21"/>
                      <w:lang w:val="en-US" w:eastAsia="zh-CN"/>
                    </w:rPr>
                  </w:pPr>
                </w:p>
              </w:tc>
              <w:tc>
                <w:tcPr>
                  <w:tcW w:w="567" w:type="pct"/>
                  <w:noWrap w:val="0"/>
                  <w:vAlign w:val="center"/>
                </w:tcPr>
                <w:p w14:paraId="2888078F">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吨袋</w:t>
                  </w:r>
                </w:p>
              </w:tc>
              <w:tc>
                <w:tcPr>
                  <w:tcW w:w="379" w:type="pct"/>
                  <w:vMerge w:val="continue"/>
                  <w:noWrap w:val="0"/>
                  <w:vAlign w:val="center"/>
                </w:tcPr>
                <w:p w14:paraId="58D3525E">
                  <w:pPr>
                    <w:widowControl/>
                    <w:jc w:val="center"/>
                    <w:textAlignment w:val="center"/>
                    <w:rPr>
                      <w:rFonts w:hint="default" w:ascii="Times New Roman" w:hAnsi="Times New Roman" w:eastAsia="宋体" w:cs="Times New Roman"/>
                      <w:color w:val="auto"/>
                      <w:sz w:val="21"/>
                      <w:szCs w:val="21"/>
                      <w:lang w:val="en-US" w:eastAsia="zh-CN"/>
                    </w:rPr>
                  </w:pPr>
                </w:p>
              </w:tc>
              <w:tc>
                <w:tcPr>
                  <w:tcW w:w="434" w:type="pct"/>
                  <w:vMerge w:val="continue"/>
                  <w:noWrap w:val="0"/>
                  <w:vAlign w:val="center"/>
                </w:tcPr>
                <w:p w14:paraId="60A51195">
                  <w:pPr>
                    <w:widowControl/>
                    <w:jc w:val="center"/>
                    <w:textAlignment w:val="center"/>
                    <w:rPr>
                      <w:rFonts w:hint="default" w:ascii="Times New Roman" w:hAnsi="Times New Roman" w:eastAsia="宋体" w:cs="Times New Roman"/>
                      <w:color w:val="auto"/>
                      <w:sz w:val="21"/>
                      <w:szCs w:val="21"/>
                      <w:lang w:val="en-US" w:eastAsia="zh-CN"/>
                    </w:rPr>
                  </w:pPr>
                </w:p>
              </w:tc>
            </w:tr>
          </w:tbl>
          <w:p w14:paraId="41F9141A">
            <w:pPr>
              <w:autoSpaceDE w:val="0"/>
              <w:autoSpaceDN w:val="0"/>
              <w:adjustRightInd w:val="0"/>
              <w:spacing w:line="360" w:lineRule="auto"/>
              <w:ind w:firstLine="420" w:firstLineChars="200"/>
              <w:jc w:val="left"/>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lang w:val="en-US" w:eastAsia="zh-CN"/>
              </w:rPr>
              <w:t>从项目采用的固废利用及处置方式来分析，对产生的各类固废按其性质分类分区收集和暂存，并均能得到有效利用或妥善处置。在严格管理下，项目的固体废物对周围环境不会产生二次污染。</w:t>
            </w:r>
          </w:p>
          <w:p w14:paraId="10CB2877">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（2）固废环境影响分析</w:t>
            </w:r>
          </w:p>
          <w:p w14:paraId="24B94522">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cs="Times New Roman"/>
                <w:b w:val="0"/>
                <w:bCs w:val="0"/>
                <w:color w:val="auto"/>
                <w:kern w:val="0"/>
                <w:sz w:val="21"/>
                <w:szCs w:val="21"/>
                <w:lang w:val="en-US" w:eastAsia="zh-CN"/>
              </w:rPr>
              <w:t>1）</w:t>
            </w:r>
            <w:r>
              <w:rPr>
                <w:rFonts w:hint="default" w:ascii="Times New Roman" w:hAnsi="Times New Roman" w:cs="Times New Roman"/>
                <w:b w:val="0"/>
                <w:bCs w:val="0"/>
                <w:color w:val="auto"/>
                <w:kern w:val="0"/>
                <w:sz w:val="21"/>
                <w:szCs w:val="21"/>
                <w:lang w:val="en-US" w:eastAsia="zh-CN"/>
              </w:rPr>
              <w:t>一般工业固废贮存场所（设施）环境影响分析</w:t>
            </w:r>
          </w:p>
          <w:p w14:paraId="7CD8B19D">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cs="Times New Roman"/>
                <w:b w:val="0"/>
                <w:bCs w:val="0"/>
                <w:color w:val="auto"/>
                <w:kern w:val="0"/>
                <w:sz w:val="21"/>
                <w:szCs w:val="21"/>
                <w:lang w:val="en-US" w:eastAsia="zh-CN"/>
              </w:rPr>
              <w:t>项目产生的废下脚料、废氧化皮、</w:t>
            </w:r>
            <w:r>
              <w:rPr>
                <w:rFonts w:hint="eastAsia" w:ascii="Times New Roman" w:hAnsi="Times New Roman" w:cs="Times New Roman"/>
                <w:b w:val="0"/>
                <w:bCs w:val="0"/>
                <w:color w:val="auto"/>
                <w:kern w:val="0"/>
                <w:sz w:val="21"/>
                <w:szCs w:val="21"/>
                <w:lang w:val="en-US" w:eastAsia="zh-CN"/>
              </w:rPr>
              <w:t>废边角料</w:t>
            </w:r>
            <w:r>
              <w:rPr>
                <w:rFonts w:hint="default" w:ascii="Times New Roman" w:hAnsi="Times New Roman" w:cs="Times New Roman"/>
                <w:b w:val="0"/>
                <w:bCs w:val="0"/>
                <w:color w:val="auto"/>
                <w:kern w:val="0"/>
                <w:sz w:val="21"/>
                <w:szCs w:val="21"/>
                <w:lang w:val="en-US" w:eastAsia="zh-CN"/>
              </w:rPr>
              <w:t>、不合格品等属于一般工业固废，均收集后出售处理。项目生产车间内设置 1 个一般固废堆放区，占地面积为1</w:t>
            </w:r>
            <w:r>
              <w:rPr>
                <w:rFonts w:hint="eastAsia" w:ascii="Times New Roman" w:hAnsi="Times New Roman" w:cs="Times New Roman"/>
                <w:b w:val="0"/>
                <w:bCs w:val="0"/>
                <w:color w:val="auto"/>
                <w:kern w:val="0"/>
                <w:sz w:val="21"/>
                <w:szCs w:val="21"/>
                <w:lang w:val="en-US" w:eastAsia="zh-CN"/>
              </w:rPr>
              <w:t>5</w:t>
            </w:r>
            <w:r>
              <w:rPr>
                <w:rFonts w:hint="default" w:ascii="Times New Roman" w:hAnsi="Times New Roman" w:cs="Times New Roman"/>
                <w:b w:val="0"/>
                <w:bCs w:val="0"/>
                <w:color w:val="auto"/>
                <w:kern w:val="0"/>
                <w:sz w:val="21"/>
                <w:szCs w:val="21"/>
                <w:lang w:val="en-US" w:eastAsia="zh-CN"/>
              </w:rPr>
              <w:t>0m</w:t>
            </w:r>
            <w:r>
              <w:rPr>
                <w:rFonts w:hint="default" w:ascii="Times New Roman" w:hAnsi="Times New Roman" w:cs="Times New Roman"/>
                <w:b w:val="0"/>
                <w:bCs w:val="0"/>
                <w:color w:val="auto"/>
                <w:kern w:val="0"/>
                <w:sz w:val="21"/>
                <w:szCs w:val="21"/>
                <w:vertAlign w:val="superscript"/>
                <w:lang w:val="en-US" w:eastAsia="zh-CN"/>
              </w:rPr>
              <w:t>2</w:t>
            </w:r>
            <w:r>
              <w:rPr>
                <w:rFonts w:hint="eastAsia" w:ascii="Times New Roman" w:hAnsi="Times New Roman" w:cs="Times New Roman"/>
                <w:b w:val="0"/>
                <w:bCs w:val="0"/>
                <w:color w:val="auto"/>
                <w:kern w:val="0"/>
                <w:sz w:val="21"/>
                <w:szCs w:val="21"/>
                <w:lang w:val="en-US" w:eastAsia="zh-CN"/>
              </w:rPr>
              <w:t>，一般固废及时外售，故一般固废堆场面积足够满足本项目的需求。</w:t>
            </w:r>
            <w:r>
              <w:rPr>
                <w:rFonts w:hint="default" w:ascii="Times New Roman" w:hAnsi="Times New Roman" w:eastAsia="宋体" w:cs="Times New Roman"/>
                <w:color w:val="auto"/>
                <w:kern w:val="0"/>
                <w:szCs w:val="21"/>
              </w:rPr>
              <w:t>按照</w:t>
            </w:r>
            <w:r>
              <w:rPr>
                <w:rFonts w:hint="default" w:ascii="Times New Roman" w:hAnsi="Times New Roman" w:cs="Times New Roman"/>
                <w:color w:val="auto"/>
                <w:kern w:val="0"/>
                <w:szCs w:val="21"/>
                <w:lang w:eastAsia="zh-CN"/>
              </w:rPr>
              <w:t>通海门环发〔</w:t>
            </w:r>
            <w:r>
              <w:rPr>
                <w:rFonts w:hint="default" w:ascii="Times New Roman" w:hAnsi="Times New Roman" w:cs="Times New Roman"/>
                <w:color w:val="auto"/>
                <w:kern w:val="0"/>
                <w:szCs w:val="21"/>
                <w:lang w:val="en-US" w:eastAsia="zh-CN"/>
              </w:rPr>
              <w:t>2023〕46号、</w:t>
            </w:r>
            <w:r>
              <w:rPr>
                <w:rFonts w:hint="default" w:ascii="Times New Roman" w:hAnsi="Times New Roman" w:eastAsia="宋体" w:cs="Times New Roman"/>
                <w:color w:val="auto"/>
                <w:kern w:val="0"/>
                <w:szCs w:val="21"/>
              </w:rPr>
              <w:t>《一般工业固体废物贮存和填埋污染控制标准》（GB 18599-2020）对照完善，该一般固废暂存区需满足如下具体要求：</w:t>
            </w:r>
          </w:p>
          <w:p w14:paraId="5D55A1A4">
            <w:pPr>
              <w:adjustRightInd w:val="0"/>
              <w:snapToGrid w:val="0"/>
              <w:spacing w:line="360" w:lineRule="auto"/>
              <w:ind w:firstLine="420" w:firstLineChars="200"/>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1）</w:t>
            </w:r>
            <w:r>
              <w:rPr>
                <w:rFonts w:hint="default" w:ascii="Times New Roman" w:hAnsi="Times New Roman" w:cs="Times New Roman"/>
                <w:color w:val="auto"/>
                <w:kern w:val="0"/>
                <w:szCs w:val="21"/>
                <w:lang w:eastAsia="zh-CN"/>
              </w:rPr>
              <w:t>加强源头管控，按照《一般工业固体废物管理台账制作指南 （试行）》 （生态环境部公告2021年第82号 ) （附件1) 要求，建立一般工业固体废物管理台账等。</w:t>
            </w:r>
          </w:p>
          <w:p w14:paraId="73567C5A">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cs="Times New Roman"/>
                <w:color w:val="auto"/>
                <w:kern w:val="0"/>
                <w:szCs w:val="21"/>
                <w:lang w:val="en-US" w:eastAsia="zh-CN"/>
              </w:rPr>
              <w:t>2）规范厂内贮存，</w:t>
            </w:r>
            <w:r>
              <w:rPr>
                <w:rFonts w:hint="default" w:ascii="Times New Roman" w:hAnsi="Times New Roman" w:eastAsia="宋体" w:cs="Times New Roman"/>
                <w:color w:val="auto"/>
                <w:kern w:val="0"/>
                <w:szCs w:val="21"/>
              </w:rPr>
              <w:t>贮存场的建设类型，按照《环境保护图形标志—固体废物贮存（处置场）》（GB15562.2-1995）要求，贮存场规范张贴环保标志。</w:t>
            </w:r>
          </w:p>
          <w:p w14:paraId="6F45D90F">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cs="Times New Roman"/>
                <w:color w:val="auto"/>
                <w:kern w:val="0"/>
                <w:szCs w:val="21"/>
                <w:lang w:val="en-US" w:eastAsia="zh-CN"/>
              </w:rPr>
              <w:t>3）加强运输、利用、处置过程管理，</w:t>
            </w:r>
            <w:r>
              <w:rPr>
                <w:rFonts w:hint="default" w:ascii="Times New Roman" w:hAnsi="Times New Roman" w:eastAsia="宋体" w:cs="Times New Roman"/>
                <w:color w:val="auto"/>
                <w:kern w:val="0"/>
                <w:szCs w:val="21"/>
              </w:rPr>
              <w:t>必须与将要堆放的一般工业固体废物的类别相一致，一般工业固体废物暂存区禁止危险废物和生活垃圾混入。</w:t>
            </w:r>
          </w:p>
          <w:p w14:paraId="3C4EF3A8">
            <w:pPr>
              <w:adjustRightInd w:val="0"/>
              <w:snapToGrid w:val="0"/>
              <w:spacing w:line="360" w:lineRule="auto"/>
              <w:ind w:firstLine="420" w:firstLineChars="20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4）严格落实排污许可证制度。</w:t>
            </w:r>
          </w:p>
          <w:p w14:paraId="63859472">
            <w:pPr>
              <w:adjustRightInd w:val="0"/>
              <w:snapToGrid w:val="0"/>
              <w:spacing w:line="360" w:lineRule="auto"/>
              <w:ind w:firstLine="420" w:firstLineChars="20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5）规范一般工业固体废物转移处置流程，鼓励一般工业固废就近利用处置，原则上一般工业固废利用处置不出省。</w:t>
            </w:r>
          </w:p>
          <w:p w14:paraId="2610CDD3">
            <w:pPr>
              <w:adjustRightInd w:val="0"/>
              <w:snapToGrid w:val="0"/>
              <w:spacing w:line="360" w:lineRule="auto"/>
              <w:ind w:firstLine="420" w:firstLineChars="200"/>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color w:val="auto"/>
                <w:kern w:val="0"/>
                <w:szCs w:val="21"/>
                <w:lang w:val="en-US" w:eastAsia="zh-CN"/>
              </w:rPr>
              <w:t>从项目采用的固废利用及处置方式来分析，对产生的各类固废按其性质分类分区收集和暂存，并均能得到有效利用或妥善处置。在严格管理下，项目的固体废物对周围环境不会产生二次污染。</w:t>
            </w:r>
          </w:p>
          <w:p w14:paraId="0596E1DF">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cs="Times New Roman"/>
                <w:b w:val="0"/>
                <w:bCs w:val="0"/>
                <w:color w:val="auto"/>
                <w:kern w:val="0"/>
                <w:sz w:val="21"/>
                <w:szCs w:val="21"/>
                <w:lang w:val="en-US" w:eastAsia="zh-CN"/>
              </w:rPr>
              <w:t>2）</w:t>
            </w:r>
            <w:r>
              <w:rPr>
                <w:rFonts w:hint="default" w:ascii="Times New Roman" w:hAnsi="Times New Roman" w:cs="Times New Roman"/>
                <w:b w:val="0"/>
                <w:bCs w:val="0"/>
                <w:color w:val="auto"/>
                <w:kern w:val="0"/>
                <w:sz w:val="21"/>
                <w:szCs w:val="21"/>
                <w:lang w:val="en-US" w:eastAsia="zh-CN"/>
              </w:rPr>
              <w:t>危险废物贮存场所（设施）环境影响分析</w:t>
            </w:r>
          </w:p>
          <w:p w14:paraId="734C462F">
            <w:pPr>
              <w:adjustRightInd w:val="0"/>
              <w:snapToGrid w:val="0"/>
              <w:spacing w:line="360" w:lineRule="auto"/>
              <w:ind w:firstLine="420" w:firstLineChars="20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①危险废物贮存场所环境影响分析</w:t>
            </w:r>
          </w:p>
          <w:p w14:paraId="10100630">
            <w:pPr>
              <w:adjustRightInd w:val="0"/>
              <w:snapToGrid w:val="0"/>
              <w:spacing w:line="360" w:lineRule="auto"/>
              <w:ind w:firstLine="420" w:firstLineChars="200"/>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auto"/>
                <w:kern w:val="0"/>
                <w:szCs w:val="21"/>
                <w:lang w:val="en-US" w:eastAsia="zh-CN"/>
              </w:rPr>
              <w:t>A：</w:t>
            </w:r>
            <w:r>
              <w:rPr>
                <w:rFonts w:hint="default" w:ascii="Times New Roman" w:hAnsi="Times New Roman" w:eastAsia="宋体" w:cs="Times New Roman"/>
                <w:color w:val="auto"/>
                <w:kern w:val="0"/>
                <w:szCs w:val="21"/>
                <w:lang w:val="en-US" w:eastAsia="zh-CN"/>
              </w:rPr>
              <w:t>选址可行性：项目所在地区地质结构稳定，地震烈度为Ⅵ度，地址情况满足《危险废物贮存污染控制标准》（GB</w:t>
            </w:r>
            <w:r>
              <w:rPr>
                <w:rFonts w:hint="eastAsia" w:ascii="Times New Roman" w:hAnsi="Times New Roman" w:eastAsia="宋体" w:cs="Times New Roman"/>
                <w:color w:val="auto"/>
                <w:kern w:val="0"/>
                <w:szCs w:val="21"/>
                <w:lang w:val="en-US" w:eastAsia="zh-CN"/>
              </w:rPr>
              <w:t>18597—2023</w:t>
            </w:r>
            <w:r>
              <w:rPr>
                <w:rFonts w:hint="default" w:ascii="Times New Roman" w:hAnsi="Times New Roman" w:eastAsia="宋体" w:cs="Times New Roman"/>
                <w:color w:val="auto"/>
                <w:kern w:val="0"/>
                <w:szCs w:val="21"/>
                <w:lang w:val="en-US" w:eastAsia="zh-CN"/>
              </w:rPr>
              <w:t>）的要求。</w:t>
            </w:r>
            <w:r>
              <w:rPr>
                <w:rFonts w:hint="eastAsia" w:ascii="Times New Roman" w:hAnsi="Times New Roman" w:eastAsia="宋体" w:cs="Times New Roman"/>
                <w:color w:val="auto"/>
                <w:kern w:val="0"/>
                <w:szCs w:val="21"/>
                <w:lang w:val="en-US" w:eastAsia="zh-CN"/>
              </w:rPr>
              <w:t>危废仓库厂界</w:t>
            </w:r>
            <w:r>
              <w:rPr>
                <w:rFonts w:hint="default" w:ascii="Times New Roman" w:hAnsi="Times New Roman" w:eastAsia="宋体" w:cs="Times New Roman"/>
                <w:color w:val="auto"/>
                <w:kern w:val="0"/>
                <w:szCs w:val="21"/>
                <w:lang w:val="en-US" w:eastAsia="zh-CN"/>
              </w:rPr>
              <w:t>周边以工业企业为主，符</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合贮存要求。</w:t>
            </w:r>
          </w:p>
          <w:p w14:paraId="71B92049">
            <w:pPr>
              <w:autoSpaceDE w:val="0"/>
              <w:autoSpaceDN w:val="0"/>
              <w:adjustRightInd w:val="0"/>
              <w:spacing w:line="360" w:lineRule="auto"/>
              <w:ind w:firstLine="420" w:firstLineChars="200"/>
              <w:jc w:val="left"/>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B、贮存能力分析：本项目拟设置</w:t>
            </w:r>
            <w:r>
              <w:rPr>
                <w:rFonts w:hint="eastAsia" w:ascii="Times New Roman" w:hAnsi="Times New Roman" w:cs="Times New Roman"/>
                <w:b w:val="0"/>
                <w:bCs w:val="0"/>
                <w:color w:val="000000" w:themeColor="text1"/>
                <w:kern w:val="0"/>
                <w:sz w:val="21"/>
                <w:szCs w:val="21"/>
                <w:lang w:val="en-US" w:eastAsia="zh-CN"/>
                <w14:textFill>
                  <w14:solidFill>
                    <w14:schemeClr w14:val="tx1"/>
                  </w14:solidFill>
                </w14:textFill>
              </w:rPr>
              <w:t>30</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m</w:t>
            </w:r>
            <w:r>
              <w:rPr>
                <w:rFonts w:hint="eastAsia" w:ascii="Times New Roman" w:hAnsi="Times New Roman" w:cs="Times New Roman"/>
                <w:b w:val="0"/>
                <w:bCs w:val="0"/>
                <w:color w:val="000000" w:themeColor="text1"/>
                <w:kern w:val="0"/>
                <w:sz w:val="2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的危险废物贮存仓库，各危险废物均密封储存，则废气产生量较少，本环评不做定量分析，且危废仓库内开有通风口，散逸的废气通风后无组织排放。本项目危险废物产生量为</w:t>
            </w:r>
            <w:r>
              <w:rPr>
                <w:rFonts w:hint="eastAsia" w:ascii="Times New Roman" w:hAnsi="Times New Roman" w:cs="Times New Roman"/>
                <w:b w:val="0"/>
                <w:bCs w:val="0"/>
                <w:color w:val="000000" w:themeColor="text1"/>
                <w:kern w:val="0"/>
                <w:sz w:val="21"/>
                <w:szCs w:val="21"/>
                <w:lang w:val="en-US" w:eastAsia="zh-CN"/>
                <w14:textFill>
                  <w14:solidFill>
                    <w14:schemeClr w14:val="tx1"/>
                  </w14:solidFill>
                </w14:textFill>
              </w:rPr>
              <w:t>191.12</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t/a，计划约每3个月清运一次危险废物，每次危险废物的最大暂存量为</w:t>
            </w:r>
            <w:r>
              <w:rPr>
                <w:rFonts w:hint="eastAsia" w:ascii="Times New Roman" w:hAnsi="Times New Roman" w:cs="Times New Roman"/>
                <w:b w:val="0"/>
                <w:bCs w:val="0"/>
                <w:color w:val="000000" w:themeColor="text1"/>
                <w:kern w:val="0"/>
                <w:sz w:val="21"/>
                <w:szCs w:val="21"/>
                <w:lang w:val="en-US" w:eastAsia="zh-CN"/>
                <w14:textFill>
                  <w14:solidFill>
                    <w14:schemeClr w14:val="tx1"/>
                  </w14:solidFill>
                </w14:textFill>
              </w:rPr>
              <w:t>63.71</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t，因此拟设置的</w:t>
            </w:r>
            <w:r>
              <w:rPr>
                <w:rFonts w:hint="eastAsia" w:ascii="Times New Roman" w:hAnsi="Times New Roman" w:cs="Times New Roman"/>
                <w:b w:val="0"/>
                <w:bCs w:val="0"/>
                <w:color w:val="000000" w:themeColor="text1"/>
                <w:kern w:val="0"/>
                <w:sz w:val="21"/>
                <w:szCs w:val="21"/>
                <w:lang w:val="en-US" w:eastAsia="zh-CN"/>
                <w14:textFill>
                  <w14:solidFill>
                    <w14:schemeClr w14:val="tx1"/>
                  </w14:solidFill>
                </w14:textFill>
              </w:rPr>
              <w:t>30</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m</w:t>
            </w:r>
            <w:r>
              <w:rPr>
                <w:rFonts w:hint="default" w:ascii="Times New Roman" w:hAnsi="Times New Roman" w:cs="Times New Roman"/>
                <w:b w:val="0"/>
                <w:bCs w:val="0"/>
                <w:color w:val="000000" w:themeColor="text1"/>
                <w:kern w:val="0"/>
                <w:sz w:val="2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危废仓库可以满足本项目危废暂存所需。为进一步避免风险，建议企业尽量减少危险废物的暂存周期，及时委托有资质单位进行处置。</w:t>
            </w:r>
          </w:p>
          <w:p w14:paraId="2E976C8C">
            <w:pPr>
              <w:adjustRightInd w:val="0"/>
              <w:snapToGrid w:val="0"/>
              <w:jc w:val="center"/>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rPr>
              <w:t>4-</w:t>
            </w:r>
            <w:r>
              <w:rPr>
                <w:rFonts w:hint="eastAsia" w:ascii="Times New Roman" w:hAnsi="Times New Roman" w:eastAsia="宋体" w:cs="Times New Roman"/>
                <w:b/>
                <w:bCs/>
                <w:color w:val="auto"/>
                <w:sz w:val="21"/>
                <w:szCs w:val="21"/>
                <w:lang w:val="en-US" w:eastAsia="zh-CN"/>
              </w:rPr>
              <w:t>22</w:t>
            </w:r>
            <w:r>
              <w:rPr>
                <w:rFonts w:hint="default"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rPr>
              <w:t xml:space="preserve">  与《危险废物贮存污染控制标准》(GB18597-2023)相符性分析</w:t>
            </w:r>
          </w:p>
          <w:tbl>
            <w:tblPr>
              <w:tblStyle w:val="41"/>
              <w:tblW w:w="4984"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676"/>
              <w:gridCol w:w="668"/>
              <w:gridCol w:w="3738"/>
              <w:gridCol w:w="2562"/>
              <w:gridCol w:w="601"/>
            </w:tblGrid>
            <w:tr w14:paraId="350D928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409" w:type="pct"/>
                  <w:noWrap w:val="0"/>
                  <w:vAlign w:val="center"/>
                </w:tcPr>
                <w:p w14:paraId="72EC24A6">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序号</w:t>
                  </w:r>
                </w:p>
              </w:tc>
              <w:tc>
                <w:tcPr>
                  <w:tcW w:w="2672" w:type="pct"/>
                  <w:gridSpan w:val="2"/>
                  <w:noWrap w:val="0"/>
                  <w:vAlign w:val="center"/>
                </w:tcPr>
                <w:p w14:paraId="421DA2BE">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规范设置要求</w:t>
                  </w:r>
                </w:p>
              </w:tc>
              <w:tc>
                <w:tcPr>
                  <w:tcW w:w="1553" w:type="pct"/>
                  <w:noWrap w:val="0"/>
                  <w:vAlign w:val="center"/>
                </w:tcPr>
                <w:p w14:paraId="34617805">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拟设置情况</w:t>
                  </w:r>
                </w:p>
              </w:tc>
              <w:tc>
                <w:tcPr>
                  <w:tcW w:w="364" w:type="pct"/>
                  <w:noWrap w:val="0"/>
                  <w:vAlign w:val="center"/>
                </w:tcPr>
                <w:p w14:paraId="5F5F79A6">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相符性</w:t>
                  </w:r>
                </w:p>
              </w:tc>
            </w:tr>
            <w:tr w14:paraId="04AAB62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06" w:hRule="atLeast"/>
                <w:jc w:val="center"/>
              </w:trPr>
              <w:tc>
                <w:tcPr>
                  <w:tcW w:w="409" w:type="pct"/>
                  <w:noWrap w:val="0"/>
                  <w:vAlign w:val="center"/>
                </w:tcPr>
                <w:p w14:paraId="02F9FF1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405" w:type="pct"/>
                  <w:vMerge w:val="restart"/>
                  <w:noWrap w:val="0"/>
                  <w:vAlign w:val="center"/>
                </w:tcPr>
                <w:p w14:paraId="05DF8BB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贮存设施污染控制要求</w:t>
                  </w:r>
                </w:p>
              </w:tc>
              <w:tc>
                <w:tcPr>
                  <w:tcW w:w="2266" w:type="pct"/>
                  <w:noWrap w:val="0"/>
                  <w:vAlign w:val="center"/>
                </w:tcPr>
                <w:p w14:paraId="3A7EEBF4">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贮存设施应根据危险废物的形态、物理化学性质、包装形式和污染物迁移途径，采取必要的防风、防晒、防雨、防漏、防渗防腐以及其他环境污染防治措施，不应露天堆放危险废物。</w:t>
                  </w:r>
                </w:p>
              </w:tc>
              <w:tc>
                <w:tcPr>
                  <w:tcW w:w="1553" w:type="pct"/>
                  <w:noWrap w:val="0"/>
                  <w:vAlign w:val="center"/>
                </w:tcPr>
                <w:p w14:paraId="0B01CD45">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本项目危废分区分类储存于危废暂存区，无露天堆放。危险废物贮存设施规范采取防风、防晒、防雨、防漏、防渗、防腐措施。</w:t>
                  </w:r>
                </w:p>
              </w:tc>
              <w:tc>
                <w:tcPr>
                  <w:tcW w:w="364" w:type="pct"/>
                  <w:noWrap w:val="0"/>
                  <w:vAlign w:val="center"/>
                </w:tcPr>
                <w:p w14:paraId="74887412">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相符</w:t>
                  </w:r>
                </w:p>
              </w:tc>
            </w:tr>
            <w:tr w14:paraId="1BDA6EA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409" w:type="pct"/>
                  <w:noWrap w:val="0"/>
                  <w:vAlign w:val="center"/>
                </w:tcPr>
                <w:p w14:paraId="5DFE1F7D">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405" w:type="pct"/>
                  <w:vMerge w:val="continue"/>
                  <w:noWrap w:val="0"/>
                  <w:vAlign w:val="center"/>
                </w:tcPr>
                <w:p w14:paraId="3B0578EB">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7C235F45">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贮存设施应根据危险废物的类别、</w:t>
                  </w:r>
                  <w:r>
                    <w:rPr>
                      <w:rFonts w:hint="default" w:ascii="Times New Roman" w:hAnsi="Times New Roman" w:cs="Times New Roman"/>
                      <w:color w:val="auto"/>
                      <w:sz w:val="21"/>
                      <w:szCs w:val="21"/>
                      <w:lang w:eastAsia="zh-CN"/>
                    </w:rPr>
                    <w:t>数量</w:t>
                  </w:r>
                  <w:r>
                    <w:rPr>
                      <w:rFonts w:hint="default" w:ascii="Times New Roman" w:hAnsi="Times New Roman" w:cs="Times New Roman"/>
                      <w:color w:val="auto"/>
                      <w:sz w:val="21"/>
                      <w:szCs w:val="21"/>
                    </w:rPr>
                    <w:t>、形态、物理化学性质和污染防治等要求设置必要的贮存分区，避免不相容的危险废物接触、混合。</w:t>
                  </w:r>
                </w:p>
              </w:tc>
              <w:tc>
                <w:tcPr>
                  <w:tcW w:w="1553" w:type="pct"/>
                  <w:noWrap w:val="0"/>
                  <w:vAlign w:val="center"/>
                </w:tcPr>
                <w:p w14:paraId="780829E8">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本项目危废分区分类储存。</w:t>
                  </w:r>
                </w:p>
              </w:tc>
              <w:tc>
                <w:tcPr>
                  <w:tcW w:w="364" w:type="pct"/>
                  <w:noWrap w:val="0"/>
                  <w:vAlign w:val="center"/>
                </w:tcPr>
                <w:p w14:paraId="775D5700">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7EBFD01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35" w:hRule="atLeast"/>
                <w:jc w:val="center"/>
              </w:trPr>
              <w:tc>
                <w:tcPr>
                  <w:tcW w:w="409" w:type="pct"/>
                  <w:noWrap w:val="0"/>
                  <w:vAlign w:val="center"/>
                </w:tcPr>
                <w:p w14:paraId="4EB5E65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405" w:type="pct"/>
                  <w:vMerge w:val="continue"/>
                  <w:noWrap w:val="0"/>
                  <w:vAlign w:val="center"/>
                </w:tcPr>
                <w:p w14:paraId="5DF9BD41">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199D3898">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贮存设施或贮存分区内地面、墙面裙脚、堵截泄漏的围堰、接触危险废物的隔板和墙体等应采用坚固的材料建造，表面无裂缝。</w:t>
                  </w:r>
                </w:p>
              </w:tc>
              <w:tc>
                <w:tcPr>
                  <w:tcW w:w="1553" w:type="pct"/>
                  <w:noWrap w:val="0"/>
                  <w:vAlign w:val="center"/>
                </w:tcPr>
                <w:p w14:paraId="19E283FB">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本项目危废暂存区地面与裙脚等要用坚固、防渗的材料建造（涂刷防腐、防渗涂料），渗透系数</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表面无裂缝</w:t>
                  </w:r>
                  <w:r>
                    <w:rPr>
                      <w:rFonts w:hint="default" w:ascii="Times New Roman" w:hAnsi="Times New Roman" w:cs="Times New Roman"/>
                      <w:color w:val="auto"/>
                      <w:sz w:val="21"/>
                      <w:szCs w:val="21"/>
                      <w:lang w:eastAsia="zh-CN"/>
                    </w:rPr>
                    <w:t>。</w:t>
                  </w:r>
                </w:p>
              </w:tc>
              <w:tc>
                <w:tcPr>
                  <w:tcW w:w="364" w:type="pct"/>
                  <w:noWrap w:val="0"/>
                  <w:vAlign w:val="center"/>
                </w:tcPr>
                <w:p w14:paraId="70529F37">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2A77635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289" w:hRule="atLeast"/>
                <w:jc w:val="center"/>
              </w:trPr>
              <w:tc>
                <w:tcPr>
                  <w:tcW w:w="409" w:type="pct"/>
                  <w:noWrap w:val="0"/>
                  <w:vAlign w:val="center"/>
                </w:tcPr>
                <w:p w14:paraId="6F700B51">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405" w:type="pct"/>
                  <w:vMerge w:val="continue"/>
                  <w:noWrap w:val="0"/>
                  <w:vAlign w:val="center"/>
                </w:tcPr>
                <w:p w14:paraId="66F9FC32">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1FFCC76C">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贮存设施地面与裙脚应采取表面防渗措施；表面防渗材料应与所接触的物料或污染物相容，可</w:t>
                  </w:r>
                  <w:r>
                    <w:rPr>
                      <w:rFonts w:hint="default" w:ascii="Times New Roman" w:hAnsi="Times New Roman" w:cs="Times New Roman"/>
                      <w:color w:val="auto"/>
                      <w:sz w:val="21"/>
                      <w:szCs w:val="21"/>
                      <w:lang w:val="en-US" w:eastAsia="zh-CN"/>
                    </w:rPr>
                    <w:t>采用抗渗混凝土、高密度聚乙烯膜、钠基膨润土防水毯或其他防渗性能等效的材料。贮存的危险废物直接接触地面的，还应进行基础防渗，防渗层为至少1m厚黏土层（渗透系数不大千10</w:t>
                  </w:r>
                  <w:r>
                    <w:rPr>
                      <w:rFonts w:hint="default" w:ascii="Times New Roman" w:hAnsi="Times New Roman" w:cs="Times New Roman"/>
                      <w:color w:val="auto"/>
                      <w:sz w:val="21"/>
                      <w:szCs w:val="21"/>
                      <w:vertAlign w:val="superscript"/>
                      <w:lang w:val="en-US" w:eastAsia="zh-CN"/>
                    </w:rPr>
                    <w:t>-7</w:t>
                  </w:r>
                  <w:r>
                    <w:rPr>
                      <w:rFonts w:hint="default" w:ascii="Times New Roman" w:hAnsi="Times New Roman" w:cs="Times New Roman"/>
                      <w:color w:val="auto"/>
                      <w:sz w:val="21"/>
                      <w:szCs w:val="21"/>
                      <w:lang w:val="en-US" w:eastAsia="zh-CN"/>
                    </w:rPr>
                    <w:t>cm/s)或至少2mm厚高密度聚乙烯膜等人工防渗材料（渗透系数不大千10-10cm/s)，或其他防渗性能等效的材料。</w:t>
                  </w:r>
                </w:p>
              </w:tc>
              <w:tc>
                <w:tcPr>
                  <w:tcW w:w="1553" w:type="pct"/>
                  <w:noWrap w:val="0"/>
                  <w:vAlign w:val="center"/>
                </w:tcPr>
                <w:p w14:paraId="7FDDE92B">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本项目危废暂存区地面与裙脚等要用坚固、防渗的材料建造（涂刷防腐、防渗涂料），渗透系数10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w:t>
                  </w:r>
                </w:p>
              </w:tc>
              <w:tc>
                <w:tcPr>
                  <w:tcW w:w="364" w:type="pct"/>
                  <w:noWrap w:val="0"/>
                  <w:vAlign w:val="center"/>
                </w:tcPr>
                <w:p w14:paraId="6EE2F3EB">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398A892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6B9B2F87">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405" w:type="pct"/>
                  <w:vMerge w:val="continue"/>
                  <w:noWrap w:val="0"/>
                  <w:vAlign w:val="center"/>
                </w:tcPr>
                <w:p w14:paraId="18C371AA">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5DFA7A32">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同一</w:t>
                  </w:r>
                  <w:r>
                    <w:rPr>
                      <w:rFonts w:hint="default" w:ascii="Times New Roman" w:hAnsi="Times New Roman" w:cs="Times New Roman"/>
                      <w:color w:val="auto"/>
                      <w:sz w:val="21"/>
                      <w:szCs w:val="21"/>
                    </w:rPr>
                    <w:t>贮存设施宜采用相同的防渗、防腐工艺（包括防渗、防腐结构或材料），防渗、防腐材料应狻盖所有可能与废物及其渗滤液、渗漏液等接触的构筑物表面；采用不同防渗、防腐工艺应分别建设贮存分区。</w:t>
                  </w:r>
                </w:p>
              </w:tc>
              <w:tc>
                <w:tcPr>
                  <w:tcW w:w="1553" w:type="pct"/>
                  <w:noWrap w:val="0"/>
                  <w:vAlign w:val="center"/>
                </w:tcPr>
                <w:p w14:paraId="75899965">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本项目危废暂存区地面与裙脚等要采用相同的防渗、防腐工艺，防渗、防腐材料覆盖所有可能与废物及其渗滤液、</w:t>
                  </w:r>
                  <w:r>
                    <w:rPr>
                      <w:rFonts w:hint="default" w:ascii="Times New Roman" w:hAnsi="Times New Roman" w:cs="Times New Roman"/>
                      <w:color w:val="auto"/>
                      <w:sz w:val="21"/>
                      <w:szCs w:val="21"/>
                      <w:lang w:eastAsia="zh-CN"/>
                    </w:rPr>
                    <w:t>渗透</w:t>
                  </w:r>
                  <w:r>
                    <w:rPr>
                      <w:rFonts w:hint="default" w:ascii="Times New Roman" w:hAnsi="Times New Roman" w:cs="Times New Roman"/>
                      <w:color w:val="auto"/>
                      <w:sz w:val="21"/>
                      <w:szCs w:val="21"/>
                    </w:rPr>
                    <w:t>液等接触的构筑物表面</w:t>
                  </w:r>
                </w:p>
              </w:tc>
              <w:tc>
                <w:tcPr>
                  <w:tcW w:w="364" w:type="pct"/>
                  <w:noWrap w:val="0"/>
                  <w:vAlign w:val="center"/>
                </w:tcPr>
                <w:p w14:paraId="5EF63E0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368AF45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08593D9A">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405" w:type="pct"/>
                  <w:vMerge w:val="continue"/>
                  <w:noWrap w:val="0"/>
                  <w:vAlign w:val="center"/>
                </w:tcPr>
                <w:p w14:paraId="262447FC">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624E4BED">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贮存设施应采取技术和管理措施防止无关人员进入</w:t>
                  </w:r>
                  <w:r>
                    <w:rPr>
                      <w:rFonts w:hint="default" w:ascii="Times New Roman" w:hAnsi="Times New Roman" w:cs="Times New Roman"/>
                      <w:color w:val="auto"/>
                      <w:sz w:val="21"/>
                      <w:szCs w:val="21"/>
                      <w:lang w:eastAsia="zh-CN"/>
                    </w:rPr>
                    <w:t>。</w:t>
                  </w:r>
                </w:p>
              </w:tc>
              <w:tc>
                <w:tcPr>
                  <w:tcW w:w="1553" w:type="pct"/>
                  <w:noWrap w:val="0"/>
                  <w:vAlign w:val="center"/>
                </w:tcPr>
                <w:p w14:paraId="5492F8EE">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危险废物暂存区设专人管理，在出入口、设施内部等关键位置规范设置视频监控，并与中控室联网。</w:t>
                  </w:r>
                </w:p>
              </w:tc>
              <w:tc>
                <w:tcPr>
                  <w:tcW w:w="364" w:type="pct"/>
                  <w:noWrap w:val="0"/>
                  <w:vAlign w:val="center"/>
                </w:tcPr>
                <w:p w14:paraId="54AB5CC4">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1D84AAE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7AE0C26F">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405" w:type="pct"/>
                  <w:vMerge w:val="continue"/>
                  <w:noWrap w:val="0"/>
                  <w:vAlign w:val="center"/>
                </w:tcPr>
                <w:p w14:paraId="052F666E">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29200D3C">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贮存库内不同贮存分区之间应采取隔离措施。隔离措施可根据危险废物特性采用过道、隔板或隔墙等方式。</w:t>
                  </w:r>
                </w:p>
              </w:tc>
              <w:tc>
                <w:tcPr>
                  <w:tcW w:w="1553" w:type="pct"/>
                  <w:noWrap w:val="0"/>
                  <w:vAlign w:val="center"/>
                </w:tcPr>
                <w:p w14:paraId="16794588">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本项目各危废分区分类储存</w:t>
                  </w:r>
                  <w:r>
                    <w:rPr>
                      <w:rFonts w:hint="default" w:ascii="Times New Roman" w:hAnsi="Times New Roman" w:cs="Times New Roman"/>
                      <w:color w:val="auto"/>
                      <w:sz w:val="21"/>
                      <w:szCs w:val="21"/>
                      <w:lang w:val="en-US" w:eastAsia="zh-CN"/>
                    </w:rPr>
                    <w:t>于</w:t>
                  </w:r>
                  <w:r>
                    <w:rPr>
                      <w:rFonts w:hint="default" w:ascii="Times New Roman" w:hAnsi="Times New Roman" w:cs="Times New Roman"/>
                      <w:color w:val="auto"/>
                      <w:sz w:val="21"/>
                      <w:szCs w:val="21"/>
                    </w:rPr>
                    <w:t>危废暂存区内，采用过道进行隔离</w:t>
                  </w:r>
                  <w:r>
                    <w:rPr>
                      <w:rFonts w:hint="default" w:ascii="Times New Roman" w:hAnsi="Times New Roman" w:cs="Times New Roman"/>
                      <w:color w:val="auto"/>
                      <w:sz w:val="21"/>
                      <w:szCs w:val="21"/>
                      <w:lang w:eastAsia="zh-CN"/>
                    </w:rPr>
                    <w:t>。</w:t>
                  </w:r>
                </w:p>
              </w:tc>
              <w:tc>
                <w:tcPr>
                  <w:tcW w:w="364" w:type="pct"/>
                  <w:noWrap w:val="0"/>
                  <w:vAlign w:val="center"/>
                </w:tcPr>
                <w:p w14:paraId="3B205877">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394B6EE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7942143B">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405" w:type="pct"/>
                  <w:vMerge w:val="continue"/>
                  <w:noWrap w:val="0"/>
                  <w:vAlign w:val="center"/>
                </w:tcPr>
                <w:p w14:paraId="7705D317">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4AE97BFC">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在贮存库内或通过贮存分区方式贮存液态危险废物的，应具有液体泄漏堵截设施，堵截设施最小容积不应</w:t>
                  </w:r>
                  <w:r>
                    <w:rPr>
                      <w:rFonts w:hint="default" w:ascii="Times New Roman" w:hAnsi="Times New Roman" w:cs="Times New Roman"/>
                      <w:color w:val="auto"/>
                      <w:sz w:val="21"/>
                      <w:szCs w:val="21"/>
                      <w:lang w:eastAsia="zh-CN"/>
                    </w:rPr>
                    <w:t>低于</w:t>
                  </w:r>
                  <w:r>
                    <w:rPr>
                      <w:rFonts w:hint="default" w:ascii="Times New Roman" w:hAnsi="Times New Roman" w:cs="Times New Roman"/>
                      <w:color w:val="auto"/>
                      <w:sz w:val="21"/>
                      <w:szCs w:val="21"/>
                    </w:rPr>
                    <w:t>对应贮存区域最大液态废物容器容积或液态废物总储量1/10(二者取较大者）；</w:t>
                  </w:r>
                  <w:r>
                    <w:rPr>
                      <w:rFonts w:hint="default" w:ascii="Times New Roman" w:hAnsi="Times New Roman" w:cs="Times New Roman"/>
                      <w:color w:val="auto"/>
                      <w:sz w:val="21"/>
                      <w:szCs w:val="21"/>
                      <w:lang w:eastAsia="zh-CN"/>
                    </w:rPr>
                    <w:t>用于</w:t>
                  </w:r>
                  <w:r>
                    <w:rPr>
                      <w:rFonts w:hint="default" w:ascii="Times New Roman" w:hAnsi="Times New Roman" w:cs="Times New Roman"/>
                      <w:color w:val="auto"/>
                      <w:sz w:val="21"/>
                      <w:szCs w:val="21"/>
                    </w:rPr>
                    <w:t>贮存可能产生渗滤液的危险废物的贮存库或贮存分区应设计渗滤液收集设施，收集设施容积应满足渗滤液的收栠要求。</w:t>
                  </w:r>
                </w:p>
              </w:tc>
              <w:tc>
                <w:tcPr>
                  <w:tcW w:w="1553" w:type="pct"/>
                  <w:noWrap w:val="0"/>
                  <w:vAlign w:val="center"/>
                </w:tcPr>
                <w:p w14:paraId="23FC2F2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危险废物暂存区四周设有导流沟，并设置液体收集装置，满足最大泄漏液态物质的收集</w:t>
                  </w:r>
                  <w:r>
                    <w:rPr>
                      <w:rFonts w:hint="default" w:ascii="Times New Roman" w:hAnsi="Times New Roman" w:cs="Times New Roman"/>
                      <w:color w:val="auto"/>
                      <w:sz w:val="21"/>
                      <w:szCs w:val="21"/>
                      <w:lang w:eastAsia="zh-CN"/>
                    </w:rPr>
                    <w:t>。</w:t>
                  </w:r>
                </w:p>
              </w:tc>
              <w:tc>
                <w:tcPr>
                  <w:tcW w:w="364" w:type="pct"/>
                  <w:noWrap w:val="0"/>
                  <w:vAlign w:val="center"/>
                </w:tcPr>
                <w:p w14:paraId="10F7904E">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46DA54E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3FE44A30">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405" w:type="pct"/>
                  <w:vMerge w:val="continue"/>
                  <w:noWrap w:val="0"/>
                  <w:vAlign w:val="center"/>
                </w:tcPr>
                <w:p w14:paraId="1BEE3366">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686A4DF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贮存易产生粉尘、vo</w:t>
                  </w:r>
                  <w:r>
                    <w:rPr>
                      <w:rFonts w:hint="default" w:ascii="Times New Roman" w:hAnsi="Times New Roman" w:cs="Times New Roman"/>
                      <w:color w:val="auto"/>
                      <w:sz w:val="21"/>
                      <w:szCs w:val="21"/>
                      <w:lang w:val="en-US" w:eastAsia="zh-CN"/>
                    </w:rPr>
                    <w:t>c</w:t>
                  </w:r>
                  <w:r>
                    <w:rPr>
                      <w:rFonts w:hint="default" w:ascii="Times New Roman" w:hAnsi="Times New Roman" w:cs="Times New Roman"/>
                      <w:color w:val="auto"/>
                      <w:sz w:val="21"/>
                      <w:szCs w:val="21"/>
                    </w:rPr>
                    <w:t>s、酸雾、有毒有害大气污染物和刺激性气味气体的危险废物贮存库，应设置气体收集装置和气体净化设施；气体净化设施的排气筒高度应符合GB16297要求</w:t>
                  </w:r>
                  <w:r>
                    <w:rPr>
                      <w:rFonts w:hint="default" w:ascii="Times New Roman" w:hAnsi="Times New Roman" w:cs="Times New Roman"/>
                      <w:color w:val="auto"/>
                      <w:sz w:val="21"/>
                      <w:szCs w:val="21"/>
                      <w:lang w:eastAsia="zh-CN"/>
                    </w:rPr>
                    <w:t>。</w:t>
                  </w:r>
                </w:p>
              </w:tc>
              <w:tc>
                <w:tcPr>
                  <w:tcW w:w="1553" w:type="pct"/>
                  <w:noWrap w:val="0"/>
                  <w:vAlign w:val="center"/>
                </w:tcPr>
                <w:p w14:paraId="04DA82E5">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w:t>
                  </w:r>
                  <w:r>
                    <w:rPr>
                      <w:rFonts w:hint="default" w:ascii="Times New Roman" w:hAnsi="Times New Roman" w:cs="Times New Roman"/>
                      <w:color w:val="auto"/>
                      <w:sz w:val="21"/>
                      <w:szCs w:val="21"/>
                      <w:lang w:val="en-US" w:eastAsia="zh-CN"/>
                    </w:rPr>
                    <w:t>废液</w:t>
                  </w:r>
                  <w:r>
                    <w:rPr>
                      <w:rFonts w:hint="default" w:ascii="Times New Roman" w:hAnsi="Times New Roman" w:cs="Times New Roman"/>
                      <w:color w:val="auto"/>
                      <w:sz w:val="21"/>
                      <w:szCs w:val="21"/>
                    </w:rPr>
                    <w:t>均贮存在密闭容器中，无敞开式储存，危废贮存过程基本不产生废气，故无须设置气体导出口及气体净化装置</w:t>
                  </w:r>
                  <w:r>
                    <w:rPr>
                      <w:rFonts w:hint="default" w:ascii="Times New Roman" w:hAnsi="Times New Roman" w:cs="Times New Roman"/>
                      <w:color w:val="auto"/>
                      <w:sz w:val="21"/>
                      <w:szCs w:val="21"/>
                      <w:lang w:eastAsia="zh-CN"/>
                    </w:rPr>
                    <w:t>。</w:t>
                  </w:r>
                </w:p>
              </w:tc>
              <w:tc>
                <w:tcPr>
                  <w:tcW w:w="364" w:type="pct"/>
                  <w:noWrap w:val="0"/>
                  <w:vAlign w:val="center"/>
                </w:tcPr>
                <w:p w14:paraId="44C5BCC9">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4AD8EB4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0AC73A0C">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405" w:type="pct"/>
                  <w:vMerge w:val="restart"/>
                  <w:noWrap w:val="0"/>
                  <w:vAlign w:val="center"/>
                </w:tcPr>
                <w:p w14:paraId="7EDE7839">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容器和包装物污染控制要求</w:t>
                  </w:r>
                </w:p>
              </w:tc>
              <w:tc>
                <w:tcPr>
                  <w:tcW w:w="2266" w:type="pct"/>
                  <w:noWrap w:val="0"/>
                  <w:vAlign w:val="center"/>
                </w:tcPr>
                <w:p w14:paraId="0537B74D">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容器和包装物材质、内衬应与盛装的危险废物相容。</w:t>
                  </w:r>
                </w:p>
              </w:tc>
              <w:tc>
                <w:tcPr>
                  <w:tcW w:w="1553" w:type="pct"/>
                  <w:noWrap w:val="0"/>
                  <w:vAlign w:val="center"/>
                </w:tcPr>
                <w:p w14:paraId="0F35A1FA">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本项目危废均密封暂存，废</w:t>
                  </w:r>
                  <w:r>
                    <w:rPr>
                      <w:rFonts w:hint="default" w:ascii="Times New Roman" w:hAnsi="Times New Roman" w:cs="Times New Roman"/>
                      <w:color w:val="auto"/>
                      <w:sz w:val="21"/>
                      <w:szCs w:val="21"/>
                      <w:lang w:val="en-US" w:eastAsia="zh-CN"/>
                    </w:rPr>
                    <w:t>液</w:t>
                  </w:r>
                  <w:r>
                    <w:rPr>
                      <w:rFonts w:hint="default" w:ascii="Times New Roman" w:hAnsi="Times New Roman" w:cs="Times New Roman"/>
                      <w:color w:val="auto"/>
                      <w:sz w:val="21"/>
                      <w:szCs w:val="21"/>
                    </w:rPr>
                    <w:t>采用密闭桶装，</w:t>
                  </w:r>
                  <w:r>
                    <w:rPr>
                      <w:rFonts w:hint="default" w:ascii="Times New Roman" w:hAnsi="Times New Roman" w:cs="Times New Roman"/>
                      <w:color w:val="auto"/>
                      <w:sz w:val="21"/>
                      <w:szCs w:val="21"/>
                      <w:lang w:val="en-US" w:eastAsia="zh-CN"/>
                    </w:rPr>
                    <w:t>废化学药剂包装、废活性炭</w:t>
                  </w:r>
                  <w:r>
                    <w:rPr>
                      <w:rFonts w:hint="default" w:ascii="Times New Roman" w:hAnsi="Times New Roman" w:cs="Times New Roman"/>
                      <w:color w:val="auto"/>
                      <w:sz w:val="21"/>
                      <w:szCs w:val="21"/>
                    </w:rPr>
                    <w:t>采用防渗漏吨袋，设置防泄漏托盘等，危险废物相容且不相互反应。</w:t>
                  </w:r>
                </w:p>
              </w:tc>
              <w:tc>
                <w:tcPr>
                  <w:tcW w:w="364" w:type="pct"/>
                  <w:noWrap w:val="0"/>
                  <w:vAlign w:val="center"/>
                </w:tcPr>
                <w:p w14:paraId="0F872F12">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29AE5CD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70907132">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405" w:type="pct"/>
                  <w:vMerge w:val="continue"/>
                  <w:noWrap w:val="0"/>
                  <w:vAlign w:val="center"/>
                </w:tcPr>
                <w:p w14:paraId="12A88D0D">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5E8D01CA">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使用容器盛装液态、半固态危险废物时，容器内部应留有适当的空间，以适应因温度变化等可能引发的收缩和膨胀，防止其导致容器渗漏或永久变形。</w:t>
                  </w:r>
                </w:p>
              </w:tc>
              <w:tc>
                <w:tcPr>
                  <w:tcW w:w="1553" w:type="pct"/>
                  <w:noWrap w:val="0"/>
                  <w:vAlign w:val="center"/>
                </w:tcPr>
                <w:p w14:paraId="052B20D4">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本项目液态危险废物容器顶部与液体表面之间保留</w:t>
                  </w:r>
                  <w:r>
                    <w:rPr>
                      <w:rFonts w:hint="default" w:ascii="Times New Roman" w:hAnsi="Times New Roman" w:cs="Times New Roman"/>
                      <w:color w:val="auto"/>
                      <w:sz w:val="21"/>
                      <w:szCs w:val="21"/>
                      <w:lang w:val="en-US" w:eastAsia="zh-CN"/>
                    </w:rPr>
                    <w:t>100</w:t>
                  </w:r>
                  <w:r>
                    <w:rPr>
                      <w:rFonts w:hint="default" w:ascii="Times New Roman" w:hAnsi="Times New Roman" w:cs="Times New Roman"/>
                      <w:color w:val="auto"/>
                      <w:sz w:val="21"/>
                      <w:szCs w:val="21"/>
                    </w:rPr>
                    <w:t>毫米以上的空间。</w:t>
                  </w:r>
                </w:p>
              </w:tc>
              <w:tc>
                <w:tcPr>
                  <w:tcW w:w="364" w:type="pct"/>
                  <w:noWrap w:val="0"/>
                  <w:vAlign w:val="center"/>
                </w:tcPr>
                <w:p w14:paraId="346C4CDD">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67B50B4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6E5CBF8E">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405" w:type="pct"/>
                  <w:vMerge w:val="restart"/>
                  <w:noWrap w:val="0"/>
                  <w:vAlign w:val="center"/>
                </w:tcPr>
                <w:p w14:paraId="7C459FBB">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贮存过程污染控制要求</w:t>
                  </w:r>
                </w:p>
              </w:tc>
              <w:tc>
                <w:tcPr>
                  <w:tcW w:w="2266" w:type="pct"/>
                  <w:noWrap w:val="0"/>
                  <w:vAlign w:val="center"/>
                </w:tcPr>
                <w:p w14:paraId="76FBF6AC">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在常温常压下不易水解、不易挥发的固态危险废物可分类堆放贮存，其他固态危险废物应装入容器或包装物内贮存。</w:t>
                  </w:r>
                </w:p>
              </w:tc>
              <w:tc>
                <w:tcPr>
                  <w:tcW w:w="1553" w:type="pct"/>
                  <w:noWrap w:val="0"/>
                  <w:vAlign w:val="center"/>
                </w:tcPr>
                <w:p w14:paraId="47B66B7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本项目危废均密封暂存，废</w:t>
                  </w:r>
                  <w:r>
                    <w:rPr>
                      <w:rFonts w:hint="default" w:ascii="Times New Roman" w:hAnsi="Times New Roman" w:cs="Times New Roman"/>
                      <w:color w:val="auto"/>
                      <w:sz w:val="21"/>
                      <w:szCs w:val="21"/>
                      <w:lang w:val="en-US" w:eastAsia="zh-CN"/>
                    </w:rPr>
                    <w:t>液</w:t>
                  </w:r>
                  <w:r>
                    <w:rPr>
                      <w:rFonts w:hint="default" w:ascii="Times New Roman" w:hAnsi="Times New Roman" w:cs="Times New Roman"/>
                      <w:color w:val="auto"/>
                      <w:sz w:val="21"/>
                      <w:szCs w:val="21"/>
                    </w:rPr>
                    <w:t>采用密闭桶装，</w:t>
                  </w:r>
                  <w:r>
                    <w:rPr>
                      <w:rFonts w:hint="default" w:ascii="Times New Roman" w:hAnsi="Times New Roman" w:cs="Times New Roman"/>
                      <w:color w:val="auto"/>
                      <w:sz w:val="21"/>
                      <w:szCs w:val="21"/>
                      <w:lang w:val="en-US" w:eastAsia="zh-CN"/>
                    </w:rPr>
                    <w:t>废化学药剂包装、废活性炭</w:t>
                  </w:r>
                  <w:r>
                    <w:rPr>
                      <w:rFonts w:hint="default" w:ascii="Times New Roman" w:hAnsi="Times New Roman" w:cs="Times New Roman"/>
                      <w:color w:val="auto"/>
                      <w:sz w:val="21"/>
                      <w:szCs w:val="21"/>
                    </w:rPr>
                    <w:t>采用防渗漏吨袋，设置防泄漏托盘等</w:t>
                  </w:r>
                </w:p>
              </w:tc>
              <w:tc>
                <w:tcPr>
                  <w:tcW w:w="364" w:type="pct"/>
                  <w:noWrap w:val="0"/>
                  <w:vAlign w:val="center"/>
                </w:tcPr>
                <w:p w14:paraId="32ED26E6">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467D53C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4DE69996">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w:t>
                  </w:r>
                </w:p>
              </w:tc>
              <w:tc>
                <w:tcPr>
                  <w:tcW w:w="405" w:type="pct"/>
                  <w:vMerge w:val="continue"/>
                  <w:noWrap w:val="0"/>
                  <w:vAlign w:val="center"/>
                </w:tcPr>
                <w:p w14:paraId="6FE771EF">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13E902B4">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液态危险废物应装入容器内贮存，或直接采用贮存池、贮存罐区贮存。</w:t>
                  </w:r>
                </w:p>
              </w:tc>
              <w:tc>
                <w:tcPr>
                  <w:tcW w:w="1553" w:type="pct"/>
                  <w:noWrap w:val="0"/>
                  <w:vAlign w:val="center"/>
                </w:tcPr>
                <w:p w14:paraId="4D8EBEF7">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本项目液</w:t>
                  </w:r>
                  <w:r>
                    <w:rPr>
                      <w:rFonts w:hint="default" w:ascii="Times New Roman" w:hAnsi="Times New Roman" w:cs="Times New Roman"/>
                      <w:color w:val="auto"/>
                      <w:sz w:val="21"/>
                      <w:szCs w:val="21"/>
                      <w:lang w:val="en-US" w:eastAsia="zh-CN"/>
                    </w:rPr>
                    <w:t>态废</w:t>
                  </w:r>
                  <w:r>
                    <w:rPr>
                      <w:rFonts w:hint="default" w:ascii="Times New Roman" w:hAnsi="Times New Roman" w:cs="Times New Roman"/>
                      <w:color w:val="auto"/>
                      <w:sz w:val="21"/>
                      <w:szCs w:val="21"/>
                    </w:rPr>
                    <w:t>物装入容器</w:t>
                  </w:r>
                  <w:r>
                    <w:rPr>
                      <w:rFonts w:hint="default" w:ascii="Times New Roman" w:hAnsi="Times New Roman" w:cs="Times New Roman"/>
                      <w:color w:val="auto"/>
                      <w:sz w:val="21"/>
                      <w:szCs w:val="21"/>
                      <w:lang w:val="en-US" w:eastAsia="zh-CN"/>
                    </w:rPr>
                    <w:t>内贮存。</w:t>
                  </w:r>
                </w:p>
              </w:tc>
              <w:tc>
                <w:tcPr>
                  <w:tcW w:w="364" w:type="pct"/>
                  <w:noWrap w:val="0"/>
                  <w:vAlign w:val="center"/>
                </w:tcPr>
                <w:p w14:paraId="4147EF13">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46CF95C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513BAF94">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w:t>
                  </w:r>
                </w:p>
              </w:tc>
              <w:tc>
                <w:tcPr>
                  <w:tcW w:w="405" w:type="pct"/>
                  <w:vMerge w:val="continue"/>
                  <w:noWrap w:val="0"/>
                  <w:vAlign w:val="center"/>
                </w:tcPr>
                <w:p w14:paraId="0F454699">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00226FEB">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易产生粉尘、</w:t>
                  </w:r>
                  <w:r>
                    <w:rPr>
                      <w:rFonts w:hint="default" w:ascii="Times New Roman" w:hAnsi="Times New Roman" w:cs="Times New Roman"/>
                      <w:color w:val="auto"/>
                      <w:sz w:val="21"/>
                      <w:szCs w:val="21"/>
                      <w:lang w:val="en-US" w:eastAsia="zh-CN"/>
                    </w:rPr>
                    <w:t>VOCs</w:t>
                  </w:r>
                  <w:r>
                    <w:rPr>
                      <w:rFonts w:hint="default" w:ascii="Times New Roman" w:hAnsi="Times New Roman" w:cs="Times New Roman"/>
                      <w:color w:val="auto"/>
                      <w:sz w:val="21"/>
                      <w:szCs w:val="21"/>
                    </w:rPr>
                    <w:t>、酸雾、有毒有害大气污染物和刺激性气味气体的危险废物应装入闭口容器或包装物内贮存。</w:t>
                  </w:r>
                </w:p>
              </w:tc>
              <w:tc>
                <w:tcPr>
                  <w:tcW w:w="1553" w:type="pct"/>
                  <w:noWrap w:val="0"/>
                  <w:vAlign w:val="center"/>
                </w:tcPr>
                <w:p w14:paraId="4B6C5D01">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本项目危废均密封暂存，废</w:t>
                  </w:r>
                  <w:r>
                    <w:rPr>
                      <w:rFonts w:hint="default" w:ascii="Times New Roman" w:hAnsi="Times New Roman" w:cs="Times New Roman"/>
                      <w:color w:val="auto"/>
                      <w:sz w:val="21"/>
                      <w:szCs w:val="21"/>
                      <w:lang w:val="en-US" w:eastAsia="zh-CN"/>
                    </w:rPr>
                    <w:t>液</w:t>
                  </w:r>
                  <w:r>
                    <w:rPr>
                      <w:rFonts w:hint="default" w:ascii="Times New Roman" w:hAnsi="Times New Roman" w:cs="Times New Roman"/>
                      <w:color w:val="auto"/>
                      <w:sz w:val="21"/>
                      <w:szCs w:val="21"/>
                    </w:rPr>
                    <w:t>采用密闭桶装，</w:t>
                  </w:r>
                  <w:r>
                    <w:rPr>
                      <w:rFonts w:hint="default" w:ascii="Times New Roman" w:hAnsi="Times New Roman" w:cs="Times New Roman"/>
                      <w:color w:val="auto"/>
                      <w:sz w:val="21"/>
                      <w:szCs w:val="21"/>
                      <w:lang w:val="en-US" w:eastAsia="zh-CN"/>
                    </w:rPr>
                    <w:t>废化学药剂包装、废活性炭</w:t>
                  </w:r>
                  <w:r>
                    <w:rPr>
                      <w:rFonts w:hint="default" w:ascii="Times New Roman" w:hAnsi="Times New Roman" w:cs="Times New Roman"/>
                      <w:color w:val="auto"/>
                      <w:sz w:val="21"/>
                      <w:szCs w:val="21"/>
                    </w:rPr>
                    <w:t>采用防渗漏吨袋，设置防泄漏托盘等</w:t>
                  </w:r>
                </w:p>
              </w:tc>
              <w:tc>
                <w:tcPr>
                  <w:tcW w:w="364" w:type="pct"/>
                  <w:noWrap w:val="0"/>
                  <w:vAlign w:val="center"/>
                </w:tcPr>
                <w:p w14:paraId="0F186FC8">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r w14:paraId="0ACBC7C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409" w:type="pct"/>
                  <w:noWrap w:val="0"/>
                  <w:vAlign w:val="center"/>
                </w:tcPr>
                <w:p w14:paraId="09807D94">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405" w:type="pct"/>
                  <w:vMerge w:val="continue"/>
                  <w:noWrap w:val="0"/>
                  <w:vAlign w:val="center"/>
                </w:tcPr>
                <w:p w14:paraId="517E6344">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p>
              </w:tc>
              <w:tc>
                <w:tcPr>
                  <w:tcW w:w="2266" w:type="pct"/>
                  <w:noWrap w:val="0"/>
                  <w:vAlign w:val="center"/>
                </w:tcPr>
                <w:p w14:paraId="00039646">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危险废物贮存过程中易产生粉尘等无组织排</w:t>
                  </w:r>
                  <w:r>
                    <w:rPr>
                      <w:rFonts w:hint="default" w:ascii="Times New Roman" w:hAnsi="Times New Roman" w:cs="Times New Roman"/>
                      <w:color w:val="auto"/>
                      <w:sz w:val="21"/>
                      <w:szCs w:val="21"/>
                      <w:lang w:val="en-US" w:eastAsia="zh-CN"/>
                    </w:rPr>
                    <w:t>放的，应采取抑尘等有效措施。</w:t>
                  </w:r>
                </w:p>
              </w:tc>
              <w:tc>
                <w:tcPr>
                  <w:tcW w:w="1553" w:type="pct"/>
                  <w:noWrap w:val="0"/>
                  <w:vAlign w:val="center"/>
                </w:tcPr>
                <w:p w14:paraId="4B95C0C0">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本项目危废均密封暂存，不易产生粉尘和有机废气</w:t>
                  </w:r>
                  <w:r>
                    <w:rPr>
                      <w:rFonts w:hint="default" w:ascii="Times New Roman" w:hAnsi="Times New Roman" w:cs="Times New Roman"/>
                      <w:color w:val="auto"/>
                      <w:sz w:val="21"/>
                      <w:szCs w:val="21"/>
                      <w:lang w:eastAsia="zh-CN"/>
                    </w:rPr>
                    <w:t>。</w:t>
                  </w:r>
                </w:p>
              </w:tc>
              <w:tc>
                <w:tcPr>
                  <w:tcW w:w="364" w:type="pct"/>
                  <w:noWrap w:val="0"/>
                  <w:vAlign w:val="center"/>
                </w:tcPr>
                <w:p w14:paraId="35C53379">
                  <w:pPr>
                    <w:pStyle w:val="1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相符</w:t>
                  </w:r>
                </w:p>
              </w:tc>
            </w:tr>
          </w:tbl>
          <w:p w14:paraId="7374D1F6">
            <w:pPr>
              <w:adjustRightInd w:val="0"/>
              <w:snapToGrid w:val="0"/>
              <w:spacing w:line="360" w:lineRule="auto"/>
              <w:ind w:firstLine="420" w:firstLineChars="20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根据《危险废物识别标志设置技术规范》（HJ1276-2022）设置环境保护图形标志，本公司固废堆放场的环境保护图形标志的具体要求见下表。</w:t>
            </w:r>
          </w:p>
          <w:p w14:paraId="0F1A6414">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表4-</w:t>
            </w:r>
            <w:r>
              <w:rPr>
                <w:rFonts w:hint="eastAsia" w:ascii="Times New Roman" w:hAnsi="Times New Roman" w:eastAsia="宋体" w:cs="Times New Roman"/>
                <w:b/>
                <w:bCs/>
                <w:color w:val="auto"/>
                <w:sz w:val="21"/>
                <w:szCs w:val="21"/>
                <w:lang w:val="en-US" w:eastAsia="zh-CN"/>
              </w:rPr>
              <w:t>23</w:t>
            </w:r>
            <w:r>
              <w:rPr>
                <w:rFonts w:hint="eastAsia" w:ascii="Times New Roman" w:hAnsi="Times New Roman" w:eastAsia="宋体" w:cs="Times New Roman"/>
                <w:b/>
                <w:bCs/>
                <w:color w:val="auto"/>
                <w:sz w:val="21"/>
                <w:szCs w:val="21"/>
              </w:rPr>
              <w:t xml:space="preserve">   固废堆放场的环境保护图形标志一览表</w:t>
            </w:r>
          </w:p>
          <w:tbl>
            <w:tblPr>
              <w:tblStyle w:val="41"/>
              <w:tblW w:w="8771" w:type="dxa"/>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06"/>
              <w:gridCol w:w="1305"/>
              <w:gridCol w:w="1560"/>
              <w:gridCol w:w="1185"/>
              <w:gridCol w:w="1155"/>
              <w:gridCol w:w="2660"/>
            </w:tblGrid>
            <w:tr w14:paraId="6511454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906" w:type="dxa"/>
                  <w:noWrap w:val="0"/>
                  <w:vAlign w:val="center"/>
                </w:tcPr>
                <w:p w14:paraId="0A1F4B61">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排放口名称</w:t>
                  </w:r>
                </w:p>
              </w:tc>
              <w:tc>
                <w:tcPr>
                  <w:tcW w:w="1305" w:type="dxa"/>
                  <w:noWrap w:val="0"/>
                  <w:vAlign w:val="center"/>
                </w:tcPr>
                <w:p w14:paraId="769186B1">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图形标志</w:t>
                  </w:r>
                </w:p>
              </w:tc>
              <w:tc>
                <w:tcPr>
                  <w:tcW w:w="1560" w:type="dxa"/>
                  <w:noWrap w:val="0"/>
                  <w:vAlign w:val="center"/>
                </w:tcPr>
                <w:p w14:paraId="6844D044">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形状</w:t>
                  </w:r>
                </w:p>
              </w:tc>
              <w:tc>
                <w:tcPr>
                  <w:tcW w:w="1185" w:type="dxa"/>
                  <w:noWrap w:val="0"/>
                  <w:vAlign w:val="center"/>
                </w:tcPr>
                <w:p w14:paraId="384535D3">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背景颜色</w:t>
                  </w:r>
                </w:p>
              </w:tc>
              <w:tc>
                <w:tcPr>
                  <w:tcW w:w="1155" w:type="dxa"/>
                  <w:noWrap w:val="0"/>
                  <w:vAlign w:val="center"/>
                </w:tcPr>
                <w:p w14:paraId="379BFB00">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图形颜色</w:t>
                  </w:r>
                </w:p>
              </w:tc>
              <w:tc>
                <w:tcPr>
                  <w:tcW w:w="2660" w:type="dxa"/>
                  <w:noWrap w:val="0"/>
                  <w:vAlign w:val="center"/>
                </w:tcPr>
                <w:p w14:paraId="71D31768">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图形标志</w:t>
                  </w:r>
                </w:p>
              </w:tc>
            </w:tr>
            <w:tr w14:paraId="09FB344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906" w:type="dxa"/>
                  <w:vMerge w:val="restart"/>
                  <w:noWrap w:val="0"/>
                  <w:vAlign w:val="center"/>
                </w:tcPr>
                <w:p w14:paraId="7F499E16">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危险废物仓库</w:t>
                  </w:r>
                </w:p>
              </w:tc>
              <w:tc>
                <w:tcPr>
                  <w:tcW w:w="1305" w:type="dxa"/>
                  <w:noWrap w:val="0"/>
                  <w:vAlign w:val="center"/>
                </w:tcPr>
                <w:p w14:paraId="09C10680">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危险废物贮存设施标志</w:t>
                  </w:r>
                </w:p>
              </w:tc>
              <w:tc>
                <w:tcPr>
                  <w:tcW w:w="1560" w:type="dxa"/>
                  <w:noWrap w:val="0"/>
                  <w:vAlign w:val="center"/>
                </w:tcPr>
                <w:p w14:paraId="0B0E281C">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长方形边框</w:t>
                  </w:r>
                </w:p>
              </w:tc>
              <w:tc>
                <w:tcPr>
                  <w:tcW w:w="1185" w:type="dxa"/>
                  <w:noWrap w:val="0"/>
                  <w:vAlign w:val="center"/>
                </w:tcPr>
                <w:p w14:paraId="2956AE77">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黄色</w:t>
                  </w:r>
                </w:p>
              </w:tc>
              <w:tc>
                <w:tcPr>
                  <w:tcW w:w="1155" w:type="dxa"/>
                  <w:noWrap w:val="0"/>
                  <w:vAlign w:val="center"/>
                </w:tcPr>
                <w:p w14:paraId="5339FE70">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黑色</w:t>
                  </w:r>
                </w:p>
              </w:tc>
              <w:tc>
                <w:tcPr>
                  <w:tcW w:w="2660" w:type="dxa"/>
                  <w:noWrap w:val="0"/>
                  <w:vAlign w:val="center"/>
                </w:tcPr>
                <w:p w14:paraId="2BCE3A3A">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drawing>
                      <wp:inline distT="0" distB="0" distL="114300" distR="114300">
                        <wp:extent cx="790575" cy="1259840"/>
                        <wp:effectExtent l="0" t="0" r="9525" b="16510"/>
                        <wp:docPr id="1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
                                <pic:cNvPicPr>
                                  <a:picLocks noChangeAspect="1"/>
                                </pic:cNvPicPr>
                              </pic:nvPicPr>
                              <pic:blipFill>
                                <a:blip r:embed="rId20"/>
                                <a:stretch>
                                  <a:fillRect/>
                                </a:stretch>
                              </pic:blipFill>
                              <pic:spPr>
                                <a:xfrm>
                                  <a:off x="0" y="0"/>
                                  <a:ext cx="790575" cy="1259840"/>
                                </a:xfrm>
                                <a:prstGeom prst="rect">
                                  <a:avLst/>
                                </a:prstGeom>
                                <a:noFill/>
                                <a:ln>
                                  <a:noFill/>
                                </a:ln>
                              </pic:spPr>
                            </pic:pic>
                          </a:graphicData>
                        </a:graphic>
                      </wp:inline>
                    </w:drawing>
                  </w:r>
                </w:p>
              </w:tc>
            </w:tr>
            <w:tr w14:paraId="4B4160D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906" w:type="dxa"/>
                  <w:vMerge w:val="continue"/>
                  <w:noWrap w:val="0"/>
                  <w:vAlign w:val="center"/>
                </w:tcPr>
                <w:p w14:paraId="4D015CB0">
                  <w:pPr>
                    <w:adjustRightInd w:val="0"/>
                    <w:snapToGrid w:val="0"/>
                    <w:jc w:val="center"/>
                    <w:rPr>
                      <w:rFonts w:hint="eastAsia" w:ascii="Times New Roman" w:hAnsi="Times New Roman" w:eastAsia="宋体" w:cs="Times New Roman"/>
                      <w:b w:val="0"/>
                      <w:bCs w:val="0"/>
                      <w:color w:val="auto"/>
                      <w:sz w:val="21"/>
                      <w:szCs w:val="21"/>
                    </w:rPr>
                  </w:pPr>
                </w:p>
              </w:tc>
              <w:tc>
                <w:tcPr>
                  <w:tcW w:w="1305" w:type="dxa"/>
                  <w:noWrap w:val="0"/>
                  <w:vAlign w:val="center"/>
                </w:tcPr>
                <w:p w14:paraId="7550A290">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危废贮存分区标志</w:t>
                  </w:r>
                </w:p>
              </w:tc>
              <w:tc>
                <w:tcPr>
                  <w:tcW w:w="1560" w:type="dxa"/>
                  <w:noWrap w:val="0"/>
                  <w:vAlign w:val="center"/>
                </w:tcPr>
                <w:p w14:paraId="74A1CB57">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长方形边框</w:t>
                  </w:r>
                </w:p>
              </w:tc>
              <w:tc>
                <w:tcPr>
                  <w:tcW w:w="1185" w:type="dxa"/>
                  <w:noWrap w:val="0"/>
                  <w:vAlign w:val="center"/>
                </w:tcPr>
                <w:p w14:paraId="2E11BE1F">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黄色</w:t>
                  </w:r>
                </w:p>
              </w:tc>
              <w:tc>
                <w:tcPr>
                  <w:tcW w:w="1155" w:type="dxa"/>
                  <w:noWrap w:val="0"/>
                  <w:vAlign w:val="center"/>
                </w:tcPr>
                <w:p w14:paraId="79F62981">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黑色</w:t>
                  </w:r>
                </w:p>
              </w:tc>
              <w:tc>
                <w:tcPr>
                  <w:tcW w:w="2660" w:type="dxa"/>
                  <w:noWrap w:val="0"/>
                  <w:vAlign w:val="center"/>
                </w:tcPr>
                <w:p w14:paraId="27B7936B">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drawing>
                      <wp:inline distT="0" distB="0" distL="114300" distR="114300">
                        <wp:extent cx="791210" cy="668655"/>
                        <wp:effectExtent l="0" t="0" r="8890" b="17145"/>
                        <wp:docPr id="109" name="图片 2" descr="168381645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2" descr="1683816454404"/>
                                <pic:cNvPicPr>
                                  <a:picLocks noChangeAspect="1"/>
                                </pic:cNvPicPr>
                              </pic:nvPicPr>
                              <pic:blipFill>
                                <a:blip r:embed="rId21"/>
                                <a:stretch>
                                  <a:fillRect/>
                                </a:stretch>
                              </pic:blipFill>
                              <pic:spPr>
                                <a:xfrm>
                                  <a:off x="0" y="0"/>
                                  <a:ext cx="791210" cy="668655"/>
                                </a:xfrm>
                                <a:prstGeom prst="rect">
                                  <a:avLst/>
                                </a:prstGeom>
                                <a:noFill/>
                                <a:ln>
                                  <a:noFill/>
                                </a:ln>
                              </pic:spPr>
                            </pic:pic>
                          </a:graphicData>
                        </a:graphic>
                      </wp:inline>
                    </w:drawing>
                  </w:r>
                </w:p>
              </w:tc>
            </w:tr>
            <w:tr w14:paraId="65D7BD3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906" w:type="dxa"/>
                  <w:vMerge w:val="continue"/>
                  <w:noWrap w:val="0"/>
                  <w:vAlign w:val="center"/>
                </w:tcPr>
                <w:p w14:paraId="4764B6C1">
                  <w:pPr>
                    <w:adjustRightInd w:val="0"/>
                    <w:snapToGrid w:val="0"/>
                    <w:jc w:val="center"/>
                    <w:rPr>
                      <w:rFonts w:hint="eastAsia" w:ascii="Times New Roman" w:hAnsi="Times New Roman" w:eastAsia="宋体" w:cs="Times New Roman"/>
                      <w:b w:val="0"/>
                      <w:bCs w:val="0"/>
                      <w:color w:val="auto"/>
                      <w:sz w:val="21"/>
                      <w:szCs w:val="21"/>
                    </w:rPr>
                  </w:pPr>
                </w:p>
              </w:tc>
              <w:tc>
                <w:tcPr>
                  <w:tcW w:w="1305" w:type="dxa"/>
                  <w:noWrap w:val="0"/>
                  <w:vAlign w:val="center"/>
                </w:tcPr>
                <w:p w14:paraId="54DEC0C1">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包装识别标签</w:t>
                  </w:r>
                </w:p>
              </w:tc>
              <w:tc>
                <w:tcPr>
                  <w:tcW w:w="1560" w:type="dxa"/>
                  <w:noWrap w:val="0"/>
                  <w:vAlign w:val="center"/>
                </w:tcPr>
                <w:p w14:paraId="533378A3">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长方形边框</w:t>
                  </w:r>
                </w:p>
              </w:tc>
              <w:tc>
                <w:tcPr>
                  <w:tcW w:w="1185" w:type="dxa"/>
                  <w:noWrap w:val="0"/>
                  <w:vAlign w:val="center"/>
                </w:tcPr>
                <w:p w14:paraId="6DB6638A">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橘黄色</w:t>
                  </w:r>
                </w:p>
              </w:tc>
              <w:tc>
                <w:tcPr>
                  <w:tcW w:w="1155" w:type="dxa"/>
                  <w:noWrap w:val="0"/>
                  <w:vAlign w:val="center"/>
                </w:tcPr>
                <w:p w14:paraId="7CA4B789">
                  <w:pPr>
                    <w:adjustRightInd w:val="0"/>
                    <w:snapToGrid w:val="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黑色</w:t>
                  </w:r>
                </w:p>
              </w:tc>
              <w:tc>
                <w:tcPr>
                  <w:tcW w:w="2660" w:type="dxa"/>
                  <w:noWrap w:val="0"/>
                  <w:vAlign w:val="center"/>
                </w:tcPr>
                <w:p w14:paraId="21CF98F9">
                  <w:pPr>
                    <w:adjustRightInd w:val="0"/>
                    <w:snapToGrid w:val="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drawing>
                      <wp:inline distT="0" distB="0" distL="114300" distR="114300">
                        <wp:extent cx="962660" cy="962660"/>
                        <wp:effectExtent l="0" t="0" r="8890" b="8890"/>
                        <wp:docPr id="1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3"/>
                                <pic:cNvPicPr>
                                  <a:picLocks noChangeAspect="1"/>
                                </pic:cNvPicPr>
                              </pic:nvPicPr>
                              <pic:blipFill>
                                <a:blip r:embed="rId22"/>
                                <a:stretch>
                                  <a:fillRect/>
                                </a:stretch>
                              </pic:blipFill>
                              <pic:spPr>
                                <a:xfrm>
                                  <a:off x="0" y="0"/>
                                  <a:ext cx="962660" cy="962660"/>
                                </a:xfrm>
                                <a:prstGeom prst="rect">
                                  <a:avLst/>
                                </a:prstGeom>
                                <a:noFill/>
                                <a:ln>
                                  <a:noFill/>
                                </a:ln>
                              </pic:spPr>
                            </pic:pic>
                          </a:graphicData>
                        </a:graphic>
                      </wp:inline>
                    </w:drawing>
                  </w:r>
                </w:p>
              </w:tc>
            </w:tr>
          </w:tbl>
          <w:p w14:paraId="422D3A14">
            <w:pPr>
              <w:adjustRightInd w:val="0"/>
              <w:snapToGrid w:val="0"/>
              <w:spacing w:line="360" w:lineRule="auto"/>
              <w:ind w:firstLine="420" w:firstLineChars="20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与《江苏省固体废物全过程环境监督工作意见》（苏环办[2024]16号）的相符性分析</w:t>
            </w:r>
          </w:p>
          <w:p w14:paraId="3DDDB8E2">
            <w:pPr>
              <w:adjustRightInd w:val="0"/>
              <w:snapToGrid w:val="0"/>
              <w:spacing w:line="360" w:lineRule="auto"/>
              <w:ind w:firstLine="422" w:firstLineChars="200"/>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表</w:t>
            </w:r>
            <w:r>
              <w:rPr>
                <w:rFonts w:hint="eastAsia" w:ascii="Times New Roman" w:hAnsi="Times New Roman" w:eastAsia="宋体" w:cs="Times New Roman"/>
                <w:b/>
                <w:bCs/>
                <w:color w:val="auto"/>
                <w:kern w:val="0"/>
                <w:szCs w:val="21"/>
                <w:lang w:val="en-US" w:eastAsia="zh-CN"/>
              </w:rPr>
              <w:t>4-24</w:t>
            </w:r>
            <w:r>
              <w:rPr>
                <w:rFonts w:hint="default" w:ascii="Times New Roman" w:hAnsi="Times New Roman" w:eastAsia="宋体" w:cs="Times New Roman"/>
                <w:b/>
                <w:bCs/>
                <w:color w:val="auto"/>
                <w:kern w:val="0"/>
                <w:szCs w:val="21"/>
                <w:lang w:val="en-US" w:eastAsia="zh-CN"/>
              </w:rPr>
              <w:t xml:space="preserve"> </w:t>
            </w:r>
            <w:r>
              <w:rPr>
                <w:rFonts w:hint="eastAsia" w:ascii="Times New Roman" w:hAnsi="Times New Roman" w:eastAsia="宋体" w:cs="Times New Roman"/>
                <w:b/>
                <w:bCs/>
                <w:color w:val="auto"/>
                <w:kern w:val="0"/>
                <w:szCs w:val="21"/>
                <w:lang w:val="en-US" w:eastAsia="zh-CN"/>
              </w:rPr>
              <w:t xml:space="preserve"> </w:t>
            </w:r>
            <w:r>
              <w:rPr>
                <w:rFonts w:hint="default" w:ascii="Times New Roman" w:hAnsi="Times New Roman" w:eastAsia="宋体" w:cs="Times New Roman"/>
                <w:b/>
                <w:bCs/>
                <w:color w:val="auto"/>
                <w:kern w:val="0"/>
                <w:szCs w:val="21"/>
                <w:lang w:val="en-US" w:eastAsia="zh-CN"/>
              </w:rPr>
              <w:t>与</w:t>
            </w:r>
            <w:r>
              <w:rPr>
                <w:rFonts w:hint="eastAsia" w:ascii="Times New Roman" w:hAnsi="Times New Roman" w:eastAsia="宋体" w:cs="Times New Roman"/>
                <w:b/>
                <w:bCs/>
                <w:color w:val="auto"/>
                <w:kern w:val="0"/>
                <w:szCs w:val="21"/>
                <w:lang w:val="en-US" w:eastAsia="zh-CN"/>
              </w:rPr>
              <w:t>《江苏省固体废物全过程环境监督工作意见》（苏环办[2024]16号）的</w:t>
            </w:r>
            <w:r>
              <w:rPr>
                <w:rFonts w:hint="default" w:ascii="Times New Roman" w:hAnsi="Times New Roman" w:eastAsia="宋体" w:cs="Times New Roman"/>
                <w:b/>
                <w:bCs/>
                <w:color w:val="auto"/>
                <w:kern w:val="0"/>
                <w:szCs w:val="21"/>
                <w:lang w:val="en-US" w:eastAsia="zh-CN"/>
              </w:rPr>
              <w:t>相符性分析</w:t>
            </w:r>
          </w:p>
          <w:tbl>
            <w:tblPr>
              <w:tblStyle w:val="4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145"/>
              <w:gridCol w:w="2459"/>
              <w:gridCol w:w="1039"/>
            </w:tblGrid>
            <w:tr w14:paraId="39FFF5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7" w:type="pct"/>
                  <w:noWrap w:val="0"/>
                  <w:vAlign w:val="center"/>
                </w:tcPr>
                <w:p w14:paraId="3A566CCB">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2507" w:type="pct"/>
                  <w:noWrap w:val="0"/>
                  <w:vAlign w:val="center"/>
                </w:tcPr>
                <w:p w14:paraId="37CFEFBB">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文件内容</w:t>
                  </w:r>
                </w:p>
              </w:tc>
              <w:tc>
                <w:tcPr>
                  <w:tcW w:w="1487" w:type="pct"/>
                  <w:noWrap w:val="0"/>
                  <w:vAlign w:val="center"/>
                </w:tcPr>
                <w:p w14:paraId="7D28337C">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本项目情况</w:t>
                  </w:r>
                </w:p>
              </w:tc>
              <w:tc>
                <w:tcPr>
                  <w:tcW w:w="628" w:type="pct"/>
                  <w:noWrap w:val="0"/>
                  <w:vAlign w:val="center"/>
                </w:tcPr>
                <w:p w14:paraId="39F6F2E5">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相符性</w:t>
                  </w:r>
                </w:p>
              </w:tc>
            </w:tr>
            <w:tr w14:paraId="7DC306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7" w:type="pct"/>
                  <w:noWrap w:val="0"/>
                  <w:vAlign w:val="center"/>
                </w:tcPr>
                <w:p w14:paraId="687BE1E0">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2507" w:type="pct"/>
                  <w:noWrap w:val="0"/>
                  <w:vAlign w:val="center"/>
                </w:tcPr>
                <w:p w14:paraId="42BFECA5">
                  <w:pPr>
                    <w:widowControl/>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环评要评价产生的固体废物种类、数量、来源和属性，论述贮存、转移和利用处置方式合规性、合理性，提出切实可行的污染防治对策措施。所有产物要按照以下五类属性给予明确并规范表述：目标产物（产品、副产品）、鉴别属于产品（符合国家、地方或行业标准）、可定向用于特定用途按产品管理（如符合团体标准）、一般固体废物和危险废物。不得将不符合GB34330、HJ1091等标准的产物认定为“再生产品”，不得出现“中间产物”“再生产物”等不规范表述，严禁以“副产品”名义逃避监管。不能排除危险特性的固体废物，须在环评文件中明确具体鉴别方案，鉴别前按危险废物管理，鉴别后根据结论按一般固废或危险废物管理。危险废物经营单位项目环评审批要点要与危险废物经营许可审查要求衔接一致。</w:t>
                  </w:r>
                </w:p>
              </w:tc>
              <w:tc>
                <w:tcPr>
                  <w:tcW w:w="1487" w:type="pct"/>
                  <w:noWrap w:val="0"/>
                  <w:vAlign w:val="center"/>
                </w:tcPr>
                <w:p w14:paraId="720F2FF9">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已对本项目可能产生的危险废物种类、数量、属性、贮存设施、利用或处置方式进行了分析</w:t>
                  </w:r>
                  <w:r>
                    <w:rPr>
                      <w:rFonts w:hint="default" w:ascii="Times New Roman" w:hAnsi="Times New Roman" w:cs="Times New Roman"/>
                      <w:color w:val="auto"/>
                      <w:kern w:val="0"/>
                      <w:sz w:val="21"/>
                      <w:szCs w:val="21"/>
                      <w:lang w:val="en-US" w:eastAsia="zh-CN"/>
                    </w:rPr>
                    <w:t>描述</w:t>
                  </w:r>
                  <w:r>
                    <w:rPr>
                      <w:rFonts w:hint="default" w:ascii="Times New Roman" w:hAnsi="Times New Roman" w:cs="Times New Roman"/>
                      <w:color w:val="auto"/>
                      <w:kern w:val="0"/>
                      <w:sz w:val="21"/>
                      <w:szCs w:val="21"/>
                    </w:rPr>
                    <w:t>。</w:t>
                  </w:r>
                </w:p>
              </w:tc>
              <w:tc>
                <w:tcPr>
                  <w:tcW w:w="628" w:type="pct"/>
                  <w:noWrap w:val="0"/>
                  <w:vAlign w:val="center"/>
                </w:tcPr>
                <w:p w14:paraId="4C0A9AC7">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相符</w:t>
                  </w:r>
                </w:p>
              </w:tc>
            </w:tr>
            <w:tr w14:paraId="6D020D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7" w:type="pct"/>
                  <w:noWrap w:val="0"/>
                  <w:vAlign w:val="center"/>
                </w:tcPr>
                <w:p w14:paraId="78EC4638">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2507" w:type="pct"/>
                  <w:noWrap w:val="0"/>
                  <w:vAlign w:val="center"/>
                </w:tcPr>
                <w:p w14:paraId="3247462C">
                  <w:pPr>
                    <w:widowControl/>
                    <w:jc w:val="left"/>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企业要在排污许可管理系统中全面、准确申报工业固体废物产生种类，以及贮存设施和利用处置等相关情况，并对其真实性负责。实际产生、转移、贮存和利用处置情况对照项目环评发生变动的，要根据变动情况及时采取重新报批环评、纳入环境保护竣工验收等手续，并及时变更排污许可。</w:t>
                  </w:r>
                </w:p>
              </w:tc>
              <w:tc>
                <w:tcPr>
                  <w:tcW w:w="1487" w:type="pct"/>
                  <w:noWrap w:val="0"/>
                  <w:vAlign w:val="center"/>
                </w:tcPr>
                <w:p w14:paraId="47FF8550">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待项目建成后，企业将在排污许可管理系统中全面、准确申报工业固体废物产生种类，以及贮存设施和利用处置等相关情况，并对其真实性负责。实际产生、转移、贮存和利用处置情况对照项目环评发生变动的，要根据变动情况及时采取重新报批环评、纳入环境保护竣工验收等手续，并及时变更排污许可。</w:t>
                  </w:r>
                </w:p>
              </w:tc>
              <w:tc>
                <w:tcPr>
                  <w:tcW w:w="628" w:type="pct"/>
                  <w:noWrap w:val="0"/>
                  <w:vAlign w:val="center"/>
                </w:tcPr>
                <w:p w14:paraId="1213FFC4">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相符</w:t>
                  </w:r>
                </w:p>
              </w:tc>
            </w:tr>
            <w:tr w14:paraId="5BC00D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7" w:type="pct"/>
                  <w:noWrap w:val="0"/>
                  <w:vAlign w:val="center"/>
                </w:tcPr>
                <w:p w14:paraId="5D700FD1">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2507" w:type="pct"/>
                  <w:noWrap w:val="0"/>
                  <w:vAlign w:val="center"/>
                </w:tcPr>
                <w:p w14:paraId="0F3B048F">
                  <w:pPr>
                    <w:widowControl/>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危险废物贮存污染控制标准》（GB18597—2023），企业可根据实际情况选择采用危险废物贮存设施或贮存点两类方式进行贮存，符合相应的污染控制标准；不具备建设贮存设施条件、选用贮存点方式的，除符合国家关于贮存点控制要求外，还要执行《江苏省危险废物集中收集体系建设工作方案（试行）》（苏环办〔2021〕290号）中关于贮存周期和贮存量的要求，I级、II级、III级危险废物贮存时间分别不得超过30天、60天、90天，最大贮存量不得超过1 吨。</w:t>
                  </w:r>
                </w:p>
              </w:tc>
              <w:tc>
                <w:tcPr>
                  <w:tcW w:w="1487" w:type="pct"/>
                  <w:noWrap w:val="0"/>
                  <w:vAlign w:val="center"/>
                </w:tcPr>
                <w:p w14:paraId="0A417B64">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待项目建成后，项目根据《危险废物贮存污染控制标准》（GB18597—2023）要求建设危废仓库，危废仓库采取防雨、防火、防雷、扬散、防渗漏等措施。危废贮存周期和最大贮存量满足《江苏省危险废物集中收集体系建设工作方案（试行）》（苏环办〔2021〕290号）要求。</w:t>
                  </w:r>
                </w:p>
              </w:tc>
              <w:tc>
                <w:tcPr>
                  <w:tcW w:w="628" w:type="pct"/>
                  <w:noWrap w:val="0"/>
                  <w:vAlign w:val="center"/>
                </w:tcPr>
                <w:p w14:paraId="050EC1F1">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相符</w:t>
                  </w:r>
                </w:p>
              </w:tc>
            </w:tr>
            <w:tr w14:paraId="6749D3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7" w:type="pct"/>
                  <w:noWrap w:val="0"/>
                  <w:vAlign w:val="center"/>
                </w:tcPr>
                <w:p w14:paraId="060C767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2507" w:type="pct"/>
                  <w:noWrap w:val="0"/>
                  <w:vAlign w:val="center"/>
                </w:tcPr>
                <w:p w14:paraId="429246AC">
                  <w:pPr>
                    <w:widowControl/>
                    <w:jc w:val="left"/>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全面落实危险废物转移电子联单制度，实行省内全域扫描“二维码”转移。加强与危险货物道路运输电子运单数据共享，实现运输轨迹可溯可查。危险废物产生单位须依法核实经营单位主体资格和技术能力，直接签订委托合同，并向经营单位提供相关危险废物产生工艺、具体成分，以及是否易燃易爆等信息，违法委托的，应当与造成环境污染和生态破坏的受托方承担连带责任；经营单位须按合同及包装物扫码签收危险废物，签收人、车辆信息等须拍照上传至系统，严禁“空转”二维码。积极推行一般工业固体废物转移电子联单制度，优先选择环境风险较大的污泥、矿渣等固体废物试行。</w:t>
                  </w:r>
                </w:p>
              </w:tc>
              <w:tc>
                <w:tcPr>
                  <w:tcW w:w="1487" w:type="pct"/>
                  <w:noWrap w:val="0"/>
                  <w:vAlign w:val="center"/>
                </w:tcPr>
                <w:p w14:paraId="45ACC59E">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待项目建成后</w:t>
                  </w:r>
                  <w:r>
                    <w:rPr>
                      <w:rFonts w:hint="default" w:ascii="Times New Roman" w:hAnsi="Times New Roman" w:cs="Times New Roman"/>
                      <w:color w:val="auto"/>
                      <w:kern w:val="0"/>
                      <w:sz w:val="21"/>
                      <w:szCs w:val="21"/>
                      <w:lang w:eastAsia="zh-CN" w:bidi="ar"/>
                    </w:rPr>
                    <w:t>，</w:t>
                  </w:r>
                  <w:r>
                    <w:rPr>
                      <w:rFonts w:hint="default" w:ascii="Times New Roman" w:hAnsi="Times New Roman" w:cs="Times New Roman"/>
                      <w:color w:val="auto"/>
                      <w:kern w:val="0"/>
                      <w:sz w:val="21"/>
                      <w:szCs w:val="21"/>
                      <w:lang w:bidi="ar"/>
                    </w:rPr>
                    <w:t>将严格落实危</w:t>
                  </w:r>
                  <w:r>
                    <w:rPr>
                      <w:rFonts w:hint="default" w:ascii="Times New Roman" w:hAnsi="Times New Roman" w:cs="Times New Roman"/>
                      <w:color w:val="auto"/>
                      <w:kern w:val="0"/>
                      <w:sz w:val="21"/>
                      <w:szCs w:val="21"/>
                      <w:lang w:eastAsia="zh-CN" w:bidi="ar"/>
                    </w:rPr>
                    <w:t>废</w:t>
                  </w:r>
                  <w:r>
                    <w:rPr>
                      <w:rFonts w:hint="default" w:ascii="Times New Roman" w:hAnsi="Times New Roman" w:cs="Times New Roman"/>
                      <w:color w:val="auto"/>
                      <w:kern w:val="0"/>
                      <w:sz w:val="21"/>
                      <w:szCs w:val="21"/>
                      <w:lang w:bidi="ar"/>
                    </w:rPr>
                    <w:t>物转移电子联单制度，实行省内全域扫描“二维码”转移。加强与危险货物道路运输电子运单数据共享，实现运输轨迹可溯可查。危险废物产生单位须依法核实经营单位主体资格和技术能力，直接签订委托合同，并向经营单位提供相关危险废物产生工艺、具体成分，以及是否易燃易爆等信息。</w:t>
                  </w:r>
                </w:p>
              </w:tc>
              <w:tc>
                <w:tcPr>
                  <w:tcW w:w="628" w:type="pct"/>
                  <w:noWrap w:val="0"/>
                  <w:vAlign w:val="center"/>
                </w:tcPr>
                <w:p w14:paraId="67631ABA">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相符</w:t>
                  </w:r>
                </w:p>
              </w:tc>
            </w:tr>
            <w:tr w14:paraId="1D04DE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7" w:type="pct"/>
                  <w:noWrap w:val="0"/>
                  <w:vAlign w:val="center"/>
                </w:tcPr>
                <w:p w14:paraId="34DA890A">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2507" w:type="pct"/>
                  <w:noWrap w:val="0"/>
                  <w:vAlign w:val="center"/>
                </w:tcPr>
                <w:p w14:paraId="18F4585D">
                  <w:pPr>
                    <w:widowControl/>
                    <w:jc w:val="left"/>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危险废物环境重点监管单位要在出入口、设施内部、危险废物运输车辆通道等关键位置设置视频监控并与中控室联网，通过设立公开栏、标志牌等方式，主动公开危险废物产生和利用处置等有关信息。集中焚烧处置单位及有自建危废焚烧处置设施的单位要依法及时公开二燃室温度等工况运行指标以及污染物排放指标、浓度等有关信息，并联网至属地生态环境部门。危险废物经营单位应同步公开许可证、许可条件等全文信息。</w:t>
                  </w:r>
                </w:p>
              </w:tc>
              <w:tc>
                <w:tcPr>
                  <w:tcW w:w="1487" w:type="pct"/>
                  <w:noWrap w:val="0"/>
                  <w:vAlign w:val="center"/>
                </w:tcPr>
                <w:p w14:paraId="05F9EA25">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val="en-US" w:eastAsia="zh-CN" w:bidi="ar"/>
                    </w:rPr>
                    <w:t>待项目建成后，</w:t>
                  </w:r>
                  <w:r>
                    <w:rPr>
                      <w:rFonts w:hint="default" w:ascii="Times New Roman" w:hAnsi="Times New Roman" w:cs="Times New Roman"/>
                      <w:color w:val="auto"/>
                      <w:kern w:val="0"/>
                      <w:sz w:val="21"/>
                      <w:szCs w:val="21"/>
                      <w:lang w:bidi="ar"/>
                    </w:rPr>
                    <w:t>危废仓库按照要求设置视频监控并与中控室联网。在危废贮存库外的显著位置设置平面</w:t>
                  </w:r>
                  <w:r>
                    <w:rPr>
                      <w:rFonts w:hint="default" w:ascii="Times New Roman" w:hAnsi="Times New Roman" w:cs="Times New Roman"/>
                      <w:color w:val="auto"/>
                      <w:kern w:val="0"/>
                      <w:sz w:val="21"/>
                      <w:szCs w:val="21"/>
                      <w:lang w:eastAsia="zh-CN" w:bidi="ar"/>
                    </w:rPr>
                    <w:t>固定式</w:t>
                  </w:r>
                  <w:r>
                    <w:rPr>
                      <w:rFonts w:hint="default" w:ascii="Times New Roman" w:hAnsi="Times New Roman" w:cs="Times New Roman"/>
                      <w:color w:val="auto"/>
                      <w:kern w:val="0"/>
                      <w:sz w:val="21"/>
                      <w:szCs w:val="21"/>
                      <w:lang w:bidi="ar"/>
                    </w:rPr>
                    <w:t>设施警示标识牌，公开危险废物产生和利用处置等有关信息。</w:t>
                  </w:r>
                </w:p>
              </w:tc>
              <w:tc>
                <w:tcPr>
                  <w:tcW w:w="628" w:type="pct"/>
                  <w:noWrap w:val="0"/>
                  <w:vAlign w:val="center"/>
                </w:tcPr>
                <w:p w14:paraId="241F1B87">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相符</w:t>
                  </w:r>
                </w:p>
              </w:tc>
            </w:tr>
            <w:tr w14:paraId="7D7EF4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7" w:type="pct"/>
                  <w:noWrap w:val="0"/>
                  <w:vAlign w:val="center"/>
                </w:tcPr>
                <w:p w14:paraId="72CF9B8B">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w:t>
                  </w:r>
                </w:p>
              </w:tc>
              <w:tc>
                <w:tcPr>
                  <w:tcW w:w="2507" w:type="pct"/>
                  <w:noWrap w:val="0"/>
                  <w:vAlign w:val="center"/>
                </w:tcPr>
                <w:p w14:paraId="11A5DF92">
                  <w:pPr>
                    <w:widowControl/>
                    <w:jc w:val="left"/>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企业需按照《一般工业固体废物管理台账制定指南（试行）》（生态环境部2021年第82号公告）要求，建立一般工业固废台账，污泥、矿渣等同时还需在固废管理信息系统申报，电子台账已有内容，不再另外制作纸质台账。</w:t>
                  </w:r>
                </w:p>
              </w:tc>
              <w:tc>
                <w:tcPr>
                  <w:tcW w:w="1487" w:type="pct"/>
                  <w:noWrap w:val="0"/>
                  <w:vAlign w:val="center"/>
                </w:tcPr>
                <w:p w14:paraId="13C9E062">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待项目建成后</w:t>
                  </w:r>
                  <w:r>
                    <w:rPr>
                      <w:rFonts w:hint="default" w:ascii="Times New Roman" w:hAnsi="Times New Roman" w:cs="Times New Roman"/>
                      <w:color w:val="auto"/>
                      <w:kern w:val="0"/>
                      <w:sz w:val="21"/>
                      <w:szCs w:val="21"/>
                      <w:lang w:eastAsia="zh-CN" w:bidi="ar"/>
                    </w:rPr>
                    <w:t>，</w:t>
                  </w:r>
                  <w:r>
                    <w:rPr>
                      <w:rFonts w:hint="default" w:ascii="Times New Roman" w:hAnsi="Times New Roman" w:cs="Times New Roman"/>
                      <w:color w:val="auto"/>
                      <w:kern w:val="0"/>
                      <w:sz w:val="21"/>
                      <w:szCs w:val="21"/>
                      <w:lang w:bidi="ar"/>
                    </w:rPr>
                    <w:t>将严格按照《一般工业固体废物管理台账制定指南（试行）》（生态环境部2021年第82号公告）要求，建立一般工业固废等台账。</w:t>
                  </w:r>
                </w:p>
              </w:tc>
              <w:tc>
                <w:tcPr>
                  <w:tcW w:w="628" w:type="pct"/>
                  <w:noWrap w:val="0"/>
                  <w:vAlign w:val="center"/>
                </w:tcPr>
                <w:p w14:paraId="4B37AB87">
                  <w:pPr>
                    <w:widowControl/>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相符</w:t>
                  </w:r>
                </w:p>
              </w:tc>
            </w:tr>
          </w:tbl>
          <w:p w14:paraId="6FA3A826">
            <w:pPr>
              <w:autoSpaceDE w:val="0"/>
              <w:autoSpaceDN w:val="0"/>
              <w:adjustRightInd w:val="0"/>
              <w:spacing w:line="360" w:lineRule="auto"/>
              <w:ind w:firstLine="420" w:firstLineChars="200"/>
              <w:jc w:val="left"/>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综上所述，本项目所产生的固体废物通过以上方法处理处置后，将不会对周围的环境产生影响，但必须指出的是，固体废物处理处置前在厂内的堆放、贮存场所应按照国家固体废物贮存有关要求设置，避免其对周围环境产生二次污染。通过以上措施，建设项目产生的固体废物均得到了妥善处置和利用，对外环境的影响可减至最低程度。</w:t>
            </w:r>
          </w:p>
          <w:p w14:paraId="57B4AA31">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cs="Times New Roman"/>
                <w:b w:val="0"/>
                <w:bCs w:val="0"/>
                <w:color w:val="auto"/>
                <w:kern w:val="0"/>
                <w:sz w:val="21"/>
                <w:szCs w:val="21"/>
                <w:lang w:val="en-US" w:eastAsia="zh-CN"/>
              </w:rPr>
              <w:t>②</w:t>
            </w:r>
            <w:r>
              <w:rPr>
                <w:rFonts w:hint="default" w:ascii="Times New Roman" w:hAnsi="Times New Roman" w:cs="Times New Roman"/>
                <w:b w:val="0"/>
                <w:bCs w:val="0"/>
                <w:color w:val="auto"/>
                <w:kern w:val="0"/>
                <w:sz w:val="21"/>
                <w:szCs w:val="21"/>
                <w:lang w:val="en-US" w:eastAsia="zh-CN"/>
              </w:rPr>
              <w:t>运输过程的环境影响分析</w:t>
            </w:r>
          </w:p>
          <w:p w14:paraId="4FE5F066">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项目危险废物产生后放入专门盛装危险废物的容器中，由带有防漏托盘的拖车转运至危废堆场内，防止转运过程中由于人为操作失误造成的容器倒翻等情况，因此，企业应加强培训和管理。此外项目危险废物产生地点距离危废堆场距离较近，因此，企业在加强管理的情况下，转运过程中出现散落、泄漏概率较小，对周围环境影响较小。</w:t>
            </w:r>
          </w:p>
          <w:p w14:paraId="6DB3096A">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项目产生的危险废物按照相应的包装要求进行包装，企业危险废物外运委托有资质的单位进行运输，严格执行《危险废物收集、贮存、运输技术规范》（HJ2025-2012）和《危险废物转移联单管理办法》，并制定好危险废物转移运输途中的污染防范及事故应急措施，严格 按照要求办理有关手续。运输单位在运输项目危险废物过程中应严格做好相应的防范措施，防止危险废物的泄露，或发生重大交通事故，具体措施如下： </w:t>
            </w:r>
          </w:p>
          <w:p w14:paraId="26E9B725">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A、采用专用车辆直接从企业将危险废物运送至处理处置单位厂内，运输过程严格遵守《中华人民共和国固体废物污染环境防治法》、《危险废物收集、贮存、运输技术规范》（HJ2025-2012）等相关规定。 </w:t>
            </w:r>
          </w:p>
          <w:p w14:paraId="2353442B">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B、运输途中不设中转站临时贮存，避免危险废物在中转站卸载和装载时发生二次污染的风险，及时由危险废物的产生地直接运送到处理处置单位厂内。 </w:t>
            </w:r>
          </w:p>
          <w:p w14:paraId="04B883CB">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C、在运输前应事先作出周密的运输计划，安排好运输车辆经过各路段的时间，尽量避免运输车辆在交通高峰期间通过市区。 </w:t>
            </w:r>
          </w:p>
          <w:p w14:paraId="67A38B19">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D、危险废物运输者应制定事故应急和防止运输过程中发生泄漏、丢失、扬散的保障措施和配备必要的设备，在危险废物发生泄漏时可以及时将危险废物收集，减少散失。 </w:t>
            </w:r>
          </w:p>
          <w:p w14:paraId="2E282FE8">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E、运输途中经过敏感点时应减速慢行，若危险废物发生泄漏时应立即将采取措施，将危险废物收集，减少危险废物的散失，避免对敏感点造成较大影响。 </w:t>
            </w:r>
          </w:p>
          <w:p w14:paraId="0B076D32">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通过上述分析可知，项目危险废物运输过程中在严格做好相应的防范措施后，对运输路线周围的环境及敏感点影响较小。 </w:t>
            </w:r>
          </w:p>
          <w:p w14:paraId="3E22380E">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eastAsia" w:ascii="Times New Roman" w:hAnsi="Times New Roman" w:cs="Times New Roman"/>
                <w:b w:val="0"/>
                <w:bCs w:val="0"/>
                <w:color w:val="auto"/>
                <w:kern w:val="0"/>
                <w:sz w:val="21"/>
                <w:szCs w:val="21"/>
                <w:lang w:val="en-US" w:eastAsia="zh-CN"/>
              </w:rPr>
              <w:t>③</w:t>
            </w:r>
            <w:r>
              <w:rPr>
                <w:rFonts w:hint="default" w:ascii="Times New Roman" w:hAnsi="Times New Roman" w:eastAsia="宋体" w:cs="Times New Roman"/>
                <w:b w:val="0"/>
                <w:bCs w:val="0"/>
                <w:color w:val="auto"/>
                <w:kern w:val="0"/>
                <w:sz w:val="21"/>
                <w:szCs w:val="21"/>
                <w:lang w:val="en-US" w:eastAsia="zh-CN"/>
              </w:rPr>
              <w:t xml:space="preserve">危险废物去向分析 </w:t>
            </w:r>
          </w:p>
          <w:p w14:paraId="2E6E7F93">
            <w:pPr>
              <w:autoSpaceDE w:val="0"/>
              <w:autoSpaceDN w:val="0"/>
              <w:adjustRightInd w:val="0"/>
              <w:spacing w:line="360" w:lineRule="auto"/>
              <w:ind w:firstLine="420" w:firstLineChars="200"/>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 xml:space="preserve">根据《江苏省人民政府办公厅关于加强危险废物污染防治工作的意见》“严格控制产生危险废物的项目建设，禁止审批无法落实危险废物利用、处置途径的项目，从严审批危险废物产生量大、本地无配套利用处置能力、且需设区市统筹解决的项目”的要求，建设项目所有危险废物必须落实利用、处置途径。项目位于江苏省南通市海门区，周边主要危废处置单位有南通九洲环保科技有限公司、江苏东江环境服务有限公司等，危废处置单位情况见下表： </w:t>
            </w:r>
          </w:p>
          <w:p w14:paraId="40EE6DE4">
            <w:pPr>
              <w:pStyle w:val="134"/>
              <w:adjustRightInd w:val="0"/>
              <w:snapToGrid w:val="0"/>
              <w:spacing w:line="240" w:lineRule="auto"/>
              <w:ind w:firstLine="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w:t>
            </w:r>
            <w:r>
              <w:rPr>
                <w:rFonts w:hint="default" w:ascii="Times New Roman" w:hAnsi="Times New Roman" w:cs="Times New Roman"/>
                <w:b/>
                <w:color w:val="auto"/>
                <w:sz w:val="21"/>
                <w:szCs w:val="21"/>
                <w:lang w:val="en-US" w:eastAsia="zh-CN"/>
              </w:rPr>
              <w:t>2</w:t>
            </w:r>
            <w:r>
              <w:rPr>
                <w:rFonts w:hint="eastAsia" w:cs="Times New Roman"/>
                <w:b/>
                <w:color w:val="auto"/>
                <w:sz w:val="21"/>
                <w:szCs w:val="21"/>
                <w:lang w:val="en-US" w:eastAsia="zh-CN"/>
              </w:rPr>
              <w:t>5</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项目周边危废处置单位情况一览表</w:t>
            </w:r>
          </w:p>
          <w:tbl>
            <w:tblPr>
              <w:tblStyle w:val="4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
              <w:gridCol w:w="975"/>
              <w:gridCol w:w="5693"/>
              <w:gridCol w:w="951"/>
            </w:tblGrid>
            <w:tr w14:paraId="2D3E84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4" w:type="dxa"/>
                  <w:noWrap w:val="0"/>
                  <w:vAlign w:val="center"/>
                </w:tcPr>
                <w:p w14:paraId="78DF24AC">
                  <w:pPr>
                    <w:keepLines/>
                    <w:widowControl/>
                    <w:jc w:val="center"/>
                    <w:rPr>
                      <w:rFonts w:hint="default" w:ascii="Times New Roman" w:hAnsi="Times New Roman" w:eastAsia="Times New Roman" w:cs="Times New Roman"/>
                      <w:b/>
                      <w:bCs/>
                      <w:color w:val="auto"/>
                      <w:sz w:val="21"/>
                      <w:szCs w:val="21"/>
                    </w:rPr>
                  </w:pPr>
                  <w:r>
                    <w:rPr>
                      <w:rFonts w:hint="default" w:ascii="Times New Roman" w:hAnsi="Times New Roman" w:eastAsia="Times New Roman" w:cs="Times New Roman"/>
                      <w:b/>
                      <w:bCs/>
                      <w:color w:val="auto"/>
                      <w:sz w:val="21"/>
                      <w:szCs w:val="21"/>
                    </w:rPr>
                    <w:t>名称</w:t>
                  </w:r>
                </w:p>
              </w:tc>
              <w:tc>
                <w:tcPr>
                  <w:tcW w:w="975" w:type="dxa"/>
                  <w:noWrap w:val="0"/>
                  <w:vAlign w:val="center"/>
                </w:tcPr>
                <w:p w14:paraId="7F5DA6D7">
                  <w:pPr>
                    <w:keepLines/>
                    <w:widowControl/>
                    <w:jc w:val="center"/>
                    <w:rPr>
                      <w:rFonts w:hint="default" w:ascii="Times New Roman" w:hAnsi="Times New Roman" w:eastAsia="Times New Roman" w:cs="Times New Roman"/>
                      <w:b/>
                      <w:bCs/>
                      <w:color w:val="auto"/>
                      <w:sz w:val="21"/>
                      <w:szCs w:val="21"/>
                    </w:rPr>
                  </w:pPr>
                  <w:r>
                    <w:rPr>
                      <w:rFonts w:hint="default" w:ascii="Times New Roman" w:hAnsi="Times New Roman" w:eastAsia="Times New Roman" w:cs="Times New Roman"/>
                      <w:b/>
                      <w:bCs/>
                      <w:color w:val="auto"/>
                      <w:sz w:val="21"/>
                      <w:szCs w:val="21"/>
                    </w:rPr>
                    <w:t>地址</w:t>
                  </w:r>
                </w:p>
              </w:tc>
              <w:tc>
                <w:tcPr>
                  <w:tcW w:w="5693" w:type="dxa"/>
                  <w:noWrap w:val="0"/>
                  <w:vAlign w:val="center"/>
                </w:tcPr>
                <w:p w14:paraId="5A9BB378">
                  <w:pPr>
                    <w:keepLines/>
                    <w:widowControl/>
                    <w:jc w:val="center"/>
                    <w:rPr>
                      <w:rFonts w:hint="default" w:ascii="Times New Roman" w:hAnsi="Times New Roman" w:eastAsia="Times New Roman" w:cs="Times New Roman"/>
                      <w:b/>
                      <w:bCs/>
                      <w:color w:val="auto"/>
                      <w:sz w:val="21"/>
                      <w:szCs w:val="21"/>
                    </w:rPr>
                  </w:pPr>
                  <w:r>
                    <w:rPr>
                      <w:rFonts w:hint="default" w:ascii="Times New Roman" w:hAnsi="Times New Roman" w:eastAsia="Times New Roman" w:cs="Times New Roman"/>
                      <w:b/>
                      <w:bCs/>
                      <w:color w:val="auto"/>
                      <w:sz w:val="21"/>
                      <w:szCs w:val="21"/>
                    </w:rPr>
                    <w:t>经营范围</w:t>
                  </w:r>
                </w:p>
              </w:tc>
              <w:tc>
                <w:tcPr>
                  <w:tcW w:w="951" w:type="dxa"/>
                  <w:noWrap w:val="0"/>
                  <w:vAlign w:val="center"/>
                </w:tcPr>
                <w:p w14:paraId="5C666239">
                  <w:pPr>
                    <w:keepLines/>
                    <w:widowControl/>
                    <w:jc w:val="center"/>
                    <w:rPr>
                      <w:rFonts w:hint="default" w:ascii="Times New Roman" w:hAnsi="Times New Roman" w:eastAsia="Times New Roman" w:cs="Times New Roman"/>
                      <w:b/>
                      <w:bCs/>
                      <w:color w:val="auto"/>
                      <w:sz w:val="21"/>
                      <w:szCs w:val="21"/>
                    </w:rPr>
                  </w:pPr>
                  <w:r>
                    <w:rPr>
                      <w:rFonts w:hint="default" w:ascii="Times New Roman" w:hAnsi="Times New Roman" w:eastAsia="Times New Roman" w:cs="Times New Roman"/>
                      <w:b/>
                      <w:bCs/>
                      <w:color w:val="auto"/>
                      <w:sz w:val="21"/>
                      <w:szCs w:val="21"/>
                    </w:rPr>
                    <w:t>处置能力t/a</w:t>
                  </w:r>
                </w:p>
              </w:tc>
            </w:tr>
            <w:tr w14:paraId="1C0254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94" w:type="dxa"/>
                  <w:noWrap w:val="0"/>
                  <w:vAlign w:val="center"/>
                </w:tcPr>
                <w:p w14:paraId="22BF99AA">
                  <w:pPr>
                    <w:keepLines/>
                    <w:widowControl/>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南通</w:t>
                  </w:r>
                  <w:r>
                    <w:rPr>
                      <w:rFonts w:hint="default" w:ascii="Times New Roman" w:hAnsi="Times New Roman" w:cs="Times New Roman"/>
                      <w:color w:val="auto"/>
                      <w:sz w:val="21"/>
                      <w:szCs w:val="21"/>
                      <w:lang w:val="en-US" w:eastAsia="zh-CN"/>
                    </w:rPr>
                    <w:t>九洲环保科技有限公司</w:t>
                  </w:r>
                </w:p>
              </w:tc>
              <w:tc>
                <w:tcPr>
                  <w:tcW w:w="975" w:type="dxa"/>
                  <w:noWrap w:val="0"/>
                  <w:vAlign w:val="center"/>
                </w:tcPr>
                <w:p w14:paraId="1C0AEC1F">
                  <w:pPr>
                    <w:keepLines/>
                    <w:widowControl/>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南通市如皋市长江镇规划路1号</w:t>
                  </w:r>
                </w:p>
              </w:tc>
              <w:tc>
                <w:tcPr>
                  <w:tcW w:w="5693" w:type="dxa"/>
                  <w:noWrap w:val="0"/>
                  <w:vAlign w:val="center"/>
                </w:tcPr>
                <w:p w14:paraId="72E6322A">
                  <w:pPr>
                    <w:keepLines/>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焚烧处置医药废物（HW02），废有机溶剂与含有机溶剂废物（HW06），废矿物油与含矿物油废物（HW08），油/水、烃/水混合物或</w:t>
                  </w:r>
                  <w:r>
                    <w:rPr>
                      <w:rFonts w:hint="eastAsia" w:ascii="Times New Roman" w:hAnsi="Times New Roman" w:cs="Times New Roman"/>
                      <w:color w:val="auto"/>
                      <w:sz w:val="21"/>
                      <w:szCs w:val="21"/>
                      <w:lang w:val="en-US" w:eastAsia="zh-CN"/>
                    </w:rPr>
                    <w:t>切削</w:t>
                  </w:r>
                  <w:r>
                    <w:rPr>
                      <w:rFonts w:hint="default" w:ascii="Times New Roman" w:hAnsi="Times New Roman" w:cs="Times New Roman"/>
                      <w:color w:val="auto"/>
                      <w:sz w:val="21"/>
                      <w:szCs w:val="21"/>
                      <w:lang w:val="en-US" w:eastAsia="zh-CN"/>
                    </w:rPr>
                    <w:t xml:space="preserve">液（HW09），精（蒸）馏残渣（HW11），染料、涂料废物（HW12），其他废物（HW49）（不含 309-001-49、900-042-49、900-044-49、900-045-49、900-999-49） </w:t>
                  </w:r>
                </w:p>
              </w:tc>
              <w:tc>
                <w:tcPr>
                  <w:tcW w:w="951" w:type="dxa"/>
                  <w:noWrap w:val="0"/>
                  <w:vAlign w:val="center"/>
                </w:tcPr>
                <w:p w14:paraId="7FC51542">
                  <w:pPr>
                    <w:keepLines/>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000</w:t>
                  </w:r>
                </w:p>
              </w:tc>
            </w:tr>
            <w:tr w14:paraId="210B7F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94" w:type="dxa"/>
                  <w:noWrap w:val="0"/>
                  <w:vAlign w:val="center"/>
                </w:tcPr>
                <w:p w14:paraId="7B1017D2">
                  <w:pPr>
                    <w:keepLines/>
                    <w:widowControl/>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江苏东江环境服务有限公司</w:t>
                  </w:r>
                </w:p>
              </w:tc>
              <w:tc>
                <w:tcPr>
                  <w:tcW w:w="975" w:type="dxa"/>
                  <w:noWrap w:val="0"/>
                  <w:vAlign w:val="center"/>
                </w:tcPr>
                <w:p w14:paraId="17C498EF">
                  <w:pPr>
                    <w:keepLines/>
                    <w:widowControl/>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南通市如东沿海经济开发区洋口化学工业园区海滨四路</w:t>
                  </w:r>
                </w:p>
              </w:tc>
              <w:tc>
                <w:tcPr>
                  <w:tcW w:w="5693" w:type="dxa"/>
                  <w:noWrap w:val="0"/>
                  <w:vAlign w:val="center"/>
                </w:tcPr>
                <w:p w14:paraId="4E081FE9">
                  <w:pPr>
                    <w:keepLines/>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焚烧处置医药废物（HW02），废药物、药品（HW03），农药废物（HW04），木材防腐剂废物（HW05），废有机溶剂与含有机溶剂废物（HW06），废矿物油与含矿物油废物（HW08），油/水、烃/水混合物或</w:t>
                  </w:r>
                  <w:r>
                    <w:rPr>
                      <w:rFonts w:hint="eastAsia" w:ascii="Times New Roman" w:hAnsi="Times New Roman" w:cs="Times New Roman"/>
                      <w:color w:val="auto"/>
                      <w:sz w:val="21"/>
                      <w:szCs w:val="21"/>
                      <w:lang w:val="en-US" w:eastAsia="zh-CN"/>
                    </w:rPr>
                    <w:t>切削</w:t>
                  </w:r>
                  <w:r>
                    <w:rPr>
                      <w:rFonts w:hint="default" w:ascii="Times New Roman" w:hAnsi="Times New Roman" w:cs="Times New Roman"/>
                      <w:color w:val="auto"/>
                      <w:sz w:val="21"/>
                      <w:szCs w:val="21"/>
                      <w:lang w:val="en-US" w:eastAsia="zh-CN"/>
                    </w:rPr>
                    <w:t xml:space="preserve">液（HW09），精（蒸）馏残渣（HW11），染料、涂料废物（HW12），有机树脂类废物（HW13），感光材料废物（HW16）、表面处理废物（HW17，仅限 336-050-17、336-051-17、336-052-17、336-053-17、336-054-17、336-055-17、336-056-17、336-057-17、336-058-17、336-059-17、336-060-17、336-061-17、336-062-17、336-063-17、336-064-17、336-066-17），废碱（HW35），含酚废物（HW39），含醚废物（HW40），含有机卤化物废物（HW45），其他废物（HW49,900-039-49、900-041-49、900-042-49、900-044-49、900-047-49、900-999-49），废催化剂（HW50,263-013-50、275-009-50、276-006-50、261-151-50） </w:t>
                  </w:r>
                </w:p>
              </w:tc>
              <w:tc>
                <w:tcPr>
                  <w:tcW w:w="951" w:type="dxa"/>
                  <w:noWrap w:val="0"/>
                  <w:vAlign w:val="center"/>
                </w:tcPr>
                <w:p w14:paraId="0AE6CF69">
                  <w:pPr>
                    <w:keepLines/>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13000</w:t>
                  </w:r>
                </w:p>
              </w:tc>
            </w:tr>
          </w:tbl>
          <w:p w14:paraId="24DBCC7A">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由上述分析可得，项目产生的危废可根据实际情况委托上表中的企业处置。</w:t>
            </w:r>
          </w:p>
          <w:p w14:paraId="0EB0D198">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（3）固体废物污染防治措施技术经济论证</w:t>
            </w:r>
          </w:p>
          <w:p w14:paraId="76CAE578">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①贮存场所（设施）污染防治措施及危废暂存区事故风险应急防范措施固体废弃物在外运处置之前，针对固体废物不同性质，采取在厂区内设置专门的固废仓库分类存放。 </w:t>
            </w:r>
          </w:p>
          <w:p w14:paraId="5C7F28E8">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固体废物贮存场所的面积满足贮存需求，做到贮存时间不超过一年。项目危险废物的暂存场所应按《危险废物贮存污染控制标准》（GB 18597-2023）要求设置，具体要求如下： </w:t>
            </w:r>
          </w:p>
          <w:p w14:paraId="676BC862">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A、地面与裙脚要用坚固、防渗的材料建造，建筑材料必须与危险废物相容。 </w:t>
            </w:r>
          </w:p>
          <w:p w14:paraId="4268FA51">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B、设施内要有安全照明设施和观察窗口。 </w:t>
            </w:r>
          </w:p>
          <w:p w14:paraId="19515FFF">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C、用以存放装载液体、半固体危险废物容器的地方，必须有耐腐蚀的硬化地面，且表面无裂隙。 </w:t>
            </w:r>
          </w:p>
          <w:p w14:paraId="6CFD3590">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D、应设计堵截泄漏的裙脚，地面与裙脚所围建的容积不低于堵截最大容器的最大储量或总储量的五分之一。 </w:t>
            </w:r>
          </w:p>
          <w:p w14:paraId="1D924579">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E、不相容的危险废物必须分开存放，并设有隔离间隔断。 </w:t>
            </w:r>
          </w:p>
          <w:p w14:paraId="0578BDD5">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同时应对危险废物存放设施实施严格的管理： </w:t>
            </w:r>
          </w:p>
          <w:p w14:paraId="258FE4B9">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A、危险废物贮存设施都必须按 GB15562.2的规定设置警示标志。 </w:t>
            </w:r>
          </w:p>
          <w:p w14:paraId="4C27BC6B">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B、危险废物贮存设施周围应设置围墙或其它防护栅栏。 </w:t>
            </w:r>
          </w:p>
          <w:p w14:paraId="4091F9E4">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C、危险废物贮存设施应配备通讯设备、照明设施、安全防护服装及工具，并设有应急防护设施。 </w:t>
            </w:r>
          </w:p>
          <w:p w14:paraId="7769FDB9">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D、危险废物贮存设施内清理出来的泄漏物，一律按危险废物处理。 </w:t>
            </w:r>
          </w:p>
          <w:p w14:paraId="41FBD9B1">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②运输过程的污染防治措施项目所处理的危险废物采用专门的车辆，密闭运输，严格禁止抛洒滴漏，杜绝在运输过程中造成环境的二次污染。在危险废物的运输中执行《危险废物收集贮存运输技术规范》（HJ2025-2012）中有关的规定和要求。具体如下： </w:t>
            </w:r>
          </w:p>
          <w:p w14:paraId="5D0489B6">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A、危险废物运输应由持有危险废物经营许可证的单位按照其许可证的经营范围组织实施，承担危险废物运输的单位应获得交通运输部门颁发的危险货物运输资质。 </w:t>
            </w:r>
          </w:p>
          <w:p w14:paraId="522466DE">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B、危险废物公路运输应按照《道路危险货物运输管理规定》(交通部令[2005年]第9号)、 JT617以及JT618执行。 </w:t>
            </w:r>
          </w:p>
          <w:p w14:paraId="294E65F8">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C、运输单位承运危险废物时，应在危险废物包装上按照GB18597附录A设置标志。 </w:t>
            </w:r>
          </w:p>
          <w:p w14:paraId="27D0B5DF">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D、危险废物公路运输时，运输车辆应按 GB13392设置车辆标志。 </w:t>
            </w:r>
          </w:p>
          <w:p w14:paraId="6B0C7070">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E、危险废物运输时的中转、装卸过程应遵守如下技术要求：卸载区的工作人员应熟悉废物的危险特性，并配备适当的个人防护装备；卸载区应配备必要的消防设备和设施，并设置明显的指示标志；危险废物装卸区应设置隔离设施。 </w:t>
            </w:r>
          </w:p>
          <w:p w14:paraId="6597AC84">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综上所述，项目危险废物由危险废物处置单位或专业危险废物运输公司负责，按相关规范进行，不对会周围居民及其它敏感点造成不利影响。 </w:t>
            </w:r>
          </w:p>
          <w:p w14:paraId="7C899D3F">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③危险废物处置管理要求 </w:t>
            </w:r>
          </w:p>
          <w:p w14:paraId="1651BBC6">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项目危险废物均委托给有相应处理资质的单位处理。建设方按照国家有关危险废物的处置规定对危险废物进行处置。主要做好以下几点要求： </w:t>
            </w:r>
          </w:p>
          <w:p w14:paraId="04E63B4A">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A、按国家有关规定申报登记产生危险废物的种类、数量、处置方法。 </w:t>
            </w:r>
          </w:p>
          <w:p w14:paraId="710EDEED">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B、在危险废物的收集和转运过程中采取相应的防火、防爆、防中毒、防扬散、防流失、防渗漏或者其他防止污染环境的措施。贮存的地方有水泥基底，以免污染土壤和地下水，同时具有遮避风雨的顶棚及特殊排水设施。所有贮存危险废物的容器定期检查。 </w:t>
            </w:r>
          </w:p>
          <w:p w14:paraId="00227179">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C、在危险废物的容器和包装物以及收集、贮存、运输、处置危险废物的设施、场所设置危险废物识别标志。对危险废物进行安全包装，并在包装的明显位置附上危险废物标签。 </w:t>
            </w:r>
          </w:p>
          <w:p w14:paraId="03038E12">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D、转移危险废物，必须按照国家有关规定填写危险废物转移联单，并向危险废物移出地环境保护局报告</w:t>
            </w:r>
          </w:p>
          <w:p w14:paraId="04DA9814">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④对照《关于开展工业固体废物排污许可管理工作的通知》（环办环评〔2021〕26号）相关要求： </w:t>
            </w:r>
          </w:p>
          <w:p w14:paraId="03CD588A">
            <w:pPr>
              <w:adjustRightInd w:val="0"/>
              <w:snapToGrid w:val="0"/>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 xml:space="preserve">根据《关于开展工业固体废物排污许可管理工作的通知》（环办环评〔2021〕26号），对于固废技术规范实施后首次申请排污许可证的产废单位，应按照相关行业排污许可证申请与核发技术规范和固废技术规范申领排污许可证，核发的排污许可证中一并载明工业固废环境管理要求。因此项目通过审批申领排污许可证时应明确工业固废环境管理的相关要求。 </w:t>
            </w:r>
          </w:p>
          <w:p w14:paraId="64D28E55">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5、地下水、土壤</w:t>
            </w:r>
          </w:p>
          <w:p w14:paraId="665EE886">
            <w:pPr>
              <w:numPr>
                <w:ilvl w:val="0"/>
                <w:numId w:val="0"/>
              </w:numPr>
              <w:spacing w:line="360" w:lineRule="auto"/>
              <w:ind w:leftChars="200" w:right="0" w:rightChars="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（1）地下水、土壤污染来源与污染途径</w:t>
            </w:r>
          </w:p>
          <w:p w14:paraId="62E026AE">
            <w:pPr>
              <w:numPr>
                <w:ilvl w:val="0"/>
                <w:numId w:val="0"/>
              </w:numPr>
              <w:spacing w:line="360" w:lineRule="auto"/>
              <w:ind w:right="0" w:righ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运营期生产过程中不抽取地下水。由于项目生产涉及有毒有害物质及危废物质，如果任意堆放在项目场地范围内，如发生泄漏、会对土壤孔隙度等理化性质产生一定的影响，有毒有害元素将可能进入土壤，对土壤造成污染，并有可能污染地下水。</w:t>
            </w:r>
          </w:p>
          <w:p w14:paraId="7E1DB6EC">
            <w:pPr>
              <w:numPr>
                <w:ilvl w:val="0"/>
                <w:numId w:val="0"/>
              </w:numPr>
              <w:spacing w:line="360" w:lineRule="auto"/>
              <w:ind w:right="0" w:righ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项目污染地下水、土壤的途径主要为固废临时存放点地面防渗层破裂，有害物泄漏并渗入地下导致地下水、土壤污染。各类固体废物处理不当，其中有害物质经雨水淋溶、流失，渗入地下导致地下水、土壤污染。</w:t>
            </w:r>
          </w:p>
          <w:p w14:paraId="33EC91A2">
            <w:pPr>
              <w:numPr>
                <w:ilvl w:val="0"/>
                <w:numId w:val="0"/>
              </w:numPr>
              <w:spacing w:line="360" w:lineRule="auto"/>
              <w:ind w:right="0" w:rightChars="0"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（2）地下水、土壤环境影响分析</w:t>
            </w:r>
          </w:p>
          <w:p w14:paraId="3B232C02">
            <w:pPr>
              <w:numPr>
                <w:ilvl w:val="0"/>
                <w:numId w:val="0"/>
              </w:numPr>
              <w:spacing w:line="360" w:lineRule="auto"/>
              <w:ind w:right="0" w:righ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本项目不自建地下水井，项目无生产废水，现有生活污水经预处理后由市政污水管网排入污水处理厂处理，污水管渗漏率极低，因此，生活污水的排放对地下水、土壤的影响有限。</w:t>
            </w:r>
          </w:p>
          <w:p w14:paraId="3EF5C0CE">
            <w:pPr>
              <w:numPr>
                <w:ilvl w:val="0"/>
                <w:numId w:val="0"/>
              </w:numPr>
              <w:spacing w:line="360" w:lineRule="auto"/>
              <w:ind w:right="0" w:righ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项目所在地不属于生活供水水源地准保护区，不属于国家或地方设立的热水、矿泉水、温泉等特殊地下水资源保护区，因此项目生活污水不会对地下水、土壤产生明显影响。</w:t>
            </w:r>
          </w:p>
          <w:p w14:paraId="0B735E60">
            <w:pPr>
              <w:numPr>
                <w:ilvl w:val="0"/>
                <w:numId w:val="0"/>
              </w:numPr>
              <w:spacing w:line="360" w:lineRule="auto"/>
              <w:ind w:right="0" w:rightChars="0"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（3）防治措施</w:t>
            </w:r>
          </w:p>
          <w:p w14:paraId="79B85418">
            <w:pPr>
              <w:numPr>
                <w:ilvl w:val="0"/>
                <w:numId w:val="0"/>
              </w:numPr>
              <w:spacing w:line="360" w:lineRule="auto"/>
              <w:ind w:right="0" w:righ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次评价主要考虑各类污染防治措施运行过程中发生的跑冒滴漏等。当发生上述泄露情况下，污染物可能渗透到含水层对地下水水质造成影响，并通过扩散和渗透作用对周边区域的地下水、土壤环境造成影响。根据项目的地下水、土壤污染影响来源，</w:t>
            </w:r>
          </w:p>
          <w:p w14:paraId="50B3AF37">
            <w:pPr>
              <w:numPr>
                <w:ilvl w:val="0"/>
                <w:numId w:val="0"/>
              </w:numPr>
              <w:spacing w:line="360" w:lineRule="auto"/>
              <w:ind w:right="0" w:rightChars="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本报告提出如下污染防治措施：</w:t>
            </w:r>
          </w:p>
          <w:p w14:paraId="3C1D8BDC">
            <w:pPr>
              <w:spacing w:line="360" w:lineRule="auto"/>
              <w:ind w:firstLine="420" w:firstLineChars="2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1）分区防渗措施防止地下水、土壤污染，项目保护地下水、土壤分区防护措施详见表4-2</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lang w:val="en-US" w:eastAsia="zh-CN"/>
              </w:rPr>
              <w:t>。</w:t>
            </w:r>
          </w:p>
          <w:p w14:paraId="207B1A47">
            <w:pPr>
              <w:keepNext w:val="0"/>
              <w:keepLines w:val="0"/>
              <w:pageBreakBefore w:val="0"/>
              <w:widowControl w:val="0"/>
              <w:kinsoku/>
              <w:wordWrap/>
              <w:overflowPunct/>
              <w:topLinePunct w:val="0"/>
              <w:autoSpaceDE/>
              <w:autoSpaceDN/>
              <w:bidi w:val="0"/>
              <w:spacing w:line="240" w:lineRule="auto"/>
              <w:ind w:firstLine="422" w:firstLineChars="20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表4-</w:t>
            </w:r>
            <w:r>
              <w:rPr>
                <w:rFonts w:hint="default" w:ascii="Times New Roman" w:hAnsi="Times New Roman" w:cs="Times New Roman"/>
                <w:b/>
                <w:bCs/>
                <w:color w:val="auto"/>
                <w:kern w:val="0"/>
                <w:sz w:val="21"/>
                <w:szCs w:val="21"/>
                <w:lang w:val="en-US" w:eastAsia="zh-CN"/>
              </w:rPr>
              <w:t>2</w:t>
            </w:r>
            <w:r>
              <w:rPr>
                <w:rFonts w:hint="eastAsia" w:ascii="Times New Roman" w:hAnsi="Times New Roman" w:cs="Times New Roman"/>
                <w:b/>
                <w:bCs/>
                <w:color w:val="auto"/>
                <w:kern w:val="0"/>
                <w:sz w:val="21"/>
                <w:szCs w:val="21"/>
                <w:lang w:val="en-US" w:eastAsia="zh-CN"/>
              </w:rPr>
              <w:t>6</w:t>
            </w:r>
            <w:r>
              <w:rPr>
                <w:rFonts w:hint="default" w:ascii="Times New Roman" w:hAnsi="Times New Roman" w:cs="Times New Roman"/>
                <w:b/>
                <w:bCs/>
                <w:color w:val="auto"/>
                <w:kern w:val="0"/>
                <w:sz w:val="21"/>
                <w:szCs w:val="21"/>
                <w:lang w:val="en-US" w:eastAsia="zh-CN"/>
              </w:rPr>
              <w:t xml:space="preserve"> </w:t>
            </w:r>
            <w:r>
              <w:rPr>
                <w:rFonts w:hint="default" w:ascii="Times New Roman" w:hAnsi="Times New Roman" w:cs="Times New Roman"/>
                <w:b/>
                <w:bCs/>
                <w:color w:val="auto"/>
                <w:kern w:val="0"/>
                <w:sz w:val="21"/>
                <w:szCs w:val="21"/>
              </w:rPr>
              <w:t xml:space="preserve"> 本项目分区防渗方案及防渗措施表</w:t>
            </w:r>
          </w:p>
          <w:tbl>
            <w:tblPr>
              <w:tblStyle w:val="4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05"/>
              <w:gridCol w:w="1207"/>
              <w:gridCol w:w="1879"/>
              <w:gridCol w:w="4377"/>
            </w:tblGrid>
            <w:tr w14:paraId="49A9C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487" w:type="pct"/>
                  <w:noWrap w:val="0"/>
                  <w:vAlign w:val="center"/>
                </w:tcPr>
                <w:p w14:paraId="777E68EE">
                  <w:pPr>
                    <w:ind w:right="6"/>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序号</w:t>
                  </w:r>
                </w:p>
              </w:tc>
              <w:tc>
                <w:tcPr>
                  <w:tcW w:w="730" w:type="pct"/>
                  <w:noWrap w:val="0"/>
                  <w:vAlign w:val="center"/>
                </w:tcPr>
                <w:p w14:paraId="19715A24">
                  <w:pPr>
                    <w:ind w:right="6"/>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防治分区</w:t>
                  </w:r>
                </w:p>
              </w:tc>
              <w:tc>
                <w:tcPr>
                  <w:tcW w:w="1136" w:type="pct"/>
                  <w:noWrap w:val="0"/>
                  <w:vAlign w:val="center"/>
                </w:tcPr>
                <w:p w14:paraId="7910AFEF">
                  <w:pPr>
                    <w:ind w:right="6"/>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分区位置</w:t>
                  </w:r>
                </w:p>
              </w:tc>
              <w:tc>
                <w:tcPr>
                  <w:tcW w:w="2646" w:type="pct"/>
                  <w:noWrap w:val="0"/>
                  <w:vAlign w:val="center"/>
                </w:tcPr>
                <w:p w14:paraId="07BF99E3">
                  <w:pPr>
                    <w:ind w:right="6"/>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防渗要求</w:t>
                  </w:r>
                </w:p>
              </w:tc>
            </w:tr>
            <w:tr w14:paraId="5B48AF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487" w:type="pct"/>
                  <w:tcBorders>
                    <w:top w:val="single" w:color="auto" w:sz="4" w:space="0"/>
                    <w:bottom w:val="single" w:color="auto" w:sz="4" w:space="0"/>
                  </w:tcBorders>
                  <w:noWrap w:val="0"/>
                  <w:vAlign w:val="center"/>
                </w:tcPr>
                <w:p w14:paraId="2A24A7C1">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730" w:type="pct"/>
                  <w:tcBorders>
                    <w:top w:val="single" w:color="auto" w:sz="4" w:space="0"/>
                    <w:bottom w:val="single" w:color="auto" w:sz="4" w:space="0"/>
                  </w:tcBorders>
                  <w:noWrap w:val="0"/>
                  <w:vAlign w:val="center"/>
                </w:tcPr>
                <w:p w14:paraId="40884B6D">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重点污染防治区</w:t>
                  </w:r>
                </w:p>
              </w:tc>
              <w:tc>
                <w:tcPr>
                  <w:tcW w:w="1136" w:type="pct"/>
                  <w:noWrap w:val="0"/>
                  <w:vAlign w:val="center"/>
                </w:tcPr>
                <w:p w14:paraId="760C7CA9">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危废暂存仓库</w:t>
                  </w:r>
                </w:p>
              </w:tc>
              <w:tc>
                <w:tcPr>
                  <w:tcW w:w="2646" w:type="pct"/>
                  <w:noWrap w:val="0"/>
                  <w:vAlign w:val="center"/>
                </w:tcPr>
                <w:p w14:paraId="7EDFE019">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依据国家危险贮存标准要求设计、施工，采用钢筋砼框架结构+轻质外围护墙体，并采用底部加设土工膜进行防渗，使渗透系数不大于1.0×10 -10cm/s，且防雨和防晒</w:t>
                  </w:r>
                </w:p>
              </w:tc>
            </w:tr>
            <w:tr w14:paraId="6B7309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487" w:type="pct"/>
                  <w:tcBorders>
                    <w:top w:val="single" w:color="auto" w:sz="4" w:space="0"/>
                  </w:tcBorders>
                  <w:noWrap w:val="0"/>
                  <w:vAlign w:val="center"/>
                </w:tcPr>
                <w:p w14:paraId="5A8BD779">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730" w:type="pct"/>
                  <w:vMerge w:val="restart"/>
                  <w:tcBorders>
                    <w:top w:val="single" w:color="auto" w:sz="4" w:space="0"/>
                  </w:tcBorders>
                  <w:noWrap w:val="0"/>
                  <w:vAlign w:val="center"/>
                </w:tcPr>
                <w:p w14:paraId="3C12C8FE">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一般污染防治区</w:t>
                  </w:r>
                </w:p>
              </w:tc>
              <w:tc>
                <w:tcPr>
                  <w:tcW w:w="1136" w:type="pct"/>
                  <w:noWrap w:val="0"/>
                  <w:vAlign w:val="center"/>
                </w:tcPr>
                <w:p w14:paraId="309AAD2C">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一般固废暂存场所</w:t>
                  </w:r>
                </w:p>
              </w:tc>
              <w:tc>
                <w:tcPr>
                  <w:tcW w:w="2646" w:type="pct"/>
                  <w:vMerge w:val="restart"/>
                  <w:noWrap w:val="0"/>
                  <w:vAlign w:val="center"/>
                </w:tcPr>
                <w:p w14:paraId="5017B60F">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地面基础防渗和构筑物防渗等级达到渗透系数≤1.0×10-7cm/s，相当于不小于1.5m厚的粘土防护</w:t>
                  </w:r>
                </w:p>
              </w:tc>
            </w:tr>
            <w:tr w14:paraId="2F394A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487" w:type="pct"/>
                  <w:tcBorders>
                    <w:top w:val="single" w:color="auto" w:sz="4" w:space="0"/>
                  </w:tcBorders>
                  <w:noWrap w:val="0"/>
                  <w:vAlign w:val="center"/>
                </w:tcPr>
                <w:p w14:paraId="4A68F6EE">
                  <w:pPr>
                    <w:jc w:val="center"/>
                    <w:rPr>
                      <w:rFonts w:hint="default" w:ascii="Times New Roman" w:hAnsi="Times New Roman" w:cs="Times New Roman"/>
                      <w:color w:val="auto"/>
                      <w:kern w:val="0"/>
                      <w:szCs w:val="21"/>
                    </w:rPr>
                  </w:pPr>
                </w:p>
              </w:tc>
              <w:tc>
                <w:tcPr>
                  <w:tcW w:w="730" w:type="pct"/>
                  <w:vMerge w:val="continue"/>
                  <w:noWrap w:val="0"/>
                  <w:vAlign w:val="center"/>
                </w:tcPr>
                <w:p w14:paraId="7B25813E">
                  <w:pPr>
                    <w:jc w:val="center"/>
                    <w:rPr>
                      <w:rFonts w:hint="default" w:ascii="Times New Roman" w:hAnsi="Times New Roman" w:cs="Times New Roman"/>
                      <w:color w:val="auto"/>
                      <w:kern w:val="0"/>
                      <w:szCs w:val="21"/>
                    </w:rPr>
                  </w:pPr>
                </w:p>
              </w:tc>
              <w:tc>
                <w:tcPr>
                  <w:tcW w:w="1136" w:type="pct"/>
                  <w:noWrap w:val="0"/>
                  <w:vAlign w:val="center"/>
                </w:tcPr>
                <w:p w14:paraId="0FFA99C2">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原料仓库</w:t>
                  </w:r>
                </w:p>
              </w:tc>
              <w:tc>
                <w:tcPr>
                  <w:tcW w:w="2646" w:type="pct"/>
                  <w:vMerge w:val="continue"/>
                  <w:noWrap w:val="0"/>
                  <w:vAlign w:val="center"/>
                </w:tcPr>
                <w:p w14:paraId="413A6079">
                  <w:pPr>
                    <w:jc w:val="center"/>
                    <w:rPr>
                      <w:rFonts w:hint="default" w:ascii="Times New Roman" w:hAnsi="Times New Roman" w:eastAsia="宋体" w:cs="Times New Roman"/>
                      <w:color w:val="auto"/>
                      <w:kern w:val="0"/>
                      <w:szCs w:val="21"/>
                      <w:lang w:val="en-US" w:eastAsia="zh-CN"/>
                    </w:rPr>
                  </w:pPr>
                </w:p>
              </w:tc>
            </w:tr>
            <w:tr w14:paraId="67A23A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487" w:type="pct"/>
                  <w:noWrap w:val="0"/>
                  <w:vAlign w:val="center"/>
                </w:tcPr>
                <w:p w14:paraId="6D7CA8E5">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730" w:type="pct"/>
                  <w:vMerge w:val="continue"/>
                  <w:noWrap w:val="0"/>
                  <w:vAlign w:val="center"/>
                </w:tcPr>
                <w:p w14:paraId="208AAE2A">
                  <w:pPr>
                    <w:jc w:val="center"/>
                    <w:rPr>
                      <w:rFonts w:hint="default" w:ascii="Times New Roman" w:hAnsi="Times New Roman" w:cs="Times New Roman"/>
                      <w:color w:val="auto"/>
                      <w:kern w:val="0"/>
                      <w:szCs w:val="21"/>
                    </w:rPr>
                  </w:pPr>
                </w:p>
              </w:tc>
              <w:tc>
                <w:tcPr>
                  <w:tcW w:w="1136" w:type="pct"/>
                  <w:noWrap w:val="0"/>
                  <w:vAlign w:val="center"/>
                </w:tcPr>
                <w:p w14:paraId="49FB9ADA">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生产车间</w:t>
                  </w:r>
                </w:p>
              </w:tc>
              <w:tc>
                <w:tcPr>
                  <w:tcW w:w="2646" w:type="pct"/>
                  <w:vMerge w:val="continue"/>
                  <w:noWrap w:val="0"/>
                  <w:vAlign w:val="center"/>
                </w:tcPr>
                <w:p w14:paraId="45E66C66">
                  <w:pPr>
                    <w:jc w:val="center"/>
                    <w:rPr>
                      <w:rFonts w:hint="default" w:ascii="Times New Roman" w:hAnsi="Times New Roman" w:cs="Times New Roman"/>
                      <w:color w:val="auto"/>
                      <w:kern w:val="0"/>
                      <w:szCs w:val="21"/>
                    </w:rPr>
                  </w:pPr>
                </w:p>
              </w:tc>
            </w:tr>
            <w:tr w14:paraId="65B77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487" w:type="pct"/>
                  <w:noWrap w:val="0"/>
                  <w:vAlign w:val="center"/>
                </w:tcPr>
                <w:p w14:paraId="3EA06EF6">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730" w:type="pct"/>
                  <w:noWrap w:val="0"/>
                  <w:vAlign w:val="center"/>
                </w:tcPr>
                <w:p w14:paraId="0E4ED4CF">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简单防渗区</w:t>
                  </w:r>
                </w:p>
              </w:tc>
              <w:tc>
                <w:tcPr>
                  <w:tcW w:w="1136" w:type="pct"/>
                  <w:noWrap w:val="0"/>
                  <w:vAlign w:val="center"/>
                </w:tcPr>
                <w:p w14:paraId="287B5AE3">
                  <w:pPr>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办公</w:t>
                  </w:r>
                  <w:r>
                    <w:rPr>
                      <w:rFonts w:hint="default" w:ascii="Times New Roman" w:hAnsi="Times New Roman" w:cs="Times New Roman"/>
                      <w:color w:val="auto"/>
                      <w:kern w:val="0"/>
                      <w:szCs w:val="21"/>
                      <w:lang w:eastAsia="zh-CN"/>
                    </w:rPr>
                    <w:t>区</w:t>
                  </w:r>
                </w:p>
              </w:tc>
              <w:tc>
                <w:tcPr>
                  <w:tcW w:w="2646" w:type="pct"/>
                  <w:noWrap w:val="0"/>
                  <w:vAlign w:val="center"/>
                </w:tcPr>
                <w:p w14:paraId="2584C383">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一般地面硬化</w:t>
                  </w:r>
                </w:p>
              </w:tc>
            </w:tr>
          </w:tbl>
          <w:p w14:paraId="6E2186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2）厂房门口设置缓坡，当发生事故时，将事故废水堵截在厂区事故应急池内暂存，防止发生事故时事故废水污染地下水，同时厂房内应做好防腐、防渗措施。</w:t>
            </w:r>
          </w:p>
          <w:p w14:paraId="58F8AE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3）对于泄露的物料应有具体防治措施，及时将泄露的物料收集并处理，防止其渗入地下。</w:t>
            </w:r>
          </w:p>
          <w:p w14:paraId="092176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4）采用国际先进的生产工艺和生产设备，进一步提高生产效益和劳动生产率，减少原材料消耗和污染物的排放。同时加强厂区内的计量和计量器具的维护管理，杜绝跑、冒、滴、漏等浪费现象的发生。</w:t>
            </w:r>
          </w:p>
          <w:p w14:paraId="61BDED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5）保证厂房所需的生活用水均由工业区给水管网统一供给，不开采地下水资源。</w:t>
            </w:r>
          </w:p>
          <w:p w14:paraId="50813B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综上所述，项目营运期不会对项目所在地的地下水、土壤造成明显的不良影响，本项目做好地面防渗等相关措施后可无需进行地下水、土壤跟踪监测。</w:t>
            </w:r>
          </w:p>
          <w:p w14:paraId="33ABA231">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6、生态</w:t>
            </w:r>
          </w:p>
          <w:p w14:paraId="02791839">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本项目位于南通市</w:t>
            </w:r>
            <w:r>
              <w:rPr>
                <w:rFonts w:hint="default" w:ascii="Times New Roman" w:hAnsi="Times New Roman" w:cs="Times New Roman"/>
                <w:color w:val="auto"/>
                <w:sz w:val="21"/>
                <w:szCs w:val="21"/>
                <w:lang w:eastAsia="zh-CN"/>
              </w:rPr>
              <w:t>海门经济技术开发区厦门路</w:t>
            </w:r>
            <w:r>
              <w:rPr>
                <w:rFonts w:hint="default" w:ascii="Times New Roman" w:hAnsi="Times New Roman" w:cs="Times New Roman"/>
                <w:color w:val="auto"/>
                <w:sz w:val="21"/>
                <w:szCs w:val="21"/>
                <w:lang w:val="en-US" w:eastAsia="zh-CN"/>
              </w:rPr>
              <w:t>108</w:t>
            </w:r>
            <w:r>
              <w:rPr>
                <w:rFonts w:hint="default" w:ascii="Times New Roman" w:hAnsi="Times New Roman" w:cs="Times New Roman"/>
                <w:color w:val="auto"/>
                <w:sz w:val="21"/>
                <w:szCs w:val="21"/>
                <w:lang w:eastAsia="zh-CN"/>
              </w:rPr>
              <w:t>号</w:t>
            </w:r>
            <w:r>
              <w:rPr>
                <w:rFonts w:hint="default" w:ascii="Times New Roman" w:hAnsi="Times New Roman" w:cs="Times New Roman"/>
                <w:color w:val="auto"/>
                <w:sz w:val="21"/>
                <w:szCs w:val="21"/>
              </w:rPr>
              <w:t>，用地范围内无生态环境保护目标，对周围生态环境基本不产生影响。</w:t>
            </w:r>
          </w:p>
          <w:p w14:paraId="205F60FE">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7、环境风险</w:t>
            </w:r>
          </w:p>
          <w:p w14:paraId="51BFC8AA">
            <w:pPr>
              <w:keepNext w:val="0"/>
              <w:keepLines/>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物质危险性识别</w:t>
            </w:r>
          </w:p>
          <w:p w14:paraId="1E048208">
            <w:pPr>
              <w:adjustRightInd w:val="0"/>
              <w:snapToGrid w:val="0"/>
              <w:spacing w:line="360" w:lineRule="auto"/>
              <w:ind w:firstLine="420" w:firstLineChars="200"/>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color w:val="auto"/>
                <w:sz w:val="21"/>
                <w:szCs w:val="21"/>
              </w:rPr>
              <w:t>物质危险性识别包括主要原辅材料、燃料、中间产品、副产品、最终产品、污染物、火灾和爆炸伴生/次生物等。根据《建设项目环境风险评价技术导则》（HJ169-2018）</w:t>
            </w:r>
            <w:r>
              <w:rPr>
                <w:rFonts w:hint="default" w:ascii="Times New Roman" w:hAnsi="Times New Roman" w:cs="Times New Roman"/>
                <w:color w:val="auto"/>
                <w:sz w:val="21"/>
                <w:szCs w:val="21"/>
                <w:lang w:eastAsia="zh-CN"/>
              </w:rPr>
              <w:t>，本项目风险物质具体情况见下表</w:t>
            </w:r>
            <w:r>
              <w:rPr>
                <w:rFonts w:hint="default" w:ascii="Times New Roman" w:hAnsi="Times New Roman" w:eastAsia="宋体" w:cs="Times New Roman"/>
                <w:b w:val="0"/>
                <w:bCs/>
                <w:color w:val="auto"/>
                <w:sz w:val="21"/>
                <w:szCs w:val="21"/>
                <w:lang w:eastAsia="zh-CN"/>
              </w:rPr>
              <w:t>。</w:t>
            </w:r>
          </w:p>
          <w:p w14:paraId="7E47BA21">
            <w:pPr>
              <w:pStyle w:val="215"/>
              <w:adjustRightInd w:val="0"/>
              <w:snapToGrid w:val="0"/>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4-2</w:t>
            </w:r>
            <w:r>
              <w:rPr>
                <w:rFonts w:hint="eastAsia" w:ascii="Times New Roman" w:hAnsi="Times New Roman" w:cs="Times New Roman"/>
                <w:b/>
                <w:bCs/>
                <w:color w:val="auto"/>
                <w:sz w:val="21"/>
                <w:szCs w:val="21"/>
                <w:lang w:val="en-US" w:eastAsia="zh-CN"/>
              </w:rPr>
              <w:t>7</w:t>
            </w:r>
            <w:r>
              <w:rPr>
                <w:rFonts w:hint="default" w:ascii="Times New Roman" w:hAnsi="Times New Roman" w:cs="Times New Roman"/>
                <w:b/>
                <w:bCs/>
                <w:color w:val="auto"/>
                <w:sz w:val="21"/>
                <w:szCs w:val="21"/>
              </w:rPr>
              <w:t xml:space="preserve"> 主要危险物质的理化性、毒理性及物质危险性鉴别表</w:t>
            </w:r>
          </w:p>
          <w:tbl>
            <w:tblPr>
              <w:tblStyle w:val="4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5"/>
              <w:gridCol w:w="1697"/>
              <w:gridCol w:w="1408"/>
              <w:gridCol w:w="1408"/>
              <w:gridCol w:w="1395"/>
              <w:gridCol w:w="1665"/>
            </w:tblGrid>
            <w:tr w14:paraId="7AA71C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420" w:type="pct"/>
                  <w:tcBorders>
                    <w:right w:val="single" w:color="auto" w:sz="4" w:space="0"/>
                  </w:tcBorders>
                  <w:noWrap w:val="0"/>
                  <w:vAlign w:val="center"/>
                </w:tcPr>
                <w:p w14:paraId="5282BD59">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序号</w:t>
                  </w:r>
                </w:p>
              </w:tc>
              <w:tc>
                <w:tcPr>
                  <w:tcW w:w="1026" w:type="pct"/>
                  <w:tcBorders>
                    <w:left w:val="single" w:color="auto" w:sz="4" w:space="0"/>
                  </w:tcBorders>
                  <w:noWrap w:val="0"/>
                  <w:vAlign w:val="center"/>
                </w:tcPr>
                <w:p w14:paraId="368B3767">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851" w:type="pct"/>
                  <w:tcBorders>
                    <w:right w:val="single" w:color="auto" w:sz="4" w:space="0"/>
                  </w:tcBorders>
                  <w:noWrap w:val="0"/>
                  <w:vAlign w:val="center"/>
                </w:tcPr>
                <w:p w14:paraId="639DDC10">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eastAsia="zh-CN"/>
                    </w:rPr>
                    <w:t>最大</w:t>
                  </w:r>
                  <w:r>
                    <w:rPr>
                      <w:rFonts w:hint="default" w:ascii="Times New Roman" w:hAnsi="Times New Roman" w:cs="Times New Roman"/>
                      <w:b/>
                      <w:bCs/>
                      <w:color w:val="auto"/>
                      <w:sz w:val="21"/>
                      <w:szCs w:val="21"/>
                    </w:rPr>
                    <w:t>贮存量t</w:t>
                  </w:r>
                </w:p>
              </w:tc>
              <w:tc>
                <w:tcPr>
                  <w:tcW w:w="851" w:type="pct"/>
                  <w:tcBorders>
                    <w:left w:val="single" w:color="auto" w:sz="4" w:space="0"/>
                  </w:tcBorders>
                  <w:noWrap w:val="0"/>
                  <w:vAlign w:val="center"/>
                </w:tcPr>
                <w:p w14:paraId="61955A38">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区域</w:t>
                  </w:r>
                </w:p>
              </w:tc>
              <w:tc>
                <w:tcPr>
                  <w:tcW w:w="843" w:type="pct"/>
                  <w:tcBorders>
                    <w:right w:val="single" w:color="auto" w:sz="4" w:space="0"/>
                  </w:tcBorders>
                  <w:noWrap w:val="0"/>
                  <w:vAlign w:val="center"/>
                </w:tcPr>
                <w:p w14:paraId="5D96AEF9">
                  <w:pPr>
                    <w:spacing w:line="24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临界量Q（t）</w:t>
                  </w:r>
                </w:p>
              </w:tc>
              <w:tc>
                <w:tcPr>
                  <w:tcW w:w="1006" w:type="pct"/>
                  <w:tcBorders>
                    <w:left w:val="single" w:color="auto" w:sz="4" w:space="0"/>
                  </w:tcBorders>
                  <w:noWrap w:val="0"/>
                  <w:vAlign w:val="center"/>
                </w:tcPr>
                <w:p w14:paraId="18BCE5AD">
                  <w:pPr>
                    <w:spacing w:line="24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q/Q</w:t>
                  </w:r>
                </w:p>
              </w:tc>
            </w:tr>
            <w:tr w14:paraId="4D9D8D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3BB82C8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026" w:type="pct"/>
                  <w:tcBorders>
                    <w:left w:val="single" w:color="auto" w:sz="4" w:space="0"/>
                  </w:tcBorders>
                  <w:noWrap w:val="0"/>
                  <w:vAlign w:val="center"/>
                </w:tcPr>
                <w:p w14:paraId="1881F92F">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润滑油</w:t>
                  </w:r>
                </w:p>
              </w:tc>
              <w:tc>
                <w:tcPr>
                  <w:tcW w:w="851" w:type="pct"/>
                  <w:tcBorders>
                    <w:right w:val="single" w:color="auto" w:sz="4" w:space="0"/>
                  </w:tcBorders>
                  <w:noWrap w:val="0"/>
                  <w:vAlign w:val="center"/>
                </w:tcPr>
                <w:p w14:paraId="139F11F3">
                  <w:pPr>
                    <w:adjustRightInd w:val="0"/>
                    <w:snapToGrid w:val="0"/>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w:t>
                  </w:r>
                </w:p>
              </w:tc>
              <w:tc>
                <w:tcPr>
                  <w:tcW w:w="851" w:type="pct"/>
                  <w:tcBorders>
                    <w:left w:val="single" w:color="auto" w:sz="4" w:space="0"/>
                  </w:tcBorders>
                  <w:noWrap w:val="0"/>
                  <w:vAlign w:val="center"/>
                </w:tcPr>
                <w:p w14:paraId="74730C19">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原料仓库</w:t>
                  </w:r>
                </w:p>
              </w:tc>
              <w:tc>
                <w:tcPr>
                  <w:tcW w:w="843" w:type="pct"/>
                  <w:tcBorders>
                    <w:right w:val="single" w:color="auto" w:sz="4" w:space="0"/>
                  </w:tcBorders>
                  <w:noWrap w:val="0"/>
                  <w:vAlign w:val="center"/>
                </w:tcPr>
                <w:p w14:paraId="73F203FA">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2500</w:t>
                  </w:r>
                </w:p>
              </w:tc>
              <w:tc>
                <w:tcPr>
                  <w:tcW w:w="1006" w:type="pct"/>
                  <w:tcBorders>
                    <w:left w:val="single" w:color="auto" w:sz="4" w:space="0"/>
                  </w:tcBorders>
                  <w:noWrap w:val="0"/>
                  <w:vAlign w:val="center"/>
                </w:tcPr>
                <w:p w14:paraId="6346848C">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0.0004</w:t>
                  </w:r>
                </w:p>
              </w:tc>
            </w:tr>
            <w:tr w14:paraId="4980F8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0B682AB2">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w:t>
                  </w:r>
                </w:p>
              </w:tc>
              <w:tc>
                <w:tcPr>
                  <w:tcW w:w="1026" w:type="pct"/>
                  <w:tcBorders>
                    <w:left w:val="single" w:color="auto" w:sz="4" w:space="0"/>
                  </w:tcBorders>
                  <w:noWrap w:val="0"/>
                  <w:vAlign w:val="center"/>
                </w:tcPr>
                <w:p w14:paraId="60F5F555">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液压油</w:t>
                  </w:r>
                </w:p>
              </w:tc>
              <w:tc>
                <w:tcPr>
                  <w:tcW w:w="851" w:type="pct"/>
                  <w:tcBorders>
                    <w:right w:val="single" w:color="auto" w:sz="4" w:space="0"/>
                  </w:tcBorders>
                  <w:noWrap w:val="0"/>
                  <w:vAlign w:val="center"/>
                </w:tcPr>
                <w:p w14:paraId="0CBC107A">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5</w:t>
                  </w:r>
                </w:p>
              </w:tc>
              <w:tc>
                <w:tcPr>
                  <w:tcW w:w="851" w:type="pct"/>
                  <w:tcBorders>
                    <w:left w:val="single" w:color="auto" w:sz="4" w:space="0"/>
                  </w:tcBorders>
                  <w:noWrap w:val="0"/>
                  <w:vAlign w:val="center"/>
                </w:tcPr>
                <w:p w14:paraId="54774BE9">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color w:val="auto"/>
                      <w:lang w:val="en-US" w:eastAsia="zh-CN"/>
                    </w:rPr>
                    <w:t>原料仓库</w:t>
                  </w:r>
                </w:p>
              </w:tc>
              <w:tc>
                <w:tcPr>
                  <w:tcW w:w="843" w:type="pct"/>
                  <w:tcBorders>
                    <w:right w:val="single" w:color="auto" w:sz="4" w:space="0"/>
                  </w:tcBorders>
                  <w:noWrap w:val="0"/>
                  <w:vAlign w:val="center"/>
                </w:tcPr>
                <w:p w14:paraId="4EA4343B">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bCs/>
                      <w:color w:val="auto"/>
                      <w:sz w:val="21"/>
                      <w:szCs w:val="21"/>
                      <w:lang w:val="en-US" w:eastAsia="zh-CN"/>
                    </w:rPr>
                    <w:t>2500</w:t>
                  </w:r>
                </w:p>
              </w:tc>
              <w:tc>
                <w:tcPr>
                  <w:tcW w:w="1006" w:type="pct"/>
                  <w:tcBorders>
                    <w:left w:val="single" w:color="auto" w:sz="4" w:space="0"/>
                  </w:tcBorders>
                  <w:noWrap w:val="0"/>
                  <w:vAlign w:val="center"/>
                </w:tcPr>
                <w:p w14:paraId="7F6C4993">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0.002</w:t>
                  </w:r>
                </w:p>
              </w:tc>
            </w:tr>
            <w:tr w14:paraId="360569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8" w:hRule="atLeast"/>
                <w:jc w:val="center"/>
              </w:trPr>
              <w:tc>
                <w:tcPr>
                  <w:tcW w:w="420" w:type="pct"/>
                  <w:tcBorders>
                    <w:right w:val="single" w:color="auto" w:sz="4" w:space="0"/>
                  </w:tcBorders>
                  <w:noWrap w:val="0"/>
                  <w:vAlign w:val="center"/>
                </w:tcPr>
                <w:p w14:paraId="3DE8B11A">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3</w:t>
                  </w:r>
                </w:p>
              </w:tc>
              <w:tc>
                <w:tcPr>
                  <w:tcW w:w="1026" w:type="pct"/>
                  <w:tcBorders>
                    <w:left w:val="single" w:color="auto" w:sz="4" w:space="0"/>
                  </w:tcBorders>
                  <w:noWrap w:val="0"/>
                  <w:vAlign w:val="center"/>
                </w:tcPr>
                <w:p w14:paraId="232A5305">
                  <w:pPr>
                    <w:jc w:val="center"/>
                    <w:rPr>
                      <w:rFonts w:hint="default" w:ascii="Times New Roman" w:hAnsi="Times New Roman"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切削</w:t>
                  </w:r>
                  <w:r>
                    <w:rPr>
                      <w:rFonts w:hint="default" w:ascii="Times New Roman" w:hAnsi="Times New Roman" w:cs="Times New Roman"/>
                      <w:i w:val="0"/>
                      <w:color w:val="auto"/>
                      <w:kern w:val="0"/>
                      <w:sz w:val="21"/>
                      <w:szCs w:val="21"/>
                      <w:u w:val="none"/>
                      <w:lang w:val="en-US" w:eastAsia="zh-CN" w:bidi="ar"/>
                    </w:rPr>
                    <w:t>液</w:t>
                  </w:r>
                </w:p>
              </w:tc>
              <w:tc>
                <w:tcPr>
                  <w:tcW w:w="851" w:type="pct"/>
                  <w:tcBorders>
                    <w:right w:val="single" w:color="auto" w:sz="4" w:space="0"/>
                  </w:tcBorders>
                  <w:noWrap w:val="0"/>
                  <w:vAlign w:val="center"/>
                </w:tcPr>
                <w:p w14:paraId="1A63E14D">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1</w:t>
                  </w:r>
                </w:p>
              </w:tc>
              <w:tc>
                <w:tcPr>
                  <w:tcW w:w="851" w:type="pct"/>
                  <w:tcBorders>
                    <w:left w:val="single" w:color="auto" w:sz="4" w:space="0"/>
                  </w:tcBorders>
                  <w:noWrap w:val="0"/>
                  <w:vAlign w:val="center"/>
                </w:tcPr>
                <w:p w14:paraId="3CB61602">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color w:val="auto"/>
                      <w:lang w:val="en-US" w:eastAsia="zh-CN"/>
                    </w:rPr>
                    <w:t>原料仓库</w:t>
                  </w:r>
                </w:p>
              </w:tc>
              <w:tc>
                <w:tcPr>
                  <w:tcW w:w="843" w:type="pct"/>
                  <w:tcBorders>
                    <w:right w:val="single" w:color="auto" w:sz="4" w:space="0"/>
                  </w:tcBorders>
                  <w:noWrap w:val="0"/>
                  <w:vAlign w:val="center"/>
                </w:tcPr>
                <w:p w14:paraId="4A80430A">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bCs/>
                      <w:color w:val="auto"/>
                      <w:sz w:val="21"/>
                      <w:szCs w:val="21"/>
                      <w:lang w:val="en-US" w:eastAsia="zh-CN"/>
                    </w:rPr>
                    <w:t>2500</w:t>
                  </w:r>
                </w:p>
              </w:tc>
              <w:tc>
                <w:tcPr>
                  <w:tcW w:w="1006" w:type="pct"/>
                  <w:tcBorders>
                    <w:left w:val="single" w:color="auto" w:sz="4" w:space="0"/>
                  </w:tcBorders>
                  <w:noWrap w:val="0"/>
                  <w:vAlign w:val="center"/>
                </w:tcPr>
                <w:p w14:paraId="2BD7A3EE">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0.0004</w:t>
                  </w:r>
                </w:p>
              </w:tc>
            </w:tr>
            <w:tr w14:paraId="7379FF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8" w:hRule="atLeast"/>
                <w:jc w:val="center"/>
              </w:trPr>
              <w:tc>
                <w:tcPr>
                  <w:tcW w:w="420" w:type="pct"/>
                  <w:tcBorders>
                    <w:right w:val="single" w:color="auto" w:sz="4" w:space="0"/>
                  </w:tcBorders>
                  <w:noWrap w:val="0"/>
                  <w:vAlign w:val="center"/>
                </w:tcPr>
                <w:p w14:paraId="45A0E43B">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color w:val="auto"/>
                      <w:lang w:val="en-US" w:eastAsia="zh-CN"/>
                    </w:rPr>
                    <w:t>4</w:t>
                  </w:r>
                </w:p>
              </w:tc>
              <w:tc>
                <w:tcPr>
                  <w:tcW w:w="1026" w:type="pct"/>
                  <w:tcBorders>
                    <w:left w:val="single" w:color="auto" w:sz="4" w:space="0"/>
                  </w:tcBorders>
                  <w:noWrap w:val="0"/>
                  <w:vAlign w:val="center"/>
                </w:tcPr>
                <w:p w14:paraId="332022AC">
                  <w:pPr>
                    <w:jc w:val="center"/>
                    <w:rPr>
                      <w:rFonts w:hint="default" w:ascii="Times New Roman" w:hAnsi="Times New Roman"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天然气</w:t>
                  </w:r>
                </w:p>
              </w:tc>
              <w:tc>
                <w:tcPr>
                  <w:tcW w:w="851" w:type="pct"/>
                  <w:tcBorders>
                    <w:right w:val="single" w:color="auto" w:sz="4" w:space="0"/>
                  </w:tcBorders>
                  <w:noWrap w:val="0"/>
                  <w:vAlign w:val="center"/>
                </w:tcPr>
                <w:p w14:paraId="76F27DD8">
                  <w:pPr>
                    <w:jc w:val="center"/>
                    <w:rPr>
                      <w:rFonts w:hint="default" w:ascii="Times New Roman" w:hAnsi="Times New Roman"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0.5</w:t>
                  </w:r>
                </w:p>
              </w:tc>
              <w:tc>
                <w:tcPr>
                  <w:tcW w:w="851" w:type="pct"/>
                  <w:tcBorders>
                    <w:left w:val="single" w:color="auto" w:sz="4" w:space="0"/>
                  </w:tcBorders>
                  <w:noWrap w:val="0"/>
                  <w:vAlign w:val="center"/>
                </w:tcPr>
                <w:p w14:paraId="455B518C">
                  <w:pPr>
                    <w:jc w:val="center"/>
                    <w:rPr>
                      <w:rFonts w:hint="default" w:ascii="Times New Roman" w:hAnsi="Times New Roman" w:cs="Times New Roman"/>
                      <w:i w:val="0"/>
                      <w:color w:val="auto"/>
                      <w:kern w:val="0"/>
                      <w:sz w:val="21"/>
                      <w:szCs w:val="21"/>
                      <w:u w:val="none"/>
                      <w:lang w:val="en-US" w:eastAsia="zh-CN" w:bidi="ar"/>
                    </w:rPr>
                  </w:pPr>
                  <w:r>
                    <w:rPr>
                      <w:rFonts w:hint="eastAsia" w:ascii="Times New Roman" w:hAnsi="Times New Roman" w:cs="Times New Roman"/>
                      <w:color w:val="auto"/>
                      <w:lang w:val="en-US" w:eastAsia="zh-CN"/>
                    </w:rPr>
                    <w:t>/</w:t>
                  </w:r>
                </w:p>
              </w:tc>
              <w:tc>
                <w:tcPr>
                  <w:tcW w:w="843" w:type="pct"/>
                  <w:tcBorders>
                    <w:right w:val="single" w:color="auto" w:sz="4" w:space="0"/>
                  </w:tcBorders>
                  <w:noWrap w:val="0"/>
                  <w:vAlign w:val="center"/>
                </w:tcPr>
                <w:p w14:paraId="5E8A7ABD">
                  <w:pPr>
                    <w:jc w:val="center"/>
                    <w:rPr>
                      <w:rFonts w:hint="default" w:ascii="Times New Roman" w:hAnsi="Times New Roman"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10</w:t>
                  </w:r>
                </w:p>
              </w:tc>
              <w:tc>
                <w:tcPr>
                  <w:tcW w:w="1006" w:type="pct"/>
                  <w:tcBorders>
                    <w:left w:val="single" w:color="auto" w:sz="4" w:space="0"/>
                  </w:tcBorders>
                  <w:noWrap w:val="0"/>
                  <w:vAlign w:val="center"/>
                </w:tcPr>
                <w:p w14:paraId="16BF712E">
                  <w:pPr>
                    <w:jc w:val="center"/>
                    <w:rPr>
                      <w:rFonts w:hint="default" w:ascii="Times New Roman" w:hAnsi="Times New Roman"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0.05</w:t>
                  </w:r>
                </w:p>
              </w:tc>
            </w:tr>
            <w:tr w14:paraId="486B1E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31E4E938">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w:t>
                  </w:r>
                </w:p>
              </w:tc>
              <w:tc>
                <w:tcPr>
                  <w:tcW w:w="1026" w:type="pct"/>
                  <w:tcBorders>
                    <w:left w:val="single" w:color="auto" w:sz="4" w:space="0"/>
                  </w:tcBorders>
                  <w:noWrap w:val="0"/>
                  <w:vAlign w:val="center"/>
                </w:tcPr>
                <w:p w14:paraId="6C5ECF18">
                  <w:pPr>
                    <w:widowControl/>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废润滑油</w:t>
                  </w:r>
                </w:p>
              </w:tc>
              <w:tc>
                <w:tcPr>
                  <w:tcW w:w="851" w:type="pct"/>
                  <w:tcBorders>
                    <w:right w:val="single" w:color="auto" w:sz="4" w:space="0"/>
                  </w:tcBorders>
                  <w:noWrap w:val="0"/>
                  <w:vAlign w:val="center"/>
                </w:tcPr>
                <w:p w14:paraId="2555BF5A">
                  <w:pPr>
                    <w:adjustRightInd w:val="0"/>
                    <w:snapToGrid w:val="0"/>
                    <w:jc w:val="center"/>
                    <w:textAlignment w:val="baseline"/>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color w:val="auto"/>
                      <w:kern w:val="0"/>
                      <w:sz w:val="21"/>
                      <w:szCs w:val="21"/>
                      <w:lang w:val="en-US" w:eastAsia="zh-CN" w:bidi="ar-SA"/>
                    </w:rPr>
                    <w:t>0.01</w:t>
                  </w:r>
                </w:p>
              </w:tc>
              <w:tc>
                <w:tcPr>
                  <w:tcW w:w="851" w:type="pct"/>
                  <w:tcBorders>
                    <w:left w:val="single" w:color="auto" w:sz="4" w:space="0"/>
                  </w:tcBorders>
                  <w:noWrap w:val="0"/>
                  <w:vAlign w:val="center"/>
                </w:tcPr>
                <w:p w14:paraId="30BF43F1">
                  <w:pPr>
                    <w:adjustRightInd w:val="0"/>
                    <w:snapToGrid w:val="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5178E1B0">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bCs/>
                      <w:color w:val="auto"/>
                      <w:sz w:val="21"/>
                      <w:szCs w:val="21"/>
                      <w:lang w:val="en-US" w:eastAsia="zh-CN"/>
                    </w:rPr>
                    <w:t>2500</w:t>
                  </w:r>
                </w:p>
              </w:tc>
              <w:tc>
                <w:tcPr>
                  <w:tcW w:w="1006" w:type="pct"/>
                  <w:tcBorders>
                    <w:left w:val="single" w:color="auto" w:sz="4" w:space="0"/>
                  </w:tcBorders>
                  <w:noWrap w:val="0"/>
                  <w:vAlign w:val="center"/>
                </w:tcPr>
                <w:p w14:paraId="48853FA9">
                  <w:pPr>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bCs/>
                      <w:color w:val="auto"/>
                      <w:kern w:val="2"/>
                      <w:sz w:val="21"/>
                      <w:szCs w:val="21"/>
                      <w:lang w:val="en-US" w:eastAsia="zh-CN" w:bidi="ar-SA"/>
                    </w:rPr>
                    <w:t>0.000004</w:t>
                  </w:r>
                </w:p>
              </w:tc>
            </w:tr>
            <w:tr w14:paraId="01CBD7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37BB8215">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w:t>
                  </w:r>
                </w:p>
              </w:tc>
              <w:tc>
                <w:tcPr>
                  <w:tcW w:w="1026" w:type="pct"/>
                  <w:tcBorders>
                    <w:left w:val="single" w:color="auto" w:sz="4" w:space="0"/>
                  </w:tcBorders>
                  <w:noWrap w:val="0"/>
                  <w:vAlign w:val="center"/>
                </w:tcPr>
                <w:p w14:paraId="38ADE1D3">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w:t>
                  </w:r>
                  <w:r>
                    <w:rPr>
                      <w:rFonts w:hint="default" w:ascii="Times New Roman" w:hAnsi="Times New Roman" w:cs="Times New Roman"/>
                      <w:i w:val="0"/>
                      <w:color w:val="auto"/>
                      <w:kern w:val="0"/>
                      <w:sz w:val="21"/>
                      <w:szCs w:val="21"/>
                      <w:u w:val="none"/>
                      <w:lang w:val="en-US" w:eastAsia="zh-CN" w:bidi="ar"/>
                    </w:rPr>
                    <w:t>液压油</w:t>
                  </w:r>
                </w:p>
              </w:tc>
              <w:tc>
                <w:tcPr>
                  <w:tcW w:w="851" w:type="pct"/>
                  <w:tcBorders>
                    <w:right w:val="single" w:color="auto" w:sz="4" w:space="0"/>
                  </w:tcBorders>
                  <w:noWrap w:val="0"/>
                  <w:vAlign w:val="center"/>
                </w:tcPr>
                <w:p w14:paraId="7A07AAB5">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w:t>
                  </w:r>
                </w:p>
              </w:tc>
              <w:tc>
                <w:tcPr>
                  <w:tcW w:w="851" w:type="pct"/>
                  <w:tcBorders>
                    <w:left w:val="single" w:color="auto" w:sz="4" w:space="0"/>
                  </w:tcBorders>
                  <w:noWrap w:val="0"/>
                  <w:vAlign w:val="center"/>
                </w:tcPr>
                <w:p w14:paraId="11F3C391">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39051274">
                  <w:pPr>
                    <w:jc w:val="center"/>
                    <w:rPr>
                      <w:rFonts w:hint="default" w:ascii="Times New Roman" w:hAnsi="Times New Roman" w:cs="Times New Roman"/>
                      <w:color w:val="auto"/>
                      <w:lang w:val="en-US" w:eastAsia="zh-CN"/>
                    </w:rPr>
                  </w:pPr>
                  <w:r>
                    <w:rPr>
                      <w:rFonts w:hint="default" w:ascii="Times New Roman" w:hAnsi="Times New Roman" w:cs="Times New Roman"/>
                      <w:bCs/>
                      <w:color w:val="auto"/>
                      <w:sz w:val="21"/>
                      <w:szCs w:val="21"/>
                      <w:lang w:val="en-US" w:eastAsia="zh-CN"/>
                    </w:rPr>
                    <w:t>2500</w:t>
                  </w:r>
                </w:p>
              </w:tc>
              <w:tc>
                <w:tcPr>
                  <w:tcW w:w="1006" w:type="pct"/>
                  <w:tcBorders>
                    <w:left w:val="single" w:color="auto" w:sz="4" w:space="0"/>
                  </w:tcBorders>
                  <w:noWrap w:val="0"/>
                  <w:vAlign w:val="center"/>
                </w:tcPr>
                <w:p w14:paraId="0C9C10E8">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0.002</w:t>
                  </w:r>
                </w:p>
              </w:tc>
            </w:tr>
            <w:tr w14:paraId="058714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71319A2F">
                  <w:pPr>
                    <w:widowControl/>
                    <w:jc w:val="center"/>
                    <w:textAlignment w:val="center"/>
                    <w:rPr>
                      <w:rFonts w:hint="default" w:ascii="Times New Roman" w:hAnsi="Times New Roman" w:cs="Times New Roman"/>
                      <w:color w:val="auto"/>
                      <w:lang w:val="en-US" w:eastAsia="zh-CN"/>
                    </w:rPr>
                  </w:pPr>
                  <w:r>
                    <w:rPr>
                      <w:rFonts w:hint="default" w:ascii="Times New Roman" w:hAnsi="Times New Roman" w:cs="Times New Roman"/>
                      <w:color w:val="auto"/>
                      <w:sz w:val="21"/>
                      <w:szCs w:val="21"/>
                      <w:lang w:val="en-US" w:eastAsia="zh-CN"/>
                    </w:rPr>
                    <w:t>7</w:t>
                  </w:r>
                </w:p>
              </w:tc>
              <w:tc>
                <w:tcPr>
                  <w:tcW w:w="1026" w:type="pct"/>
                  <w:tcBorders>
                    <w:left w:val="single" w:color="auto" w:sz="4" w:space="0"/>
                  </w:tcBorders>
                  <w:noWrap w:val="0"/>
                  <w:vAlign w:val="center"/>
                </w:tcPr>
                <w:p w14:paraId="11D2C1E2">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w:t>
                  </w:r>
                  <w:r>
                    <w:rPr>
                      <w:rFonts w:hint="eastAsia" w:ascii="Times New Roman" w:hAnsi="Times New Roman" w:cs="Times New Roman"/>
                      <w:i w:val="0"/>
                      <w:color w:val="auto"/>
                      <w:kern w:val="0"/>
                      <w:sz w:val="21"/>
                      <w:szCs w:val="21"/>
                      <w:u w:val="none"/>
                      <w:lang w:val="en-US" w:eastAsia="zh-CN" w:bidi="ar"/>
                    </w:rPr>
                    <w:t>切削</w:t>
                  </w:r>
                  <w:r>
                    <w:rPr>
                      <w:rFonts w:hint="default" w:ascii="Times New Roman" w:hAnsi="Times New Roman" w:cs="Times New Roman"/>
                      <w:i w:val="0"/>
                      <w:color w:val="auto"/>
                      <w:kern w:val="0"/>
                      <w:sz w:val="21"/>
                      <w:szCs w:val="21"/>
                      <w:u w:val="none"/>
                      <w:lang w:val="en-US" w:eastAsia="zh-CN" w:bidi="ar"/>
                    </w:rPr>
                    <w:t>液</w:t>
                  </w:r>
                </w:p>
              </w:tc>
              <w:tc>
                <w:tcPr>
                  <w:tcW w:w="851" w:type="pct"/>
                  <w:tcBorders>
                    <w:right w:val="single" w:color="auto" w:sz="4" w:space="0"/>
                  </w:tcBorders>
                  <w:noWrap w:val="0"/>
                  <w:vAlign w:val="center"/>
                </w:tcPr>
                <w:p w14:paraId="266487E1">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w:t>
                  </w:r>
                </w:p>
              </w:tc>
              <w:tc>
                <w:tcPr>
                  <w:tcW w:w="851" w:type="pct"/>
                  <w:tcBorders>
                    <w:left w:val="single" w:color="auto" w:sz="4" w:space="0"/>
                  </w:tcBorders>
                  <w:noWrap w:val="0"/>
                  <w:vAlign w:val="center"/>
                </w:tcPr>
                <w:p w14:paraId="40B5639D">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6CB94594">
                  <w:pPr>
                    <w:jc w:val="center"/>
                    <w:rPr>
                      <w:rFonts w:hint="default" w:ascii="Times New Roman" w:hAnsi="Times New Roman" w:cs="Times New Roman"/>
                      <w:color w:val="auto"/>
                      <w:lang w:val="en-US" w:eastAsia="zh-CN"/>
                    </w:rPr>
                  </w:pPr>
                  <w:r>
                    <w:rPr>
                      <w:rFonts w:hint="default" w:ascii="Times New Roman" w:hAnsi="Times New Roman" w:cs="Times New Roman"/>
                      <w:bCs/>
                      <w:color w:val="auto"/>
                      <w:sz w:val="21"/>
                      <w:szCs w:val="21"/>
                      <w:lang w:val="en-US" w:eastAsia="zh-CN"/>
                    </w:rPr>
                    <w:t>2500</w:t>
                  </w:r>
                </w:p>
              </w:tc>
              <w:tc>
                <w:tcPr>
                  <w:tcW w:w="1006" w:type="pct"/>
                  <w:tcBorders>
                    <w:left w:val="single" w:color="auto" w:sz="4" w:space="0"/>
                  </w:tcBorders>
                  <w:noWrap w:val="0"/>
                  <w:vAlign w:val="center"/>
                </w:tcPr>
                <w:p w14:paraId="5E9A4AB1">
                  <w:pPr>
                    <w:jc w:val="center"/>
                    <w:rPr>
                      <w:rFonts w:hint="default" w:ascii="Times New Roman" w:hAnsi="Times New Roman" w:cs="Times New Roman"/>
                      <w:color w:val="auto"/>
                      <w:lang w:val="en-US" w:eastAsia="zh-CN"/>
                    </w:rPr>
                  </w:pPr>
                  <w:r>
                    <w:rPr>
                      <w:rFonts w:hint="default" w:ascii="Times New Roman" w:hAnsi="Times New Roman" w:cs="Times New Roman"/>
                      <w:bCs/>
                      <w:color w:val="auto"/>
                      <w:kern w:val="2"/>
                      <w:sz w:val="21"/>
                      <w:szCs w:val="21"/>
                      <w:lang w:val="en-US" w:eastAsia="zh-CN" w:bidi="ar-SA"/>
                    </w:rPr>
                    <w:t>0.000004</w:t>
                  </w:r>
                </w:p>
              </w:tc>
            </w:tr>
            <w:tr w14:paraId="6FFB73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1C238891">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8</w:t>
                  </w:r>
                </w:p>
              </w:tc>
              <w:tc>
                <w:tcPr>
                  <w:tcW w:w="1026" w:type="pct"/>
                  <w:tcBorders>
                    <w:left w:val="single" w:color="auto" w:sz="4" w:space="0"/>
                  </w:tcBorders>
                  <w:noWrap w:val="0"/>
                  <w:vAlign w:val="center"/>
                </w:tcPr>
                <w:p w14:paraId="6A947AD4">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color w:val="auto"/>
                      <w:sz w:val="21"/>
                      <w:szCs w:val="21"/>
                      <w:lang w:val="en-US" w:eastAsia="zh-CN"/>
                    </w:rPr>
                    <w:t>废润滑油桶</w:t>
                  </w:r>
                </w:p>
              </w:tc>
              <w:tc>
                <w:tcPr>
                  <w:tcW w:w="851" w:type="pct"/>
                  <w:tcBorders>
                    <w:right w:val="single" w:color="auto" w:sz="4" w:space="0"/>
                  </w:tcBorders>
                  <w:noWrap w:val="0"/>
                  <w:vAlign w:val="center"/>
                </w:tcPr>
                <w:p w14:paraId="09EE60E0">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c>
                <w:tcPr>
                  <w:tcW w:w="851" w:type="pct"/>
                  <w:tcBorders>
                    <w:left w:val="single" w:color="auto" w:sz="4" w:space="0"/>
                  </w:tcBorders>
                  <w:noWrap w:val="0"/>
                  <w:vAlign w:val="center"/>
                </w:tcPr>
                <w:p w14:paraId="78C6AC15">
                  <w:pPr>
                    <w:adjustRightInd w:val="0"/>
                    <w:snapToGrid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6A944A0B">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50</w:t>
                  </w:r>
                </w:p>
              </w:tc>
              <w:tc>
                <w:tcPr>
                  <w:tcW w:w="1006" w:type="pct"/>
                  <w:tcBorders>
                    <w:left w:val="single" w:color="auto" w:sz="4" w:space="0"/>
                  </w:tcBorders>
                  <w:noWrap w:val="0"/>
                  <w:vAlign w:val="center"/>
                </w:tcPr>
                <w:p w14:paraId="3E4575E7">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0.001</w:t>
                  </w:r>
                </w:p>
              </w:tc>
            </w:tr>
            <w:tr w14:paraId="2D4510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69FE581C">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026" w:type="pct"/>
                  <w:tcBorders>
                    <w:left w:val="single" w:color="auto" w:sz="4" w:space="0"/>
                  </w:tcBorders>
                  <w:noWrap w:val="0"/>
                  <w:vAlign w:val="center"/>
                </w:tcPr>
                <w:p w14:paraId="0ECBA962">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废液压油桶</w:t>
                  </w:r>
                </w:p>
              </w:tc>
              <w:tc>
                <w:tcPr>
                  <w:tcW w:w="851" w:type="pct"/>
                  <w:tcBorders>
                    <w:right w:val="single" w:color="auto" w:sz="4" w:space="0"/>
                  </w:tcBorders>
                  <w:noWrap w:val="0"/>
                  <w:vAlign w:val="center"/>
                </w:tcPr>
                <w:p w14:paraId="3D878574">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w:t>
                  </w:r>
                </w:p>
              </w:tc>
              <w:tc>
                <w:tcPr>
                  <w:tcW w:w="851" w:type="pct"/>
                  <w:tcBorders>
                    <w:left w:val="single" w:color="auto" w:sz="4" w:space="0"/>
                  </w:tcBorders>
                  <w:noWrap w:val="0"/>
                  <w:vAlign w:val="center"/>
                </w:tcPr>
                <w:p w14:paraId="3CA46E78">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59F53C4D">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1006" w:type="pct"/>
                  <w:tcBorders>
                    <w:left w:val="single" w:color="auto" w:sz="4" w:space="0"/>
                  </w:tcBorders>
                  <w:noWrap w:val="0"/>
                  <w:vAlign w:val="center"/>
                </w:tcPr>
                <w:p w14:paraId="0F63AEB7">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r>
            <w:tr w14:paraId="4C7BF1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20" w:type="pct"/>
                  <w:tcBorders>
                    <w:right w:val="single" w:color="auto" w:sz="4" w:space="0"/>
                  </w:tcBorders>
                  <w:noWrap w:val="0"/>
                  <w:vAlign w:val="center"/>
                </w:tcPr>
                <w:p w14:paraId="311B6749">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026" w:type="pct"/>
                  <w:tcBorders>
                    <w:left w:val="single" w:color="auto" w:sz="4" w:space="0"/>
                  </w:tcBorders>
                  <w:noWrap w:val="0"/>
                  <w:vAlign w:val="center"/>
                </w:tcPr>
                <w:p w14:paraId="2CB8EE13">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w:t>
                  </w:r>
                  <w:r>
                    <w:rPr>
                      <w:rFonts w:hint="eastAsia" w:ascii="Times New Roman" w:hAnsi="Times New Roman" w:cs="Times New Roman"/>
                      <w:color w:val="auto"/>
                      <w:sz w:val="21"/>
                      <w:szCs w:val="21"/>
                      <w:lang w:val="en-US" w:eastAsia="zh-CN"/>
                    </w:rPr>
                    <w:t>切削</w:t>
                  </w:r>
                  <w:r>
                    <w:rPr>
                      <w:rFonts w:hint="default" w:ascii="Times New Roman" w:hAnsi="Times New Roman" w:cs="Times New Roman"/>
                      <w:color w:val="auto"/>
                      <w:sz w:val="21"/>
                      <w:szCs w:val="21"/>
                      <w:lang w:val="en-US" w:eastAsia="zh-CN"/>
                    </w:rPr>
                    <w:t>液桶</w:t>
                  </w:r>
                </w:p>
              </w:tc>
              <w:tc>
                <w:tcPr>
                  <w:tcW w:w="851" w:type="pct"/>
                  <w:tcBorders>
                    <w:right w:val="single" w:color="auto" w:sz="4" w:space="0"/>
                  </w:tcBorders>
                  <w:noWrap w:val="0"/>
                  <w:vAlign w:val="center"/>
                </w:tcPr>
                <w:p w14:paraId="603A696C">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c>
                <w:tcPr>
                  <w:tcW w:w="851" w:type="pct"/>
                  <w:tcBorders>
                    <w:left w:val="single" w:color="auto" w:sz="4" w:space="0"/>
                  </w:tcBorders>
                  <w:noWrap w:val="0"/>
                  <w:vAlign w:val="center"/>
                </w:tcPr>
                <w:p w14:paraId="7A79DC16">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6CE666F5">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1006" w:type="pct"/>
                  <w:tcBorders>
                    <w:left w:val="single" w:color="auto" w:sz="4" w:space="0"/>
                  </w:tcBorders>
                  <w:noWrap w:val="0"/>
                  <w:vAlign w:val="center"/>
                </w:tcPr>
                <w:p w14:paraId="01C3A784">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r>
            <w:tr w14:paraId="0B4901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8" w:hRule="atLeast"/>
                <w:jc w:val="center"/>
              </w:trPr>
              <w:tc>
                <w:tcPr>
                  <w:tcW w:w="420" w:type="pct"/>
                  <w:tcBorders>
                    <w:right w:val="single" w:color="auto" w:sz="4" w:space="0"/>
                  </w:tcBorders>
                  <w:noWrap w:val="0"/>
                  <w:vAlign w:val="center"/>
                </w:tcPr>
                <w:p w14:paraId="1F496548">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026" w:type="pct"/>
                  <w:tcBorders>
                    <w:left w:val="single" w:color="auto" w:sz="4" w:space="0"/>
                  </w:tcBorders>
                  <w:noWrap w:val="0"/>
                  <w:vAlign w:val="center"/>
                </w:tcPr>
                <w:p w14:paraId="64B38488">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含油抹布</w:t>
                  </w:r>
                </w:p>
              </w:tc>
              <w:tc>
                <w:tcPr>
                  <w:tcW w:w="851" w:type="pct"/>
                  <w:tcBorders>
                    <w:right w:val="single" w:color="auto" w:sz="4" w:space="0"/>
                  </w:tcBorders>
                  <w:noWrap w:val="0"/>
                  <w:vAlign w:val="center"/>
                </w:tcPr>
                <w:p w14:paraId="247CBA11">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w:t>
                  </w:r>
                </w:p>
              </w:tc>
              <w:tc>
                <w:tcPr>
                  <w:tcW w:w="851" w:type="pct"/>
                  <w:tcBorders>
                    <w:left w:val="single" w:color="auto" w:sz="4" w:space="0"/>
                  </w:tcBorders>
                  <w:noWrap w:val="0"/>
                  <w:vAlign w:val="center"/>
                </w:tcPr>
                <w:p w14:paraId="5397F644">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7952CFF0">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50</w:t>
                  </w:r>
                </w:p>
              </w:tc>
              <w:tc>
                <w:tcPr>
                  <w:tcW w:w="1006" w:type="pct"/>
                  <w:tcBorders>
                    <w:left w:val="single" w:color="auto" w:sz="4" w:space="0"/>
                  </w:tcBorders>
                  <w:noWrap w:val="0"/>
                  <w:vAlign w:val="center"/>
                </w:tcPr>
                <w:p w14:paraId="3992D265">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0.0002</w:t>
                  </w:r>
                </w:p>
              </w:tc>
            </w:tr>
            <w:tr w14:paraId="11D418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8" w:hRule="atLeast"/>
                <w:jc w:val="center"/>
              </w:trPr>
              <w:tc>
                <w:tcPr>
                  <w:tcW w:w="420" w:type="pct"/>
                  <w:tcBorders>
                    <w:right w:val="single" w:color="auto" w:sz="4" w:space="0"/>
                  </w:tcBorders>
                  <w:noWrap w:val="0"/>
                  <w:vAlign w:val="center"/>
                </w:tcPr>
                <w:p w14:paraId="62670A62">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026" w:type="pct"/>
                  <w:tcBorders>
                    <w:left w:val="single" w:color="auto" w:sz="4" w:space="0"/>
                  </w:tcBorders>
                  <w:noWrap w:val="0"/>
                  <w:vAlign w:val="center"/>
                </w:tcPr>
                <w:p w14:paraId="4781C2BB">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含油金属</w:t>
                  </w:r>
                </w:p>
              </w:tc>
              <w:tc>
                <w:tcPr>
                  <w:tcW w:w="851" w:type="pct"/>
                  <w:tcBorders>
                    <w:right w:val="single" w:color="auto" w:sz="4" w:space="0"/>
                  </w:tcBorders>
                  <w:noWrap w:val="0"/>
                  <w:vAlign w:val="center"/>
                </w:tcPr>
                <w:p w14:paraId="328C0A94">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851" w:type="pct"/>
                  <w:tcBorders>
                    <w:left w:val="single" w:color="auto" w:sz="4" w:space="0"/>
                  </w:tcBorders>
                  <w:noWrap w:val="0"/>
                  <w:vAlign w:val="center"/>
                </w:tcPr>
                <w:p w14:paraId="574EAFCB">
                  <w:pPr>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lang w:val="en-US" w:eastAsia="zh-CN"/>
                    </w:rPr>
                    <w:t>危废仓库</w:t>
                  </w:r>
                </w:p>
              </w:tc>
              <w:tc>
                <w:tcPr>
                  <w:tcW w:w="843" w:type="pct"/>
                  <w:tcBorders>
                    <w:right w:val="single" w:color="auto" w:sz="4" w:space="0"/>
                  </w:tcBorders>
                  <w:noWrap w:val="0"/>
                  <w:vAlign w:val="center"/>
                </w:tcPr>
                <w:p w14:paraId="1D5BA49E">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50</w:t>
                  </w:r>
                </w:p>
              </w:tc>
              <w:tc>
                <w:tcPr>
                  <w:tcW w:w="1006" w:type="pct"/>
                  <w:tcBorders>
                    <w:left w:val="single" w:color="auto" w:sz="4" w:space="0"/>
                  </w:tcBorders>
                  <w:noWrap w:val="0"/>
                  <w:vAlign w:val="center"/>
                </w:tcPr>
                <w:p w14:paraId="727FD7FC">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0.6</w:t>
                  </w:r>
                </w:p>
              </w:tc>
            </w:tr>
            <w:tr w14:paraId="614DA7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20" w:type="pct"/>
                  <w:tcBorders>
                    <w:right w:val="single" w:color="auto" w:sz="4" w:space="0"/>
                  </w:tcBorders>
                  <w:noWrap w:val="0"/>
                  <w:vAlign w:val="center"/>
                </w:tcPr>
                <w:p w14:paraId="6F4DCD0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合计</w:t>
                  </w:r>
                </w:p>
              </w:tc>
              <w:tc>
                <w:tcPr>
                  <w:tcW w:w="3572" w:type="pct"/>
                  <w:gridSpan w:val="4"/>
                  <w:tcBorders>
                    <w:left w:val="single" w:color="auto" w:sz="4" w:space="0"/>
                    <w:right w:val="single" w:color="auto" w:sz="4" w:space="0"/>
                  </w:tcBorders>
                  <w:noWrap w:val="0"/>
                  <w:vAlign w:val="center"/>
                </w:tcPr>
                <w:p w14:paraId="085946ED">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Q</w:t>
                  </w:r>
                </w:p>
              </w:tc>
              <w:tc>
                <w:tcPr>
                  <w:tcW w:w="1006" w:type="pct"/>
                  <w:tcBorders>
                    <w:left w:val="single" w:color="auto" w:sz="4" w:space="0"/>
                  </w:tcBorders>
                  <w:noWrap w:val="0"/>
                  <w:vAlign w:val="center"/>
                </w:tcPr>
                <w:p w14:paraId="47B6485E">
                  <w:pPr>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0.757008</w:t>
                  </w:r>
                  <w:r>
                    <w:rPr>
                      <w:rFonts w:hint="default" w:ascii="Times New Roman" w:hAnsi="Times New Roman" w:cs="Times New Roman"/>
                      <w:bCs/>
                      <w:color w:val="auto"/>
                      <w:sz w:val="21"/>
                      <w:szCs w:val="21"/>
                      <w:lang w:val="en-US" w:eastAsia="zh-CN"/>
                    </w:rPr>
                    <w:t>＜1</w:t>
                  </w:r>
                </w:p>
              </w:tc>
            </w:tr>
          </w:tbl>
          <w:p w14:paraId="4E352B37">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（2）风险潜势初判</w:t>
            </w:r>
          </w:p>
          <w:p w14:paraId="4069161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根据《建设项目环境风险技术评价导则》（HJ169-2018）附录C，本项目风险物质数量与临界量比值Q约为</w:t>
            </w:r>
            <w:r>
              <w:rPr>
                <w:rFonts w:hint="eastAsia" w:ascii="Times New Roman" w:hAnsi="Times New Roman" w:cs="Times New Roman"/>
                <w:color w:val="auto"/>
                <w:kern w:val="0"/>
                <w:sz w:val="21"/>
                <w:szCs w:val="21"/>
                <w:lang w:val="en-US" w:eastAsia="zh-CN" w:bidi="ar"/>
              </w:rPr>
              <w:t>0.757008</w:t>
            </w:r>
            <w:r>
              <w:rPr>
                <w:rFonts w:hint="default" w:ascii="Times New Roman" w:hAnsi="Times New Roman" w:eastAsia="宋体" w:cs="Times New Roman"/>
                <w:color w:val="auto"/>
                <w:kern w:val="0"/>
                <w:sz w:val="21"/>
                <w:szCs w:val="21"/>
                <w:lang w:val="en-US" w:eastAsia="zh-CN" w:bidi="ar"/>
              </w:rPr>
              <w:t xml:space="preserve">，小于1，仅开展简单分析。 </w:t>
            </w:r>
          </w:p>
          <w:p w14:paraId="361DB8F9">
            <w:pPr>
              <w:pStyle w:val="215"/>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环境风险分析</w:t>
            </w:r>
          </w:p>
          <w:p w14:paraId="2044C5D3">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①</w:t>
            </w:r>
            <w:r>
              <w:rPr>
                <w:rFonts w:hint="eastAsia" w:ascii="Times New Roman" w:hAnsi="Times New Roman" w:cs="Times New Roman"/>
                <w:color w:val="auto"/>
                <w:sz w:val="21"/>
                <w:szCs w:val="21"/>
                <w:lang w:val="en-US" w:eastAsia="zh-CN"/>
              </w:rPr>
              <w:t>对环境空气的影响</w:t>
            </w:r>
          </w:p>
          <w:p w14:paraId="1E7E8D1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废气处理设施故障影响分析</w:t>
            </w:r>
          </w:p>
          <w:p w14:paraId="193C965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项目采用市政电网供电系统，系统停电概率较小，一旦停电，生产设备及配套设量的度气处理设备将立即停止运转，造成工艺度气无法处理直接超标排放，部分度气无组织排放，但这种事故排放的影响时间较短，随着设备停止工作，废气超标排放或无组织排放的现象将逐渐减少。</w:t>
            </w:r>
          </w:p>
          <w:p w14:paraId="554C559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火灾事故影响分析</w:t>
            </w:r>
          </w:p>
          <w:p w14:paraId="301A290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项目使用天然气，如遇明火则可能发生火灾事故，危及</w:t>
            </w:r>
            <w:r>
              <w:rPr>
                <w:rFonts w:hint="eastAsia" w:ascii="Times New Roman" w:hAnsi="Times New Roman" w:eastAsia="宋体" w:cs="Times New Roman"/>
                <w:color w:val="auto"/>
                <w:kern w:val="0"/>
                <w:sz w:val="21"/>
                <w:szCs w:val="21"/>
                <w:lang w:val="en-US" w:eastAsia="zh-CN" w:bidi="ar"/>
              </w:rPr>
              <w:t>周围</w:t>
            </w:r>
            <w:r>
              <w:rPr>
                <w:rFonts w:hint="default" w:ascii="Times New Roman" w:hAnsi="Times New Roman" w:eastAsia="宋体" w:cs="Times New Roman"/>
                <w:color w:val="auto"/>
                <w:kern w:val="0"/>
                <w:sz w:val="21"/>
                <w:szCs w:val="21"/>
                <w:lang w:val="en-US" w:eastAsia="zh-CN" w:bidi="ar"/>
              </w:rPr>
              <w:t>员工及人群人身安全，同时燃烧产生烟尘、颗粒物、二氧化硫、</w:t>
            </w:r>
            <w:r>
              <w:rPr>
                <w:rFonts w:hint="eastAsia" w:ascii="Times New Roman" w:hAnsi="Times New Roman" w:eastAsia="宋体" w:cs="Times New Roman"/>
                <w:color w:val="auto"/>
                <w:kern w:val="0"/>
                <w:sz w:val="21"/>
                <w:szCs w:val="21"/>
                <w:lang w:val="en-US" w:eastAsia="zh-CN" w:bidi="ar"/>
              </w:rPr>
              <w:t>氮氧</w:t>
            </w:r>
            <w:r>
              <w:rPr>
                <w:rFonts w:hint="default" w:ascii="Times New Roman" w:hAnsi="Times New Roman" w:eastAsia="宋体" w:cs="Times New Roman"/>
                <w:color w:val="auto"/>
                <w:kern w:val="0"/>
                <w:sz w:val="21"/>
                <w:szCs w:val="21"/>
                <w:lang w:val="en-US" w:eastAsia="zh-CN" w:bidi="ar"/>
              </w:rPr>
              <w:t>化物、非甲烷总烃等污染物进入大气中，污染</w:t>
            </w:r>
            <w:r>
              <w:rPr>
                <w:rFonts w:hint="eastAsia" w:ascii="Times New Roman" w:hAnsi="Times New Roman" w:eastAsia="宋体" w:cs="Times New Roman"/>
                <w:color w:val="auto"/>
                <w:kern w:val="0"/>
                <w:sz w:val="21"/>
                <w:szCs w:val="21"/>
                <w:lang w:val="en-US" w:eastAsia="zh-CN" w:bidi="ar"/>
              </w:rPr>
              <w:t>周围</w:t>
            </w:r>
            <w:r>
              <w:rPr>
                <w:rFonts w:hint="default" w:ascii="Times New Roman" w:hAnsi="Times New Roman" w:eastAsia="宋体" w:cs="Times New Roman"/>
                <w:color w:val="auto"/>
                <w:kern w:val="0"/>
                <w:sz w:val="21"/>
                <w:szCs w:val="21"/>
                <w:lang w:val="en-US" w:eastAsia="zh-CN" w:bidi="ar"/>
              </w:rPr>
              <w:t>员工及下风向人群，造成环境空气质量污染。不完全燃烧的产物中含有一氧化碳等气体，同时伴随浓烟挥发至空气中，由于</w:t>
            </w:r>
            <w:r>
              <w:rPr>
                <w:rFonts w:hint="eastAsia" w:ascii="Times New Roman" w:hAnsi="Times New Roman" w:eastAsia="宋体" w:cs="Times New Roman"/>
                <w:color w:val="auto"/>
                <w:kern w:val="0"/>
                <w:sz w:val="21"/>
                <w:szCs w:val="21"/>
                <w:lang w:val="en-US" w:eastAsia="zh-CN" w:bidi="ar"/>
              </w:rPr>
              <w:t>CO</w:t>
            </w:r>
            <w:r>
              <w:rPr>
                <w:rFonts w:hint="default" w:ascii="Times New Roman" w:hAnsi="Times New Roman" w:eastAsia="宋体" w:cs="Times New Roman"/>
                <w:color w:val="auto"/>
                <w:kern w:val="0"/>
                <w:sz w:val="21"/>
                <w:szCs w:val="21"/>
                <w:lang w:val="en-US" w:eastAsia="zh-CN" w:bidi="ar"/>
              </w:rPr>
              <w:t>有毒性，当达到一定的浓度时，会影响人的造血功能及神经系统功能。</w:t>
            </w:r>
          </w:p>
          <w:p w14:paraId="08D81322">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泄漏事故影响分析</w:t>
            </w:r>
          </w:p>
          <w:p w14:paraId="3FB1C64A">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本项目天然气、危度等泄露一旦发生会对周国环境和敏感目标产生短暂的不良影响，对厂区内作业人员有一定影响，但不会对身体造成不可逆的健康危害，且当</w:t>
            </w:r>
            <w:r>
              <w:rPr>
                <w:rFonts w:hint="eastAsia" w:ascii="Times New Roman" w:hAnsi="Times New Roman" w:cs="Times New Roman"/>
                <w:color w:val="auto"/>
                <w:sz w:val="21"/>
                <w:szCs w:val="21"/>
                <w:lang w:eastAsia="zh-CN"/>
              </w:rPr>
              <w:t>泄露</w:t>
            </w:r>
            <w:r>
              <w:rPr>
                <w:rFonts w:hint="default" w:ascii="Times New Roman" w:hAnsi="Times New Roman" w:eastAsia="宋体" w:cs="Times New Roman"/>
                <w:color w:val="auto"/>
                <w:sz w:val="21"/>
                <w:szCs w:val="21"/>
              </w:rPr>
              <w:t>到控制后影响随之消失对于本项目可能出现的非正常排放的情况，主要是由于</w:t>
            </w:r>
            <w:r>
              <w:rPr>
                <w:rFonts w:hint="eastAsia" w:ascii="Times New Roman" w:hAnsi="Times New Roman" w:cs="Times New Roman"/>
                <w:color w:val="auto"/>
                <w:sz w:val="21"/>
                <w:szCs w:val="21"/>
                <w:lang w:eastAsia="zh-CN"/>
              </w:rPr>
              <w:t>废气处理装置故障</w:t>
            </w:r>
            <w:r>
              <w:rPr>
                <w:rFonts w:hint="default" w:ascii="Times New Roman" w:hAnsi="Times New Roman" w:eastAsia="宋体" w:cs="Times New Roman"/>
                <w:color w:val="auto"/>
                <w:sz w:val="21"/>
                <w:szCs w:val="21"/>
              </w:rPr>
              <w:t>或管理不善造成。因此，本项目必须从工艺技术、过程控制、消防设施和风险管理上严格要求，以减缓项目环境风险，特别是要保证自控系统和各种工艺防范设施正常适行，以及原辅料仓库危险性物质泄漏的防范。</w:t>
            </w:r>
          </w:p>
          <w:p w14:paraId="5C12B86F">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由于</w:t>
            </w:r>
            <w:r>
              <w:rPr>
                <w:rFonts w:hint="eastAsia" w:ascii="Times New Roman" w:hAnsi="Times New Roman" w:cs="Times New Roman"/>
                <w:color w:val="auto"/>
                <w:sz w:val="21"/>
                <w:szCs w:val="21"/>
                <w:lang w:eastAsia="zh-CN"/>
              </w:rPr>
              <w:t>事故</w:t>
            </w:r>
            <w:r>
              <w:rPr>
                <w:rFonts w:hint="default" w:ascii="Times New Roman" w:hAnsi="Times New Roman" w:eastAsia="宋体" w:cs="Times New Roman"/>
                <w:color w:val="auto"/>
                <w:sz w:val="21"/>
                <w:szCs w:val="21"/>
              </w:rPr>
              <w:t>触发</w:t>
            </w:r>
            <w:r>
              <w:rPr>
                <w:rFonts w:hint="eastAsia" w:ascii="Times New Roman" w:hAnsi="Times New Roman" w:cs="Times New Roman"/>
                <w:color w:val="auto"/>
                <w:sz w:val="21"/>
                <w:szCs w:val="21"/>
                <w:lang w:eastAsia="zh-CN"/>
              </w:rPr>
              <w:t>因素</w:t>
            </w:r>
            <w:r>
              <w:rPr>
                <w:rFonts w:hint="default" w:ascii="Times New Roman" w:hAnsi="Times New Roman" w:eastAsia="宋体" w:cs="Times New Roman"/>
                <w:color w:val="auto"/>
                <w:sz w:val="21"/>
                <w:szCs w:val="21"/>
              </w:rPr>
              <w:t>具有不确定性，因此事故情形的设定并不能包含全部可能的环境风但通过具有代表性的事故情形分析可为风险管理提供科学依据。</w:t>
            </w:r>
          </w:p>
          <w:p w14:paraId="53519974">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②</w:t>
            </w:r>
            <w:r>
              <w:rPr>
                <w:rFonts w:hint="default" w:ascii="Times New Roman" w:hAnsi="Times New Roman" w:cs="Times New Roman"/>
                <w:color w:val="auto"/>
                <w:sz w:val="21"/>
                <w:szCs w:val="21"/>
                <w:lang w:val="en-US" w:eastAsia="zh-CN"/>
              </w:rPr>
              <w:t>地表水环境风险分析</w:t>
            </w:r>
          </w:p>
          <w:p w14:paraId="07B72581">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本项目天然气、危度等泄漏事故发生后对</w:t>
            </w:r>
            <w:r>
              <w:rPr>
                <w:rFonts w:hint="eastAsia" w:ascii="Times New Roman" w:hAnsi="Times New Roman" w:cs="Times New Roman"/>
                <w:color w:val="auto"/>
                <w:sz w:val="21"/>
                <w:szCs w:val="21"/>
                <w:lang w:eastAsia="zh-CN"/>
              </w:rPr>
              <w:t>周围</w:t>
            </w:r>
            <w:r>
              <w:rPr>
                <w:rFonts w:hint="default" w:ascii="Times New Roman" w:hAnsi="Times New Roman" w:eastAsia="宋体" w:cs="Times New Roman"/>
                <w:color w:val="auto"/>
                <w:sz w:val="21"/>
                <w:szCs w:val="21"/>
              </w:rPr>
              <w:t>水环境影响途径有两条</w:t>
            </w:r>
            <w:r>
              <w:rPr>
                <w:rFonts w:hint="eastAsia" w:ascii="Times New Roman" w:hAnsi="Times New Roman" w:cs="Times New Roman"/>
                <w:color w:val="auto"/>
                <w:sz w:val="21"/>
                <w:szCs w:val="21"/>
                <w:lang w:eastAsia="zh-CN"/>
              </w:rPr>
              <w:t>：一</w:t>
            </w:r>
            <w:r>
              <w:rPr>
                <w:rFonts w:hint="default" w:ascii="Times New Roman" w:hAnsi="Times New Roman" w:eastAsia="宋体" w:cs="Times New Roman"/>
                <w:color w:val="auto"/>
                <w:sz w:val="21"/>
                <w:szCs w:val="21"/>
              </w:rPr>
              <w:t>是</w:t>
            </w:r>
            <w:r>
              <w:rPr>
                <w:rFonts w:hint="eastAsia" w:ascii="Times New Roman" w:hAnsi="Times New Roman" w:cs="Times New Roman"/>
                <w:color w:val="auto"/>
                <w:sz w:val="21"/>
                <w:szCs w:val="21"/>
                <w:lang w:eastAsia="zh-CN"/>
              </w:rPr>
              <w:t>事故</w:t>
            </w:r>
            <w:r>
              <w:rPr>
                <w:rFonts w:hint="default" w:ascii="Times New Roman" w:hAnsi="Times New Roman" w:eastAsia="宋体" w:cs="Times New Roman"/>
                <w:color w:val="auto"/>
                <w:sz w:val="21"/>
                <w:szCs w:val="21"/>
              </w:rPr>
              <w:t>废液没有控制在厂区内，进入附近水体，污染水体水质</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二是事故</w:t>
            </w:r>
            <w:r>
              <w:rPr>
                <w:rFonts w:hint="eastAsia" w:ascii="Times New Roman" w:hAnsi="Times New Roman" w:cs="Times New Roman"/>
                <w:color w:val="auto"/>
                <w:sz w:val="21"/>
                <w:szCs w:val="21"/>
                <w:lang w:eastAsia="zh-CN"/>
              </w:rPr>
              <w:t>废液</w:t>
            </w:r>
            <w:r>
              <w:rPr>
                <w:rFonts w:hint="default" w:ascii="Times New Roman" w:hAnsi="Times New Roman" w:eastAsia="宋体" w:cs="Times New Roman"/>
                <w:color w:val="auto"/>
                <w:sz w:val="21"/>
                <w:szCs w:val="21"/>
              </w:rPr>
              <w:t>虽然控制在厂区内，但是出现大量超标度水进入污水管网，影响污水处理站的正常适行，导致污水处理站外排污水超标。厂区内实行</w:t>
            </w:r>
            <w:r>
              <w:rPr>
                <w:rFonts w:hint="eastAsia" w:ascii="Times New Roman" w:hAnsi="Times New Roman" w:cs="Times New Roman"/>
                <w:color w:val="auto"/>
                <w:sz w:val="21"/>
                <w:szCs w:val="21"/>
                <w:lang w:eastAsia="zh-CN"/>
              </w:rPr>
              <w:t>雨污</w:t>
            </w:r>
            <w:r>
              <w:rPr>
                <w:rFonts w:hint="default" w:ascii="Times New Roman" w:hAnsi="Times New Roman" w:eastAsia="宋体" w:cs="Times New Roman"/>
                <w:color w:val="auto"/>
                <w:sz w:val="21"/>
                <w:szCs w:val="21"/>
              </w:rPr>
              <w:t>分流，后期雨水排入雨水管网。本项目在发生消防车故度水泄事故时，</w:t>
            </w:r>
            <w:r>
              <w:rPr>
                <w:rFonts w:hint="eastAsia" w:ascii="Times New Roman" w:hAnsi="Times New Roman" w:cs="Times New Roman"/>
                <w:color w:val="auto"/>
                <w:sz w:val="21"/>
                <w:szCs w:val="21"/>
                <w:lang w:eastAsia="zh-CN"/>
              </w:rPr>
              <w:t>泄露物</w:t>
            </w:r>
            <w:r>
              <w:rPr>
                <w:rFonts w:hint="default" w:ascii="Times New Roman" w:hAnsi="Times New Roman" w:eastAsia="宋体" w:cs="Times New Roman"/>
                <w:color w:val="auto"/>
                <w:sz w:val="21"/>
                <w:szCs w:val="21"/>
              </w:rPr>
              <w:t>料将通过四周的</w:t>
            </w:r>
            <w:r>
              <w:rPr>
                <w:rFonts w:hint="eastAsia" w:ascii="Times New Roman" w:hAnsi="Times New Roman" w:cs="Times New Roman"/>
                <w:color w:val="auto"/>
                <w:sz w:val="21"/>
                <w:szCs w:val="21"/>
                <w:lang w:eastAsia="zh-CN"/>
              </w:rPr>
              <w:t>围</w:t>
            </w:r>
            <w:r>
              <w:rPr>
                <w:rFonts w:hint="default" w:ascii="Times New Roman" w:hAnsi="Times New Roman" w:eastAsia="宋体" w:cs="Times New Roman"/>
                <w:color w:val="auto"/>
                <w:sz w:val="21"/>
                <w:szCs w:val="21"/>
              </w:rPr>
              <w:t>堰进行收案进入厂区事故池，后送至污水处理厂处理，不进入雨水管网，不会直接进入水体。危废暂存场所具有防雨、防</w:t>
            </w:r>
            <w:r>
              <w:rPr>
                <w:rFonts w:hint="eastAsia" w:ascii="Times New Roman" w:hAnsi="Times New Roman" w:cs="Times New Roman"/>
                <w:color w:val="auto"/>
                <w:sz w:val="21"/>
                <w:szCs w:val="21"/>
                <w:lang w:eastAsia="zh-CN"/>
              </w:rPr>
              <w:t>漏</w:t>
            </w:r>
            <w:r>
              <w:rPr>
                <w:rFonts w:hint="default" w:ascii="Times New Roman" w:hAnsi="Times New Roman" w:eastAsia="宋体" w:cs="Times New Roman"/>
                <w:color w:val="auto"/>
                <w:sz w:val="21"/>
                <w:szCs w:val="21"/>
              </w:rPr>
              <w:t>、防渗措施，当事故发生时，不会产生废液进入厂区雨水系统，对周边地表水产生不良影响。</w:t>
            </w:r>
          </w:p>
          <w:p w14:paraId="1219E6BE">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③</w:t>
            </w:r>
            <w:r>
              <w:rPr>
                <w:rFonts w:hint="default" w:ascii="Times New Roman" w:hAnsi="Times New Roman" w:cs="Times New Roman"/>
                <w:color w:val="auto"/>
                <w:sz w:val="21"/>
                <w:szCs w:val="21"/>
                <w:lang w:val="en-US" w:eastAsia="zh-CN"/>
              </w:rPr>
              <w:t>土壤、地下水环境风险分析</w:t>
            </w:r>
          </w:p>
          <w:p w14:paraId="3A5909C8">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项目原料桶发生风险事故时破裂对地下水影响，由于地表填土分布较广，局部结构较松散，填土本身成分复杂，含有污染物质，存在于大气中的污染物和填土中的污染物，随大气降雨间歇渗入孔隙潜水，使孔隙潜水受到污染，影响土壤和地下水水质。</w:t>
            </w:r>
          </w:p>
          <w:p w14:paraId="5C15859C">
            <w:pPr>
              <w:pStyle w:val="215"/>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（3）环境风险防范措施</w:t>
            </w:r>
          </w:p>
          <w:p w14:paraId="08D54055">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针对项目可能发生的环境风险事故，提出以下风险防范措施：</w:t>
            </w:r>
          </w:p>
          <w:p w14:paraId="63759A46">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①生产车间风险防控措施：</w:t>
            </w:r>
          </w:p>
          <w:p w14:paraId="2879DA11">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a.企业生产车间具有良好的通风设施，正常工作状态下，排风系统需安装防火阀。</w:t>
            </w:r>
          </w:p>
          <w:p w14:paraId="40F23480">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b.所有材料均选用不燃和阻燃材料。</w:t>
            </w:r>
          </w:p>
          <w:p w14:paraId="02599D01">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c.从生产管理、工艺技术设计、自动控制设计、电气及电讯、消防及火灾报警系统等方面制定相应的环境风险防范措施。</w:t>
            </w:r>
          </w:p>
          <w:p w14:paraId="628710BA">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②贮运工程风险防控措施：</w:t>
            </w:r>
          </w:p>
          <w:p w14:paraId="0FBA25F1">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a.原料均储存于阴凉通风仓库内，远离火种、热源，防止阳光直射。搬运时轻装轻卸，防止原料破损或倾倒。</w:t>
            </w:r>
          </w:p>
          <w:p w14:paraId="60DA79B8">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b.划定禁火区，在明显地点设有警示标志，输配电线、灯具、火灾事故照明和疏散指示标志均应符合安全要求；严禁未安装灭火装置的车辆出入生产装置区。</w:t>
            </w:r>
          </w:p>
          <w:p w14:paraId="1E6A5134">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c.合理规划运输路线及时间，加强危险废物运输车辆的管理，严格遵守危险品运输管理规定，避免运输过程事故的发生。</w:t>
            </w:r>
          </w:p>
          <w:p w14:paraId="3AF24A34">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③废气事故排放防控措施：</w:t>
            </w:r>
          </w:p>
          <w:p w14:paraId="4B44AB96">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发生事故的原因主要有以下几个：</w:t>
            </w:r>
          </w:p>
          <w:p w14:paraId="3BF513DE">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a.废气处理系统出现故障、设备开车、停车检修时废气直接排入大气环境中。</w:t>
            </w:r>
          </w:p>
          <w:p w14:paraId="0FBD279C">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b.生产过程中由于设备老化、腐蚀、失误操作等原因造成车间废气浓度超标。</w:t>
            </w:r>
          </w:p>
          <w:p w14:paraId="426D23C3">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c.厂内突然停电、废气处理系统停止工作，致使废气不能得到及时处理。</w:t>
            </w:r>
          </w:p>
          <w:p w14:paraId="7824F86E">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d.对废气治理措施疏于管理，使治理措施处理效率降低造成废气浓度超标。</w:t>
            </w:r>
          </w:p>
          <w:p w14:paraId="4041DB97">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为杜绝事故性废气排放，建议采用以下措施确保废气达标排放：</w:t>
            </w:r>
          </w:p>
          <w:p w14:paraId="4A26C78C">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a.平时加强废气处理设施的维护保养，及时发现处理设备的隐患，并及时进行维修，确保废气处理系统正常运行。</w:t>
            </w:r>
          </w:p>
          <w:p w14:paraId="01370940">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b.建立健全的环保机构，配置必要的监测仪器，对管理人员和技术人员进行岗位培训，对废气处理实行全过程跟踪控制。</w:t>
            </w:r>
          </w:p>
          <w:p w14:paraId="014CCE06">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c.项目应设有备用电源和备用处理设备，以备停电或设备出现故障时保障废气全部进入处理系统进行处理以达标排放；</w:t>
            </w:r>
          </w:p>
          <w:p w14:paraId="4EAFE229">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d.项目对废气治理措施应设置备用的废气治理措施，在常用处理设施出现故障的情况下采用备用处理设施进行处理，防止因此而造成废气的事故性排放。</w:t>
            </w:r>
          </w:p>
          <w:p w14:paraId="3A0D2E5C">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④危废仓库防控措施：</w:t>
            </w:r>
          </w:p>
          <w:p w14:paraId="093CD2FA">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a.危废仓库地面拟采用环氧地坪，底部加设土工膜，防渗等级满足防渗要求。</w:t>
            </w:r>
          </w:p>
          <w:p w14:paraId="32E37E8F">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 xml:space="preserve">b.贮存容器下方设置不锈钢托盘防止泄漏，每次更换后由具有危废资质单位及时清运。 </w:t>
            </w:r>
          </w:p>
          <w:p w14:paraId="42D44B42">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 xml:space="preserve">c.拟设置防雷装置，仓库密闭，地面防渗处理，四周设围堰，设置钢筋混凝土导流渠，并采用底部加设土工膜进行防渗，具备防风、防雨、防晒功能；配备通讯设备、防爆灯、禁火标志、灭火器（如黄沙）等。 </w:t>
            </w:r>
          </w:p>
          <w:p w14:paraId="537FC4C6">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d.拟在厂区门口设置危废信息公开栏，危废仓库外墙及各类危废贮存处墙面设置贮存设施警示标志牌，对危险废物的容器和包装物以及收集、贮存、运输、处置危险废物的设施、场所，拟设置危险废物识别标志。</w:t>
            </w:r>
          </w:p>
          <w:p w14:paraId="0C264F20">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e.根据危险废物的种类和特性进行分区、分类贮存。</w:t>
            </w:r>
          </w:p>
          <w:p w14:paraId="66A0CFD4">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f.危废暂存间拟设立危险废物进出入台账登记管理制度，记录危险废物的名称、来源、数量、特性和包装容器的类别、入库日期、存放库位、废物出库日期及接收单位名称，严格执行危险废物电子联单制度，实行对危险废物从源头到终端处理的全过程监管，确保危险废物100%得到安全处置。危险废物的记录和货单保留五年。</w:t>
            </w:r>
          </w:p>
          <w:p w14:paraId="5BC0E4D9">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⑤其他防控措施：</w:t>
            </w:r>
          </w:p>
          <w:p w14:paraId="5243E146">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a.建立健全各种有关消防与安全生产的规章制度，建立岗位责任制。仓库、生产车间严禁明火。生产车间、公用工程、仓库等场所配置足量的泡沫、干粉等灭火器，并保持完好状态。</w:t>
            </w:r>
          </w:p>
          <w:p w14:paraId="50A05FE8">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b.厂区留有足够的消防通道。生产车间、仓库设置消防给水管道和消防栓。厂部要组织义务消防员，并进行定期的培训和训练。对有火灾危险的场所设置自动报警系统，一旦发生火灾，立即做出应急反应。</w:t>
            </w:r>
          </w:p>
          <w:p w14:paraId="4ABA68C0">
            <w:pPr>
              <w:adjustRightInd w:val="0"/>
              <w:snapToGrid w:val="0"/>
              <w:spacing w:line="360" w:lineRule="auto"/>
              <w:ind w:firstLine="420" w:firstLineChars="200"/>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⑥应急监测</w:t>
            </w:r>
          </w:p>
          <w:p w14:paraId="2896EDC0">
            <w:pPr>
              <w:spacing w:line="360" w:lineRule="auto"/>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项目生产过程中，若发生废气、废水处理装置故障，或发生泄漏、火灾或爆炸事故，应进行应急监测，以判断事故情况对周边环境的影响程度，并采取相应的应急措施。</w:t>
            </w:r>
          </w:p>
          <w:p w14:paraId="0071C72E">
            <w:pPr>
              <w:spacing w:line="360" w:lineRule="auto"/>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大气应急监测：厂界、厂界上风向和下风向敏感目标设置采样点，监测因子为</w:t>
            </w:r>
            <w:r>
              <w:rPr>
                <w:rFonts w:hint="default" w:ascii="Times New Roman" w:hAnsi="Times New Roman" w:cs="Times New Roman"/>
                <w:color w:val="auto"/>
                <w:kern w:val="0"/>
                <w:sz w:val="21"/>
                <w:szCs w:val="21"/>
                <w:lang w:eastAsia="zh-CN"/>
              </w:rPr>
              <w:t>颗粒物、二氧化硫、氮氧化物</w:t>
            </w:r>
            <w:r>
              <w:rPr>
                <w:rFonts w:hint="eastAsia" w:ascii="Times New Roman" w:hAnsi="Times New Roman" w:cs="Times New Roman"/>
                <w:color w:val="auto"/>
                <w:kern w:val="0"/>
                <w:sz w:val="21"/>
                <w:szCs w:val="21"/>
                <w:lang w:eastAsia="zh-CN"/>
              </w:rPr>
              <w:t>、非甲烷总烃、一氧化碳</w:t>
            </w:r>
            <w:r>
              <w:rPr>
                <w:rFonts w:hint="default" w:ascii="Times New Roman" w:hAnsi="Times New Roman" w:eastAsia="宋体" w:cs="Times New Roman"/>
                <w:color w:val="auto"/>
                <w:kern w:val="0"/>
                <w:sz w:val="21"/>
                <w:szCs w:val="21"/>
              </w:rPr>
              <w:t>。</w:t>
            </w:r>
          </w:p>
          <w:p w14:paraId="063EF46D">
            <w:pPr>
              <w:spacing w:line="360" w:lineRule="auto"/>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水应急监测：厂区污水总排口、雨水排口、雨水接纳河流设置采样点，监测因子为pH、COD</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BOD</w:t>
            </w:r>
            <w:r>
              <w:rPr>
                <w:rFonts w:hint="default" w:ascii="Times New Roman" w:hAnsi="Times New Roman" w:eastAsia="宋体" w:cs="Times New Roman"/>
                <w:color w:val="auto"/>
                <w:kern w:val="0"/>
                <w:sz w:val="21"/>
                <w:szCs w:val="21"/>
                <w:vertAlign w:val="subscript"/>
                <w:lang w:val="en-US" w:eastAsia="zh-CN"/>
              </w:rPr>
              <w:t>5</w:t>
            </w:r>
            <w:r>
              <w:rPr>
                <w:rFonts w:hint="default" w:ascii="Times New Roman" w:hAnsi="Times New Roman" w:eastAsia="宋体" w:cs="Times New Roman"/>
                <w:color w:val="auto"/>
                <w:kern w:val="0"/>
                <w:sz w:val="21"/>
                <w:szCs w:val="21"/>
              </w:rPr>
              <w:t>、SS、氨氮、总磷、</w:t>
            </w:r>
            <w:r>
              <w:rPr>
                <w:rFonts w:hint="default" w:ascii="Times New Roman" w:hAnsi="Times New Roman" w:eastAsia="宋体" w:cs="Times New Roman"/>
                <w:color w:val="auto"/>
                <w:kern w:val="0"/>
                <w:sz w:val="21"/>
                <w:szCs w:val="21"/>
                <w:lang w:val="en-US" w:eastAsia="zh-CN"/>
              </w:rPr>
              <w:t>总氮</w:t>
            </w:r>
            <w:r>
              <w:rPr>
                <w:rFonts w:hint="default" w:ascii="Times New Roman" w:hAnsi="Times New Roman" w:eastAsia="宋体" w:cs="Times New Roman"/>
                <w:color w:val="auto"/>
                <w:kern w:val="0"/>
                <w:sz w:val="21"/>
                <w:szCs w:val="21"/>
              </w:rPr>
              <w:t>。</w:t>
            </w:r>
          </w:p>
          <w:p w14:paraId="70643BD4">
            <w:pPr>
              <w:ind w:firstLine="422" w:firstLineChars="20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w:t>
            </w:r>
            <w:r>
              <w:rPr>
                <w:rFonts w:hint="default" w:ascii="Times New Roman" w:hAnsi="Times New Roman" w:cs="Times New Roman"/>
                <w:b/>
                <w:bCs/>
                <w:color w:val="auto"/>
                <w:kern w:val="0"/>
                <w:sz w:val="21"/>
                <w:szCs w:val="21"/>
                <w:lang w:val="en-US" w:eastAsia="zh-CN"/>
              </w:rPr>
              <w:t>4-2</w:t>
            </w:r>
            <w:r>
              <w:rPr>
                <w:rFonts w:hint="eastAsia" w:ascii="Times New Roman" w:hAnsi="Times New Roman" w:cs="Times New Roman"/>
                <w:b/>
                <w:bCs/>
                <w:color w:val="auto"/>
                <w:kern w:val="0"/>
                <w:sz w:val="21"/>
                <w:szCs w:val="21"/>
                <w:lang w:val="en-US" w:eastAsia="zh-CN"/>
              </w:rPr>
              <w:t>8</w:t>
            </w:r>
            <w:r>
              <w:rPr>
                <w:rFonts w:hint="default" w:ascii="Times New Roman" w:hAnsi="Times New Roman" w:cs="Times New Roman"/>
                <w:b/>
                <w:bCs/>
                <w:color w:val="auto"/>
                <w:kern w:val="0"/>
                <w:sz w:val="21"/>
                <w:szCs w:val="21"/>
              </w:rPr>
              <w:t xml:space="preserve"> 应急监测计划表</w:t>
            </w:r>
          </w:p>
          <w:tbl>
            <w:tblPr>
              <w:tblStyle w:val="4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21"/>
              <w:gridCol w:w="3319"/>
              <w:gridCol w:w="1095"/>
              <w:gridCol w:w="2633"/>
            </w:tblGrid>
            <w:tr w14:paraId="209473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jc w:val="center"/>
              </w:trPr>
              <w:tc>
                <w:tcPr>
                  <w:tcW w:w="738" w:type="pct"/>
                  <w:noWrap w:val="0"/>
                  <w:vAlign w:val="center"/>
                </w:tcPr>
                <w:p w14:paraId="6FC8EDD1">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类别</w:t>
                  </w:r>
                </w:p>
              </w:tc>
              <w:tc>
                <w:tcPr>
                  <w:tcW w:w="2007" w:type="pct"/>
                  <w:noWrap w:val="0"/>
                  <w:vAlign w:val="center"/>
                </w:tcPr>
                <w:p w14:paraId="6602C2C7">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监测位置</w:t>
                  </w:r>
                </w:p>
              </w:tc>
              <w:tc>
                <w:tcPr>
                  <w:tcW w:w="662" w:type="pct"/>
                  <w:noWrap w:val="0"/>
                  <w:vAlign w:val="center"/>
                </w:tcPr>
                <w:p w14:paraId="4B00A3F6">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测点数</w:t>
                  </w:r>
                </w:p>
              </w:tc>
              <w:tc>
                <w:tcPr>
                  <w:tcW w:w="1592" w:type="pct"/>
                  <w:noWrap w:val="0"/>
                  <w:vAlign w:val="center"/>
                </w:tcPr>
                <w:p w14:paraId="08032A56">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监测因子</w:t>
                  </w:r>
                </w:p>
              </w:tc>
            </w:tr>
            <w:tr w14:paraId="0B3C5E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jc w:val="center"/>
              </w:trPr>
              <w:tc>
                <w:tcPr>
                  <w:tcW w:w="738" w:type="pct"/>
                  <w:noWrap w:val="0"/>
                  <w:vAlign w:val="center"/>
                </w:tcPr>
                <w:p w14:paraId="6E70069F">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环境空气</w:t>
                  </w:r>
                </w:p>
              </w:tc>
              <w:tc>
                <w:tcPr>
                  <w:tcW w:w="2007" w:type="pct"/>
                  <w:noWrap w:val="0"/>
                  <w:vAlign w:val="center"/>
                </w:tcPr>
                <w:p w14:paraId="19FDA9CA">
                  <w:pPr>
                    <w:jc w:val="center"/>
                    <w:rPr>
                      <w:rFonts w:hint="default" w:ascii="Times New Roman" w:hAnsi="Times New Roman" w:cs="Times New Roman"/>
                      <w:color w:val="auto"/>
                      <w:kern w:val="0"/>
                      <w:sz w:val="21"/>
                      <w:szCs w:val="21"/>
                    </w:rPr>
                  </w:pPr>
                  <w:r>
                    <w:rPr>
                      <w:rFonts w:hint="default" w:ascii="Times New Roman" w:hAnsi="Times New Roman" w:cs="Times New Roman"/>
                      <w:bCs/>
                      <w:color w:val="auto"/>
                      <w:sz w:val="21"/>
                      <w:szCs w:val="21"/>
                    </w:rPr>
                    <w:t>厂界、厂界上风向和下风向敏感目标</w:t>
                  </w:r>
                </w:p>
              </w:tc>
              <w:tc>
                <w:tcPr>
                  <w:tcW w:w="662" w:type="pct"/>
                  <w:noWrap w:val="0"/>
                  <w:vAlign w:val="center"/>
                </w:tcPr>
                <w:p w14:paraId="5C3A8992">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592" w:type="pct"/>
                  <w:noWrap w:val="0"/>
                  <w:vAlign w:val="center"/>
                </w:tcPr>
                <w:p w14:paraId="148C5ED8">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eastAsia="zh-CN"/>
                    </w:rPr>
                    <w:t>颗粒物、二氧化硫、氮氧化物</w:t>
                  </w:r>
                  <w:r>
                    <w:rPr>
                      <w:rFonts w:hint="eastAsia" w:ascii="Times New Roman" w:hAnsi="Times New Roman" w:cs="Times New Roman"/>
                      <w:color w:val="auto"/>
                      <w:kern w:val="0"/>
                      <w:sz w:val="21"/>
                      <w:szCs w:val="21"/>
                      <w:lang w:eastAsia="zh-CN"/>
                    </w:rPr>
                    <w:t>、非甲烷总烃、一氧化碳</w:t>
                  </w:r>
                </w:p>
              </w:tc>
            </w:tr>
            <w:tr w14:paraId="013B8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49" w:hRule="atLeast"/>
                <w:jc w:val="center"/>
              </w:trPr>
              <w:tc>
                <w:tcPr>
                  <w:tcW w:w="738" w:type="pct"/>
                  <w:noWrap w:val="0"/>
                  <w:vAlign w:val="center"/>
                </w:tcPr>
                <w:p w14:paraId="174C394D">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地表水</w:t>
                  </w:r>
                </w:p>
              </w:tc>
              <w:tc>
                <w:tcPr>
                  <w:tcW w:w="2007" w:type="pct"/>
                  <w:noWrap w:val="0"/>
                  <w:vAlign w:val="center"/>
                </w:tcPr>
                <w:p w14:paraId="1DB2A43B">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厂区污水总排口、雨水排口、雨水接纳河流</w:t>
                  </w:r>
                </w:p>
              </w:tc>
              <w:tc>
                <w:tcPr>
                  <w:tcW w:w="662" w:type="pct"/>
                  <w:noWrap w:val="0"/>
                  <w:vAlign w:val="center"/>
                </w:tcPr>
                <w:p w14:paraId="49ACFFC3">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592" w:type="pct"/>
                  <w:noWrap w:val="0"/>
                  <w:vAlign w:val="center"/>
                </w:tcPr>
                <w:p w14:paraId="248CC16D">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rPr>
                    <w:t>pH、COD</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BOD</w:t>
                  </w:r>
                  <w:r>
                    <w:rPr>
                      <w:rFonts w:hint="default" w:ascii="Times New Roman" w:hAnsi="Times New Roman" w:eastAsia="宋体" w:cs="Times New Roman"/>
                      <w:color w:val="auto"/>
                      <w:kern w:val="0"/>
                      <w:sz w:val="21"/>
                      <w:szCs w:val="21"/>
                      <w:vertAlign w:val="subscript"/>
                      <w:lang w:val="en-US" w:eastAsia="zh-CN"/>
                    </w:rPr>
                    <w:t>5</w:t>
                  </w:r>
                  <w:r>
                    <w:rPr>
                      <w:rFonts w:hint="default" w:ascii="Times New Roman" w:hAnsi="Times New Roman" w:cs="Times New Roman"/>
                      <w:color w:val="auto"/>
                      <w:kern w:val="0"/>
                      <w:sz w:val="21"/>
                      <w:szCs w:val="21"/>
                    </w:rPr>
                    <w:t>、SS、氨氮、总磷、</w:t>
                  </w:r>
                  <w:r>
                    <w:rPr>
                      <w:rFonts w:hint="default" w:ascii="Times New Roman" w:hAnsi="Times New Roman" w:cs="Times New Roman"/>
                      <w:color w:val="auto"/>
                      <w:kern w:val="0"/>
                      <w:sz w:val="21"/>
                      <w:szCs w:val="21"/>
                      <w:lang w:val="en-US" w:eastAsia="zh-CN"/>
                    </w:rPr>
                    <w:t>总氮</w:t>
                  </w:r>
                </w:p>
              </w:tc>
            </w:tr>
          </w:tbl>
          <w:p w14:paraId="21117BBB">
            <w:pPr>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由于企业不具备监测条件，上述污染源监测及应急监测拟委托当地有监测能力的环境监测部门进行监测。</w:t>
            </w:r>
          </w:p>
          <w:p w14:paraId="4D78CEC7">
            <w:pPr>
              <w:adjustRightInd w:val="0"/>
              <w:snapToGrid w:val="0"/>
              <w:spacing w:line="360" w:lineRule="auto"/>
              <w:ind w:firstLine="420" w:firstLineChars="200"/>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4</w:t>
            </w:r>
            <w:r>
              <w:rPr>
                <w:rFonts w:hint="default" w:ascii="Times New Roman" w:hAnsi="Times New Roman" w:cs="Times New Roman"/>
                <w:b w:val="0"/>
                <w:bCs/>
                <w:color w:val="auto"/>
                <w:sz w:val="21"/>
                <w:szCs w:val="21"/>
                <w:lang w:eastAsia="zh-CN"/>
              </w:rPr>
              <w:t>）突发环境事故应急预案</w:t>
            </w:r>
          </w:p>
          <w:p w14:paraId="4BA4F577">
            <w:pPr>
              <w:adjustRightInd w:val="0"/>
              <w:snapToGrid w:val="0"/>
              <w:spacing w:line="360" w:lineRule="auto"/>
              <w:ind w:firstLine="420" w:firstLineChars="200"/>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lang w:eastAsia="zh-CN"/>
              </w:rPr>
              <w:t>企业在正常生产过程中应根据《江苏省突发环境事件应急预案编制导则》（试行）（企事业单位版）、《关于企业事业单位突发环境事件应急预案备案管理有关事项的通知》（环发</w:t>
            </w:r>
            <w:r>
              <w:rPr>
                <w:rFonts w:hint="default" w:ascii="Times New Roman" w:hAnsi="Times New Roman" w:eastAsia="宋体" w:cs="Times New Roman"/>
                <w:color w:val="auto"/>
                <w:lang w:val="en-US" w:eastAsia="zh-CN"/>
              </w:rPr>
              <w:t>〔2015〕</w:t>
            </w:r>
            <w:r>
              <w:rPr>
                <w:rFonts w:hint="default" w:ascii="Times New Roman" w:hAnsi="Times New Roman" w:eastAsia="宋体" w:cs="Times New Roman"/>
                <w:b w:val="0"/>
                <w:bCs/>
                <w:color w:val="auto"/>
                <w:sz w:val="21"/>
                <w:szCs w:val="21"/>
                <w:lang w:val="en-US" w:eastAsia="zh-CN"/>
              </w:rPr>
              <w:t>224号</w:t>
            </w:r>
            <w:r>
              <w:rPr>
                <w:rFonts w:hint="default" w:ascii="Times New Roman" w:hAnsi="Times New Roman" w:cs="Times New Roman"/>
                <w:b w:val="0"/>
                <w:bCs/>
                <w:color w:val="auto"/>
                <w:sz w:val="21"/>
                <w:szCs w:val="21"/>
                <w:lang w:eastAsia="zh-CN"/>
              </w:rPr>
              <w:t>）、《关于印发南通市企事业单位突发环境事件应急预案备案管理制度的通知》（通环办</w:t>
            </w:r>
            <w:r>
              <w:rPr>
                <w:rFonts w:hint="default" w:ascii="Times New Roman" w:hAnsi="Times New Roman" w:eastAsia="宋体" w:cs="Times New Roman"/>
                <w:color w:val="auto"/>
                <w:lang w:val="en-US" w:eastAsia="zh-CN"/>
              </w:rPr>
              <w:t>〔2016〕</w:t>
            </w:r>
            <w:r>
              <w:rPr>
                <w:rFonts w:hint="default" w:ascii="Times New Roman" w:hAnsi="Times New Roman" w:eastAsia="宋体" w:cs="Times New Roman"/>
                <w:b w:val="0"/>
                <w:bCs/>
                <w:color w:val="auto"/>
                <w:sz w:val="21"/>
                <w:szCs w:val="21"/>
                <w:lang w:val="en-US" w:eastAsia="zh-CN"/>
              </w:rPr>
              <w:t>16号</w:t>
            </w:r>
            <w:r>
              <w:rPr>
                <w:rFonts w:hint="default" w:ascii="Times New Roman" w:hAnsi="Times New Roman" w:cs="Times New Roman"/>
                <w:b w:val="0"/>
                <w:bCs/>
                <w:color w:val="auto"/>
                <w:sz w:val="21"/>
                <w:szCs w:val="21"/>
                <w:lang w:eastAsia="zh-CN"/>
              </w:rPr>
              <w:t>）等相关要求，制定企业突发环境事件应急预案。</w:t>
            </w:r>
          </w:p>
          <w:p w14:paraId="4FCECCAD">
            <w:pPr>
              <w:adjustRightInd w:val="0"/>
              <w:snapToGrid w:val="0"/>
              <w:spacing w:line="360" w:lineRule="auto"/>
              <w:ind w:firstLine="420" w:firstLineChars="200"/>
              <w:rPr>
                <w:rFonts w:hint="default" w:ascii="Times New Roman" w:hAnsi="Times New Roman" w:cs="Times New Roman"/>
                <w:b w:val="0"/>
                <w:bCs/>
                <w:color w:val="auto"/>
                <w:sz w:val="21"/>
                <w:szCs w:val="21"/>
                <w:lang w:eastAsia="zh-CN"/>
              </w:rPr>
            </w:pPr>
            <w:r>
              <w:rPr>
                <w:rFonts w:hint="default" w:ascii="Times New Roman" w:hAnsi="Times New Roman" w:cs="Times New Roman"/>
                <w:b w:val="0"/>
                <w:bCs/>
                <w:color w:val="auto"/>
                <w:sz w:val="21"/>
                <w:szCs w:val="21"/>
                <w:lang w:eastAsia="zh-CN"/>
              </w:rPr>
              <w:t>本项目根据生产特点和事故隐患分析，尤其针对风险物质物料的储运、使用过程中的事故，应建立事故应急计划，建立事故应急组织管理制度，包括事故现场指挥人员、事故处理人员等各自的职责、任务，事故处理步骤，事故隔离区域和人员疏散等，</w:t>
            </w:r>
            <w:r>
              <w:rPr>
                <w:rFonts w:hint="default" w:ascii="Times New Roman" w:hAnsi="Times New Roman" w:cs="Times New Roman"/>
                <w:b w:val="0"/>
                <w:bCs w:val="0"/>
                <w:color w:val="auto"/>
                <w:kern w:val="2"/>
                <w:sz w:val="21"/>
                <w:szCs w:val="21"/>
                <w:highlight w:val="none"/>
                <w:lang w:val="en-US" w:eastAsia="zh-CN" w:bidi="ar-SA"/>
              </w:rPr>
              <w:t>并与周边企业和海门经济技术开发区</w:t>
            </w:r>
            <w:r>
              <w:rPr>
                <w:rFonts w:hint="default" w:ascii="Times New Roman" w:hAnsi="Times New Roman" w:eastAsia="宋体" w:cs="Times New Roman"/>
                <w:b w:val="0"/>
                <w:bCs w:val="0"/>
                <w:color w:val="auto"/>
                <w:kern w:val="2"/>
                <w:sz w:val="21"/>
                <w:szCs w:val="21"/>
                <w:highlight w:val="none"/>
                <w:lang w:val="en-US" w:eastAsia="zh-CN" w:bidi="ar-SA"/>
              </w:rPr>
              <w:t>建立</w:t>
            </w:r>
            <w:r>
              <w:rPr>
                <w:rFonts w:hint="default" w:ascii="Times New Roman" w:hAnsi="Times New Roman" w:eastAsia="宋体" w:cs="Times New Roman"/>
                <w:color w:val="auto"/>
                <w:kern w:val="2"/>
                <w:sz w:val="21"/>
                <w:szCs w:val="21"/>
                <w:highlight w:val="none"/>
                <w:lang w:val="en-US" w:eastAsia="zh-CN"/>
              </w:rPr>
              <w:t>突发环境事件</w:t>
            </w:r>
            <w:r>
              <w:rPr>
                <w:rFonts w:hint="default" w:ascii="Times New Roman" w:hAnsi="Times New Roman" w:eastAsia="宋体" w:cs="Times New Roman"/>
                <w:b w:val="0"/>
                <w:bCs w:val="0"/>
                <w:color w:val="auto"/>
                <w:kern w:val="2"/>
                <w:sz w:val="21"/>
                <w:szCs w:val="21"/>
                <w:highlight w:val="none"/>
                <w:lang w:val="en-US" w:eastAsia="zh-CN" w:bidi="ar-SA"/>
              </w:rPr>
              <w:t>应急联运机制</w:t>
            </w:r>
            <w:r>
              <w:rPr>
                <w:rFonts w:hint="default" w:ascii="Times New Roman" w:hAnsi="Times New Roman" w:cs="Times New Roman"/>
                <w:b w:val="0"/>
                <w:bCs/>
                <w:color w:val="auto"/>
                <w:sz w:val="21"/>
                <w:szCs w:val="21"/>
                <w:lang w:eastAsia="zh-CN"/>
              </w:rPr>
              <w:t>。</w:t>
            </w:r>
          </w:p>
          <w:p w14:paraId="011E6D52">
            <w:pPr>
              <w:adjustRightInd w:val="0"/>
              <w:snapToGrid w:val="0"/>
              <w:spacing w:line="360" w:lineRule="auto"/>
              <w:ind w:firstLine="420" w:firstLineChars="200"/>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lang w:eastAsia="zh-CN"/>
              </w:rPr>
              <w:t>具体按表</w:t>
            </w:r>
            <w:r>
              <w:rPr>
                <w:rFonts w:hint="default" w:ascii="Times New Roman" w:hAnsi="Times New Roman" w:cs="Times New Roman"/>
                <w:b w:val="0"/>
                <w:bCs/>
                <w:color w:val="auto"/>
                <w:sz w:val="21"/>
                <w:szCs w:val="21"/>
                <w:lang w:val="en-US" w:eastAsia="zh-CN"/>
              </w:rPr>
              <w:t>4-2</w:t>
            </w:r>
            <w:r>
              <w:rPr>
                <w:rFonts w:hint="eastAsia" w:ascii="Times New Roman" w:hAnsi="Times New Roman" w:cs="Times New Roman"/>
                <w:b w:val="0"/>
                <w:bCs/>
                <w:color w:val="auto"/>
                <w:sz w:val="21"/>
                <w:szCs w:val="21"/>
                <w:lang w:val="en-US" w:eastAsia="zh-CN"/>
              </w:rPr>
              <w:t>9</w:t>
            </w:r>
            <w:r>
              <w:rPr>
                <w:rFonts w:hint="default" w:ascii="Times New Roman" w:hAnsi="Times New Roman" w:cs="Times New Roman"/>
                <w:b w:val="0"/>
                <w:bCs/>
                <w:color w:val="auto"/>
                <w:sz w:val="21"/>
                <w:szCs w:val="21"/>
                <w:lang w:eastAsia="zh-CN"/>
              </w:rPr>
              <w:t>的有关要求制定突发事故应急预案。</w:t>
            </w:r>
          </w:p>
          <w:p w14:paraId="19881947">
            <w:pPr>
              <w:ind w:firstLine="422" w:firstLineChars="20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表4-</w:t>
            </w:r>
            <w:r>
              <w:rPr>
                <w:rFonts w:hint="default" w:ascii="Times New Roman" w:hAnsi="Times New Roman" w:cs="Times New Roman"/>
                <w:b/>
                <w:bCs/>
                <w:color w:val="auto"/>
                <w:kern w:val="0"/>
                <w:sz w:val="21"/>
                <w:szCs w:val="21"/>
                <w:lang w:val="en-US" w:eastAsia="zh-CN"/>
              </w:rPr>
              <w:t>2</w:t>
            </w:r>
            <w:r>
              <w:rPr>
                <w:rFonts w:hint="eastAsia" w:ascii="Times New Roman" w:hAnsi="Times New Roman" w:cs="Times New Roman"/>
                <w:b/>
                <w:bCs/>
                <w:color w:val="auto"/>
                <w:kern w:val="0"/>
                <w:sz w:val="21"/>
                <w:szCs w:val="21"/>
                <w:lang w:val="en-US" w:eastAsia="zh-CN"/>
              </w:rPr>
              <w:t>9</w:t>
            </w:r>
            <w:r>
              <w:rPr>
                <w:rFonts w:hint="default" w:ascii="Times New Roman" w:hAnsi="Times New Roman" w:cs="Times New Roman"/>
                <w:b/>
                <w:bCs/>
                <w:color w:val="auto"/>
                <w:kern w:val="0"/>
                <w:sz w:val="21"/>
                <w:szCs w:val="21"/>
                <w:lang w:val="en-US" w:eastAsia="zh-CN"/>
              </w:rPr>
              <w:t xml:space="preserve"> </w:t>
            </w:r>
            <w:r>
              <w:rPr>
                <w:rFonts w:hint="default" w:ascii="Times New Roman" w:hAnsi="Times New Roman" w:cs="Times New Roman"/>
                <w:b/>
                <w:bCs/>
                <w:color w:val="auto"/>
                <w:kern w:val="0"/>
                <w:sz w:val="21"/>
                <w:szCs w:val="21"/>
                <w:lang w:eastAsia="zh-CN"/>
              </w:rPr>
              <w:t>突发事故应急预案</w:t>
            </w:r>
          </w:p>
          <w:tbl>
            <w:tblPr>
              <w:tblStyle w:val="4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0"/>
              <w:gridCol w:w="1489"/>
              <w:gridCol w:w="6199"/>
            </w:tblGrid>
            <w:tr w14:paraId="65AE2E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351" w:type="pct"/>
                  <w:noWrap w:val="0"/>
                  <w:vAlign w:val="center"/>
                </w:tcPr>
                <w:p w14:paraId="39AD11C5">
                  <w:pPr>
                    <w:ind w:right="6"/>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900" w:type="pct"/>
                  <w:noWrap w:val="0"/>
                  <w:vAlign w:val="center"/>
                </w:tcPr>
                <w:p w14:paraId="755AFA28">
                  <w:pPr>
                    <w:ind w:right="6"/>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项目</w:t>
                  </w:r>
                </w:p>
              </w:tc>
              <w:tc>
                <w:tcPr>
                  <w:tcW w:w="3748" w:type="pct"/>
                  <w:noWrap w:val="0"/>
                  <w:vAlign w:val="center"/>
                </w:tcPr>
                <w:p w14:paraId="52838FA2">
                  <w:pPr>
                    <w:ind w:right="6"/>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污染物类型</w:t>
                  </w:r>
                </w:p>
              </w:tc>
            </w:tr>
            <w:tr w14:paraId="6E3CA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351" w:type="pct"/>
                  <w:tcBorders>
                    <w:top w:val="single" w:color="auto" w:sz="4" w:space="0"/>
                    <w:bottom w:val="single" w:color="auto" w:sz="4" w:space="0"/>
                  </w:tcBorders>
                  <w:noWrap w:val="0"/>
                  <w:vAlign w:val="center"/>
                </w:tcPr>
                <w:p w14:paraId="1F440265">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900" w:type="pct"/>
                  <w:tcBorders>
                    <w:top w:val="single" w:color="auto" w:sz="4" w:space="0"/>
                    <w:bottom w:val="single" w:color="auto" w:sz="4" w:space="0"/>
                  </w:tcBorders>
                  <w:noWrap w:val="0"/>
                  <w:vAlign w:val="center"/>
                </w:tcPr>
                <w:p w14:paraId="1BC3FF06">
                  <w:pPr>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eastAsia="zh-CN"/>
                    </w:rPr>
                    <w:t>总则</w:t>
                  </w:r>
                </w:p>
              </w:tc>
              <w:tc>
                <w:tcPr>
                  <w:tcW w:w="3748" w:type="pct"/>
                  <w:noWrap w:val="0"/>
                  <w:vAlign w:val="center"/>
                </w:tcPr>
                <w:p w14:paraId="454AE004">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明确编制目的、编制依据、适用范围、预案体系和工作原则</w:t>
                  </w:r>
                </w:p>
              </w:tc>
            </w:tr>
            <w:tr w14:paraId="1F476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745" w:hRule="exact"/>
              </w:trPr>
              <w:tc>
                <w:tcPr>
                  <w:tcW w:w="351" w:type="pct"/>
                  <w:tcBorders>
                    <w:top w:val="single" w:color="auto" w:sz="4" w:space="0"/>
                  </w:tcBorders>
                  <w:noWrap w:val="0"/>
                  <w:vAlign w:val="center"/>
                </w:tcPr>
                <w:p w14:paraId="3AF9CFDF">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900" w:type="pct"/>
                  <w:tcBorders>
                    <w:top w:val="single" w:color="auto" w:sz="4" w:space="0"/>
                  </w:tcBorders>
                  <w:noWrap w:val="0"/>
                  <w:vAlign w:val="center"/>
                </w:tcPr>
                <w:p w14:paraId="2A237466">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组织机构及职责</w:t>
                  </w:r>
                </w:p>
              </w:tc>
              <w:tc>
                <w:tcPr>
                  <w:tcW w:w="3748" w:type="pct"/>
                  <w:noWrap w:val="0"/>
                  <w:vAlign w:val="center"/>
                </w:tcPr>
                <w:p w14:paraId="4DABE88D">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明确应急组织机构体系、成员单位及负责人、工作职责、辅以图、表形式表示</w:t>
                  </w:r>
                </w:p>
              </w:tc>
            </w:tr>
            <w:tr w14:paraId="60E191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351" w:type="pct"/>
                  <w:noWrap w:val="0"/>
                  <w:vAlign w:val="center"/>
                </w:tcPr>
                <w:p w14:paraId="51B7146F">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3</w:t>
                  </w:r>
                </w:p>
              </w:tc>
              <w:tc>
                <w:tcPr>
                  <w:tcW w:w="900" w:type="pct"/>
                  <w:noWrap w:val="0"/>
                  <w:vAlign w:val="center"/>
                </w:tcPr>
                <w:p w14:paraId="4894BC4B">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监控预警</w:t>
                  </w:r>
                </w:p>
              </w:tc>
              <w:tc>
                <w:tcPr>
                  <w:tcW w:w="3748" w:type="pct"/>
                  <w:noWrap w:val="0"/>
                  <w:vAlign w:val="center"/>
                </w:tcPr>
                <w:p w14:paraId="71EC9B6D">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监控、预警</w:t>
                  </w:r>
                </w:p>
              </w:tc>
            </w:tr>
            <w:tr w14:paraId="2E5B43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351" w:type="pct"/>
                  <w:noWrap w:val="0"/>
                  <w:vAlign w:val="center"/>
                </w:tcPr>
                <w:p w14:paraId="14029050">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4</w:t>
                  </w:r>
                </w:p>
              </w:tc>
              <w:tc>
                <w:tcPr>
                  <w:tcW w:w="900" w:type="pct"/>
                  <w:noWrap w:val="0"/>
                  <w:vAlign w:val="center"/>
                </w:tcPr>
                <w:p w14:paraId="677EC699">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信息报告</w:t>
                  </w:r>
                </w:p>
              </w:tc>
              <w:tc>
                <w:tcPr>
                  <w:tcW w:w="3748" w:type="pct"/>
                  <w:noWrap w:val="0"/>
                  <w:vAlign w:val="center"/>
                </w:tcPr>
                <w:p w14:paraId="0BF3F1EF">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信息报告程序、信息报告内容及方式</w:t>
                  </w:r>
                </w:p>
              </w:tc>
            </w:tr>
            <w:tr w14:paraId="70C9B1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351" w:type="pct"/>
                  <w:noWrap w:val="0"/>
                  <w:vAlign w:val="center"/>
                </w:tcPr>
                <w:p w14:paraId="13D96BEB">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5</w:t>
                  </w:r>
                </w:p>
              </w:tc>
              <w:tc>
                <w:tcPr>
                  <w:tcW w:w="900" w:type="pct"/>
                  <w:noWrap w:val="0"/>
                  <w:vAlign w:val="center"/>
                </w:tcPr>
                <w:p w14:paraId="0EF25725">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环境应急监测</w:t>
                  </w:r>
                </w:p>
              </w:tc>
              <w:tc>
                <w:tcPr>
                  <w:tcW w:w="3748" w:type="pct"/>
                  <w:noWrap w:val="0"/>
                  <w:vAlign w:val="center"/>
                </w:tcPr>
                <w:p w14:paraId="674661D3">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制定不同突发环境事件情景下的环境应急监测方案</w:t>
                  </w:r>
                </w:p>
              </w:tc>
            </w:tr>
            <w:tr w14:paraId="41712E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351" w:type="pct"/>
                  <w:noWrap w:val="0"/>
                  <w:vAlign w:val="center"/>
                </w:tcPr>
                <w:p w14:paraId="763CCDA8">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6</w:t>
                  </w:r>
                </w:p>
              </w:tc>
              <w:tc>
                <w:tcPr>
                  <w:tcW w:w="900" w:type="pct"/>
                  <w:noWrap w:val="0"/>
                  <w:vAlign w:val="center"/>
                </w:tcPr>
                <w:p w14:paraId="562778B3">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环境应急响应</w:t>
                  </w:r>
                </w:p>
              </w:tc>
              <w:tc>
                <w:tcPr>
                  <w:tcW w:w="3748" w:type="pct"/>
                  <w:noWrap w:val="0"/>
                  <w:vAlign w:val="center"/>
                </w:tcPr>
                <w:p w14:paraId="214320F2">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明确响应程序、响应分级、应急启动、应急处置</w:t>
                  </w:r>
                </w:p>
              </w:tc>
            </w:tr>
            <w:tr w14:paraId="583E85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725" w:hRule="exact"/>
              </w:trPr>
              <w:tc>
                <w:tcPr>
                  <w:tcW w:w="351" w:type="pct"/>
                  <w:noWrap w:val="0"/>
                  <w:vAlign w:val="center"/>
                </w:tcPr>
                <w:p w14:paraId="3D1D872F">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7</w:t>
                  </w:r>
                </w:p>
              </w:tc>
              <w:tc>
                <w:tcPr>
                  <w:tcW w:w="900" w:type="pct"/>
                  <w:noWrap w:val="0"/>
                  <w:vAlign w:val="center"/>
                </w:tcPr>
                <w:p w14:paraId="578BDF15">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应急终止</w:t>
                  </w:r>
                </w:p>
              </w:tc>
              <w:tc>
                <w:tcPr>
                  <w:tcW w:w="3748" w:type="pct"/>
                  <w:noWrap w:val="0"/>
                  <w:vAlign w:val="center"/>
                </w:tcPr>
                <w:p w14:paraId="0698C1D0">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明确应急终止的条件、程序和责任人，说明应急状态终止后，继续进行跟踪环境监测和评估工作的方案</w:t>
                  </w:r>
                </w:p>
              </w:tc>
            </w:tr>
            <w:tr w14:paraId="484A5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755" w:hRule="exact"/>
              </w:trPr>
              <w:tc>
                <w:tcPr>
                  <w:tcW w:w="351" w:type="pct"/>
                  <w:noWrap w:val="0"/>
                  <w:vAlign w:val="center"/>
                </w:tcPr>
                <w:p w14:paraId="0CC99646">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8</w:t>
                  </w:r>
                </w:p>
              </w:tc>
              <w:tc>
                <w:tcPr>
                  <w:tcW w:w="900" w:type="pct"/>
                  <w:noWrap w:val="0"/>
                  <w:vAlign w:val="center"/>
                </w:tcPr>
                <w:p w14:paraId="1500F910">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事后恢复</w:t>
                  </w:r>
                </w:p>
              </w:tc>
              <w:tc>
                <w:tcPr>
                  <w:tcW w:w="3748" w:type="pct"/>
                  <w:noWrap w:val="0"/>
                  <w:vAlign w:val="center"/>
                </w:tcPr>
                <w:p w14:paraId="294D5C26">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①</w:t>
                  </w:r>
                  <w:r>
                    <w:rPr>
                      <w:rFonts w:hint="default" w:ascii="Times New Roman" w:hAnsi="Times New Roman" w:eastAsia="宋体" w:cs="Times New Roman"/>
                      <w:color w:val="auto"/>
                      <w:sz w:val="21"/>
                      <w:szCs w:val="21"/>
                      <w:lang w:eastAsia="zh-CN"/>
                    </w:rPr>
                    <w:t>妥善处置。应明确现场污染物的后续处置措施以及环境应急相关设施、设备、场所的维护措施，开展事件调查和总结。必要时委托第三方机构开展</w:t>
                  </w:r>
                  <w:r>
                    <w:rPr>
                      <w:rFonts w:hint="default" w:ascii="Times New Roman" w:hAnsi="Times New Roman" w:cs="Times New Roman"/>
                      <w:color w:val="auto"/>
                      <w:sz w:val="21"/>
                      <w:szCs w:val="21"/>
                      <w:lang w:val="en-US" w:eastAsia="zh-CN"/>
                    </w:rPr>
                    <w:t>生态</w:t>
                  </w:r>
                  <w:r>
                    <w:rPr>
                      <w:rFonts w:hint="default" w:ascii="Times New Roman" w:hAnsi="Times New Roman" w:eastAsia="宋体" w:cs="Times New Roman"/>
                      <w:color w:val="auto"/>
                      <w:sz w:val="21"/>
                      <w:szCs w:val="21"/>
                      <w:lang w:eastAsia="zh-CN"/>
                    </w:rPr>
                    <w:t>环境损害鉴定评估。</w:t>
                  </w:r>
                </w:p>
                <w:p w14:paraId="2148855F">
                  <w:pPr>
                    <w:jc w:val="left"/>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rPr>
                    <w:t>②</w:t>
                  </w:r>
                  <w:r>
                    <w:rPr>
                      <w:rFonts w:hint="default" w:ascii="Times New Roman" w:hAnsi="Times New Roman" w:eastAsia="宋体" w:cs="Times New Roman"/>
                      <w:color w:val="auto"/>
                      <w:sz w:val="21"/>
                      <w:szCs w:val="21"/>
                      <w:lang w:eastAsia="zh-CN"/>
                    </w:rPr>
                    <w:t>保险理赔。对工业园区环境应急人员办理意外伤害保险，对可能引起环境污染的企事业单位，应依法办理相关责任险或其他险种，突发环境事件发生后，及时做好理赔工作。</w:t>
                  </w:r>
                </w:p>
              </w:tc>
            </w:tr>
            <w:tr w14:paraId="5FCFD7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10" w:hRule="exact"/>
              </w:trPr>
              <w:tc>
                <w:tcPr>
                  <w:tcW w:w="351" w:type="pct"/>
                  <w:noWrap w:val="0"/>
                  <w:vAlign w:val="center"/>
                </w:tcPr>
                <w:p w14:paraId="79778E0C">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9</w:t>
                  </w:r>
                </w:p>
              </w:tc>
              <w:tc>
                <w:tcPr>
                  <w:tcW w:w="900" w:type="pct"/>
                  <w:noWrap w:val="0"/>
                  <w:vAlign w:val="center"/>
                </w:tcPr>
                <w:p w14:paraId="3408EC8C">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保障措施</w:t>
                  </w:r>
                </w:p>
              </w:tc>
              <w:tc>
                <w:tcPr>
                  <w:tcW w:w="3748" w:type="pct"/>
                  <w:noWrap w:val="0"/>
                  <w:vAlign w:val="center"/>
                </w:tcPr>
                <w:p w14:paraId="1C40BAF5">
                  <w:pPr>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根据环境应急工作需求确定的相关保障措施，包括经费保障、制度保障、应急物资装备保障、应急队伍保障、通信与信息保障等。</w:t>
                  </w:r>
                </w:p>
              </w:tc>
            </w:tr>
            <w:tr w14:paraId="6FEF21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351" w:type="pct"/>
                  <w:noWrap w:val="0"/>
                  <w:vAlign w:val="center"/>
                </w:tcPr>
                <w:p w14:paraId="2BD3F146">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10</w:t>
                  </w:r>
                </w:p>
              </w:tc>
              <w:tc>
                <w:tcPr>
                  <w:tcW w:w="900" w:type="pct"/>
                  <w:noWrap w:val="0"/>
                  <w:vAlign w:val="center"/>
                </w:tcPr>
                <w:p w14:paraId="1C463294">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预案管理</w:t>
                  </w:r>
                </w:p>
              </w:tc>
              <w:tc>
                <w:tcPr>
                  <w:tcW w:w="3748" w:type="pct"/>
                  <w:noWrap w:val="0"/>
                  <w:vAlign w:val="center"/>
                </w:tcPr>
                <w:p w14:paraId="4EB59E3B">
                  <w:pPr>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明确环境应急预案培训、演练、评估修订等要求。</w:t>
                  </w:r>
                </w:p>
              </w:tc>
            </w:tr>
          </w:tbl>
          <w:p w14:paraId="677A258E">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eastAsia" w:ascii="Times New Roman" w:hAnsi="Times New Roman" w:cs="Times New Roman"/>
                <w:b w:val="0"/>
                <w:bCs/>
                <w:color w:val="auto"/>
                <w:sz w:val="21"/>
                <w:szCs w:val="21"/>
                <w:lang w:val="en-US" w:eastAsia="zh-CN"/>
              </w:rPr>
              <w:t>1</w:t>
            </w:r>
            <w:r>
              <w:rPr>
                <w:rFonts w:hint="default" w:ascii="Times New Roman" w:hAnsi="Times New Roman" w:cs="Times New Roman"/>
                <w:b w:val="0"/>
                <w:bCs/>
                <w:color w:val="auto"/>
                <w:sz w:val="21"/>
                <w:szCs w:val="21"/>
              </w:rPr>
              <w:t>）应急要求</w:t>
            </w:r>
          </w:p>
          <w:p w14:paraId="7DE238C7">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①企业应急队伍要进行专业培训，并要有培训记录和档案：同时，加强各应急救援专业队伍的建设，配备相应器材并确保设备性能完好，保证与相城经济开发区各级应急预案相衔接与联动有效，接受上级应急机构的指导。</w:t>
            </w:r>
          </w:p>
          <w:p w14:paraId="0FFBD40A">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②针对应急救援，</w:t>
            </w:r>
            <w:r>
              <w:rPr>
                <w:rFonts w:hint="default" w:ascii="Times New Roman" w:hAnsi="Times New Roman" w:cs="Times New Roman"/>
                <w:b w:val="0"/>
                <w:bCs/>
                <w:color w:val="auto"/>
                <w:sz w:val="21"/>
                <w:szCs w:val="21"/>
                <w:lang w:val="en-US" w:eastAsia="zh-CN"/>
              </w:rPr>
              <w:t>参照</w:t>
            </w:r>
            <w:r>
              <w:rPr>
                <w:rFonts w:hint="default" w:ascii="Times New Roman" w:hAnsi="Times New Roman" w:cs="Times New Roman"/>
                <w:b w:val="0"/>
                <w:bCs/>
                <w:color w:val="auto"/>
                <w:sz w:val="21"/>
                <w:szCs w:val="21"/>
              </w:rPr>
              <w:t>《危险化学品单位应急救援物资配备要求》（GB 30077-2023）</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企业应配备相应的应急救援物资，如</w:t>
            </w:r>
            <w:r>
              <w:rPr>
                <w:rFonts w:hint="default" w:ascii="Times New Roman" w:hAnsi="Times New Roman" w:cs="Times New Roman"/>
                <w:b w:val="0"/>
                <w:bCs/>
                <w:color w:val="auto"/>
                <w:sz w:val="21"/>
                <w:szCs w:val="21"/>
                <w:lang w:val="en-US" w:eastAsia="zh-CN"/>
              </w:rPr>
              <w:t>对讲机、急救箱或急救包、自吸过滤式防毒面具、防护服、手电筒、应急处置工具箱等</w:t>
            </w:r>
            <w:r>
              <w:rPr>
                <w:rFonts w:hint="default" w:ascii="Times New Roman" w:hAnsi="Times New Roman" w:cs="Times New Roman"/>
                <w:b w:val="0"/>
                <w:bCs/>
                <w:color w:val="auto"/>
                <w:sz w:val="21"/>
                <w:szCs w:val="21"/>
              </w:rPr>
              <w:t>。当有事故发生时，能协助参与应急救援。</w:t>
            </w:r>
          </w:p>
          <w:p w14:paraId="4D6DB35F">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③发生火灾事故后，会产生大量的事故废水，这些废水必须进入单独的应急事故池收集以便后续处理。</w:t>
            </w:r>
          </w:p>
          <w:p w14:paraId="1CD7B1FC">
            <w:pPr>
              <w:adjustRightInd w:val="0"/>
              <w:snapToGrid w:val="0"/>
              <w:spacing w:line="360" w:lineRule="auto"/>
              <w:ind w:firstLine="422" w:firstLineChars="20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事故应急池：</w:t>
            </w:r>
          </w:p>
          <w:p w14:paraId="565F26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事故应急池设计：参照《化工建设项目环境保护设计规范》（GB50483-2009）应急事故池的设置标准，应急事故水池应考虑多种因素确定。</w:t>
            </w:r>
          </w:p>
          <w:p w14:paraId="52DF9F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根据《事故状态下水体污染的预防与控制技术要求》（Q/SY 1190-2013），事故应急池总有效容积：</w:t>
            </w:r>
          </w:p>
          <w:p w14:paraId="6AEAF0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V总=（V1+V2-V3）max+V4+V5</w:t>
            </w:r>
          </w:p>
          <w:p w14:paraId="710BAD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rPr>
            </w:pPr>
            <m:oMathPara>
              <m:oMath>
                <m:sSub>
                  <m:sSubPr>
                    <m:ctrlPr>
                      <w:rPr>
                        <w:rFonts w:hint="default" w:ascii="Cambria Math" w:hAnsi="Cambria Math" w:cs="Times New Roman"/>
                        <w:color w:val="auto"/>
                      </w:rPr>
                    </m:ctrlPr>
                  </m:sSubPr>
                  <m:e>
                    <m:r>
                      <m:rPr>
                        <m:sty m:val="p"/>
                      </m:rPr>
                      <w:rPr>
                        <w:rFonts w:hint="default" w:ascii="Cambria Math" w:hAnsi="Cambria Math" w:cs="Times New Roman"/>
                        <w:color w:val="auto"/>
                      </w:rPr>
                      <m:t>V</m:t>
                    </m:r>
                    <m:ctrlPr>
                      <w:rPr>
                        <w:rFonts w:hint="default" w:ascii="Cambria Math" w:hAnsi="Cambria Math" w:cs="Times New Roman"/>
                        <w:color w:val="auto"/>
                      </w:rPr>
                    </m:ctrlPr>
                  </m:e>
                  <m:sub>
                    <m:r>
                      <m:rPr>
                        <m:sty m:val="p"/>
                      </m:rPr>
                      <w:rPr>
                        <w:rFonts w:hint="default" w:ascii="Cambria Math" w:hAnsi="Cambria Math" w:cs="Times New Roman"/>
                        <w:color w:val="auto"/>
                      </w:rPr>
                      <m:t>2</m:t>
                    </m:r>
                    <m:ctrlPr>
                      <w:rPr>
                        <w:rFonts w:hint="default" w:ascii="Cambria Math" w:hAnsi="Cambria Math" w:cs="Times New Roman"/>
                        <w:color w:val="auto"/>
                      </w:rPr>
                    </m:ctrlPr>
                  </m:sub>
                </m:sSub>
                <m:r>
                  <m:rPr>
                    <m:sty m:val="p"/>
                  </m:rPr>
                  <w:rPr>
                    <w:rFonts w:hint="default" w:ascii="Cambria Math" w:hAnsi="Cambria Math" w:cs="Times New Roman"/>
                    <w:color w:val="auto"/>
                  </w:rPr>
                  <m:t>=∑</m:t>
                </m:r>
                <m:sSub>
                  <m:sSubPr>
                    <m:ctrlPr>
                      <w:rPr>
                        <w:rFonts w:hint="default" w:ascii="Cambria Math" w:hAnsi="Cambria Math" w:cs="Times New Roman"/>
                        <w:color w:val="auto"/>
                      </w:rPr>
                    </m:ctrlPr>
                  </m:sSubPr>
                  <m:e>
                    <m:r>
                      <m:rPr>
                        <m:sty m:val="p"/>
                      </m:rPr>
                      <w:rPr>
                        <w:rFonts w:hint="default" w:ascii="Cambria Math" w:hAnsi="Cambria Math" w:cs="Times New Roman"/>
                        <w:color w:val="auto"/>
                      </w:rPr>
                      <m:t>Q</m:t>
                    </m:r>
                    <m:ctrlPr>
                      <w:rPr>
                        <w:rFonts w:hint="default" w:ascii="Cambria Math" w:hAnsi="Cambria Math" w:cs="Times New Roman"/>
                        <w:color w:val="auto"/>
                      </w:rPr>
                    </m:ctrlPr>
                  </m:e>
                  <m:sub>
                    <m:r>
                      <m:rPr>
                        <m:sty m:val="p"/>
                      </m:rPr>
                      <w:rPr>
                        <w:rFonts w:hint="default" w:ascii="Cambria Math" w:hAnsi="Cambria Math" w:cs="Times New Roman"/>
                        <w:color w:val="auto"/>
                      </w:rPr>
                      <m:t>消</m:t>
                    </m:r>
                    <m:ctrlPr>
                      <w:rPr>
                        <w:rFonts w:hint="default" w:ascii="Cambria Math" w:hAnsi="Cambria Math" w:cs="Times New Roman"/>
                        <w:color w:val="auto"/>
                      </w:rPr>
                    </m:ctrlPr>
                  </m:sub>
                </m:sSub>
                <m:r>
                  <m:rPr>
                    <m:sty m:val="p"/>
                  </m:rPr>
                  <w:rPr>
                    <w:rFonts w:hint="default" w:ascii="Cambria Math" w:hAnsi="Cambria Math" w:cs="Times New Roman"/>
                    <w:color w:val="auto"/>
                  </w:rPr>
                  <m:t>.</m:t>
                </m:r>
                <m:sSub>
                  <m:sSubPr>
                    <m:ctrlPr>
                      <w:rPr>
                        <w:rFonts w:hint="default" w:ascii="Cambria Math" w:hAnsi="Cambria Math" w:cs="Times New Roman"/>
                        <w:color w:val="auto"/>
                      </w:rPr>
                    </m:ctrlPr>
                  </m:sSubPr>
                  <m:e>
                    <m:r>
                      <m:rPr>
                        <m:sty m:val="p"/>
                      </m:rPr>
                      <w:rPr>
                        <w:rFonts w:hint="default" w:ascii="Cambria Math" w:hAnsi="Cambria Math" w:cs="Times New Roman"/>
                        <w:color w:val="auto"/>
                      </w:rPr>
                      <m:t>t</m:t>
                    </m:r>
                    <m:ctrlPr>
                      <w:rPr>
                        <w:rFonts w:hint="default" w:ascii="Cambria Math" w:hAnsi="Cambria Math" w:cs="Times New Roman"/>
                        <w:color w:val="auto"/>
                      </w:rPr>
                    </m:ctrlPr>
                  </m:e>
                  <m:sub>
                    <m:r>
                      <m:rPr>
                        <m:sty m:val="p"/>
                      </m:rPr>
                      <w:rPr>
                        <w:rFonts w:hint="default" w:ascii="Cambria Math" w:hAnsi="Cambria Math" w:cs="Times New Roman"/>
                        <w:color w:val="auto"/>
                      </w:rPr>
                      <m:t>消</m:t>
                    </m:r>
                    <m:ctrlPr>
                      <w:rPr>
                        <w:rFonts w:hint="default" w:ascii="Cambria Math" w:hAnsi="Cambria Math" w:cs="Times New Roman"/>
                        <w:color w:val="auto"/>
                      </w:rPr>
                    </m:ctrlPr>
                  </m:sub>
                </m:sSub>
              </m:oMath>
            </m:oMathPara>
          </w:p>
          <w:p w14:paraId="0C282C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rPr>
            </w:pPr>
            <m:oMathPara>
              <m:oMath>
                <m:sSub>
                  <m:sSubPr>
                    <m:ctrlPr>
                      <w:rPr>
                        <w:rFonts w:hint="default" w:ascii="Cambria Math" w:hAnsi="Cambria Math" w:cs="Times New Roman"/>
                        <w:color w:val="auto"/>
                      </w:rPr>
                    </m:ctrlPr>
                  </m:sSubPr>
                  <m:e>
                    <m:r>
                      <m:rPr>
                        <m:sty m:val="p"/>
                      </m:rPr>
                      <w:rPr>
                        <w:rFonts w:hint="default" w:ascii="Cambria Math" w:hAnsi="Cambria Math" w:cs="Times New Roman"/>
                        <w:color w:val="auto"/>
                      </w:rPr>
                      <m:t>V</m:t>
                    </m:r>
                    <m:ctrlPr>
                      <w:rPr>
                        <w:rFonts w:hint="default" w:ascii="Cambria Math" w:hAnsi="Cambria Math" w:cs="Times New Roman"/>
                        <w:color w:val="auto"/>
                      </w:rPr>
                    </m:ctrlPr>
                  </m:e>
                  <m:sub>
                    <m:r>
                      <m:rPr>
                        <m:sty m:val="p"/>
                      </m:rPr>
                      <w:rPr>
                        <w:rFonts w:hint="default" w:ascii="Cambria Math" w:hAnsi="Cambria Math" w:cs="Times New Roman"/>
                        <w:color w:val="auto"/>
                      </w:rPr>
                      <m:t>5</m:t>
                    </m:r>
                    <m:ctrlPr>
                      <w:rPr>
                        <w:rFonts w:hint="default" w:ascii="Cambria Math" w:hAnsi="Cambria Math" w:cs="Times New Roman"/>
                        <w:color w:val="auto"/>
                      </w:rPr>
                    </m:ctrlPr>
                  </m:sub>
                </m:sSub>
                <m:r>
                  <m:rPr>
                    <m:sty m:val="p"/>
                  </m:rPr>
                  <w:rPr>
                    <w:rFonts w:hint="default" w:ascii="Cambria Math" w:hAnsi="Cambria Math" w:cs="Times New Roman"/>
                    <w:color w:val="auto"/>
                  </w:rPr>
                  <m:t>=10q.f</m:t>
                </m:r>
              </m:oMath>
            </m:oMathPara>
          </w:p>
          <w:p w14:paraId="0AE81B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rPr>
            </w:pPr>
            <m:oMathPara>
              <m:oMath>
                <m:r>
                  <m:rPr>
                    <m:sty m:val="p"/>
                  </m:rPr>
                  <w:rPr>
                    <w:rFonts w:hint="default" w:ascii="Cambria Math" w:hAnsi="Cambria Math" w:cs="Times New Roman"/>
                    <w:color w:val="auto"/>
                  </w:rPr>
                  <m:t>q=</m:t>
                </m:r>
                <m:f>
                  <m:fPr>
                    <m:ctrlPr>
                      <w:rPr>
                        <w:rFonts w:hint="default" w:ascii="Cambria Math" w:hAnsi="Cambria Math" w:cs="Times New Roman"/>
                        <w:color w:val="auto"/>
                      </w:rPr>
                    </m:ctrlPr>
                  </m:fPr>
                  <m:num>
                    <m:sSub>
                      <m:sSubPr>
                        <m:ctrlPr>
                          <w:rPr>
                            <w:rFonts w:hint="default" w:ascii="Cambria Math" w:hAnsi="Cambria Math" w:cs="Times New Roman"/>
                            <w:color w:val="auto"/>
                          </w:rPr>
                        </m:ctrlPr>
                      </m:sSubPr>
                      <m:e>
                        <m:r>
                          <m:rPr>
                            <m:sty m:val="p"/>
                          </m:rPr>
                          <w:rPr>
                            <w:rFonts w:hint="default" w:ascii="Cambria Math" w:hAnsi="Cambria Math" w:cs="Times New Roman"/>
                            <w:color w:val="auto"/>
                          </w:rPr>
                          <m:t>q</m:t>
                        </m:r>
                        <m:ctrlPr>
                          <w:rPr>
                            <w:rFonts w:hint="default" w:ascii="Cambria Math" w:hAnsi="Cambria Math" w:cs="Times New Roman"/>
                            <w:color w:val="auto"/>
                          </w:rPr>
                        </m:ctrlPr>
                      </m:e>
                      <m:sub>
                        <m:r>
                          <m:rPr>
                            <m:sty m:val="p"/>
                          </m:rPr>
                          <w:rPr>
                            <w:rFonts w:hint="default" w:ascii="Cambria Math" w:hAnsi="Cambria Math" w:cs="Times New Roman"/>
                            <w:color w:val="auto"/>
                          </w:rPr>
                          <m:t>a</m:t>
                        </m:r>
                        <m:ctrlPr>
                          <w:rPr>
                            <w:rFonts w:hint="default" w:ascii="Cambria Math" w:hAnsi="Cambria Math" w:cs="Times New Roman"/>
                            <w:color w:val="auto"/>
                          </w:rPr>
                        </m:ctrlPr>
                      </m:sub>
                    </m:sSub>
                    <m:ctrlPr>
                      <w:rPr>
                        <w:rFonts w:hint="default" w:ascii="Cambria Math" w:hAnsi="Cambria Math" w:cs="Times New Roman"/>
                        <w:color w:val="auto"/>
                      </w:rPr>
                    </m:ctrlPr>
                  </m:num>
                  <m:den>
                    <m:r>
                      <m:rPr>
                        <m:sty m:val="p"/>
                      </m:rPr>
                      <w:rPr>
                        <w:rFonts w:hint="default" w:ascii="Cambria Math" w:hAnsi="Cambria Math" w:cs="Times New Roman"/>
                        <w:color w:val="auto"/>
                      </w:rPr>
                      <m:t>n</m:t>
                    </m:r>
                    <m:ctrlPr>
                      <w:rPr>
                        <w:rFonts w:hint="default" w:ascii="Cambria Math" w:hAnsi="Cambria Math" w:cs="Times New Roman"/>
                        <w:color w:val="auto"/>
                      </w:rPr>
                    </m:ctrlPr>
                  </m:den>
                </m:f>
              </m:oMath>
            </m:oMathPara>
          </w:p>
          <w:p w14:paraId="54420C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式中：</w:t>
            </w:r>
          </w:p>
          <w:p w14:paraId="61F445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V1—收集系统范围内发生事故的罐组或装置的物料量；本项目V1=</w:t>
            </w:r>
            <w:r>
              <w:rPr>
                <w:rFonts w:hint="eastAsia" w:ascii="Times New Roman" w:hAnsi="Times New Roman" w:cs="Times New Roman"/>
                <w:color w:val="auto"/>
                <w:lang w:val="en-US" w:eastAsia="zh-CN"/>
              </w:rPr>
              <w:t>0</w:t>
            </w:r>
            <w:r>
              <w:rPr>
                <w:rFonts w:hint="default" w:ascii="Times New Roman" w:hAnsi="Times New Roman" w:cs="Times New Roman"/>
                <w:color w:val="auto"/>
                <w:lang w:val="en-US" w:eastAsia="zh-CN"/>
              </w:rPr>
              <w:t>m³；</w:t>
            </w:r>
          </w:p>
          <w:p w14:paraId="084F11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V2—发生事故的储罐或装置的消防水量，m³；根据《消防给水及消火栓系统技术规范》（GB50974-2014）等技术规范，本项目室内消防水量为10L/s，废水量为108m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/次，室外消防水量为20L/s，火灾延续时间为3h，废水量为216m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/次，则废水总量为 324m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p>
          <w:p w14:paraId="1785EC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Q消—发生事故的储罐、装置或铁路、汽车装卸区同时使用的消防设施给水流量，m³/h；</w:t>
            </w:r>
          </w:p>
          <w:p w14:paraId="2E9ABA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t消—消防设施对应的设计消防历时，h；</w:t>
            </w:r>
          </w:p>
          <w:p w14:paraId="487BC5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V3—发生事故时可以转输到其他储存或处理设施的物料量，m³；全厂雨水管线约</w:t>
            </w:r>
            <w:r>
              <w:rPr>
                <w:rFonts w:hint="eastAsia" w:ascii="Times New Roman" w:hAnsi="Times New Roman" w:cs="Times New Roman"/>
                <w:color w:val="auto"/>
                <w:lang w:val="en-US" w:eastAsia="zh-CN"/>
              </w:rPr>
              <w:t>1600</w:t>
            </w:r>
            <w:r>
              <w:rPr>
                <w:rFonts w:hint="default" w:ascii="Times New Roman" w:hAnsi="Times New Roman" w:cs="Times New Roman"/>
                <w:color w:val="auto"/>
                <w:lang w:val="en-US" w:eastAsia="zh-CN"/>
              </w:rPr>
              <w:t>m（管径DN0.5m），故V</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314</w:t>
            </w:r>
            <w:r>
              <w:rPr>
                <w:rFonts w:hint="default" w:ascii="Times New Roman" w:hAnsi="Times New Roman" w:cs="Times New Roman"/>
                <w:color w:val="auto"/>
                <w:lang w:val="en-US" w:eastAsia="zh-CN"/>
              </w:rPr>
              <w:t>m³。</w:t>
            </w:r>
          </w:p>
          <w:p w14:paraId="4E40CC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V4—发生事故时仍必须进入该收集系统的生产废水量，m³；生产废水经事故应急池池收集，故发生事故时仍必须进入该系统的废水量V4＝0。</w:t>
            </w:r>
          </w:p>
          <w:p w14:paraId="78359F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V5—发生事故时可能进入该收集系统的降雨量，m³；则降雨量计算为</w:t>
            </w:r>
            <w:r>
              <w:rPr>
                <w:rFonts w:hint="eastAsia" w:ascii="Times New Roman" w:hAnsi="Times New Roman" w:cs="Times New Roman"/>
                <w:color w:val="auto"/>
                <w:lang w:val="en-US" w:eastAsia="zh-CN"/>
              </w:rPr>
              <w:t>94.15</w:t>
            </w:r>
            <w:r>
              <w:rPr>
                <w:rFonts w:hint="default" w:ascii="Times New Roman" w:hAnsi="Times New Roman" w:cs="Times New Roman"/>
                <w:color w:val="auto"/>
                <w:lang w:val="en-US" w:eastAsia="zh-CN"/>
              </w:rPr>
              <w:t>m³。</w:t>
            </w:r>
          </w:p>
          <w:p w14:paraId="6DFE74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q—降雨强度，按平均日降雨量，mm；q=8.53mm。</w:t>
            </w:r>
          </w:p>
          <w:p w14:paraId="649A8A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qa—年平均降雨量，mm；年降水量平均1025mm。</w:t>
            </w:r>
          </w:p>
          <w:p w14:paraId="6A0A11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n—年平均降雨日数；年雨日平均120天。</w:t>
            </w:r>
          </w:p>
          <w:p w14:paraId="1F2103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f—必须进入事故废水收集系统的雨水汇水面积，生产车间、原料库面积</w:t>
            </w:r>
            <w:r>
              <w:rPr>
                <w:rFonts w:hint="eastAsia" w:ascii="Times New Roman" w:hAnsi="Times New Roman" w:cs="Times New Roman"/>
                <w:color w:val="auto"/>
                <w:lang w:val="en-US" w:eastAsia="zh-CN"/>
              </w:rPr>
              <w:t>11022</w:t>
            </w:r>
            <w:r>
              <w:rPr>
                <w:rFonts w:hint="default" w:ascii="Times New Roman" w:hAnsi="Times New Roman" w:cs="Times New Roman"/>
                <w:color w:val="auto"/>
                <w:lang w:val="en-US" w:eastAsia="zh-CN"/>
              </w:rPr>
              <w:t>㎡；f取</w:t>
            </w:r>
            <w:r>
              <w:rPr>
                <w:rFonts w:hint="eastAsia" w:ascii="Times New Roman" w:hAnsi="Times New Roman" w:cs="Times New Roman"/>
                <w:color w:val="auto"/>
                <w:lang w:val="en-US" w:eastAsia="zh-CN"/>
              </w:rPr>
              <w:t>1.1022</w:t>
            </w:r>
            <w:r>
              <w:rPr>
                <w:rFonts w:hint="default" w:ascii="Times New Roman" w:hAnsi="Times New Roman" w:cs="Times New Roman"/>
                <w:color w:val="auto"/>
                <w:lang w:val="en-US" w:eastAsia="zh-CN"/>
              </w:rPr>
              <w:t>ha。</w:t>
            </w:r>
          </w:p>
          <w:p w14:paraId="5A2D9D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通过以上基础数据可计算得本项目的事故池容积约为：</w:t>
            </w:r>
          </w:p>
          <w:p w14:paraId="0E0F4F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V总＝（V1+V2-V3）max+V4+V5＝</w:t>
            </w:r>
            <w:r>
              <w:rPr>
                <w:rFonts w:hint="eastAsia" w:ascii="Times New Roman" w:hAnsi="Times New Roman" w:cs="Times New Roman"/>
                <w:color w:val="auto"/>
                <w:lang w:val="en-US" w:eastAsia="zh-CN"/>
              </w:rPr>
              <w:t>0</w:t>
            </w:r>
            <w:r>
              <w:rPr>
                <w:rFonts w:hint="default" w:ascii="Times New Roman" w:hAnsi="Times New Roman" w:cs="Times New Roman"/>
                <w:color w:val="auto"/>
                <w:lang w:val="en-US" w:eastAsia="zh-CN"/>
              </w:rPr>
              <w:t>+324–</w:t>
            </w:r>
            <w:r>
              <w:rPr>
                <w:rFonts w:hint="eastAsia" w:ascii="Times New Roman" w:hAnsi="Times New Roman" w:cs="Times New Roman"/>
                <w:color w:val="auto"/>
                <w:lang w:val="en-US" w:eastAsia="zh-CN"/>
              </w:rPr>
              <w:t>314</w:t>
            </w:r>
            <w:r>
              <w:rPr>
                <w:rFonts w:hint="default" w:ascii="Times New Roman" w:hAnsi="Times New Roman" w:cs="Times New Roman"/>
                <w:color w:val="auto"/>
                <w:lang w:val="en-US" w:eastAsia="zh-CN"/>
              </w:rPr>
              <w:t>+0+</w:t>
            </w:r>
            <w:r>
              <w:rPr>
                <w:rFonts w:hint="eastAsia" w:ascii="Times New Roman" w:hAnsi="Times New Roman" w:cs="Times New Roman"/>
                <w:color w:val="auto"/>
                <w:lang w:val="en-US" w:eastAsia="zh-CN"/>
              </w:rPr>
              <w:t>94.15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104.15</w:t>
            </w:r>
            <w:r>
              <w:rPr>
                <w:rFonts w:hint="default" w:ascii="Times New Roman" w:hAnsi="Times New Roman" w:cs="Times New Roman"/>
                <w:color w:val="auto"/>
                <w:lang w:val="en-US" w:eastAsia="zh-CN"/>
              </w:rPr>
              <w:t>m³</w:t>
            </w:r>
          </w:p>
          <w:p w14:paraId="2BE4C6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根据上述计算结果，厂内事故应急池容积应超过以上废水量，</w:t>
            </w:r>
            <w:r>
              <w:rPr>
                <w:rFonts w:hint="eastAsia" w:ascii="Times New Roman" w:hAnsi="Times New Roman" w:cs="Times New Roman"/>
                <w:color w:val="auto"/>
                <w:lang w:val="en-US" w:eastAsia="zh-CN"/>
              </w:rPr>
              <w:t>出租方</w:t>
            </w:r>
            <w:r>
              <w:rPr>
                <w:rFonts w:hint="default" w:ascii="Times New Roman" w:hAnsi="Times New Roman" w:cs="Times New Roman"/>
                <w:color w:val="auto"/>
                <w:lang w:val="en-US" w:eastAsia="zh-CN"/>
              </w:rPr>
              <w:t>事故应急池容积</w:t>
            </w:r>
            <w:r>
              <w:rPr>
                <w:rFonts w:hint="eastAsia" w:ascii="Times New Roman" w:hAnsi="Times New Roman" w:cs="Times New Roman"/>
                <w:color w:val="auto"/>
                <w:lang w:val="en-US" w:eastAsia="zh-CN"/>
              </w:rPr>
              <w:t>110</w:t>
            </w:r>
            <w:r>
              <w:rPr>
                <w:rFonts w:hint="default" w:ascii="Times New Roman" w:hAnsi="Times New Roman" w:cs="Times New Roman"/>
                <w:color w:val="auto"/>
                <w:lang w:val="en-US" w:eastAsia="zh-CN"/>
              </w:rPr>
              <w:t>m³，容积可满足对事故废水的收集。</w:t>
            </w:r>
          </w:p>
          <w:p w14:paraId="2B73F1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本项目的应急预案应与区域突发环境事故应急预案相联动，按照“企业自救、属地为主”的原则，一旦发生环境污染事故，企业可立即进行自救，采取一切措施控制事态发展，并及时向地方人民政府报告，超出本企业应急处理能力时，应启动上一级预案，由地方政府动用社会应急救援力量，实行分级管理、分级响应和联动，充分发挥地方政府职能作用和各部门的专业优势，加强各部门的协同和合作，提高快速应对能力。</w:t>
            </w:r>
          </w:p>
          <w:p w14:paraId="792AA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lang w:val="en-US" w:eastAsia="zh-CN"/>
              </w:rPr>
            </w:pPr>
            <w:r>
              <w:rPr>
                <w:rFonts w:hint="default" w:ascii="Times New Roman" w:hAnsi="Times New Roman" w:cs="Times New Roman"/>
                <w:b w:val="0"/>
                <w:bCs w:val="0"/>
                <w:color w:val="auto"/>
                <w:szCs w:val="21"/>
                <w:lang w:val="en-US" w:eastAsia="zh-CN"/>
              </w:rPr>
              <w:t>④应急预案联动：</w:t>
            </w:r>
          </w:p>
          <w:p w14:paraId="59A39C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lang w:eastAsia="zh-CN"/>
              </w:rPr>
              <w:t>A</w:t>
            </w:r>
            <w:r>
              <w:rPr>
                <w:rFonts w:hint="default" w:ascii="Times New Roman" w:hAnsi="Times New Roman" w:cs="Times New Roman"/>
                <w:b w:val="0"/>
                <w:bCs w:val="0"/>
                <w:color w:val="auto"/>
                <w:szCs w:val="21"/>
                <w:lang w:val="en-US" w:eastAsia="zh-CN"/>
              </w:rPr>
              <w:t>.</w:t>
            </w:r>
            <w:r>
              <w:rPr>
                <w:rFonts w:hint="default" w:ascii="Times New Roman" w:hAnsi="Times New Roman" w:cs="Times New Roman"/>
                <w:b w:val="0"/>
                <w:bCs w:val="0"/>
                <w:color w:val="auto"/>
                <w:szCs w:val="21"/>
              </w:rPr>
              <w:t>与海门区突发环境事故应急预案的衔接</w:t>
            </w:r>
          </w:p>
          <w:p w14:paraId="48AD24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当突发的环境事故超出公司应急能力时，即发生一级突发环境事件时，应急总指挥应向海门生态环境局等请求支持，由海门生态环境局启动区域应急预案，公司应急小组作为其中一部分应急力量，配合上级政府应急调度和指挥。</w:t>
            </w:r>
          </w:p>
          <w:p w14:paraId="1A47C4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lang w:val="en-US" w:eastAsia="zh-CN"/>
              </w:rPr>
              <w:t>B.</w:t>
            </w:r>
            <w:r>
              <w:rPr>
                <w:rFonts w:hint="default" w:ascii="Times New Roman" w:hAnsi="Times New Roman" w:cs="Times New Roman"/>
                <w:b w:val="0"/>
                <w:bCs w:val="0"/>
                <w:color w:val="auto"/>
                <w:szCs w:val="21"/>
              </w:rPr>
              <w:t>与周边企业应急预案的衔接</w:t>
            </w:r>
          </w:p>
          <w:p w14:paraId="5FDB75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当公司出现应急能力不足时，如应急物资、装备、人员等，可向周边企业发出求助，请求支援，联合</w:t>
            </w:r>
            <w:r>
              <w:rPr>
                <w:rFonts w:hint="default" w:ascii="Times New Roman" w:hAnsi="Times New Roman" w:cs="Times New Roman"/>
                <w:b w:val="0"/>
                <w:bCs w:val="0"/>
                <w:color w:val="auto"/>
                <w:szCs w:val="21"/>
                <w:lang w:eastAsia="zh-CN"/>
              </w:rPr>
              <w:t>周边</w:t>
            </w:r>
            <w:r>
              <w:rPr>
                <w:rFonts w:hint="default" w:ascii="Times New Roman" w:hAnsi="Times New Roman" w:cs="Times New Roman"/>
                <w:b w:val="0"/>
                <w:bCs w:val="0"/>
                <w:color w:val="auto"/>
                <w:szCs w:val="21"/>
              </w:rPr>
              <w:t>企业的应急力量共同进行突发环境事故的应急行动。反之，若周边企业出现应急能力不足的情况下，公司的应急力量也接受其他企业的支持请求，加入周边企业</w:t>
            </w:r>
            <w:r>
              <w:rPr>
                <w:rFonts w:hint="default" w:ascii="Times New Roman" w:hAnsi="Times New Roman" w:cs="Times New Roman"/>
                <w:b w:val="0"/>
                <w:bCs w:val="0"/>
                <w:color w:val="auto"/>
                <w:szCs w:val="21"/>
                <w:lang w:eastAsia="zh-CN"/>
              </w:rPr>
              <w:t>应急联动</w:t>
            </w:r>
            <w:r>
              <w:rPr>
                <w:rFonts w:hint="default" w:ascii="Times New Roman" w:hAnsi="Times New Roman" w:cs="Times New Roman"/>
                <w:b w:val="0"/>
                <w:bCs w:val="0"/>
                <w:color w:val="auto"/>
                <w:szCs w:val="21"/>
              </w:rPr>
              <w:t>行列中。</w:t>
            </w:r>
          </w:p>
          <w:p w14:paraId="7BD059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lang w:eastAsia="zh-CN"/>
              </w:rPr>
              <w:t>C</w:t>
            </w:r>
            <w:r>
              <w:rPr>
                <w:rFonts w:hint="default" w:ascii="Times New Roman" w:hAnsi="Times New Roman" w:cs="Times New Roman"/>
                <w:b w:val="0"/>
                <w:bCs w:val="0"/>
                <w:color w:val="auto"/>
                <w:szCs w:val="21"/>
                <w:lang w:val="en-US" w:eastAsia="zh-CN"/>
              </w:rPr>
              <w:t>.</w:t>
            </w:r>
            <w:r>
              <w:rPr>
                <w:rFonts w:hint="default" w:ascii="Times New Roman" w:hAnsi="Times New Roman" w:cs="Times New Roman"/>
                <w:b w:val="0"/>
                <w:bCs w:val="0"/>
                <w:color w:val="auto"/>
                <w:szCs w:val="21"/>
              </w:rPr>
              <w:t>与被租赁单位应急预案的衔接</w:t>
            </w:r>
          </w:p>
          <w:p w14:paraId="569499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lang w:val="en-US" w:eastAsia="zh-CN"/>
              </w:rPr>
            </w:pPr>
            <w:r>
              <w:rPr>
                <w:rFonts w:hint="default" w:ascii="Times New Roman" w:hAnsi="Times New Roman" w:cs="Times New Roman"/>
                <w:b w:val="0"/>
                <w:bCs w:val="0"/>
                <w:color w:val="auto"/>
                <w:szCs w:val="21"/>
              </w:rPr>
              <w:t>本项目租赁标准化工业厂房，为防止事故废水排入周边污水系统或者雨水排放系统，在车间周围设排水渠，排水渠与</w:t>
            </w:r>
            <w:r>
              <w:rPr>
                <w:rFonts w:hint="eastAsia" w:ascii="Times New Roman" w:hAnsi="Times New Roman" w:cs="Times New Roman"/>
                <w:b w:val="0"/>
                <w:bCs w:val="0"/>
                <w:color w:val="auto"/>
                <w:szCs w:val="21"/>
                <w:lang w:eastAsia="zh-CN"/>
              </w:rPr>
              <w:t>产业园</w:t>
            </w:r>
            <w:r>
              <w:rPr>
                <w:rFonts w:hint="default" w:ascii="Times New Roman" w:hAnsi="Times New Roman" w:cs="Times New Roman"/>
                <w:b w:val="0"/>
                <w:bCs w:val="0"/>
                <w:color w:val="auto"/>
                <w:szCs w:val="21"/>
              </w:rPr>
              <w:t>事故应急池接通，并在污水排口及雨水排口安装截留阀及切换阀，共同组建二级截留防控体系。</w:t>
            </w:r>
          </w:p>
          <w:p w14:paraId="4C60A6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w:t>
            </w:r>
            <w:r>
              <w:rPr>
                <w:rFonts w:hint="default" w:ascii="Times New Roman" w:hAnsi="Times New Roman" w:cs="Times New Roman"/>
                <w:b w:val="0"/>
                <w:bCs w:val="0"/>
                <w:color w:val="auto"/>
                <w:szCs w:val="21"/>
                <w:lang w:val="en-US" w:eastAsia="zh-CN"/>
              </w:rPr>
              <w:t>5</w:t>
            </w:r>
            <w:r>
              <w:rPr>
                <w:rFonts w:hint="default" w:ascii="Times New Roman" w:hAnsi="Times New Roman" w:cs="Times New Roman"/>
                <w:b w:val="0"/>
                <w:bCs w:val="0"/>
                <w:color w:val="auto"/>
                <w:szCs w:val="21"/>
              </w:rPr>
              <w:t>）风险结论</w:t>
            </w:r>
          </w:p>
          <w:p w14:paraId="42088C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cs="Times New Roman"/>
                <w:b/>
                <w:color w:val="auto"/>
                <w:sz w:val="21"/>
                <w:szCs w:val="21"/>
                <w:lang w:val="en-US" w:eastAsia="zh-CN"/>
              </w:rPr>
            </w:pPr>
            <w:r>
              <w:rPr>
                <w:rFonts w:hint="default" w:ascii="Times New Roman" w:hAnsi="Times New Roman" w:cs="Times New Roman"/>
                <w:color w:val="auto"/>
                <w:szCs w:val="21"/>
              </w:rPr>
              <w:t>在各环境风险防范措施落实到位的情况下，可降低建设项目的环境风险，最大程度减少对环境可能造成的危害，本项目对环境的风险影响可接受。</w:t>
            </w:r>
          </w:p>
          <w:p w14:paraId="01526523">
            <w:pPr>
              <w:ind w:firstLine="422" w:firstLineChars="200"/>
              <w:jc w:val="left"/>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8、</w:t>
            </w:r>
            <w:bookmarkStart w:id="4" w:name="_Hlk495177231"/>
            <w:r>
              <w:rPr>
                <w:rFonts w:hint="eastAsia" w:ascii="Times New Roman" w:hAnsi="Times New Roman" w:eastAsia="宋体" w:cs="Times New Roman"/>
                <w:b/>
                <w:bCs/>
                <w:color w:val="auto"/>
                <w:kern w:val="0"/>
                <w:sz w:val="21"/>
                <w:szCs w:val="21"/>
                <w:lang w:val="en-US" w:eastAsia="zh-CN"/>
              </w:rPr>
              <w:t>“三同时”验收监测方案</w:t>
            </w:r>
          </w:p>
          <w:bookmarkEnd w:id="4"/>
          <w:p w14:paraId="624746A5">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表4-30 “三同时”验收监测一览表</w:t>
            </w:r>
          </w:p>
          <w:tbl>
            <w:tblPr>
              <w:tblStyle w:val="4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81"/>
              <w:gridCol w:w="3668"/>
              <w:gridCol w:w="1403"/>
              <w:gridCol w:w="1022"/>
            </w:tblGrid>
            <w:tr w14:paraId="45499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0" w:type="dxa"/>
                  <w:noWrap w:val="0"/>
                  <w:vAlign w:val="center"/>
                </w:tcPr>
                <w:p w14:paraId="1F20F2A8">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污染种类</w:t>
                  </w:r>
                </w:p>
              </w:tc>
              <w:tc>
                <w:tcPr>
                  <w:tcW w:w="1281" w:type="dxa"/>
                  <w:noWrap w:val="0"/>
                  <w:vAlign w:val="center"/>
                </w:tcPr>
                <w:p w14:paraId="427D91AE">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监测点位置</w:t>
                  </w:r>
                </w:p>
              </w:tc>
              <w:tc>
                <w:tcPr>
                  <w:tcW w:w="3668" w:type="dxa"/>
                  <w:noWrap w:val="0"/>
                  <w:vAlign w:val="center"/>
                </w:tcPr>
                <w:p w14:paraId="39BA0984">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监测项目</w:t>
                  </w:r>
                </w:p>
              </w:tc>
              <w:tc>
                <w:tcPr>
                  <w:tcW w:w="1403" w:type="dxa"/>
                  <w:noWrap w:val="0"/>
                  <w:vAlign w:val="center"/>
                </w:tcPr>
                <w:p w14:paraId="1BE34DFD">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监测频次</w:t>
                  </w:r>
                </w:p>
              </w:tc>
              <w:tc>
                <w:tcPr>
                  <w:tcW w:w="1022" w:type="dxa"/>
                  <w:noWrap w:val="0"/>
                  <w:vAlign w:val="center"/>
                </w:tcPr>
                <w:p w14:paraId="4C279D93">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备注</w:t>
                  </w:r>
                </w:p>
              </w:tc>
            </w:tr>
            <w:tr w14:paraId="3BA1B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0" w:type="dxa"/>
                  <w:vMerge w:val="restart"/>
                  <w:noWrap w:val="0"/>
                  <w:vAlign w:val="center"/>
                </w:tcPr>
                <w:p w14:paraId="7B2D3D6B">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废气</w:t>
                  </w:r>
                </w:p>
              </w:tc>
              <w:tc>
                <w:tcPr>
                  <w:tcW w:w="1281" w:type="dxa"/>
                  <w:noWrap w:val="0"/>
                  <w:vAlign w:val="center"/>
                </w:tcPr>
                <w:p w14:paraId="0537AAE4">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DA001</w:t>
                  </w:r>
                </w:p>
              </w:tc>
              <w:tc>
                <w:tcPr>
                  <w:tcW w:w="3668" w:type="dxa"/>
                  <w:noWrap w:val="0"/>
                  <w:vAlign w:val="center"/>
                </w:tcPr>
                <w:p w14:paraId="432DC80E">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颗粒物、二氧化硫、氮氧化物、林格曼黑度、</w:t>
                  </w:r>
                  <w:r>
                    <w:rPr>
                      <w:rFonts w:hint="eastAsia" w:ascii="Times New Roman" w:hAnsi="Times New Roman" w:cs="Times New Roman"/>
                      <w:color w:val="auto"/>
                      <w:sz w:val="21"/>
                      <w:szCs w:val="21"/>
                      <w:lang w:val="en-US" w:eastAsia="zh-CN"/>
                    </w:rPr>
                    <w:t>氧含量</w:t>
                  </w:r>
                  <w:r>
                    <w:rPr>
                      <w:rFonts w:hint="eastAsia" w:ascii="Times New Roman" w:hAnsi="Times New Roman" w:eastAsia="宋体" w:cs="Times New Roman"/>
                      <w:color w:val="auto"/>
                      <w:kern w:val="0"/>
                      <w:sz w:val="21"/>
                      <w:szCs w:val="21"/>
                      <w:lang w:val="en-US" w:eastAsia="zh-CN"/>
                    </w:rPr>
                    <w:t>、低氮燃烧装置进出口效果监测</w:t>
                  </w:r>
                </w:p>
              </w:tc>
              <w:tc>
                <w:tcPr>
                  <w:tcW w:w="1403" w:type="dxa"/>
                  <w:noWrap w:val="0"/>
                  <w:vAlign w:val="center"/>
                </w:tcPr>
                <w:p w14:paraId="6F3E685B">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2天×3次/天</w:t>
                  </w:r>
                </w:p>
              </w:tc>
              <w:tc>
                <w:tcPr>
                  <w:tcW w:w="1022" w:type="dxa"/>
                  <w:noWrap w:val="0"/>
                  <w:vAlign w:val="center"/>
                </w:tcPr>
                <w:p w14:paraId="7314468A">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14:paraId="6A3F1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30" w:type="dxa"/>
                  <w:vMerge w:val="continue"/>
                  <w:noWrap w:val="0"/>
                  <w:vAlign w:val="center"/>
                </w:tcPr>
                <w:p w14:paraId="4C176FF4">
                  <w:pPr>
                    <w:jc w:val="center"/>
                    <w:rPr>
                      <w:rFonts w:hint="eastAsia" w:ascii="Times New Roman" w:hAnsi="Times New Roman" w:eastAsia="宋体" w:cs="Times New Roman"/>
                      <w:color w:val="auto"/>
                      <w:kern w:val="0"/>
                      <w:sz w:val="21"/>
                      <w:szCs w:val="21"/>
                      <w:lang w:val="en-US" w:eastAsia="zh-CN"/>
                    </w:rPr>
                  </w:pPr>
                </w:p>
              </w:tc>
              <w:tc>
                <w:tcPr>
                  <w:tcW w:w="1281" w:type="dxa"/>
                  <w:noWrap w:val="0"/>
                  <w:vAlign w:val="center"/>
                </w:tcPr>
                <w:p w14:paraId="294AAD75">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 xml:space="preserve">厂界 </w:t>
                  </w:r>
                </w:p>
              </w:tc>
              <w:tc>
                <w:tcPr>
                  <w:tcW w:w="3668" w:type="dxa"/>
                  <w:noWrap w:val="0"/>
                  <w:vAlign w:val="center"/>
                </w:tcPr>
                <w:p w14:paraId="4D431240">
                  <w:pPr>
                    <w:jc w:val="center"/>
                    <w:rPr>
                      <w:rFonts w:hint="eastAsia" w:ascii="Times New Roman" w:hAnsi="Times New Roman" w:eastAsia="宋体" w:cs="Times New Roman"/>
                      <w:color w:val="auto"/>
                      <w:kern w:val="0"/>
                      <w:sz w:val="21"/>
                      <w:szCs w:val="21"/>
                      <w:lang w:val="en-US" w:eastAsia="zh-CN"/>
                    </w:rPr>
                  </w:pPr>
                  <w:r>
                    <w:rPr>
                      <w:rFonts w:hint="eastAsia"/>
                      <w:bCs/>
                      <w:color w:val="auto"/>
                      <w:szCs w:val="21"/>
                      <w:lang w:val="en-US" w:eastAsia="zh-CN"/>
                    </w:rPr>
                    <w:t>非甲烷总烃</w:t>
                  </w:r>
                </w:p>
              </w:tc>
              <w:tc>
                <w:tcPr>
                  <w:tcW w:w="1403" w:type="dxa"/>
                  <w:noWrap w:val="0"/>
                  <w:vAlign w:val="center"/>
                </w:tcPr>
                <w:p w14:paraId="5438ED39">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2天×3次/天</w:t>
                  </w:r>
                </w:p>
              </w:tc>
              <w:tc>
                <w:tcPr>
                  <w:tcW w:w="1022" w:type="dxa"/>
                  <w:noWrap w:val="0"/>
                  <w:vAlign w:val="center"/>
                </w:tcPr>
                <w:p w14:paraId="2F9F662D">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14:paraId="499BB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Merge w:val="continue"/>
                  <w:noWrap w:val="0"/>
                  <w:vAlign w:val="center"/>
                </w:tcPr>
                <w:p w14:paraId="550D1A61">
                  <w:pPr>
                    <w:jc w:val="center"/>
                    <w:rPr>
                      <w:color w:val="auto"/>
                    </w:rPr>
                  </w:pPr>
                </w:p>
              </w:tc>
              <w:tc>
                <w:tcPr>
                  <w:tcW w:w="1281" w:type="dxa"/>
                  <w:noWrap w:val="0"/>
                  <w:vAlign w:val="center"/>
                </w:tcPr>
                <w:p w14:paraId="164B3D1B">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厂区内</w:t>
                  </w:r>
                </w:p>
              </w:tc>
              <w:tc>
                <w:tcPr>
                  <w:tcW w:w="3668" w:type="dxa"/>
                  <w:noWrap w:val="0"/>
                  <w:vAlign w:val="center"/>
                </w:tcPr>
                <w:p w14:paraId="6BCA8F63">
                  <w:pPr>
                    <w:jc w:val="center"/>
                    <w:rPr>
                      <w:rFonts w:hint="eastAsia" w:ascii="Times New Roman" w:hAnsi="Times New Roman" w:eastAsia="宋体" w:cs="Times New Roman"/>
                      <w:color w:val="auto"/>
                      <w:kern w:val="0"/>
                      <w:sz w:val="21"/>
                      <w:szCs w:val="21"/>
                      <w:lang w:val="en-US" w:eastAsia="zh-CN"/>
                    </w:rPr>
                  </w:pPr>
                  <w:r>
                    <w:rPr>
                      <w:rFonts w:hint="eastAsia"/>
                      <w:bCs/>
                      <w:color w:val="auto"/>
                      <w:szCs w:val="21"/>
                      <w:lang w:val="en-US" w:eastAsia="zh-CN"/>
                    </w:rPr>
                    <w:t>非甲烷总烃</w:t>
                  </w:r>
                </w:p>
              </w:tc>
              <w:tc>
                <w:tcPr>
                  <w:tcW w:w="1403" w:type="dxa"/>
                  <w:noWrap w:val="0"/>
                  <w:vAlign w:val="center"/>
                </w:tcPr>
                <w:p w14:paraId="6F4703B7">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2天×3次/天</w:t>
                  </w:r>
                </w:p>
              </w:tc>
              <w:tc>
                <w:tcPr>
                  <w:tcW w:w="1022" w:type="dxa"/>
                  <w:noWrap w:val="0"/>
                  <w:vAlign w:val="center"/>
                </w:tcPr>
                <w:p w14:paraId="7AE9F5D9">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14:paraId="3864F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Merge w:val="continue"/>
                  <w:noWrap w:val="0"/>
                  <w:vAlign w:val="center"/>
                </w:tcPr>
                <w:p w14:paraId="56906190">
                  <w:pPr>
                    <w:jc w:val="center"/>
                    <w:rPr>
                      <w:rFonts w:hint="eastAsia" w:ascii="Times New Roman" w:hAnsi="Times New Roman" w:eastAsia="宋体" w:cs="Times New Roman"/>
                      <w:color w:val="auto"/>
                      <w:kern w:val="0"/>
                      <w:sz w:val="21"/>
                      <w:szCs w:val="21"/>
                      <w:lang w:val="en-US" w:eastAsia="zh-CN"/>
                    </w:rPr>
                  </w:pPr>
                </w:p>
              </w:tc>
              <w:tc>
                <w:tcPr>
                  <w:tcW w:w="1281" w:type="dxa"/>
                  <w:noWrap w:val="0"/>
                  <w:vAlign w:val="center"/>
                </w:tcPr>
                <w:p w14:paraId="675C2B2D">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车间内</w:t>
                  </w:r>
                </w:p>
              </w:tc>
              <w:tc>
                <w:tcPr>
                  <w:tcW w:w="3668" w:type="dxa"/>
                  <w:noWrap w:val="0"/>
                  <w:vAlign w:val="center"/>
                </w:tcPr>
                <w:p w14:paraId="22049CA2">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总悬浮颗粒物</w:t>
                  </w:r>
                </w:p>
              </w:tc>
              <w:tc>
                <w:tcPr>
                  <w:tcW w:w="1403" w:type="dxa"/>
                  <w:noWrap w:val="0"/>
                  <w:vAlign w:val="center"/>
                </w:tcPr>
                <w:p w14:paraId="3575FA5D">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2天×3次/天</w:t>
                  </w:r>
                </w:p>
              </w:tc>
              <w:tc>
                <w:tcPr>
                  <w:tcW w:w="1022" w:type="dxa"/>
                  <w:noWrap w:val="0"/>
                  <w:vAlign w:val="center"/>
                </w:tcPr>
                <w:p w14:paraId="6421BDD9">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14:paraId="79976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0" w:type="dxa"/>
                  <w:vMerge w:val="restart"/>
                  <w:noWrap w:val="0"/>
                  <w:vAlign w:val="center"/>
                </w:tcPr>
                <w:p w14:paraId="5BD7F1E0">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废水</w:t>
                  </w:r>
                </w:p>
              </w:tc>
              <w:tc>
                <w:tcPr>
                  <w:tcW w:w="1281" w:type="dxa"/>
                  <w:noWrap w:val="0"/>
                  <w:vAlign w:val="center"/>
                </w:tcPr>
                <w:p w14:paraId="450943DA">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污水总排口</w:t>
                  </w:r>
                </w:p>
              </w:tc>
              <w:tc>
                <w:tcPr>
                  <w:tcW w:w="3668" w:type="dxa"/>
                  <w:noWrap w:val="0"/>
                  <w:vAlign w:val="center"/>
                </w:tcPr>
                <w:p w14:paraId="731E29D8">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pH、BOD</w:t>
                  </w:r>
                  <w:r>
                    <w:rPr>
                      <w:rFonts w:hint="eastAsia" w:ascii="Times New Roman" w:hAnsi="Times New Roman" w:eastAsia="宋体" w:cs="Times New Roman"/>
                      <w:color w:val="auto"/>
                      <w:kern w:val="0"/>
                      <w:sz w:val="21"/>
                      <w:szCs w:val="21"/>
                      <w:vertAlign w:val="subscript"/>
                      <w:lang w:val="en-US" w:eastAsia="zh-CN"/>
                    </w:rPr>
                    <w:t>5</w:t>
                  </w:r>
                  <w:r>
                    <w:rPr>
                      <w:rFonts w:hint="eastAsia" w:ascii="Times New Roman" w:hAnsi="Times New Roman" w:eastAsia="宋体" w:cs="Times New Roman"/>
                      <w:color w:val="auto"/>
                      <w:kern w:val="0"/>
                      <w:sz w:val="21"/>
                      <w:szCs w:val="21"/>
                      <w:lang w:val="en-US" w:eastAsia="zh-CN"/>
                    </w:rPr>
                    <w:t>、COD、SS、TP、NH</w:t>
                  </w:r>
                  <w:r>
                    <w:rPr>
                      <w:rFonts w:hint="eastAsia" w:ascii="Times New Roman" w:hAnsi="Times New Roman" w:eastAsia="宋体" w:cs="Times New Roman"/>
                      <w:color w:val="auto"/>
                      <w:kern w:val="0"/>
                      <w:sz w:val="21"/>
                      <w:szCs w:val="21"/>
                      <w:vertAlign w:val="subscript"/>
                      <w:lang w:val="en-US" w:eastAsia="zh-CN"/>
                    </w:rPr>
                    <w:t>3</w:t>
                  </w:r>
                  <w:r>
                    <w:rPr>
                      <w:rFonts w:hint="eastAsia" w:ascii="Times New Roman" w:hAnsi="Times New Roman" w:eastAsia="宋体" w:cs="Times New Roman"/>
                      <w:color w:val="auto"/>
                      <w:kern w:val="0"/>
                      <w:sz w:val="21"/>
                      <w:szCs w:val="21"/>
                      <w:lang w:val="en-US" w:eastAsia="zh-CN"/>
                    </w:rPr>
                    <w:t>-N、TN</w:t>
                  </w:r>
                </w:p>
              </w:tc>
              <w:tc>
                <w:tcPr>
                  <w:tcW w:w="1403" w:type="dxa"/>
                  <w:noWrap w:val="0"/>
                  <w:vAlign w:val="center"/>
                </w:tcPr>
                <w:p w14:paraId="7FA177EF">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2天×4次/天</w:t>
                  </w:r>
                </w:p>
              </w:tc>
              <w:tc>
                <w:tcPr>
                  <w:tcW w:w="1022" w:type="dxa"/>
                  <w:noWrap w:val="0"/>
                  <w:vAlign w:val="center"/>
                </w:tcPr>
                <w:p w14:paraId="65D986BE">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14:paraId="0DC3F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0" w:type="dxa"/>
                  <w:vMerge w:val="continue"/>
                  <w:noWrap w:val="0"/>
                  <w:vAlign w:val="center"/>
                </w:tcPr>
                <w:p w14:paraId="75082664">
                  <w:pPr>
                    <w:jc w:val="center"/>
                    <w:rPr>
                      <w:rFonts w:hint="eastAsia" w:ascii="Times New Roman" w:hAnsi="Times New Roman" w:eastAsia="宋体" w:cs="Times New Roman"/>
                      <w:color w:val="auto"/>
                      <w:kern w:val="0"/>
                      <w:sz w:val="21"/>
                      <w:szCs w:val="21"/>
                      <w:lang w:val="en-US" w:eastAsia="zh-CN"/>
                    </w:rPr>
                  </w:pPr>
                </w:p>
              </w:tc>
              <w:tc>
                <w:tcPr>
                  <w:tcW w:w="1281" w:type="dxa"/>
                  <w:noWrap w:val="0"/>
                  <w:vAlign w:val="center"/>
                </w:tcPr>
                <w:p w14:paraId="22209456">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雨水</w:t>
                  </w:r>
                </w:p>
              </w:tc>
              <w:tc>
                <w:tcPr>
                  <w:tcW w:w="3668" w:type="dxa"/>
                  <w:noWrap w:val="0"/>
                  <w:vAlign w:val="center"/>
                </w:tcPr>
                <w:p w14:paraId="2AD0C79E">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COD、SS</w:t>
                  </w:r>
                </w:p>
              </w:tc>
              <w:tc>
                <w:tcPr>
                  <w:tcW w:w="1403" w:type="dxa"/>
                  <w:noWrap w:val="0"/>
                  <w:vAlign w:val="center"/>
                </w:tcPr>
                <w:p w14:paraId="65A5C40B">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降雨时监测</w:t>
                  </w:r>
                </w:p>
              </w:tc>
              <w:tc>
                <w:tcPr>
                  <w:tcW w:w="1022" w:type="dxa"/>
                  <w:noWrap w:val="0"/>
                  <w:vAlign w:val="center"/>
                </w:tcPr>
                <w:p w14:paraId="4ED070DA">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14:paraId="0C2A6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0" w:type="dxa"/>
                  <w:noWrap w:val="0"/>
                  <w:vAlign w:val="center"/>
                </w:tcPr>
                <w:p w14:paraId="4145C761">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噪声</w:t>
                  </w:r>
                </w:p>
              </w:tc>
              <w:tc>
                <w:tcPr>
                  <w:tcW w:w="1281" w:type="dxa"/>
                  <w:noWrap w:val="0"/>
                  <w:vAlign w:val="center"/>
                </w:tcPr>
                <w:p w14:paraId="00FFEA60">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厂界</w:t>
                  </w:r>
                </w:p>
              </w:tc>
              <w:tc>
                <w:tcPr>
                  <w:tcW w:w="3668" w:type="dxa"/>
                  <w:noWrap w:val="0"/>
                  <w:vAlign w:val="center"/>
                </w:tcPr>
                <w:p w14:paraId="24D05B64">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昼间噪声</w:t>
                  </w:r>
                </w:p>
              </w:tc>
              <w:tc>
                <w:tcPr>
                  <w:tcW w:w="1403" w:type="dxa"/>
                  <w:noWrap w:val="0"/>
                  <w:vAlign w:val="center"/>
                </w:tcPr>
                <w:p w14:paraId="4EF68E8A">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2天×1次/天</w:t>
                  </w:r>
                </w:p>
              </w:tc>
              <w:tc>
                <w:tcPr>
                  <w:tcW w:w="1022" w:type="dxa"/>
                  <w:noWrap w:val="0"/>
                  <w:vAlign w:val="center"/>
                </w:tcPr>
                <w:p w14:paraId="3B6C0291">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bl>
          <w:p w14:paraId="2683FCAD">
            <w:pPr>
              <w:adjustRightInd w:val="0"/>
              <w:snapToGrid w:val="0"/>
              <w:spacing w:line="360" w:lineRule="auto"/>
              <w:ind w:firstLine="422" w:firstLineChars="200"/>
              <w:rPr>
                <w:rFonts w:hint="default" w:ascii="Times New Roman" w:hAnsi="Times New Roman" w:cs="Times New Roman"/>
                <w:b/>
                <w:color w:val="auto"/>
                <w:sz w:val="21"/>
                <w:szCs w:val="21"/>
              </w:rPr>
            </w:pPr>
            <w:r>
              <w:rPr>
                <w:rFonts w:hint="eastAsia" w:ascii="Times New Roman" w:hAnsi="Times New Roman" w:cs="Times New Roman"/>
                <w:b/>
                <w:color w:val="auto"/>
                <w:sz w:val="21"/>
                <w:szCs w:val="21"/>
                <w:lang w:val="en-US" w:eastAsia="zh-CN"/>
              </w:rPr>
              <w:t>9</w:t>
            </w:r>
            <w:r>
              <w:rPr>
                <w:rFonts w:hint="default" w:ascii="Times New Roman" w:hAnsi="Times New Roman" w:cs="Times New Roman"/>
                <w:b/>
                <w:color w:val="auto"/>
                <w:sz w:val="21"/>
                <w:szCs w:val="21"/>
              </w:rPr>
              <w:t>、电磁辐射</w:t>
            </w:r>
          </w:p>
          <w:p w14:paraId="012D975F">
            <w:pPr>
              <w:adjustRightInd w:val="0"/>
              <w:snapToGrid w:val="0"/>
              <w:spacing w:line="360" w:lineRule="auto"/>
              <w:ind w:firstLine="420" w:firstLineChars="200"/>
              <w:rPr>
                <w:rFonts w:hint="default" w:ascii="Times New Roman" w:hAnsi="Times New Roman" w:eastAsia="宋体" w:cs="Times New Roman"/>
                <w:bCs/>
                <w:color w:val="auto"/>
                <w:spacing w:val="-10"/>
                <w:sz w:val="21"/>
                <w:szCs w:val="21"/>
                <w:lang w:val="en-US" w:eastAsia="zh-CN"/>
              </w:rPr>
            </w:pPr>
            <w:r>
              <w:rPr>
                <w:rFonts w:hint="default" w:ascii="Times New Roman" w:hAnsi="Times New Roman" w:cs="Times New Roman"/>
                <w:color w:val="auto"/>
                <w:sz w:val="21"/>
                <w:szCs w:val="21"/>
              </w:rPr>
              <w:t>本项目不涉及电磁辐射。</w:t>
            </w:r>
          </w:p>
        </w:tc>
      </w:tr>
    </w:tbl>
    <w:p w14:paraId="67B86933">
      <w:pPr>
        <w:adjustRightInd w:val="0"/>
        <w:snapToGrid w:val="0"/>
        <w:spacing w:line="360" w:lineRule="auto"/>
        <w:rPr>
          <w:rFonts w:hint="default" w:ascii="Times New Roman" w:hAnsi="Times New Roman" w:cs="Times New Roman"/>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9B7D8BD">
      <w:pPr>
        <w:pStyle w:val="36"/>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5" w:name="_Hlk54167917"/>
      <w:r>
        <w:rPr>
          <w:rFonts w:hint="default" w:ascii="Times New Roman" w:hAnsi="Times New Roman" w:eastAsia="黑体" w:cs="Times New Roman"/>
          <w:snapToGrid w:val="0"/>
          <w:color w:val="auto"/>
          <w:sz w:val="30"/>
          <w:szCs w:val="30"/>
        </w:rPr>
        <w:t>环境保护措施监督检查清单</w:t>
      </w:r>
      <w:bookmarkEnd w:id="5"/>
    </w:p>
    <w:tbl>
      <w:tblPr>
        <w:tblStyle w:val="4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0"/>
        <w:gridCol w:w="928"/>
        <w:gridCol w:w="1426"/>
        <w:gridCol w:w="1560"/>
        <w:gridCol w:w="1083"/>
        <w:gridCol w:w="1170"/>
        <w:gridCol w:w="2206"/>
      </w:tblGrid>
      <w:tr w14:paraId="36D04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gridSpan w:val="2"/>
            <w:tcBorders>
              <w:tl2br w:val="single" w:color="auto" w:sz="4" w:space="0"/>
            </w:tcBorders>
            <w:noWrap w:val="0"/>
            <w:vAlign w:val="top"/>
          </w:tcPr>
          <w:p w14:paraId="3E1395DD">
            <w:pPr>
              <w:adjustRightInd w:val="0"/>
              <w:snapToGrid w:val="0"/>
              <w:ind w:firstLine="84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内容</w:t>
            </w:r>
          </w:p>
          <w:p w14:paraId="39D6282A">
            <w:pPr>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要素</w:t>
            </w:r>
          </w:p>
        </w:tc>
        <w:tc>
          <w:tcPr>
            <w:tcW w:w="1426" w:type="dxa"/>
            <w:noWrap w:val="0"/>
            <w:vAlign w:val="center"/>
          </w:tcPr>
          <w:p w14:paraId="28E5FB7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w:t>
            </w:r>
          </w:p>
          <w:p w14:paraId="32743A9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名称)/污染源</w:t>
            </w:r>
          </w:p>
        </w:tc>
        <w:tc>
          <w:tcPr>
            <w:tcW w:w="1560" w:type="dxa"/>
            <w:noWrap w:val="0"/>
            <w:vAlign w:val="center"/>
          </w:tcPr>
          <w:p w14:paraId="4281691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污染物项目</w:t>
            </w:r>
          </w:p>
        </w:tc>
        <w:tc>
          <w:tcPr>
            <w:tcW w:w="1083" w:type="dxa"/>
            <w:noWrap w:val="0"/>
            <w:vAlign w:val="center"/>
          </w:tcPr>
          <w:p w14:paraId="394581B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环境保护措施</w:t>
            </w:r>
          </w:p>
        </w:tc>
        <w:tc>
          <w:tcPr>
            <w:tcW w:w="3376" w:type="dxa"/>
            <w:gridSpan w:val="2"/>
            <w:noWrap w:val="0"/>
            <w:vAlign w:val="center"/>
          </w:tcPr>
          <w:p w14:paraId="1EF42F0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r>
      <w:tr w14:paraId="1A72E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10" w:type="dxa"/>
            <w:vMerge w:val="restart"/>
            <w:noWrap w:val="0"/>
            <w:vAlign w:val="center"/>
          </w:tcPr>
          <w:p w14:paraId="167304E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928" w:type="dxa"/>
            <w:vMerge w:val="restart"/>
            <w:noWrap w:val="0"/>
            <w:vAlign w:val="center"/>
          </w:tcPr>
          <w:p w14:paraId="71DDFDBA">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有组织</w:t>
            </w:r>
          </w:p>
        </w:tc>
        <w:tc>
          <w:tcPr>
            <w:tcW w:w="1426" w:type="dxa"/>
            <w:vMerge w:val="restart"/>
            <w:noWrap w:val="0"/>
            <w:vAlign w:val="center"/>
          </w:tcPr>
          <w:p w14:paraId="050C9E09">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1#排气筒</w:t>
            </w:r>
          </w:p>
        </w:tc>
        <w:tc>
          <w:tcPr>
            <w:tcW w:w="1560" w:type="dxa"/>
            <w:noWrap w:val="0"/>
            <w:vAlign w:val="center"/>
          </w:tcPr>
          <w:p w14:paraId="7403B7C9">
            <w:pPr>
              <w:adjustRightIn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1083" w:type="dxa"/>
            <w:vMerge w:val="restart"/>
            <w:noWrap w:val="0"/>
            <w:vAlign w:val="center"/>
          </w:tcPr>
          <w:p w14:paraId="15356325">
            <w:pPr>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低氮燃烧</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bidi="en-US"/>
              </w:rPr>
              <w:t>15</w:t>
            </w:r>
            <w:r>
              <w:rPr>
                <w:rFonts w:hint="default" w:ascii="Times New Roman" w:hAnsi="Times New Roman" w:eastAsia="宋体" w:cs="Times New Roman"/>
                <w:color w:val="auto"/>
                <w:sz w:val="21"/>
                <w:szCs w:val="21"/>
                <w:lang w:val="en-US" w:eastAsia="zh-CN" w:bidi="en-US"/>
              </w:rPr>
              <w:t>m高</w:t>
            </w:r>
            <w:r>
              <w:rPr>
                <w:rFonts w:hint="default" w:ascii="Times New Roman" w:hAnsi="Times New Roman" w:eastAsia="宋体" w:cs="Times New Roman"/>
                <w:color w:val="auto"/>
                <w:sz w:val="21"/>
                <w:szCs w:val="21"/>
              </w:rPr>
              <w:t>排气筒</w:t>
            </w:r>
          </w:p>
        </w:tc>
        <w:tc>
          <w:tcPr>
            <w:tcW w:w="1170" w:type="dxa"/>
            <w:noWrap w:val="0"/>
            <w:vAlign w:val="center"/>
          </w:tcPr>
          <w:p w14:paraId="3AEE95DE">
            <w:pPr>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20</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p>
        </w:tc>
        <w:tc>
          <w:tcPr>
            <w:tcW w:w="2206" w:type="dxa"/>
            <w:vMerge w:val="restart"/>
            <w:noWrap w:val="0"/>
            <w:vAlign w:val="center"/>
          </w:tcPr>
          <w:p w14:paraId="1E15788D">
            <w:pPr>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auto"/>
                <w:sz w:val="21"/>
                <w:szCs w:val="21"/>
              </w:rPr>
              <w:t>《工业炉窑大气污染物排放标准》（DB 32/3728—2020）中表</w:t>
            </w:r>
            <w:r>
              <w:rPr>
                <w:rFonts w:hint="default" w:ascii="Times New Roman" w:hAnsi="Times New Roman"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rPr>
              <w:t>排放标准</w:t>
            </w:r>
          </w:p>
        </w:tc>
      </w:tr>
      <w:tr w14:paraId="03946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10" w:type="dxa"/>
            <w:vMerge w:val="continue"/>
            <w:noWrap w:val="0"/>
            <w:vAlign w:val="center"/>
          </w:tcPr>
          <w:p w14:paraId="73C72543">
            <w:pPr>
              <w:adjustRightInd w:val="0"/>
              <w:jc w:val="center"/>
              <w:rPr>
                <w:rFonts w:hint="default" w:ascii="Times New Roman" w:hAnsi="Times New Roman" w:cs="Times New Roman"/>
                <w:color w:val="auto"/>
              </w:rPr>
            </w:pPr>
          </w:p>
        </w:tc>
        <w:tc>
          <w:tcPr>
            <w:tcW w:w="928" w:type="dxa"/>
            <w:vMerge w:val="continue"/>
            <w:noWrap w:val="0"/>
            <w:vAlign w:val="center"/>
          </w:tcPr>
          <w:p w14:paraId="0CF43727">
            <w:pPr>
              <w:adjustRightInd w:val="0"/>
              <w:jc w:val="center"/>
              <w:rPr>
                <w:rFonts w:hint="default" w:ascii="Times New Roman" w:hAnsi="Times New Roman" w:cs="Times New Roman"/>
                <w:color w:val="auto"/>
              </w:rPr>
            </w:pPr>
          </w:p>
        </w:tc>
        <w:tc>
          <w:tcPr>
            <w:tcW w:w="1426" w:type="dxa"/>
            <w:vMerge w:val="continue"/>
            <w:noWrap w:val="0"/>
            <w:vAlign w:val="center"/>
          </w:tcPr>
          <w:p w14:paraId="06A39046">
            <w:pPr>
              <w:adjustRightInd w:val="0"/>
              <w:jc w:val="center"/>
              <w:rPr>
                <w:rFonts w:hint="default" w:ascii="Times New Roman" w:hAnsi="Times New Roman" w:cs="Times New Roman"/>
                <w:color w:val="auto"/>
              </w:rPr>
            </w:pPr>
          </w:p>
        </w:tc>
        <w:tc>
          <w:tcPr>
            <w:tcW w:w="1560" w:type="dxa"/>
            <w:noWrap w:val="0"/>
            <w:vAlign w:val="center"/>
          </w:tcPr>
          <w:p w14:paraId="59FABE17">
            <w:pPr>
              <w:adjustRightIn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二氧化硫</w:t>
            </w:r>
          </w:p>
        </w:tc>
        <w:tc>
          <w:tcPr>
            <w:tcW w:w="1083" w:type="dxa"/>
            <w:vMerge w:val="continue"/>
            <w:noWrap w:val="0"/>
            <w:vAlign w:val="center"/>
          </w:tcPr>
          <w:p w14:paraId="0DEBDB70">
            <w:pPr>
              <w:adjustRightInd w:val="0"/>
              <w:jc w:val="center"/>
              <w:rPr>
                <w:rFonts w:hint="default" w:ascii="Times New Roman" w:hAnsi="Times New Roman" w:cs="Times New Roman"/>
                <w:color w:val="auto"/>
                <w:sz w:val="21"/>
                <w:szCs w:val="21"/>
                <w:lang w:val="en-US" w:eastAsia="zh-CN"/>
              </w:rPr>
            </w:pPr>
          </w:p>
        </w:tc>
        <w:tc>
          <w:tcPr>
            <w:tcW w:w="1170" w:type="dxa"/>
            <w:noWrap w:val="0"/>
            <w:vAlign w:val="center"/>
          </w:tcPr>
          <w:p w14:paraId="57CE9C14">
            <w:pPr>
              <w:adjustRightIn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80</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p>
        </w:tc>
        <w:tc>
          <w:tcPr>
            <w:tcW w:w="2206" w:type="dxa"/>
            <w:vMerge w:val="continue"/>
            <w:noWrap w:val="0"/>
            <w:vAlign w:val="center"/>
          </w:tcPr>
          <w:p w14:paraId="512F20FA">
            <w:pPr>
              <w:adjustRightInd w:val="0"/>
              <w:jc w:val="center"/>
              <w:rPr>
                <w:rFonts w:hint="default" w:ascii="Times New Roman" w:hAnsi="Times New Roman" w:cs="Times New Roman"/>
                <w:color w:val="auto"/>
                <w:sz w:val="21"/>
                <w:szCs w:val="21"/>
                <w:lang w:val="en-US" w:eastAsia="zh-CN"/>
              </w:rPr>
            </w:pPr>
          </w:p>
        </w:tc>
      </w:tr>
      <w:tr w14:paraId="6F454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10" w:type="dxa"/>
            <w:vMerge w:val="continue"/>
            <w:noWrap w:val="0"/>
            <w:vAlign w:val="center"/>
          </w:tcPr>
          <w:p w14:paraId="36580886">
            <w:pPr>
              <w:adjustRightInd w:val="0"/>
              <w:jc w:val="center"/>
              <w:rPr>
                <w:rFonts w:hint="default" w:ascii="Times New Roman" w:hAnsi="Times New Roman" w:cs="Times New Roman"/>
                <w:color w:val="auto"/>
                <w:sz w:val="21"/>
                <w:szCs w:val="21"/>
                <w:lang w:val="en-US" w:eastAsia="zh-CN"/>
              </w:rPr>
            </w:pPr>
          </w:p>
        </w:tc>
        <w:tc>
          <w:tcPr>
            <w:tcW w:w="928" w:type="dxa"/>
            <w:vMerge w:val="continue"/>
            <w:noWrap w:val="0"/>
            <w:vAlign w:val="center"/>
          </w:tcPr>
          <w:p w14:paraId="2BA7679C">
            <w:pPr>
              <w:adjustRightInd w:val="0"/>
              <w:jc w:val="center"/>
              <w:rPr>
                <w:rFonts w:hint="default" w:ascii="Times New Roman" w:hAnsi="Times New Roman" w:cs="Times New Roman"/>
                <w:color w:val="auto"/>
                <w:sz w:val="21"/>
                <w:szCs w:val="21"/>
                <w:lang w:val="en-US" w:eastAsia="zh-CN"/>
              </w:rPr>
            </w:pPr>
          </w:p>
        </w:tc>
        <w:tc>
          <w:tcPr>
            <w:tcW w:w="1426" w:type="dxa"/>
            <w:vMerge w:val="continue"/>
            <w:noWrap w:val="0"/>
            <w:vAlign w:val="center"/>
          </w:tcPr>
          <w:p w14:paraId="31912CDF">
            <w:pPr>
              <w:adjustRightInd w:val="0"/>
              <w:jc w:val="center"/>
              <w:rPr>
                <w:rFonts w:hint="default" w:ascii="Times New Roman" w:hAnsi="Times New Roman" w:cs="Times New Roman"/>
                <w:color w:val="auto"/>
                <w:sz w:val="21"/>
                <w:szCs w:val="21"/>
                <w:lang w:val="en-US" w:eastAsia="zh-CN"/>
              </w:rPr>
            </w:pPr>
          </w:p>
        </w:tc>
        <w:tc>
          <w:tcPr>
            <w:tcW w:w="1560" w:type="dxa"/>
            <w:noWrap w:val="0"/>
            <w:vAlign w:val="center"/>
          </w:tcPr>
          <w:p w14:paraId="553A6D14">
            <w:pPr>
              <w:adjustRightIn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氮氧化物</w:t>
            </w:r>
          </w:p>
        </w:tc>
        <w:tc>
          <w:tcPr>
            <w:tcW w:w="1083" w:type="dxa"/>
            <w:vMerge w:val="continue"/>
            <w:noWrap w:val="0"/>
            <w:vAlign w:val="center"/>
          </w:tcPr>
          <w:p w14:paraId="1EEA91C4">
            <w:pPr>
              <w:adjustRightInd w:val="0"/>
              <w:jc w:val="center"/>
              <w:rPr>
                <w:rFonts w:hint="default" w:ascii="Times New Roman" w:hAnsi="Times New Roman" w:cs="Times New Roman"/>
                <w:color w:val="auto"/>
                <w:sz w:val="21"/>
                <w:szCs w:val="21"/>
                <w:lang w:val="en-US" w:eastAsia="zh-CN"/>
              </w:rPr>
            </w:pPr>
          </w:p>
        </w:tc>
        <w:tc>
          <w:tcPr>
            <w:tcW w:w="1170" w:type="dxa"/>
            <w:noWrap w:val="0"/>
            <w:vAlign w:val="center"/>
          </w:tcPr>
          <w:p w14:paraId="45499C8B">
            <w:pPr>
              <w:adjustRightIn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180</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p>
        </w:tc>
        <w:tc>
          <w:tcPr>
            <w:tcW w:w="2206" w:type="dxa"/>
            <w:vMerge w:val="continue"/>
            <w:noWrap w:val="0"/>
            <w:vAlign w:val="center"/>
          </w:tcPr>
          <w:p w14:paraId="4CCE99BE">
            <w:pPr>
              <w:adjustRightInd w:val="0"/>
              <w:jc w:val="center"/>
              <w:rPr>
                <w:rFonts w:hint="default" w:ascii="Times New Roman" w:hAnsi="Times New Roman" w:cs="Times New Roman"/>
                <w:color w:val="auto"/>
                <w:sz w:val="21"/>
                <w:szCs w:val="21"/>
                <w:lang w:val="en-US" w:eastAsia="zh-CN"/>
              </w:rPr>
            </w:pPr>
          </w:p>
        </w:tc>
      </w:tr>
      <w:tr w14:paraId="744B5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10" w:type="dxa"/>
            <w:vMerge w:val="continue"/>
            <w:noWrap w:val="0"/>
            <w:vAlign w:val="center"/>
          </w:tcPr>
          <w:p w14:paraId="469830B7">
            <w:pPr>
              <w:adjustRightInd w:val="0"/>
              <w:jc w:val="center"/>
              <w:rPr>
                <w:rFonts w:hint="default" w:ascii="Times New Roman" w:hAnsi="Times New Roman" w:cs="Times New Roman"/>
                <w:color w:val="auto"/>
              </w:rPr>
            </w:pPr>
          </w:p>
        </w:tc>
        <w:tc>
          <w:tcPr>
            <w:tcW w:w="928" w:type="dxa"/>
            <w:vMerge w:val="continue"/>
            <w:noWrap w:val="0"/>
            <w:vAlign w:val="center"/>
          </w:tcPr>
          <w:p w14:paraId="557B6994">
            <w:pPr>
              <w:adjustRightInd w:val="0"/>
              <w:jc w:val="center"/>
              <w:rPr>
                <w:rFonts w:hint="default" w:ascii="Times New Roman" w:hAnsi="Times New Roman" w:cs="Times New Roman"/>
                <w:color w:val="auto"/>
              </w:rPr>
            </w:pPr>
          </w:p>
        </w:tc>
        <w:tc>
          <w:tcPr>
            <w:tcW w:w="1426" w:type="dxa"/>
            <w:vMerge w:val="continue"/>
            <w:noWrap w:val="0"/>
            <w:vAlign w:val="center"/>
          </w:tcPr>
          <w:p w14:paraId="571A0053">
            <w:pPr>
              <w:adjustRightInd w:val="0"/>
              <w:jc w:val="center"/>
              <w:rPr>
                <w:rFonts w:hint="default" w:ascii="Times New Roman" w:hAnsi="Times New Roman" w:cs="Times New Roman"/>
                <w:color w:val="auto"/>
              </w:rPr>
            </w:pPr>
          </w:p>
        </w:tc>
        <w:tc>
          <w:tcPr>
            <w:tcW w:w="1560" w:type="dxa"/>
            <w:noWrap w:val="0"/>
            <w:vAlign w:val="center"/>
          </w:tcPr>
          <w:p w14:paraId="5E39F997">
            <w:pPr>
              <w:adjustRightIn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林格曼黑度</w:t>
            </w:r>
          </w:p>
        </w:tc>
        <w:tc>
          <w:tcPr>
            <w:tcW w:w="1083" w:type="dxa"/>
            <w:vMerge w:val="continue"/>
            <w:noWrap w:val="0"/>
            <w:vAlign w:val="center"/>
          </w:tcPr>
          <w:p w14:paraId="50CD4A8F">
            <w:pPr>
              <w:adjustRightInd w:val="0"/>
              <w:jc w:val="center"/>
              <w:rPr>
                <w:rFonts w:hint="default" w:ascii="Times New Roman" w:hAnsi="Times New Roman" w:cs="Times New Roman"/>
                <w:color w:val="auto"/>
                <w:sz w:val="21"/>
                <w:szCs w:val="21"/>
                <w:lang w:val="en-US" w:eastAsia="zh-CN"/>
              </w:rPr>
            </w:pPr>
          </w:p>
        </w:tc>
        <w:tc>
          <w:tcPr>
            <w:tcW w:w="1170" w:type="dxa"/>
            <w:noWrap w:val="0"/>
            <w:vAlign w:val="center"/>
          </w:tcPr>
          <w:p w14:paraId="11D8289F">
            <w:pPr>
              <w:adjustRightIn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1级</w:t>
            </w:r>
          </w:p>
        </w:tc>
        <w:tc>
          <w:tcPr>
            <w:tcW w:w="2206" w:type="dxa"/>
            <w:vMerge w:val="continue"/>
            <w:noWrap w:val="0"/>
            <w:vAlign w:val="center"/>
          </w:tcPr>
          <w:p w14:paraId="1B0ED8B9">
            <w:pPr>
              <w:adjustRightInd w:val="0"/>
              <w:jc w:val="center"/>
              <w:rPr>
                <w:rFonts w:hint="default" w:ascii="Times New Roman" w:hAnsi="Times New Roman" w:cs="Times New Roman"/>
                <w:color w:val="auto"/>
                <w:sz w:val="21"/>
                <w:szCs w:val="21"/>
                <w:lang w:val="en-US" w:eastAsia="zh-CN"/>
              </w:rPr>
            </w:pPr>
          </w:p>
        </w:tc>
      </w:tr>
      <w:tr w14:paraId="1156D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10" w:type="dxa"/>
            <w:vMerge w:val="continue"/>
            <w:noWrap w:val="0"/>
            <w:vAlign w:val="center"/>
          </w:tcPr>
          <w:p w14:paraId="62E79957">
            <w:pPr>
              <w:adjustRightInd w:val="0"/>
              <w:jc w:val="center"/>
              <w:rPr>
                <w:color w:val="auto"/>
              </w:rPr>
            </w:pPr>
          </w:p>
        </w:tc>
        <w:tc>
          <w:tcPr>
            <w:tcW w:w="928" w:type="dxa"/>
            <w:vMerge w:val="continue"/>
            <w:noWrap w:val="0"/>
            <w:vAlign w:val="center"/>
          </w:tcPr>
          <w:p w14:paraId="0019AB62">
            <w:pPr>
              <w:adjustRightInd w:val="0"/>
              <w:jc w:val="center"/>
              <w:rPr>
                <w:color w:val="auto"/>
              </w:rPr>
            </w:pPr>
          </w:p>
        </w:tc>
        <w:tc>
          <w:tcPr>
            <w:tcW w:w="1426" w:type="dxa"/>
            <w:vMerge w:val="continue"/>
            <w:noWrap w:val="0"/>
            <w:vAlign w:val="center"/>
          </w:tcPr>
          <w:p w14:paraId="54E4AC8A">
            <w:pPr>
              <w:adjustRightInd w:val="0"/>
              <w:jc w:val="center"/>
              <w:rPr>
                <w:color w:val="auto"/>
              </w:rPr>
            </w:pPr>
          </w:p>
        </w:tc>
        <w:tc>
          <w:tcPr>
            <w:tcW w:w="1560" w:type="dxa"/>
            <w:noWrap w:val="0"/>
            <w:vAlign w:val="center"/>
          </w:tcPr>
          <w:p w14:paraId="4F2DC1F6">
            <w:pPr>
              <w:adjustRightIn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基准氧含量</w:t>
            </w:r>
          </w:p>
        </w:tc>
        <w:tc>
          <w:tcPr>
            <w:tcW w:w="1083" w:type="dxa"/>
            <w:vMerge w:val="continue"/>
            <w:noWrap w:val="0"/>
            <w:vAlign w:val="center"/>
          </w:tcPr>
          <w:p w14:paraId="646DAE98">
            <w:pPr>
              <w:adjustRightInd w:val="0"/>
              <w:jc w:val="center"/>
              <w:rPr>
                <w:rFonts w:hint="default" w:ascii="Times New Roman" w:hAnsi="Times New Roman" w:cs="Times New Roman"/>
                <w:color w:val="auto"/>
                <w:sz w:val="21"/>
                <w:szCs w:val="21"/>
                <w:lang w:val="en-US" w:eastAsia="zh-CN"/>
              </w:rPr>
            </w:pPr>
          </w:p>
        </w:tc>
        <w:tc>
          <w:tcPr>
            <w:tcW w:w="1170" w:type="dxa"/>
            <w:noWrap w:val="0"/>
            <w:vAlign w:val="center"/>
          </w:tcPr>
          <w:p w14:paraId="36C4C095">
            <w:pPr>
              <w:adjustRightIn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2206" w:type="dxa"/>
            <w:vMerge w:val="continue"/>
            <w:noWrap w:val="0"/>
            <w:vAlign w:val="center"/>
          </w:tcPr>
          <w:p w14:paraId="7B161BDA">
            <w:pPr>
              <w:adjustRightInd w:val="0"/>
              <w:jc w:val="center"/>
              <w:rPr>
                <w:rFonts w:hint="default" w:ascii="Times New Roman" w:hAnsi="Times New Roman" w:cs="Times New Roman"/>
                <w:color w:val="auto"/>
                <w:sz w:val="21"/>
                <w:szCs w:val="21"/>
                <w:lang w:val="en-US" w:eastAsia="zh-CN"/>
              </w:rPr>
            </w:pPr>
          </w:p>
        </w:tc>
      </w:tr>
      <w:tr w14:paraId="70EE9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10" w:type="dxa"/>
            <w:vMerge w:val="continue"/>
            <w:noWrap w:val="0"/>
            <w:vAlign w:val="center"/>
          </w:tcPr>
          <w:p w14:paraId="324E24AD">
            <w:pPr>
              <w:adjustRightInd w:val="0"/>
              <w:jc w:val="center"/>
              <w:rPr>
                <w:color w:val="auto"/>
              </w:rPr>
            </w:pPr>
          </w:p>
        </w:tc>
        <w:tc>
          <w:tcPr>
            <w:tcW w:w="928" w:type="dxa"/>
            <w:vMerge w:val="restart"/>
            <w:noWrap w:val="0"/>
            <w:vAlign w:val="center"/>
          </w:tcPr>
          <w:p w14:paraId="31A49ECD">
            <w:pPr>
              <w:adjustRightInd w:val="0"/>
              <w:jc w:val="center"/>
              <w:rPr>
                <w:rFonts w:hint="eastAsia" w:eastAsia="宋体"/>
                <w:color w:val="auto"/>
                <w:lang w:eastAsia="zh-CN"/>
              </w:rPr>
            </w:pPr>
            <w:r>
              <w:rPr>
                <w:rFonts w:hint="eastAsia"/>
                <w:color w:val="auto"/>
                <w:lang w:eastAsia="zh-CN"/>
              </w:rPr>
              <w:t>无组织</w:t>
            </w:r>
          </w:p>
        </w:tc>
        <w:tc>
          <w:tcPr>
            <w:tcW w:w="1426" w:type="dxa"/>
            <w:noWrap w:val="0"/>
            <w:vAlign w:val="center"/>
          </w:tcPr>
          <w:p w14:paraId="1E69D2B6">
            <w:pPr>
              <w:adjustRightInd w:val="0"/>
              <w:jc w:val="center"/>
              <w:rPr>
                <w:rFonts w:hint="eastAsia" w:eastAsia="宋体"/>
                <w:color w:val="auto"/>
                <w:lang w:eastAsia="zh-CN"/>
              </w:rPr>
            </w:pPr>
            <w:r>
              <w:rPr>
                <w:rFonts w:hint="eastAsia"/>
                <w:color w:val="auto"/>
                <w:lang w:eastAsia="zh-CN"/>
              </w:rPr>
              <w:t>厂界</w:t>
            </w:r>
          </w:p>
        </w:tc>
        <w:tc>
          <w:tcPr>
            <w:tcW w:w="1560" w:type="dxa"/>
            <w:noWrap w:val="0"/>
            <w:vAlign w:val="center"/>
          </w:tcPr>
          <w:p w14:paraId="7DC5B3EF">
            <w:pPr>
              <w:adjustRightInd w:val="0"/>
              <w:jc w:val="center"/>
              <w:rPr>
                <w:rFonts w:hint="eastAsia" w:eastAsia="宋体"/>
                <w:color w:val="auto"/>
                <w:lang w:eastAsia="zh-CN"/>
              </w:rPr>
            </w:pPr>
            <w:r>
              <w:rPr>
                <w:rFonts w:hint="eastAsia"/>
                <w:color w:val="auto"/>
                <w:lang w:eastAsia="zh-CN"/>
              </w:rPr>
              <w:t>非甲烷总烃</w:t>
            </w:r>
          </w:p>
        </w:tc>
        <w:tc>
          <w:tcPr>
            <w:tcW w:w="1083" w:type="dxa"/>
            <w:vMerge w:val="restart"/>
            <w:noWrap w:val="0"/>
            <w:vAlign w:val="center"/>
          </w:tcPr>
          <w:p w14:paraId="63D891A0">
            <w:pPr>
              <w:adjustRightInd w:val="0"/>
              <w:jc w:val="center"/>
              <w:rPr>
                <w:color w:val="auto"/>
              </w:rPr>
            </w:pPr>
            <w:r>
              <w:rPr>
                <w:rFonts w:hint="eastAsia"/>
                <w:color w:val="auto"/>
              </w:rPr>
              <w:t>加强通风</w:t>
            </w:r>
          </w:p>
        </w:tc>
        <w:tc>
          <w:tcPr>
            <w:tcW w:w="1170" w:type="dxa"/>
            <w:noWrap w:val="0"/>
            <w:vAlign w:val="center"/>
          </w:tcPr>
          <w:p w14:paraId="3E1F4F5A">
            <w:pPr>
              <w:adjustRightInd w:val="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p>
        </w:tc>
        <w:tc>
          <w:tcPr>
            <w:tcW w:w="2206" w:type="dxa"/>
            <w:noWrap w:val="0"/>
            <w:vAlign w:val="center"/>
          </w:tcPr>
          <w:p w14:paraId="01E87981">
            <w:pPr>
              <w:jc w:val="center"/>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rPr>
              <w:t>《大气污染物综合排放标准》（DB32/4041-2021）表3</w:t>
            </w:r>
            <w:r>
              <w:rPr>
                <w:rFonts w:hint="eastAsia" w:ascii="Times New Roman" w:hAnsi="Times New Roman" w:cs="Times New Roman" w:eastAsiaTheme="minorEastAsia"/>
                <w:color w:val="auto"/>
                <w:sz w:val="21"/>
                <w:szCs w:val="21"/>
                <w:lang w:eastAsia="zh-CN"/>
              </w:rPr>
              <w:t>排放标准</w:t>
            </w:r>
          </w:p>
        </w:tc>
      </w:tr>
      <w:tr w14:paraId="79F1C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0" w:type="dxa"/>
            <w:vMerge w:val="continue"/>
            <w:noWrap w:val="0"/>
            <w:vAlign w:val="center"/>
          </w:tcPr>
          <w:p w14:paraId="3A6E1AD3">
            <w:pPr>
              <w:adjustRightInd w:val="0"/>
              <w:jc w:val="center"/>
              <w:rPr>
                <w:color w:val="auto"/>
              </w:rPr>
            </w:pPr>
          </w:p>
        </w:tc>
        <w:tc>
          <w:tcPr>
            <w:tcW w:w="928" w:type="dxa"/>
            <w:vMerge w:val="continue"/>
            <w:noWrap w:val="0"/>
            <w:vAlign w:val="center"/>
          </w:tcPr>
          <w:p w14:paraId="2E6C385E">
            <w:pPr>
              <w:adjustRightInd w:val="0"/>
              <w:jc w:val="center"/>
              <w:rPr>
                <w:color w:val="auto"/>
              </w:rPr>
            </w:pPr>
          </w:p>
        </w:tc>
        <w:tc>
          <w:tcPr>
            <w:tcW w:w="1426" w:type="dxa"/>
            <w:noWrap w:val="0"/>
            <w:vAlign w:val="center"/>
          </w:tcPr>
          <w:p w14:paraId="4505A623">
            <w:pPr>
              <w:adjustRightInd w:val="0"/>
              <w:jc w:val="center"/>
              <w:rPr>
                <w:rFonts w:hint="eastAsia" w:eastAsia="宋体"/>
                <w:color w:val="auto"/>
                <w:lang w:eastAsia="zh-CN"/>
              </w:rPr>
            </w:pPr>
            <w:r>
              <w:rPr>
                <w:rFonts w:hint="eastAsia"/>
                <w:color w:val="auto"/>
                <w:lang w:eastAsia="zh-CN"/>
              </w:rPr>
              <w:t>车间内</w:t>
            </w:r>
          </w:p>
        </w:tc>
        <w:tc>
          <w:tcPr>
            <w:tcW w:w="1560" w:type="dxa"/>
            <w:noWrap w:val="0"/>
            <w:vAlign w:val="center"/>
          </w:tcPr>
          <w:p w14:paraId="70E145F4">
            <w:pPr>
              <w:adjustRightInd w:val="0"/>
              <w:jc w:val="center"/>
              <w:rPr>
                <w:rFonts w:hint="eastAsia" w:eastAsia="宋体"/>
                <w:color w:val="auto"/>
                <w:lang w:eastAsia="zh-CN"/>
              </w:rPr>
            </w:pPr>
            <w:r>
              <w:rPr>
                <w:rFonts w:hint="eastAsia"/>
                <w:color w:val="auto"/>
                <w:lang w:eastAsia="zh-CN"/>
              </w:rPr>
              <w:t>总悬浮颗粒物</w:t>
            </w:r>
          </w:p>
        </w:tc>
        <w:tc>
          <w:tcPr>
            <w:tcW w:w="1083" w:type="dxa"/>
            <w:vMerge w:val="continue"/>
            <w:noWrap w:val="0"/>
            <w:vAlign w:val="center"/>
          </w:tcPr>
          <w:p w14:paraId="5E68512C">
            <w:pPr>
              <w:adjustRightInd w:val="0"/>
              <w:jc w:val="center"/>
              <w:rPr>
                <w:color w:val="auto"/>
              </w:rPr>
            </w:pPr>
          </w:p>
        </w:tc>
        <w:tc>
          <w:tcPr>
            <w:tcW w:w="1170" w:type="dxa"/>
            <w:noWrap w:val="0"/>
            <w:vAlign w:val="center"/>
          </w:tcPr>
          <w:p w14:paraId="10BBF140">
            <w:pPr>
              <w:adjustRightInd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5.0mg/m</w:t>
            </w:r>
            <w:r>
              <w:rPr>
                <w:rFonts w:hint="eastAsia" w:ascii="Times New Roman" w:hAnsi="Times New Roman" w:cs="Times New Roman"/>
                <w:color w:val="auto"/>
                <w:vertAlign w:val="superscript"/>
                <w:lang w:val="en-US" w:eastAsia="zh-CN"/>
              </w:rPr>
              <w:t>3</w:t>
            </w:r>
          </w:p>
        </w:tc>
        <w:tc>
          <w:tcPr>
            <w:tcW w:w="2206" w:type="dxa"/>
            <w:noWrap w:val="0"/>
            <w:vAlign w:val="center"/>
          </w:tcPr>
          <w:p w14:paraId="5226EE5D">
            <w:pPr>
              <w:adjustRightInd w:val="0"/>
              <w:jc w:val="center"/>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1"/>
                <w:lang w:val="en-US" w:eastAsia="zh-CN"/>
              </w:rPr>
              <w:t>《工业炉窑大气污染物排放标准》（DB32/3728—2020）</w:t>
            </w:r>
            <w:r>
              <w:rPr>
                <w:rFonts w:hint="eastAsia" w:ascii="Times New Roman" w:hAnsi="Times New Roman" w:cs="Times New Roman" w:eastAsiaTheme="minorEastAsia"/>
                <w:color w:val="auto"/>
                <w:sz w:val="21"/>
                <w:szCs w:val="21"/>
              </w:rPr>
              <w:t>表3</w:t>
            </w:r>
            <w:r>
              <w:rPr>
                <w:rFonts w:hint="eastAsia" w:ascii="Times New Roman" w:hAnsi="Times New Roman" w:cs="Times New Roman" w:eastAsiaTheme="minorEastAsia"/>
                <w:color w:val="auto"/>
                <w:sz w:val="21"/>
                <w:szCs w:val="21"/>
                <w:lang w:eastAsia="zh-CN"/>
              </w:rPr>
              <w:t>排放标准</w:t>
            </w:r>
          </w:p>
        </w:tc>
      </w:tr>
      <w:tr w14:paraId="7A3DD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0" w:type="dxa"/>
            <w:vMerge w:val="continue"/>
            <w:noWrap w:val="0"/>
            <w:vAlign w:val="center"/>
          </w:tcPr>
          <w:p w14:paraId="1EA1BC07">
            <w:pPr>
              <w:adjustRightInd w:val="0"/>
              <w:jc w:val="center"/>
              <w:rPr>
                <w:color w:val="auto"/>
              </w:rPr>
            </w:pPr>
          </w:p>
        </w:tc>
        <w:tc>
          <w:tcPr>
            <w:tcW w:w="928" w:type="dxa"/>
            <w:vMerge w:val="continue"/>
            <w:noWrap w:val="0"/>
            <w:vAlign w:val="center"/>
          </w:tcPr>
          <w:p w14:paraId="270B27A3">
            <w:pPr>
              <w:adjustRightInd w:val="0"/>
              <w:jc w:val="center"/>
              <w:rPr>
                <w:color w:val="auto"/>
              </w:rPr>
            </w:pPr>
          </w:p>
        </w:tc>
        <w:tc>
          <w:tcPr>
            <w:tcW w:w="1426" w:type="dxa"/>
            <w:vMerge w:val="restart"/>
            <w:noWrap w:val="0"/>
            <w:vAlign w:val="center"/>
          </w:tcPr>
          <w:p w14:paraId="4D0548D2">
            <w:pPr>
              <w:adjustRightInd w:val="0"/>
              <w:jc w:val="center"/>
              <w:rPr>
                <w:rFonts w:hint="eastAsia" w:eastAsia="宋体"/>
                <w:color w:val="auto"/>
                <w:lang w:eastAsia="zh-CN"/>
              </w:rPr>
            </w:pPr>
            <w:r>
              <w:rPr>
                <w:rFonts w:hint="eastAsia"/>
                <w:color w:val="auto"/>
                <w:lang w:eastAsia="zh-CN"/>
              </w:rPr>
              <w:t>厂区内</w:t>
            </w:r>
          </w:p>
        </w:tc>
        <w:tc>
          <w:tcPr>
            <w:tcW w:w="1560" w:type="dxa"/>
            <w:vMerge w:val="restart"/>
            <w:noWrap w:val="0"/>
            <w:vAlign w:val="center"/>
          </w:tcPr>
          <w:p w14:paraId="7F5AAD84">
            <w:pPr>
              <w:adjustRightInd w:val="0"/>
              <w:jc w:val="center"/>
              <w:rPr>
                <w:rFonts w:hint="eastAsia" w:eastAsia="宋体"/>
                <w:color w:val="auto"/>
                <w:lang w:eastAsia="zh-CN"/>
              </w:rPr>
            </w:pPr>
            <w:r>
              <w:rPr>
                <w:rFonts w:hint="eastAsia"/>
                <w:color w:val="auto"/>
                <w:lang w:eastAsia="zh-CN"/>
              </w:rPr>
              <w:t>非甲烷总烃</w:t>
            </w:r>
          </w:p>
        </w:tc>
        <w:tc>
          <w:tcPr>
            <w:tcW w:w="1083" w:type="dxa"/>
            <w:vMerge w:val="continue"/>
            <w:noWrap w:val="0"/>
            <w:vAlign w:val="center"/>
          </w:tcPr>
          <w:p w14:paraId="10A47899">
            <w:pPr>
              <w:adjustRightInd w:val="0"/>
              <w:jc w:val="center"/>
              <w:rPr>
                <w:color w:val="auto"/>
              </w:rPr>
            </w:pPr>
          </w:p>
        </w:tc>
        <w:tc>
          <w:tcPr>
            <w:tcW w:w="1170" w:type="dxa"/>
            <w:noWrap w:val="0"/>
            <w:vAlign w:val="center"/>
          </w:tcPr>
          <w:p w14:paraId="4981B66F">
            <w:pPr>
              <w:adjustRightInd w:val="0"/>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6</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r>
              <w:rPr>
                <w:rFonts w:hint="default" w:ascii="Times New Roman" w:hAnsi="Times New Roman" w:eastAsia="宋体" w:cs="Times New Roman"/>
                <w:color w:val="auto"/>
                <w:szCs w:val="24"/>
                <w:vertAlign w:val="baseline"/>
                <w:lang w:val="en-US" w:eastAsia="zh-CN"/>
              </w:rPr>
              <w:t>(监测点处 1h平均浓度值)</w:t>
            </w:r>
          </w:p>
        </w:tc>
        <w:tc>
          <w:tcPr>
            <w:tcW w:w="2206" w:type="dxa"/>
            <w:vMerge w:val="restart"/>
            <w:noWrap w:val="0"/>
            <w:vAlign w:val="center"/>
          </w:tcPr>
          <w:p w14:paraId="19DC46AE">
            <w:pPr>
              <w:jc w:val="center"/>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《大气污染物综合排放标准》（DB32/4041-2021）表2</w:t>
            </w:r>
            <w:r>
              <w:rPr>
                <w:rFonts w:hint="eastAsia" w:ascii="Times New Roman" w:hAnsi="Times New Roman" w:cs="Times New Roman" w:eastAsiaTheme="minorEastAsia"/>
                <w:color w:val="auto"/>
                <w:sz w:val="21"/>
                <w:szCs w:val="21"/>
                <w:lang w:eastAsia="zh-CN"/>
              </w:rPr>
              <w:t>排放标准</w:t>
            </w:r>
          </w:p>
        </w:tc>
      </w:tr>
      <w:tr w14:paraId="33E9F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0" w:type="dxa"/>
            <w:vMerge w:val="continue"/>
            <w:noWrap w:val="0"/>
            <w:vAlign w:val="center"/>
          </w:tcPr>
          <w:p w14:paraId="70ABCD0E">
            <w:pPr>
              <w:adjustRightInd w:val="0"/>
              <w:jc w:val="center"/>
              <w:rPr>
                <w:color w:val="auto"/>
              </w:rPr>
            </w:pPr>
          </w:p>
        </w:tc>
        <w:tc>
          <w:tcPr>
            <w:tcW w:w="928" w:type="dxa"/>
            <w:vMerge w:val="continue"/>
            <w:noWrap w:val="0"/>
            <w:vAlign w:val="center"/>
          </w:tcPr>
          <w:p w14:paraId="0D49D229">
            <w:pPr>
              <w:adjustRightInd w:val="0"/>
              <w:jc w:val="center"/>
              <w:rPr>
                <w:color w:val="auto"/>
              </w:rPr>
            </w:pPr>
          </w:p>
        </w:tc>
        <w:tc>
          <w:tcPr>
            <w:tcW w:w="1426" w:type="dxa"/>
            <w:vMerge w:val="continue"/>
            <w:noWrap w:val="0"/>
            <w:vAlign w:val="center"/>
          </w:tcPr>
          <w:p w14:paraId="7393744A">
            <w:pPr>
              <w:adjustRightInd w:val="0"/>
              <w:jc w:val="center"/>
              <w:rPr>
                <w:color w:val="auto"/>
              </w:rPr>
            </w:pPr>
          </w:p>
        </w:tc>
        <w:tc>
          <w:tcPr>
            <w:tcW w:w="1560" w:type="dxa"/>
            <w:vMerge w:val="continue"/>
            <w:noWrap w:val="0"/>
            <w:vAlign w:val="center"/>
          </w:tcPr>
          <w:p w14:paraId="42078B67">
            <w:pPr>
              <w:adjustRightInd w:val="0"/>
              <w:jc w:val="center"/>
              <w:rPr>
                <w:color w:val="auto"/>
              </w:rPr>
            </w:pPr>
          </w:p>
        </w:tc>
        <w:tc>
          <w:tcPr>
            <w:tcW w:w="1083" w:type="dxa"/>
            <w:vMerge w:val="continue"/>
            <w:noWrap w:val="0"/>
            <w:vAlign w:val="center"/>
          </w:tcPr>
          <w:p w14:paraId="73DD7F21">
            <w:pPr>
              <w:adjustRightInd w:val="0"/>
              <w:jc w:val="center"/>
              <w:rPr>
                <w:color w:val="auto"/>
              </w:rPr>
            </w:pPr>
          </w:p>
        </w:tc>
        <w:tc>
          <w:tcPr>
            <w:tcW w:w="1170" w:type="dxa"/>
            <w:noWrap w:val="0"/>
            <w:vAlign w:val="center"/>
          </w:tcPr>
          <w:p w14:paraId="307FB46D">
            <w:pPr>
              <w:adjustRightInd w:val="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r>
              <w:rPr>
                <w:rFonts w:hint="default" w:ascii="Times New Roman" w:hAnsi="Times New Roman" w:eastAsia="宋体" w:cs="Times New Roman"/>
                <w:color w:val="auto"/>
                <w:szCs w:val="24"/>
                <w:vertAlign w:val="baseline"/>
                <w:lang w:val="en-US" w:eastAsia="zh-CN"/>
              </w:rPr>
              <w:t>(监测点处任意一次浓度值)</w:t>
            </w:r>
          </w:p>
        </w:tc>
        <w:tc>
          <w:tcPr>
            <w:tcW w:w="2206" w:type="dxa"/>
            <w:vMerge w:val="continue"/>
            <w:noWrap w:val="0"/>
            <w:vAlign w:val="center"/>
          </w:tcPr>
          <w:p w14:paraId="740E58B7">
            <w:pPr>
              <w:adjustRightInd w:val="0"/>
              <w:jc w:val="center"/>
              <w:rPr>
                <w:rFonts w:hint="default" w:ascii="Times New Roman" w:hAnsi="Times New Roman" w:cs="Times New Roman"/>
                <w:color w:val="auto"/>
              </w:rPr>
            </w:pPr>
          </w:p>
        </w:tc>
      </w:tr>
      <w:tr w14:paraId="64499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gridSpan w:val="2"/>
            <w:vMerge w:val="restart"/>
            <w:noWrap w:val="0"/>
            <w:vAlign w:val="center"/>
          </w:tcPr>
          <w:p w14:paraId="0C3D1E6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w:t>
            </w:r>
          </w:p>
        </w:tc>
        <w:tc>
          <w:tcPr>
            <w:tcW w:w="1426" w:type="dxa"/>
            <w:vMerge w:val="restart"/>
            <w:noWrap w:val="0"/>
            <w:vAlign w:val="center"/>
          </w:tcPr>
          <w:p w14:paraId="7A4925B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FF0000"/>
                <w:sz w:val="21"/>
                <w:szCs w:val="21"/>
                <w:lang w:val="en-US" w:eastAsia="zh-CN"/>
              </w:rPr>
              <w:t>生活污水</w:t>
            </w:r>
            <w:r>
              <w:rPr>
                <w:rFonts w:hint="eastAsia" w:ascii="Times New Roman" w:hAnsi="Times New Roman" w:cs="Times New Roman"/>
                <w:color w:val="FF0000"/>
                <w:sz w:val="21"/>
                <w:szCs w:val="21"/>
                <w:lang w:val="en-US" w:eastAsia="zh-CN"/>
              </w:rPr>
              <w:t>、初期雨水</w:t>
            </w:r>
          </w:p>
        </w:tc>
        <w:tc>
          <w:tcPr>
            <w:tcW w:w="1560" w:type="dxa"/>
            <w:noWrap w:val="0"/>
            <w:vAlign w:val="center"/>
          </w:tcPr>
          <w:p w14:paraId="2DEBE7F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1083" w:type="dxa"/>
            <w:vMerge w:val="restart"/>
            <w:noWrap w:val="0"/>
            <w:vAlign w:val="center"/>
          </w:tcPr>
          <w:p w14:paraId="02AF22B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化粪池</w:t>
            </w:r>
            <w:r>
              <w:rPr>
                <w:rFonts w:hint="default" w:ascii="Times New Roman" w:hAnsi="Times New Roman" w:eastAsia="宋体" w:cs="Times New Roman"/>
                <w:color w:val="auto"/>
                <w:sz w:val="21"/>
                <w:szCs w:val="21"/>
                <w:lang w:val="en-US" w:eastAsia="zh-CN"/>
              </w:rPr>
              <w:t>预</w:t>
            </w:r>
            <w:r>
              <w:rPr>
                <w:rFonts w:hint="default" w:ascii="Times New Roman" w:hAnsi="Times New Roman" w:eastAsia="宋体" w:cs="Times New Roman"/>
                <w:color w:val="auto"/>
                <w:sz w:val="21"/>
                <w:szCs w:val="21"/>
              </w:rPr>
              <w:t>处理</w:t>
            </w:r>
          </w:p>
        </w:tc>
        <w:tc>
          <w:tcPr>
            <w:tcW w:w="1170" w:type="dxa"/>
            <w:noWrap w:val="0"/>
            <w:vAlign w:val="center"/>
          </w:tcPr>
          <w:p w14:paraId="3E72C01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4"/>
                <w:lang w:val="en-US" w:eastAsia="zh-CN"/>
              </w:rPr>
              <w:t>500mg/L</w:t>
            </w:r>
          </w:p>
        </w:tc>
        <w:tc>
          <w:tcPr>
            <w:tcW w:w="2206" w:type="dxa"/>
            <w:vMerge w:val="restart"/>
            <w:noWrap w:val="0"/>
            <w:vAlign w:val="center"/>
          </w:tcPr>
          <w:p w14:paraId="6ED8C660">
            <w:pPr>
              <w:jc w:val="center"/>
              <w:rPr>
                <w:rFonts w:hint="default" w:ascii="Times New Roman" w:hAnsi="Times New Roman" w:eastAsia="宋体" w:cs="Times New Roman"/>
                <w:color w:val="auto"/>
                <w:sz w:val="21"/>
                <w:szCs w:val="21"/>
              </w:rPr>
            </w:pPr>
            <w:r>
              <w:rPr>
                <w:rFonts w:hint="eastAsia"/>
                <w:color w:val="auto"/>
                <w:szCs w:val="21"/>
              </w:rPr>
              <w:t>海门经济技术开发区污水处理厂接管标准</w:t>
            </w:r>
          </w:p>
        </w:tc>
      </w:tr>
      <w:tr w14:paraId="0A753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gridSpan w:val="2"/>
            <w:vMerge w:val="continue"/>
            <w:noWrap w:val="0"/>
            <w:vAlign w:val="center"/>
          </w:tcPr>
          <w:p w14:paraId="2663411D">
            <w:pPr>
              <w:adjustRightInd w:val="0"/>
              <w:snapToGrid w:val="0"/>
              <w:jc w:val="center"/>
              <w:rPr>
                <w:rFonts w:hint="default" w:ascii="Times New Roman" w:hAnsi="Times New Roman" w:eastAsia="宋体" w:cs="Times New Roman"/>
                <w:color w:val="auto"/>
                <w:sz w:val="21"/>
                <w:szCs w:val="21"/>
              </w:rPr>
            </w:pPr>
          </w:p>
        </w:tc>
        <w:tc>
          <w:tcPr>
            <w:tcW w:w="1426" w:type="dxa"/>
            <w:vMerge w:val="continue"/>
            <w:noWrap w:val="0"/>
            <w:vAlign w:val="center"/>
          </w:tcPr>
          <w:p w14:paraId="77FD7891">
            <w:pPr>
              <w:adjustRightInd w:val="0"/>
              <w:snapToGrid w:val="0"/>
              <w:jc w:val="center"/>
              <w:rPr>
                <w:rFonts w:hint="default" w:ascii="Times New Roman" w:hAnsi="Times New Roman" w:cs="Times New Roman"/>
                <w:color w:val="auto"/>
                <w:sz w:val="21"/>
                <w:szCs w:val="21"/>
                <w:lang w:val="en-US" w:eastAsia="zh-CN"/>
              </w:rPr>
            </w:pPr>
          </w:p>
        </w:tc>
        <w:tc>
          <w:tcPr>
            <w:tcW w:w="1560" w:type="dxa"/>
            <w:noWrap w:val="0"/>
            <w:vAlign w:val="center"/>
          </w:tcPr>
          <w:p w14:paraId="37C4A098">
            <w:pPr>
              <w:adjustRightInd w:val="0"/>
              <w:snapToGrid w:val="0"/>
              <w:jc w:val="center"/>
              <w:rPr>
                <w:rFonts w:hint="default" w:ascii="Times New Roman" w:hAnsi="Times New Roman" w:eastAsia="宋体" w:cs="Times New Roman"/>
                <w:color w:val="auto"/>
                <w:sz w:val="21"/>
                <w:szCs w:val="21"/>
                <w:vertAlign w:val="subscript"/>
                <w:lang w:val="en-US" w:eastAsia="zh-CN"/>
              </w:rPr>
            </w:pPr>
            <w:r>
              <w:rPr>
                <w:rFonts w:hint="default" w:ascii="Times New Roman" w:hAnsi="Times New Roman" w:cs="Times New Roman"/>
                <w:color w:val="auto"/>
                <w:sz w:val="21"/>
                <w:szCs w:val="21"/>
                <w:lang w:val="en-US" w:eastAsia="zh-CN"/>
              </w:rPr>
              <w:t>BOD</w:t>
            </w:r>
            <w:r>
              <w:rPr>
                <w:rFonts w:hint="default" w:ascii="Times New Roman" w:hAnsi="Times New Roman" w:cs="Times New Roman"/>
                <w:color w:val="auto"/>
                <w:sz w:val="21"/>
                <w:szCs w:val="21"/>
                <w:vertAlign w:val="subscript"/>
                <w:lang w:val="en-US" w:eastAsia="zh-CN"/>
              </w:rPr>
              <w:t>5</w:t>
            </w:r>
          </w:p>
        </w:tc>
        <w:tc>
          <w:tcPr>
            <w:tcW w:w="1083" w:type="dxa"/>
            <w:vMerge w:val="continue"/>
            <w:noWrap w:val="0"/>
            <w:vAlign w:val="center"/>
          </w:tcPr>
          <w:p w14:paraId="018D5E49">
            <w:pPr>
              <w:adjustRightInd w:val="0"/>
              <w:snapToGrid w:val="0"/>
              <w:jc w:val="center"/>
              <w:rPr>
                <w:rFonts w:hint="default" w:ascii="Times New Roman" w:hAnsi="Times New Roman" w:cs="Times New Roman"/>
                <w:color w:val="auto"/>
                <w:sz w:val="21"/>
                <w:szCs w:val="21"/>
                <w:lang w:val="en-US" w:eastAsia="zh-CN"/>
              </w:rPr>
            </w:pPr>
          </w:p>
        </w:tc>
        <w:tc>
          <w:tcPr>
            <w:tcW w:w="1170" w:type="dxa"/>
            <w:noWrap w:val="0"/>
            <w:vAlign w:val="center"/>
          </w:tcPr>
          <w:p w14:paraId="2AD7C75C">
            <w:pPr>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200</w:t>
            </w:r>
            <w:r>
              <w:rPr>
                <w:rFonts w:hint="default" w:ascii="Times New Roman" w:hAnsi="Times New Roman" w:eastAsia="宋体" w:cs="Times New Roman"/>
                <w:color w:val="auto"/>
                <w:szCs w:val="24"/>
                <w:lang w:val="en-US" w:eastAsia="zh-CN"/>
              </w:rPr>
              <w:t>mg/L</w:t>
            </w:r>
          </w:p>
        </w:tc>
        <w:tc>
          <w:tcPr>
            <w:tcW w:w="2206" w:type="dxa"/>
            <w:vMerge w:val="continue"/>
            <w:noWrap w:val="0"/>
            <w:vAlign w:val="center"/>
          </w:tcPr>
          <w:p w14:paraId="73A1E33B">
            <w:pPr>
              <w:jc w:val="center"/>
              <w:rPr>
                <w:rFonts w:hint="default" w:ascii="Times New Roman" w:hAnsi="Times New Roman" w:eastAsia="宋体" w:cs="Times New Roman"/>
                <w:color w:val="auto"/>
                <w:sz w:val="21"/>
                <w:szCs w:val="21"/>
              </w:rPr>
            </w:pPr>
          </w:p>
        </w:tc>
      </w:tr>
      <w:tr w14:paraId="665A5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38" w:type="dxa"/>
            <w:gridSpan w:val="2"/>
            <w:vMerge w:val="continue"/>
            <w:noWrap w:val="0"/>
            <w:vAlign w:val="center"/>
          </w:tcPr>
          <w:p w14:paraId="604F895A">
            <w:pPr>
              <w:adjustRightInd w:val="0"/>
              <w:snapToGrid w:val="0"/>
              <w:jc w:val="center"/>
              <w:rPr>
                <w:rFonts w:hint="default" w:ascii="Times New Roman" w:hAnsi="Times New Roman" w:eastAsia="宋体" w:cs="Times New Roman"/>
                <w:color w:val="auto"/>
                <w:sz w:val="21"/>
                <w:szCs w:val="21"/>
              </w:rPr>
            </w:pPr>
          </w:p>
        </w:tc>
        <w:tc>
          <w:tcPr>
            <w:tcW w:w="1426" w:type="dxa"/>
            <w:vMerge w:val="continue"/>
            <w:noWrap w:val="0"/>
            <w:vAlign w:val="center"/>
          </w:tcPr>
          <w:p w14:paraId="080F5405">
            <w:pPr>
              <w:adjustRightInd w:val="0"/>
              <w:snapToGrid w:val="0"/>
              <w:jc w:val="center"/>
              <w:rPr>
                <w:rFonts w:hint="default" w:ascii="Times New Roman" w:hAnsi="Times New Roman" w:eastAsia="宋体" w:cs="Times New Roman"/>
                <w:color w:val="auto"/>
                <w:sz w:val="21"/>
                <w:szCs w:val="21"/>
              </w:rPr>
            </w:pPr>
          </w:p>
        </w:tc>
        <w:tc>
          <w:tcPr>
            <w:tcW w:w="1560" w:type="dxa"/>
            <w:noWrap w:val="0"/>
            <w:vAlign w:val="center"/>
          </w:tcPr>
          <w:p w14:paraId="03B30DAF">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1083" w:type="dxa"/>
            <w:vMerge w:val="continue"/>
            <w:noWrap w:val="0"/>
            <w:vAlign w:val="center"/>
          </w:tcPr>
          <w:p w14:paraId="33087364">
            <w:pPr>
              <w:adjustRightInd w:val="0"/>
              <w:snapToGrid w:val="0"/>
              <w:jc w:val="center"/>
              <w:rPr>
                <w:rFonts w:hint="default" w:ascii="Times New Roman" w:hAnsi="Times New Roman" w:eastAsia="宋体" w:cs="Times New Roman"/>
                <w:color w:val="auto"/>
                <w:sz w:val="21"/>
                <w:szCs w:val="21"/>
              </w:rPr>
            </w:pPr>
          </w:p>
        </w:tc>
        <w:tc>
          <w:tcPr>
            <w:tcW w:w="1170" w:type="dxa"/>
            <w:noWrap w:val="0"/>
            <w:vAlign w:val="center"/>
          </w:tcPr>
          <w:p w14:paraId="79A3653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4"/>
                <w:lang w:val="en-US" w:eastAsia="zh-CN"/>
              </w:rPr>
              <w:t>400mg/L</w:t>
            </w:r>
          </w:p>
        </w:tc>
        <w:tc>
          <w:tcPr>
            <w:tcW w:w="2206" w:type="dxa"/>
            <w:vMerge w:val="continue"/>
            <w:noWrap w:val="0"/>
            <w:vAlign w:val="center"/>
          </w:tcPr>
          <w:p w14:paraId="7C6596A7">
            <w:pPr>
              <w:adjustRightInd w:val="0"/>
              <w:snapToGrid w:val="0"/>
              <w:jc w:val="center"/>
              <w:rPr>
                <w:rFonts w:hint="default" w:ascii="Times New Roman" w:hAnsi="Times New Roman" w:eastAsia="宋体" w:cs="Times New Roman"/>
                <w:color w:val="auto"/>
                <w:sz w:val="21"/>
                <w:szCs w:val="21"/>
              </w:rPr>
            </w:pPr>
          </w:p>
        </w:tc>
      </w:tr>
      <w:tr w14:paraId="62BCF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gridSpan w:val="2"/>
            <w:vMerge w:val="continue"/>
            <w:noWrap w:val="0"/>
            <w:vAlign w:val="center"/>
          </w:tcPr>
          <w:p w14:paraId="4213373A">
            <w:pPr>
              <w:adjustRightInd w:val="0"/>
              <w:snapToGrid w:val="0"/>
              <w:jc w:val="center"/>
              <w:rPr>
                <w:rFonts w:hint="default" w:ascii="Times New Roman" w:hAnsi="Times New Roman" w:eastAsia="宋体" w:cs="Times New Roman"/>
                <w:color w:val="auto"/>
                <w:sz w:val="21"/>
                <w:szCs w:val="21"/>
              </w:rPr>
            </w:pPr>
          </w:p>
        </w:tc>
        <w:tc>
          <w:tcPr>
            <w:tcW w:w="1426" w:type="dxa"/>
            <w:vMerge w:val="continue"/>
            <w:noWrap w:val="0"/>
            <w:vAlign w:val="center"/>
          </w:tcPr>
          <w:p w14:paraId="4DE14044">
            <w:pPr>
              <w:adjustRightInd w:val="0"/>
              <w:snapToGrid w:val="0"/>
              <w:jc w:val="center"/>
              <w:rPr>
                <w:rFonts w:hint="default" w:ascii="Times New Roman" w:hAnsi="Times New Roman" w:eastAsia="宋体" w:cs="Times New Roman"/>
                <w:color w:val="auto"/>
                <w:sz w:val="21"/>
                <w:szCs w:val="21"/>
              </w:rPr>
            </w:pPr>
          </w:p>
        </w:tc>
        <w:tc>
          <w:tcPr>
            <w:tcW w:w="1560" w:type="dxa"/>
            <w:noWrap w:val="0"/>
            <w:vAlign w:val="center"/>
          </w:tcPr>
          <w:p w14:paraId="1A27609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1083" w:type="dxa"/>
            <w:vMerge w:val="continue"/>
            <w:noWrap w:val="0"/>
            <w:vAlign w:val="center"/>
          </w:tcPr>
          <w:p w14:paraId="1014CF1A">
            <w:pPr>
              <w:adjustRightInd w:val="0"/>
              <w:snapToGrid w:val="0"/>
              <w:jc w:val="center"/>
              <w:rPr>
                <w:rFonts w:hint="default" w:ascii="Times New Roman" w:hAnsi="Times New Roman" w:eastAsia="宋体" w:cs="Times New Roman"/>
                <w:color w:val="auto"/>
                <w:sz w:val="21"/>
                <w:szCs w:val="21"/>
              </w:rPr>
            </w:pPr>
          </w:p>
        </w:tc>
        <w:tc>
          <w:tcPr>
            <w:tcW w:w="1170" w:type="dxa"/>
            <w:noWrap w:val="0"/>
            <w:vAlign w:val="center"/>
          </w:tcPr>
          <w:p w14:paraId="6DF6140F">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4"/>
                <w:lang w:val="en-US" w:eastAsia="zh-CN"/>
              </w:rPr>
              <w:t>45mg/L</w:t>
            </w:r>
          </w:p>
        </w:tc>
        <w:tc>
          <w:tcPr>
            <w:tcW w:w="2206" w:type="dxa"/>
            <w:vMerge w:val="continue"/>
            <w:noWrap w:val="0"/>
            <w:vAlign w:val="center"/>
          </w:tcPr>
          <w:p w14:paraId="293E9430">
            <w:pPr>
              <w:jc w:val="center"/>
              <w:rPr>
                <w:rFonts w:hint="default" w:ascii="Times New Roman" w:hAnsi="Times New Roman" w:eastAsia="宋体" w:cs="Times New Roman"/>
                <w:color w:val="auto"/>
                <w:sz w:val="21"/>
                <w:szCs w:val="21"/>
              </w:rPr>
            </w:pPr>
          </w:p>
        </w:tc>
      </w:tr>
      <w:tr w14:paraId="44E56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gridSpan w:val="2"/>
            <w:vMerge w:val="continue"/>
            <w:noWrap w:val="0"/>
            <w:vAlign w:val="center"/>
          </w:tcPr>
          <w:p w14:paraId="5A2FEDA5">
            <w:pPr>
              <w:adjustRightInd w:val="0"/>
              <w:snapToGrid w:val="0"/>
              <w:jc w:val="center"/>
              <w:rPr>
                <w:rFonts w:hint="default" w:ascii="Times New Roman" w:hAnsi="Times New Roman" w:eastAsia="宋体" w:cs="Times New Roman"/>
                <w:color w:val="auto"/>
                <w:sz w:val="21"/>
                <w:szCs w:val="21"/>
              </w:rPr>
            </w:pPr>
          </w:p>
        </w:tc>
        <w:tc>
          <w:tcPr>
            <w:tcW w:w="1426" w:type="dxa"/>
            <w:vMerge w:val="continue"/>
            <w:noWrap w:val="0"/>
            <w:vAlign w:val="center"/>
          </w:tcPr>
          <w:p w14:paraId="4537B54F">
            <w:pPr>
              <w:adjustRightInd w:val="0"/>
              <w:snapToGrid w:val="0"/>
              <w:jc w:val="center"/>
              <w:rPr>
                <w:rFonts w:hint="default" w:ascii="Times New Roman" w:hAnsi="Times New Roman" w:eastAsia="宋体" w:cs="Times New Roman"/>
                <w:color w:val="auto"/>
                <w:sz w:val="21"/>
                <w:szCs w:val="21"/>
              </w:rPr>
            </w:pPr>
          </w:p>
        </w:tc>
        <w:tc>
          <w:tcPr>
            <w:tcW w:w="1560" w:type="dxa"/>
            <w:noWrap w:val="0"/>
            <w:vAlign w:val="center"/>
          </w:tcPr>
          <w:p w14:paraId="0EE8267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TP</w:t>
            </w:r>
          </w:p>
        </w:tc>
        <w:tc>
          <w:tcPr>
            <w:tcW w:w="1083" w:type="dxa"/>
            <w:vMerge w:val="continue"/>
            <w:noWrap w:val="0"/>
            <w:vAlign w:val="center"/>
          </w:tcPr>
          <w:p w14:paraId="49C66EBE">
            <w:pPr>
              <w:adjustRightInd w:val="0"/>
              <w:snapToGrid w:val="0"/>
              <w:jc w:val="center"/>
              <w:rPr>
                <w:rFonts w:hint="default" w:ascii="Times New Roman" w:hAnsi="Times New Roman" w:eastAsia="宋体" w:cs="Times New Roman"/>
                <w:color w:val="auto"/>
                <w:sz w:val="21"/>
                <w:szCs w:val="21"/>
              </w:rPr>
            </w:pPr>
          </w:p>
        </w:tc>
        <w:tc>
          <w:tcPr>
            <w:tcW w:w="1170" w:type="dxa"/>
            <w:noWrap w:val="0"/>
            <w:vAlign w:val="center"/>
          </w:tcPr>
          <w:p w14:paraId="194511B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4"/>
                <w:lang w:val="en-US" w:eastAsia="zh-CN"/>
              </w:rPr>
              <w:t>8mg/L</w:t>
            </w:r>
          </w:p>
        </w:tc>
        <w:tc>
          <w:tcPr>
            <w:tcW w:w="2206" w:type="dxa"/>
            <w:vMerge w:val="continue"/>
            <w:noWrap w:val="0"/>
            <w:vAlign w:val="center"/>
          </w:tcPr>
          <w:p w14:paraId="149EDD68">
            <w:pPr>
              <w:adjustRightInd w:val="0"/>
              <w:snapToGrid w:val="0"/>
              <w:jc w:val="center"/>
              <w:rPr>
                <w:rFonts w:hint="default" w:ascii="Times New Roman" w:hAnsi="Times New Roman" w:eastAsia="宋体" w:cs="Times New Roman"/>
                <w:color w:val="auto"/>
                <w:sz w:val="21"/>
                <w:szCs w:val="21"/>
              </w:rPr>
            </w:pPr>
          </w:p>
        </w:tc>
      </w:tr>
      <w:tr w14:paraId="44422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gridSpan w:val="2"/>
            <w:vMerge w:val="continue"/>
            <w:noWrap w:val="0"/>
            <w:vAlign w:val="center"/>
          </w:tcPr>
          <w:p w14:paraId="1B3603C5">
            <w:pPr>
              <w:adjustRightInd w:val="0"/>
              <w:snapToGrid w:val="0"/>
              <w:jc w:val="center"/>
              <w:rPr>
                <w:rFonts w:hint="default" w:ascii="Times New Roman" w:hAnsi="Times New Roman" w:eastAsia="宋体" w:cs="Times New Roman"/>
                <w:color w:val="auto"/>
                <w:sz w:val="21"/>
                <w:szCs w:val="21"/>
              </w:rPr>
            </w:pPr>
          </w:p>
        </w:tc>
        <w:tc>
          <w:tcPr>
            <w:tcW w:w="1426" w:type="dxa"/>
            <w:vMerge w:val="continue"/>
            <w:noWrap w:val="0"/>
            <w:vAlign w:val="center"/>
          </w:tcPr>
          <w:p w14:paraId="2A9987C2">
            <w:pPr>
              <w:adjustRightInd w:val="0"/>
              <w:snapToGrid w:val="0"/>
              <w:jc w:val="center"/>
              <w:rPr>
                <w:rFonts w:hint="default" w:ascii="Times New Roman" w:hAnsi="Times New Roman" w:eastAsia="宋体" w:cs="Times New Roman"/>
                <w:color w:val="auto"/>
                <w:sz w:val="21"/>
                <w:szCs w:val="21"/>
              </w:rPr>
            </w:pPr>
          </w:p>
        </w:tc>
        <w:tc>
          <w:tcPr>
            <w:tcW w:w="1560" w:type="dxa"/>
            <w:noWrap w:val="0"/>
            <w:vAlign w:val="center"/>
          </w:tcPr>
          <w:p w14:paraId="29ECD6A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TN</w:t>
            </w:r>
          </w:p>
        </w:tc>
        <w:tc>
          <w:tcPr>
            <w:tcW w:w="1083" w:type="dxa"/>
            <w:vMerge w:val="continue"/>
            <w:noWrap w:val="0"/>
            <w:vAlign w:val="center"/>
          </w:tcPr>
          <w:p w14:paraId="2A41B3F3">
            <w:pPr>
              <w:adjustRightInd w:val="0"/>
              <w:snapToGrid w:val="0"/>
              <w:jc w:val="center"/>
              <w:rPr>
                <w:rFonts w:hint="default" w:ascii="Times New Roman" w:hAnsi="Times New Roman" w:eastAsia="宋体" w:cs="Times New Roman"/>
                <w:color w:val="auto"/>
                <w:sz w:val="21"/>
                <w:szCs w:val="21"/>
              </w:rPr>
            </w:pPr>
          </w:p>
        </w:tc>
        <w:tc>
          <w:tcPr>
            <w:tcW w:w="1170" w:type="dxa"/>
            <w:noWrap w:val="0"/>
            <w:vAlign w:val="center"/>
          </w:tcPr>
          <w:p w14:paraId="3156FC57">
            <w:pPr>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4"/>
                <w:lang w:val="en-US" w:eastAsia="zh-CN"/>
              </w:rPr>
              <w:t>55</w:t>
            </w:r>
            <w:r>
              <w:rPr>
                <w:rFonts w:hint="default" w:ascii="Times New Roman" w:hAnsi="Times New Roman" w:eastAsia="宋体" w:cs="Times New Roman"/>
                <w:color w:val="auto"/>
                <w:szCs w:val="24"/>
                <w:lang w:val="en-US" w:eastAsia="zh-CN"/>
              </w:rPr>
              <w:t>mg/L</w:t>
            </w:r>
          </w:p>
        </w:tc>
        <w:tc>
          <w:tcPr>
            <w:tcW w:w="2206" w:type="dxa"/>
            <w:vMerge w:val="continue"/>
            <w:noWrap w:val="0"/>
            <w:vAlign w:val="center"/>
          </w:tcPr>
          <w:p w14:paraId="6CACE919">
            <w:pPr>
              <w:adjustRightInd w:val="0"/>
              <w:snapToGrid w:val="0"/>
              <w:jc w:val="center"/>
              <w:rPr>
                <w:rFonts w:hint="default" w:ascii="Times New Roman" w:hAnsi="Times New Roman" w:eastAsia="宋体" w:cs="Times New Roman"/>
                <w:color w:val="auto"/>
                <w:sz w:val="21"/>
                <w:szCs w:val="21"/>
              </w:rPr>
            </w:pPr>
          </w:p>
        </w:tc>
      </w:tr>
      <w:tr w14:paraId="11B16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538" w:type="dxa"/>
            <w:gridSpan w:val="2"/>
            <w:noWrap w:val="0"/>
            <w:vAlign w:val="center"/>
          </w:tcPr>
          <w:p w14:paraId="65BE881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1426" w:type="dxa"/>
            <w:noWrap w:val="0"/>
            <w:vAlign w:val="center"/>
          </w:tcPr>
          <w:p w14:paraId="5093E0D3">
            <w:pPr>
              <w:pStyle w:val="219"/>
              <w:tabs>
                <w:tab w:val="left" w:pos="420"/>
              </w:tabs>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生产设备</w:t>
            </w:r>
          </w:p>
        </w:tc>
        <w:tc>
          <w:tcPr>
            <w:tcW w:w="1560" w:type="dxa"/>
            <w:noWrap w:val="0"/>
            <w:vAlign w:val="center"/>
          </w:tcPr>
          <w:p w14:paraId="1679226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253" w:type="dxa"/>
            <w:gridSpan w:val="2"/>
            <w:noWrap w:val="0"/>
            <w:vAlign w:val="center"/>
          </w:tcPr>
          <w:p w14:paraId="4380298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选用低噪声设备，隔声、建筑消声</w:t>
            </w:r>
          </w:p>
        </w:tc>
        <w:tc>
          <w:tcPr>
            <w:tcW w:w="2206" w:type="dxa"/>
            <w:noWrap w:val="0"/>
            <w:vAlign w:val="center"/>
          </w:tcPr>
          <w:p w14:paraId="65B7951E">
            <w:pPr>
              <w:keepNext w:val="0"/>
              <w:keepLines w:val="0"/>
              <w:widowControl/>
              <w:suppressLineNumbers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《工业企业厂界环境噪声排放标准》（GB12348-2008）中</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类标准</w:t>
            </w:r>
            <w:r>
              <w:rPr>
                <w:rFonts w:hint="default" w:ascii="Times New Roman" w:hAnsi="Times New Roman" w:cs="Times New Roman"/>
                <w:color w:val="auto"/>
                <w:lang w:eastAsia="zh-CN"/>
              </w:rPr>
              <w:t>（</w:t>
            </w:r>
            <w:r>
              <w:rPr>
                <w:rFonts w:hint="default" w:ascii="Times New Roman" w:hAnsi="Times New Roman" w:eastAsia="宋体" w:cs="Times New Roman"/>
                <w:color w:val="auto"/>
                <w:kern w:val="0"/>
                <w:sz w:val="21"/>
                <w:szCs w:val="21"/>
                <w:lang w:val="en-US" w:eastAsia="zh-CN" w:bidi="ar"/>
              </w:rPr>
              <w:t>昼间：65dB（A）</w:t>
            </w:r>
          </w:p>
        </w:tc>
      </w:tr>
      <w:tr w14:paraId="4111A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38" w:type="dxa"/>
            <w:gridSpan w:val="2"/>
            <w:noWrap w:val="0"/>
            <w:vAlign w:val="center"/>
          </w:tcPr>
          <w:p w14:paraId="368E883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电磁辐射</w:t>
            </w:r>
          </w:p>
        </w:tc>
        <w:tc>
          <w:tcPr>
            <w:tcW w:w="1426" w:type="dxa"/>
            <w:noWrap w:val="0"/>
            <w:vAlign w:val="center"/>
          </w:tcPr>
          <w:p w14:paraId="39A1201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560" w:type="dxa"/>
            <w:noWrap w:val="0"/>
            <w:vAlign w:val="center"/>
          </w:tcPr>
          <w:p w14:paraId="31F83A3A">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253" w:type="dxa"/>
            <w:gridSpan w:val="2"/>
            <w:noWrap w:val="0"/>
            <w:vAlign w:val="center"/>
          </w:tcPr>
          <w:p w14:paraId="001E7CC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206" w:type="dxa"/>
            <w:noWrap w:val="0"/>
            <w:vAlign w:val="center"/>
          </w:tcPr>
          <w:p w14:paraId="7CDAA46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4CDA0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38" w:type="dxa"/>
            <w:gridSpan w:val="2"/>
            <w:vMerge w:val="restart"/>
            <w:noWrap w:val="0"/>
            <w:vAlign w:val="center"/>
          </w:tcPr>
          <w:p w14:paraId="099B738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426" w:type="dxa"/>
            <w:noWrap w:val="0"/>
            <w:vAlign w:val="center"/>
          </w:tcPr>
          <w:p w14:paraId="17E28EF6">
            <w:pPr>
              <w:pStyle w:val="238"/>
              <w:adjustRightInd w:val="0"/>
              <w:snapToGrid w:val="0"/>
              <w:spacing w:line="240" w:lineRule="exact"/>
              <w:ind w:left="105" w:leftChars="5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下料</w:t>
            </w:r>
          </w:p>
        </w:tc>
        <w:tc>
          <w:tcPr>
            <w:tcW w:w="1560" w:type="dxa"/>
            <w:tcBorders>
              <w:bottom w:val="single" w:color="auto" w:sz="4" w:space="0"/>
            </w:tcBorders>
            <w:noWrap w:val="0"/>
            <w:vAlign w:val="center"/>
          </w:tcPr>
          <w:p w14:paraId="57CC170F">
            <w:pPr>
              <w:widowControl/>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废下脚料</w:t>
            </w:r>
          </w:p>
        </w:tc>
        <w:tc>
          <w:tcPr>
            <w:tcW w:w="2253" w:type="dxa"/>
            <w:gridSpan w:val="2"/>
            <w:vMerge w:val="restart"/>
            <w:noWrap w:val="0"/>
            <w:vAlign w:val="center"/>
          </w:tcPr>
          <w:p w14:paraId="3F4B7932">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钢厂回收</w:t>
            </w:r>
          </w:p>
        </w:tc>
        <w:tc>
          <w:tcPr>
            <w:tcW w:w="2206" w:type="dxa"/>
            <w:vMerge w:val="restart"/>
            <w:noWrap w:val="0"/>
            <w:vAlign w:val="center"/>
          </w:tcPr>
          <w:p w14:paraId="12339616">
            <w:pPr>
              <w:pStyle w:val="15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《一般工业固体废物贮存和填埋污染控制标准》（GB 18599-2020）</w:t>
            </w:r>
          </w:p>
        </w:tc>
      </w:tr>
      <w:tr w14:paraId="3511E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38" w:type="dxa"/>
            <w:gridSpan w:val="2"/>
            <w:vMerge w:val="continue"/>
            <w:noWrap w:val="0"/>
            <w:vAlign w:val="center"/>
          </w:tcPr>
          <w:p w14:paraId="5BCC72F8">
            <w:pPr>
              <w:adjustRightInd w:val="0"/>
              <w:snapToGrid w:val="0"/>
              <w:jc w:val="center"/>
              <w:rPr>
                <w:rFonts w:hint="default" w:ascii="Times New Roman" w:hAnsi="Times New Roman" w:eastAsia="宋体" w:cs="Times New Roman"/>
                <w:color w:val="auto"/>
                <w:sz w:val="21"/>
                <w:szCs w:val="21"/>
              </w:rPr>
            </w:pPr>
          </w:p>
        </w:tc>
        <w:tc>
          <w:tcPr>
            <w:tcW w:w="1426" w:type="dxa"/>
            <w:noWrap w:val="0"/>
            <w:vAlign w:val="center"/>
          </w:tcPr>
          <w:p w14:paraId="38DD64CF">
            <w:pPr>
              <w:pStyle w:val="238"/>
              <w:adjustRightInd w:val="0"/>
              <w:snapToGrid w:val="0"/>
              <w:spacing w:line="240" w:lineRule="exact"/>
              <w:ind w:left="105" w:leftChars="5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锻压</w:t>
            </w:r>
          </w:p>
        </w:tc>
        <w:tc>
          <w:tcPr>
            <w:tcW w:w="1560" w:type="dxa"/>
            <w:tcBorders>
              <w:bottom w:val="single" w:color="auto" w:sz="4" w:space="0"/>
            </w:tcBorders>
            <w:noWrap w:val="0"/>
            <w:vAlign w:val="center"/>
          </w:tcPr>
          <w:p w14:paraId="0CC4C06F">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废氧化皮</w:t>
            </w:r>
          </w:p>
        </w:tc>
        <w:tc>
          <w:tcPr>
            <w:tcW w:w="2253" w:type="dxa"/>
            <w:gridSpan w:val="2"/>
            <w:vMerge w:val="continue"/>
            <w:noWrap w:val="0"/>
            <w:vAlign w:val="center"/>
          </w:tcPr>
          <w:p w14:paraId="191ADD1E">
            <w:pPr>
              <w:jc w:val="center"/>
              <w:rPr>
                <w:rFonts w:hint="default" w:ascii="Times New Roman" w:hAnsi="Times New Roman" w:eastAsia="宋体" w:cs="Times New Roman"/>
                <w:color w:val="auto"/>
                <w:sz w:val="21"/>
                <w:szCs w:val="21"/>
                <w:lang w:eastAsia="zh-CN"/>
              </w:rPr>
            </w:pPr>
          </w:p>
        </w:tc>
        <w:tc>
          <w:tcPr>
            <w:tcW w:w="2206" w:type="dxa"/>
            <w:vMerge w:val="continue"/>
            <w:noWrap w:val="0"/>
            <w:vAlign w:val="center"/>
          </w:tcPr>
          <w:p w14:paraId="4D6B2768">
            <w:pPr>
              <w:pStyle w:val="152"/>
              <w:rPr>
                <w:rFonts w:hint="default" w:ascii="Times New Roman" w:hAnsi="Times New Roman" w:eastAsia="宋体" w:cs="Times New Roman"/>
                <w:color w:val="auto"/>
                <w:sz w:val="21"/>
                <w:szCs w:val="21"/>
              </w:rPr>
            </w:pPr>
          </w:p>
        </w:tc>
      </w:tr>
      <w:tr w14:paraId="57EE3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8" w:type="dxa"/>
            <w:gridSpan w:val="2"/>
            <w:vMerge w:val="continue"/>
            <w:noWrap w:val="0"/>
            <w:vAlign w:val="center"/>
          </w:tcPr>
          <w:p w14:paraId="13523EB7">
            <w:pPr>
              <w:adjustRightInd w:val="0"/>
              <w:snapToGrid w:val="0"/>
              <w:jc w:val="center"/>
              <w:rPr>
                <w:rFonts w:hint="default" w:ascii="Times New Roman" w:hAnsi="Times New Roman" w:eastAsia="宋体" w:cs="Times New Roman"/>
                <w:color w:val="auto"/>
                <w:sz w:val="21"/>
                <w:szCs w:val="21"/>
              </w:rPr>
            </w:pPr>
          </w:p>
        </w:tc>
        <w:tc>
          <w:tcPr>
            <w:tcW w:w="1426" w:type="dxa"/>
            <w:noWrap w:val="0"/>
            <w:vAlign w:val="center"/>
          </w:tcPr>
          <w:p w14:paraId="35F1CA8D">
            <w:pPr>
              <w:pStyle w:val="238"/>
              <w:adjustRightInd w:val="0"/>
              <w:snapToGrid w:val="0"/>
              <w:spacing w:line="240" w:lineRule="exact"/>
              <w:ind w:left="105" w:leftChars="5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机加工</w:t>
            </w:r>
          </w:p>
        </w:tc>
        <w:tc>
          <w:tcPr>
            <w:tcW w:w="1560" w:type="dxa"/>
            <w:tcBorders>
              <w:bottom w:val="single" w:color="auto" w:sz="4" w:space="0"/>
            </w:tcBorders>
            <w:noWrap w:val="0"/>
            <w:vAlign w:val="center"/>
          </w:tcPr>
          <w:p w14:paraId="63DF7B0A">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废边角料</w:t>
            </w:r>
          </w:p>
        </w:tc>
        <w:tc>
          <w:tcPr>
            <w:tcW w:w="2253" w:type="dxa"/>
            <w:gridSpan w:val="2"/>
            <w:vMerge w:val="continue"/>
            <w:noWrap w:val="0"/>
            <w:vAlign w:val="center"/>
          </w:tcPr>
          <w:p w14:paraId="4ACDBD18">
            <w:pPr>
              <w:jc w:val="center"/>
              <w:rPr>
                <w:rFonts w:hint="default" w:ascii="Times New Roman" w:hAnsi="Times New Roman" w:eastAsia="宋体" w:cs="Times New Roman"/>
                <w:color w:val="auto"/>
                <w:sz w:val="21"/>
                <w:szCs w:val="21"/>
                <w:lang w:eastAsia="zh-CN"/>
              </w:rPr>
            </w:pPr>
          </w:p>
        </w:tc>
        <w:tc>
          <w:tcPr>
            <w:tcW w:w="2206" w:type="dxa"/>
            <w:vMerge w:val="continue"/>
            <w:noWrap w:val="0"/>
            <w:vAlign w:val="center"/>
          </w:tcPr>
          <w:p w14:paraId="7F6D1B5B">
            <w:pPr>
              <w:pStyle w:val="152"/>
              <w:rPr>
                <w:rFonts w:hint="default" w:ascii="Times New Roman" w:hAnsi="Times New Roman" w:eastAsia="宋体" w:cs="Times New Roman"/>
                <w:color w:val="auto"/>
                <w:sz w:val="21"/>
                <w:szCs w:val="21"/>
              </w:rPr>
            </w:pPr>
          </w:p>
        </w:tc>
      </w:tr>
      <w:tr w14:paraId="768D1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38" w:type="dxa"/>
            <w:gridSpan w:val="2"/>
            <w:vMerge w:val="continue"/>
            <w:noWrap w:val="0"/>
            <w:vAlign w:val="center"/>
          </w:tcPr>
          <w:p w14:paraId="70ADB499">
            <w:pPr>
              <w:adjustRightInd w:val="0"/>
              <w:snapToGrid w:val="0"/>
              <w:jc w:val="center"/>
              <w:rPr>
                <w:rFonts w:hint="default" w:ascii="Times New Roman" w:hAnsi="Times New Roman" w:eastAsia="宋体" w:cs="Times New Roman"/>
                <w:color w:val="auto"/>
                <w:sz w:val="21"/>
                <w:szCs w:val="21"/>
              </w:rPr>
            </w:pPr>
          </w:p>
        </w:tc>
        <w:tc>
          <w:tcPr>
            <w:tcW w:w="1426" w:type="dxa"/>
            <w:noWrap w:val="0"/>
            <w:vAlign w:val="center"/>
          </w:tcPr>
          <w:p w14:paraId="2218C888">
            <w:pPr>
              <w:pStyle w:val="238"/>
              <w:adjustRightInd w:val="0"/>
              <w:snapToGrid w:val="0"/>
              <w:spacing w:line="240" w:lineRule="exact"/>
              <w:ind w:left="105" w:leftChars="5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检验</w:t>
            </w:r>
          </w:p>
        </w:tc>
        <w:tc>
          <w:tcPr>
            <w:tcW w:w="1560" w:type="dxa"/>
            <w:tcBorders>
              <w:bottom w:val="single" w:color="auto" w:sz="4" w:space="0"/>
            </w:tcBorders>
            <w:noWrap w:val="0"/>
            <w:vAlign w:val="center"/>
          </w:tcPr>
          <w:p w14:paraId="31695FCE">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不合格品</w:t>
            </w:r>
          </w:p>
        </w:tc>
        <w:tc>
          <w:tcPr>
            <w:tcW w:w="2253" w:type="dxa"/>
            <w:gridSpan w:val="2"/>
            <w:vMerge w:val="continue"/>
            <w:noWrap w:val="0"/>
            <w:vAlign w:val="center"/>
          </w:tcPr>
          <w:p w14:paraId="63477DDC">
            <w:pPr>
              <w:jc w:val="center"/>
              <w:rPr>
                <w:rFonts w:hint="default" w:ascii="Times New Roman" w:hAnsi="Times New Roman" w:eastAsia="宋体" w:cs="Times New Roman"/>
                <w:color w:val="auto"/>
                <w:sz w:val="21"/>
                <w:szCs w:val="21"/>
                <w:lang w:eastAsia="zh-CN"/>
              </w:rPr>
            </w:pPr>
          </w:p>
        </w:tc>
        <w:tc>
          <w:tcPr>
            <w:tcW w:w="2206" w:type="dxa"/>
            <w:vMerge w:val="continue"/>
            <w:noWrap w:val="0"/>
            <w:vAlign w:val="center"/>
          </w:tcPr>
          <w:p w14:paraId="2F167E6E">
            <w:pPr>
              <w:pStyle w:val="152"/>
              <w:rPr>
                <w:rFonts w:hint="default" w:ascii="Times New Roman" w:hAnsi="Times New Roman" w:eastAsia="宋体" w:cs="Times New Roman"/>
                <w:color w:val="auto"/>
                <w:sz w:val="21"/>
                <w:szCs w:val="21"/>
              </w:rPr>
            </w:pPr>
          </w:p>
        </w:tc>
      </w:tr>
      <w:tr w14:paraId="0158A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538" w:type="dxa"/>
            <w:gridSpan w:val="2"/>
            <w:vMerge w:val="continue"/>
            <w:noWrap w:val="0"/>
            <w:vAlign w:val="center"/>
          </w:tcPr>
          <w:p w14:paraId="70996239">
            <w:pPr>
              <w:adjustRightInd w:val="0"/>
              <w:snapToGrid w:val="0"/>
              <w:jc w:val="center"/>
              <w:rPr>
                <w:rFonts w:hint="default" w:ascii="Times New Roman" w:hAnsi="Times New Roman" w:eastAsia="宋体" w:cs="Times New Roman"/>
                <w:color w:val="auto"/>
                <w:sz w:val="21"/>
                <w:szCs w:val="21"/>
              </w:rPr>
            </w:pPr>
          </w:p>
        </w:tc>
        <w:tc>
          <w:tcPr>
            <w:tcW w:w="1426" w:type="dxa"/>
            <w:noWrap w:val="0"/>
            <w:vAlign w:val="center"/>
          </w:tcPr>
          <w:p w14:paraId="4A4D3CA4">
            <w:pPr>
              <w:pStyle w:val="238"/>
              <w:adjustRightInd w:val="0"/>
              <w:snapToGrid w:val="0"/>
              <w:spacing w:line="240" w:lineRule="exact"/>
              <w:ind w:left="105" w:leftChars="50"/>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下料</w:t>
            </w:r>
          </w:p>
        </w:tc>
        <w:tc>
          <w:tcPr>
            <w:tcW w:w="1560" w:type="dxa"/>
            <w:tcBorders>
              <w:bottom w:val="single" w:color="auto" w:sz="4" w:space="0"/>
            </w:tcBorders>
            <w:noWrap w:val="0"/>
            <w:vAlign w:val="center"/>
          </w:tcPr>
          <w:p w14:paraId="6AA1CEE3">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废润滑油</w:t>
            </w:r>
          </w:p>
        </w:tc>
        <w:tc>
          <w:tcPr>
            <w:tcW w:w="2253" w:type="dxa"/>
            <w:gridSpan w:val="2"/>
            <w:vMerge w:val="restart"/>
            <w:noWrap w:val="0"/>
            <w:vAlign w:val="center"/>
          </w:tcPr>
          <w:p w14:paraId="29BA6633">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委托有资质单位处置</w:t>
            </w:r>
          </w:p>
        </w:tc>
        <w:tc>
          <w:tcPr>
            <w:tcW w:w="2206" w:type="dxa"/>
            <w:vMerge w:val="restart"/>
            <w:noWrap w:val="0"/>
            <w:vAlign w:val="center"/>
          </w:tcPr>
          <w:p w14:paraId="18A488D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《危险废物贮存污染控制标准》（GB18597-20</w:t>
            </w:r>
            <w:r>
              <w:rPr>
                <w:rFonts w:hint="default" w:ascii="Times New Roman" w:hAnsi="Times New Roman" w:cs="Times New Roman"/>
                <w:color w:val="auto"/>
                <w:kern w:val="0"/>
                <w:sz w:val="21"/>
                <w:szCs w:val="21"/>
                <w:lang w:val="en-US" w:eastAsia="zh-CN"/>
              </w:rPr>
              <w:t>23</w:t>
            </w:r>
            <w:r>
              <w:rPr>
                <w:rFonts w:hint="default" w:ascii="Times New Roman" w:hAnsi="Times New Roman" w:eastAsia="宋体" w:cs="Times New Roman"/>
                <w:color w:val="auto"/>
                <w:kern w:val="0"/>
                <w:sz w:val="21"/>
                <w:szCs w:val="21"/>
              </w:rPr>
              <w:t>）</w:t>
            </w:r>
          </w:p>
        </w:tc>
      </w:tr>
      <w:tr w14:paraId="418A3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8" w:type="dxa"/>
            <w:gridSpan w:val="2"/>
            <w:vMerge w:val="continue"/>
            <w:noWrap w:val="0"/>
            <w:vAlign w:val="center"/>
          </w:tcPr>
          <w:p w14:paraId="3962D529">
            <w:pPr>
              <w:pStyle w:val="238"/>
              <w:adjustRightInd w:val="0"/>
              <w:snapToGrid w:val="0"/>
              <w:spacing w:line="240" w:lineRule="exact"/>
              <w:ind w:left="105" w:leftChars="50"/>
              <w:jc w:val="center"/>
              <w:rPr>
                <w:color w:val="auto"/>
              </w:rPr>
            </w:pPr>
          </w:p>
        </w:tc>
        <w:tc>
          <w:tcPr>
            <w:tcW w:w="1426" w:type="dxa"/>
            <w:noWrap w:val="0"/>
            <w:vAlign w:val="center"/>
          </w:tcPr>
          <w:p w14:paraId="5BAA019E">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机加工</w:t>
            </w:r>
          </w:p>
        </w:tc>
        <w:tc>
          <w:tcPr>
            <w:tcW w:w="1560" w:type="dxa"/>
            <w:tcBorders>
              <w:bottom w:val="single" w:color="auto" w:sz="4" w:space="0"/>
            </w:tcBorders>
            <w:noWrap w:val="0"/>
            <w:vAlign w:val="center"/>
          </w:tcPr>
          <w:p w14:paraId="55B0528D">
            <w:pPr>
              <w:widowControl/>
              <w:jc w:val="center"/>
              <w:textAlignment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color w:val="auto"/>
                <w:sz w:val="21"/>
                <w:szCs w:val="21"/>
                <w:lang w:val="en-US" w:eastAsia="zh-CN"/>
              </w:rPr>
              <w:t>废切削液</w:t>
            </w:r>
          </w:p>
        </w:tc>
        <w:tc>
          <w:tcPr>
            <w:tcW w:w="2253" w:type="dxa"/>
            <w:gridSpan w:val="2"/>
            <w:vMerge w:val="continue"/>
            <w:noWrap w:val="0"/>
            <w:vAlign w:val="center"/>
          </w:tcPr>
          <w:p w14:paraId="210FC1F9">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c>
          <w:tcPr>
            <w:tcW w:w="2206" w:type="dxa"/>
            <w:vMerge w:val="continue"/>
            <w:noWrap w:val="0"/>
            <w:vAlign w:val="center"/>
          </w:tcPr>
          <w:p w14:paraId="2A7C5E4C">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r>
      <w:tr w14:paraId="58D45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8" w:type="dxa"/>
            <w:gridSpan w:val="2"/>
            <w:vMerge w:val="continue"/>
            <w:noWrap w:val="0"/>
            <w:vAlign w:val="center"/>
          </w:tcPr>
          <w:p w14:paraId="179532A8">
            <w:pPr>
              <w:widowControl/>
              <w:jc w:val="center"/>
              <w:textAlignment w:val="center"/>
              <w:rPr>
                <w:color w:val="auto"/>
              </w:rPr>
            </w:pPr>
          </w:p>
        </w:tc>
        <w:tc>
          <w:tcPr>
            <w:tcW w:w="1426" w:type="dxa"/>
            <w:noWrap w:val="0"/>
            <w:vAlign w:val="center"/>
          </w:tcPr>
          <w:p w14:paraId="1BE6F764">
            <w:pPr>
              <w:widowControl/>
              <w:jc w:val="center"/>
              <w:textAlignment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机加工</w:t>
            </w:r>
          </w:p>
        </w:tc>
        <w:tc>
          <w:tcPr>
            <w:tcW w:w="1560" w:type="dxa"/>
            <w:tcBorders>
              <w:bottom w:val="single" w:color="auto" w:sz="4" w:space="0"/>
            </w:tcBorders>
            <w:noWrap w:val="0"/>
            <w:vAlign w:val="center"/>
          </w:tcPr>
          <w:p w14:paraId="541E3C89">
            <w:pPr>
              <w:widowControl/>
              <w:jc w:val="center"/>
              <w:textAlignment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含油金属屑</w:t>
            </w:r>
          </w:p>
        </w:tc>
        <w:tc>
          <w:tcPr>
            <w:tcW w:w="2253" w:type="dxa"/>
            <w:gridSpan w:val="2"/>
            <w:vMerge w:val="continue"/>
            <w:noWrap w:val="0"/>
            <w:vAlign w:val="center"/>
          </w:tcPr>
          <w:p w14:paraId="475D6300">
            <w:pPr>
              <w:widowControl/>
              <w:jc w:val="center"/>
              <w:textAlignment w:val="center"/>
              <w:rPr>
                <w:rFonts w:hint="eastAsia" w:ascii="Times New Roman" w:hAnsi="Times New Roman" w:cs="Times New Roman"/>
                <w:snapToGrid w:val="0"/>
                <w:color w:val="auto"/>
                <w:sz w:val="21"/>
                <w:szCs w:val="21"/>
                <w:lang w:val="en-US" w:eastAsia="zh-CN"/>
              </w:rPr>
            </w:pPr>
          </w:p>
        </w:tc>
        <w:tc>
          <w:tcPr>
            <w:tcW w:w="2206" w:type="dxa"/>
            <w:vMerge w:val="continue"/>
            <w:noWrap w:val="0"/>
            <w:vAlign w:val="center"/>
          </w:tcPr>
          <w:p w14:paraId="010D3297">
            <w:pPr>
              <w:widowControl/>
              <w:jc w:val="center"/>
              <w:textAlignment w:val="center"/>
              <w:rPr>
                <w:rFonts w:hint="eastAsia" w:ascii="Times New Roman" w:hAnsi="Times New Roman" w:cs="Times New Roman"/>
                <w:snapToGrid w:val="0"/>
                <w:color w:val="auto"/>
                <w:sz w:val="21"/>
                <w:szCs w:val="21"/>
                <w:lang w:val="en-US" w:eastAsia="zh-CN"/>
              </w:rPr>
            </w:pPr>
          </w:p>
        </w:tc>
      </w:tr>
      <w:tr w14:paraId="71C31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538" w:type="dxa"/>
            <w:gridSpan w:val="2"/>
            <w:vMerge w:val="continue"/>
            <w:noWrap w:val="0"/>
            <w:vAlign w:val="center"/>
          </w:tcPr>
          <w:p w14:paraId="22B3956B">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c>
          <w:tcPr>
            <w:tcW w:w="1426" w:type="dxa"/>
            <w:noWrap w:val="0"/>
            <w:vAlign w:val="center"/>
          </w:tcPr>
          <w:p w14:paraId="3DEC1DEF">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kern w:val="0"/>
                <w:sz w:val="21"/>
                <w:szCs w:val="21"/>
                <w:lang w:val="en-US" w:eastAsia="zh-CN" w:bidi="ar-SA"/>
              </w:rPr>
              <w:t>液压动力类设备运行介质</w:t>
            </w:r>
          </w:p>
        </w:tc>
        <w:tc>
          <w:tcPr>
            <w:tcW w:w="1560" w:type="dxa"/>
            <w:tcBorders>
              <w:bottom w:val="single" w:color="auto" w:sz="4" w:space="0"/>
            </w:tcBorders>
            <w:noWrap w:val="0"/>
            <w:vAlign w:val="center"/>
          </w:tcPr>
          <w:p w14:paraId="12FE803C">
            <w:pPr>
              <w:widowControl/>
              <w:jc w:val="center"/>
              <w:textAlignment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color w:val="auto"/>
                <w:sz w:val="21"/>
                <w:szCs w:val="21"/>
                <w:lang w:val="en-US" w:eastAsia="zh-CN"/>
              </w:rPr>
              <w:t>废液压油</w:t>
            </w:r>
          </w:p>
        </w:tc>
        <w:tc>
          <w:tcPr>
            <w:tcW w:w="2253" w:type="dxa"/>
            <w:gridSpan w:val="2"/>
            <w:vMerge w:val="continue"/>
            <w:noWrap w:val="0"/>
            <w:vAlign w:val="center"/>
          </w:tcPr>
          <w:p w14:paraId="09DF87F8">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c>
          <w:tcPr>
            <w:tcW w:w="2206" w:type="dxa"/>
            <w:vMerge w:val="continue"/>
            <w:noWrap w:val="0"/>
            <w:vAlign w:val="center"/>
          </w:tcPr>
          <w:p w14:paraId="698DCA3E">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r>
      <w:tr w14:paraId="2B6F5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538" w:type="dxa"/>
            <w:gridSpan w:val="2"/>
            <w:vMerge w:val="continue"/>
            <w:noWrap w:val="0"/>
            <w:vAlign w:val="center"/>
          </w:tcPr>
          <w:p w14:paraId="2152BD74">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c>
          <w:tcPr>
            <w:tcW w:w="1426" w:type="dxa"/>
            <w:noWrap w:val="0"/>
            <w:vAlign w:val="center"/>
          </w:tcPr>
          <w:p w14:paraId="120B4F58">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kern w:val="0"/>
                <w:sz w:val="21"/>
                <w:szCs w:val="21"/>
                <w:lang w:val="en-US" w:eastAsia="zh-CN" w:bidi="ar-SA"/>
              </w:rPr>
              <w:t>原料</w:t>
            </w:r>
          </w:p>
        </w:tc>
        <w:tc>
          <w:tcPr>
            <w:tcW w:w="1560" w:type="dxa"/>
            <w:tcBorders>
              <w:bottom w:val="single" w:color="auto" w:sz="4" w:space="0"/>
            </w:tcBorders>
            <w:noWrap w:val="0"/>
            <w:vAlign w:val="center"/>
          </w:tcPr>
          <w:p w14:paraId="130A25C2">
            <w:pPr>
              <w:widowControl/>
              <w:jc w:val="center"/>
              <w:textAlignment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color w:val="auto"/>
                <w:sz w:val="21"/>
                <w:szCs w:val="21"/>
                <w:lang w:val="en-US" w:eastAsia="zh-CN"/>
              </w:rPr>
              <w:t>废润滑油桶</w:t>
            </w:r>
          </w:p>
        </w:tc>
        <w:tc>
          <w:tcPr>
            <w:tcW w:w="2253" w:type="dxa"/>
            <w:gridSpan w:val="2"/>
            <w:vMerge w:val="continue"/>
            <w:noWrap w:val="0"/>
            <w:vAlign w:val="center"/>
          </w:tcPr>
          <w:p w14:paraId="34C6F7D3">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c>
          <w:tcPr>
            <w:tcW w:w="2206" w:type="dxa"/>
            <w:vMerge w:val="continue"/>
            <w:noWrap w:val="0"/>
            <w:vAlign w:val="center"/>
          </w:tcPr>
          <w:p w14:paraId="7752C173">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r>
      <w:tr w14:paraId="5E6C8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538" w:type="dxa"/>
            <w:gridSpan w:val="2"/>
            <w:vMerge w:val="continue"/>
            <w:noWrap w:val="0"/>
            <w:vAlign w:val="center"/>
          </w:tcPr>
          <w:p w14:paraId="10811322">
            <w:pPr>
              <w:adjustRightInd w:val="0"/>
              <w:snapToGrid w:val="0"/>
              <w:jc w:val="center"/>
              <w:rPr>
                <w:rFonts w:hint="default" w:ascii="Times New Roman" w:hAnsi="Times New Roman" w:eastAsia="宋体" w:cs="Times New Roman"/>
                <w:color w:val="auto"/>
                <w:sz w:val="21"/>
                <w:szCs w:val="21"/>
              </w:rPr>
            </w:pPr>
          </w:p>
        </w:tc>
        <w:tc>
          <w:tcPr>
            <w:tcW w:w="1426" w:type="dxa"/>
            <w:noWrap w:val="0"/>
            <w:vAlign w:val="center"/>
          </w:tcPr>
          <w:p w14:paraId="0AEAE7ED">
            <w:pPr>
              <w:pStyle w:val="238"/>
              <w:adjustRightInd w:val="0"/>
              <w:snapToGrid w:val="0"/>
              <w:spacing w:line="240" w:lineRule="exact"/>
              <w:ind w:left="105" w:leftChars="5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kern w:val="0"/>
                <w:sz w:val="21"/>
                <w:szCs w:val="21"/>
                <w:lang w:val="en-US" w:eastAsia="zh-CN" w:bidi="ar-SA"/>
              </w:rPr>
              <w:t>原料</w:t>
            </w:r>
          </w:p>
        </w:tc>
        <w:tc>
          <w:tcPr>
            <w:tcW w:w="1560" w:type="dxa"/>
            <w:tcBorders>
              <w:bottom w:val="single" w:color="auto" w:sz="4" w:space="0"/>
            </w:tcBorders>
            <w:noWrap w:val="0"/>
            <w:vAlign w:val="center"/>
          </w:tcPr>
          <w:p w14:paraId="23C48CA9">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废切削液桶</w:t>
            </w:r>
          </w:p>
        </w:tc>
        <w:tc>
          <w:tcPr>
            <w:tcW w:w="2253" w:type="dxa"/>
            <w:gridSpan w:val="2"/>
            <w:vMerge w:val="continue"/>
            <w:noWrap w:val="0"/>
            <w:vAlign w:val="center"/>
          </w:tcPr>
          <w:p w14:paraId="7D184578">
            <w:pPr>
              <w:jc w:val="center"/>
              <w:rPr>
                <w:rFonts w:hint="default" w:ascii="Times New Roman" w:hAnsi="Times New Roman" w:eastAsia="宋体" w:cs="Times New Roman"/>
                <w:color w:val="auto"/>
                <w:sz w:val="21"/>
                <w:szCs w:val="21"/>
                <w:lang w:eastAsia="zh-CN"/>
              </w:rPr>
            </w:pPr>
          </w:p>
        </w:tc>
        <w:tc>
          <w:tcPr>
            <w:tcW w:w="2206" w:type="dxa"/>
            <w:vMerge w:val="continue"/>
            <w:noWrap w:val="0"/>
            <w:vAlign w:val="center"/>
          </w:tcPr>
          <w:p w14:paraId="5E4802F1">
            <w:pPr>
              <w:adjustRightInd w:val="0"/>
              <w:snapToGrid w:val="0"/>
              <w:jc w:val="center"/>
              <w:rPr>
                <w:rFonts w:hint="default" w:ascii="Times New Roman" w:hAnsi="Times New Roman" w:eastAsia="宋体" w:cs="Times New Roman"/>
                <w:color w:val="auto"/>
                <w:sz w:val="21"/>
                <w:szCs w:val="21"/>
              </w:rPr>
            </w:pPr>
          </w:p>
        </w:tc>
      </w:tr>
      <w:tr w14:paraId="06EB3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38" w:type="dxa"/>
            <w:gridSpan w:val="2"/>
            <w:vMerge w:val="continue"/>
            <w:noWrap w:val="0"/>
            <w:vAlign w:val="center"/>
          </w:tcPr>
          <w:p w14:paraId="31260BE7">
            <w:pPr>
              <w:pStyle w:val="238"/>
              <w:adjustRightInd w:val="0"/>
              <w:snapToGrid w:val="0"/>
              <w:spacing w:line="240" w:lineRule="exact"/>
              <w:ind w:left="105" w:leftChars="50"/>
              <w:jc w:val="center"/>
              <w:rPr>
                <w:color w:val="auto"/>
              </w:rPr>
            </w:pPr>
          </w:p>
        </w:tc>
        <w:tc>
          <w:tcPr>
            <w:tcW w:w="1426" w:type="dxa"/>
            <w:noWrap w:val="0"/>
            <w:vAlign w:val="center"/>
          </w:tcPr>
          <w:p w14:paraId="20FA0B9B">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kern w:val="0"/>
                <w:sz w:val="21"/>
                <w:szCs w:val="21"/>
                <w:lang w:val="en-US" w:eastAsia="zh-CN" w:bidi="ar-SA"/>
              </w:rPr>
              <w:t>原料</w:t>
            </w:r>
          </w:p>
        </w:tc>
        <w:tc>
          <w:tcPr>
            <w:tcW w:w="1560" w:type="dxa"/>
            <w:tcBorders>
              <w:bottom w:val="single" w:color="auto" w:sz="4" w:space="0"/>
            </w:tcBorders>
            <w:noWrap w:val="0"/>
            <w:vAlign w:val="center"/>
          </w:tcPr>
          <w:p w14:paraId="21DA5A21">
            <w:pPr>
              <w:widowControl/>
              <w:jc w:val="center"/>
              <w:textAlignment w:val="center"/>
              <w:rPr>
                <w:rFonts w:hint="eastAsia" w:ascii="Times New Roman" w:hAnsi="Times New Roman" w:cs="Times New Roman"/>
                <w:snapToGrid w:val="0"/>
                <w:color w:val="auto"/>
                <w:sz w:val="21"/>
                <w:szCs w:val="21"/>
                <w:lang w:val="en-US" w:eastAsia="zh-CN"/>
              </w:rPr>
            </w:pPr>
            <w:r>
              <w:rPr>
                <w:rFonts w:hint="eastAsia" w:ascii="Times New Roman" w:hAnsi="Times New Roman" w:cs="Times New Roman"/>
                <w:color w:val="auto"/>
                <w:sz w:val="21"/>
                <w:szCs w:val="21"/>
                <w:lang w:val="en-US" w:eastAsia="zh-CN"/>
              </w:rPr>
              <w:t>废液压油桶</w:t>
            </w:r>
          </w:p>
        </w:tc>
        <w:tc>
          <w:tcPr>
            <w:tcW w:w="2253" w:type="dxa"/>
            <w:gridSpan w:val="2"/>
            <w:vMerge w:val="continue"/>
            <w:noWrap w:val="0"/>
            <w:vAlign w:val="center"/>
          </w:tcPr>
          <w:p w14:paraId="302B74A9">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c>
          <w:tcPr>
            <w:tcW w:w="2206" w:type="dxa"/>
            <w:vMerge w:val="continue"/>
            <w:noWrap w:val="0"/>
            <w:vAlign w:val="center"/>
          </w:tcPr>
          <w:p w14:paraId="4E1308C3">
            <w:pPr>
              <w:pStyle w:val="238"/>
              <w:adjustRightInd w:val="0"/>
              <w:snapToGrid w:val="0"/>
              <w:spacing w:line="240" w:lineRule="exact"/>
              <w:ind w:left="105" w:leftChars="50"/>
              <w:jc w:val="center"/>
              <w:rPr>
                <w:rFonts w:hint="eastAsia" w:ascii="Times New Roman" w:hAnsi="Times New Roman" w:cs="Times New Roman"/>
                <w:snapToGrid w:val="0"/>
                <w:color w:val="auto"/>
                <w:sz w:val="21"/>
                <w:szCs w:val="21"/>
                <w:lang w:val="en-US" w:eastAsia="zh-CN"/>
              </w:rPr>
            </w:pPr>
          </w:p>
        </w:tc>
      </w:tr>
      <w:tr w14:paraId="129F6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38" w:type="dxa"/>
            <w:gridSpan w:val="2"/>
            <w:vMerge w:val="continue"/>
            <w:noWrap w:val="0"/>
            <w:vAlign w:val="center"/>
          </w:tcPr>
          <w:p w14:paraId="6E5EC909">
            <w:pPr>
              <w:widowControl/>
              <w:jc w:val="center"/>
              <w:textAlignment w:val="center"/>
              <w:rPr>
                <w:color w:val="auto"/>
              </w:rPr>
            </w:pPr>
          </w:p>
        </w:tc>
        <w:tc>
          <w:tcPr>
            <w:tcW w:w="1426" w:type="dxa"/>
            <w:noWrap w:val="0"/>
            <w:vAlign w:val="center"/>
          </w:tcPr>
          <w:p w14:paraId="1F151E99">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color w:val="auto"/>
                <w:sz w:val="21"/>
                <w:szCs w:val="21"/>
                <w:lang w:val="en-US" w:eastAsia="zh-CN"/>
              </w:rPr>
              <w:t>设备维护保养</w:t>
            </w:r>
          </w:p>
        </w:tc>
        <w:tc>
          <w:tcPr>
            <w:tcW w:w="1560" w:type="dxa"/>
            <w:tcBorders>
              <w:bottom w:val="single" w:color="auto" w:sz="4" w:space="0"/>
            </w:tcBorders>
            <w:noWrap w:val="0"/>
            <w:vAlign w:val="center"/>
          </w:tcPr>
          <w:p w14:paraId="647D22EC">
            <w:pPr>
              <w:pStyle w:val="238"/>
              <w:adjustRightInd w:val="0"/>
              <w:snapToGrid w:val="0"/>
              <w:spacing w:line="240" w:lineRule="exact"/>
              <w:ind w:left="105" w:leftChars="50"/>
              <w:jc w:val="center"/>
              <w:rPr>
                <w:rFonts w:hint="eastAsia" w:ascii="Times New Roman" w:hAnsi="Times New Roman" w:cs="Times New Roman"/>
                <w:snapToGrid w:val="0"/>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含油抹布手套</w:t>
            </w:r>
          </w:p>
        </w:tc>
        <w:tc>
          <w:tcPr>
            <w:tcW w:w="2253" w:type="dxa"/>
            <w:gridSpan w:val="2"/>
            <w:vMerge w:val="continue"/>
            <w:noWrap w:val="0"/>
            <w:vAlign w:val="center"/>
          </w:tcPr>
          <w:p w14:paraId="45D30384">
            <w:pPr>
              <w:widowControl/>
              <w:jc w:val="center"/>
              <w:textAlignment w:val="center"/>
              <w:rPr>
                <w:rFonts w:hint="eastAsia" w:ascii="Times New Roman" w:hAnsi="Times New Roman" w:cs="Times New Roman"/>
                <w:snapToGrid w:val="0"/>
                <w:color w:val="auto"/>
                <w:kern w:val="0"/>
                <w:sz w:val="21"/>
                <w:szCs w:val="21"/>
                <w:lang w:val="en-US" w:eastAsia="zh-CN" w:bidi="ar-SA"/>
              </w:rPr>
            </w:pPr>
          </w:p>
        </w:tc>
        <w:tc>
          <w:tcPr>
            <w:tcW w:w="2206" w:type="dxa"/>
            <w:vMerge w:val="continue"/>
            <w:noWrap w:val="0"/>
            <w:vAlign w:val="center"/>
          </w:tcPr>
          <w:p w14:paraId="23EF1268">
            <w:pPr>
              <w:widowControl/>
              <w:jc w:val="center"/>
              <w:textAlignment w:val="center"/>
              <w:rPr>
                <w:rFonts w:hint="eastAsia" w:ascii="Times New Roman" w:hAnsi="Times New Roman" w:cs="Times New Roman"/>
                <w:snapToGrid w:val="0"/>
                <w:color w:val="auto"/>
                <w:kern w:val="0"/>
                <w:sz w:val="21"/>
                <w:szCs w:val="21"/>
                <w:lang w:val="en-US" w:eastAsia="zh-CN" w:bidi="ar-SA"/>
              </w:rPr>
            </w:pPr>
          </w:p>
        </w:tc>
      </w:tr>
      <w:tr w14:paraId="3660D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38" w:type="dxa"/>
            <w:gridSpan w:val="2"/>
            <w:vMerge w:val="continue"/>
            <w:noWrap w:val="0"/>
            <w:vAlign w:val="center"/>
          </w:tcPr>
          <w:p w14:paraId="375BF833">
            <w:pPr>
              <w:adjustRightInd w:val="0"/>
              <w:snapToGrid w:val="0"/>
              <w:jc w:val="center"/>
              <w:rPr>
                <w:rFonts w:hint="default" w:ascii="Times New Roman" w:hAnsi="Times New Roman" w:eastAsia="宋体" w:cs="Times New Roman"/>
                <w:color w:val="auto"/>
                <w:sz w:val="21"/>
                <w:szCs w:val="21"/>
              </w:rPr>
            </w:pPr>
          </w:p>
        </w:tc>
        <w:tc>
          <w:tcPr>
            <w:tcW w:w="1426" w:type="dxa"/>
            <w:noWrap w:val="0"/>
            <w:vAlign w:val="center"/>
          </w:tcPr>
          <w:p w14:paraId="169C2CC8">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rPr>
              <w:t>职工生活</w:t>
            </w:r>
          </w:p>
        </w:tc>
        <w:tc>
          <w:tcPr>
            <w:tcW w:w="1560" w:type="dxa"/>
            <w:noWrap w:val="0"/>
            <w:vAlign w:val="center"/>
          </w:tcPr>
          <w:p w14:paraId="3409750A">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rPr>
              <w:t>生活垃圾</w:t>
            </w:r>
          </w:p>
        </w:tc>
        <w:tc>
          <w:tcPr>
            <w:tcW w:w="2253" w:type="dxa"/>
            <w:gridSpan w:val="2"/>
            <w:noWrap w:val="0"/>
            <w:vAlign w:val="center"/>
          </w:tcPr>
          <w:p w14:paraId="15E4BAF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环卫清运</w:t>
            </w:r>
          </w:p>
        </w:tc>
        <w:tc>
          <w:tcPr>
            <w:tcW w:w="2206" w:type="dxa"/>
            <w:tcBorders>
              <w:top w:val="single" w:color="auto" w:sz="4" w:space="0"/>
            </w:tcBorders>
            <w:noWrap w:val="0"/>
            <w:vAlign w:val="center"/>
          </w:tcPr>
          <w:p w14:paraId="58BD33AA">
            <w:pPr>
              <w:pStyle w:val="15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《城市生活垃圾处理及污染防治技术政策》（建城[2000]120号）和《生活垃圾处理技术指南》（建城[1810]61号）</w:t>
            </w:r>
          </w:p>
        </w:tc>
      </w:tr>
      <w:tr w14:paraId="279E3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38" w:type="dxa"/>
            <w:gridSpan w:val="2"/>
            <w:noWrap w:val="0"/>
            <w:vAlign w:val="center"/>
          </w:tcPr>
          <w:p w14:paraId="0AE2094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土壤及地下水</w:t>
            </w:r>
          </w:p>
          <w:p w14:paraId="62A7474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污染防治措施</w:t>
            </w:r>
          </w:p>
        </w:tc>
        <w:tc>
          <w:tcPr>
            <w:tcW w:w="7445" w:type="dxa"/>
            <w:gridSpan w:val="5"/>
            <w:noWrap w:val="0"/>
            <w:vAlign w:val="center"/>
          </w:tcPr>
          <w:p w14:paraId="5C7117D5">
            <w:pPr>
              <w:autoSpaceDE w:val="0"/>
              <w:autoSpaceDN w:val="0"/>
              <w:adjustRightInd w:val="0"/>
              <w:jc w:val="left"/>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auto"/>
                <w:sz w:val="21"/>
                <w:szCs w:val="21"/>
                <w:lang w:eastAsia="zh-CN"/>
              </w:rPr>
              <w:t>分区防控。主要包括污染区地面的防渗措施和泄漏、渗漏污染物收集措施，即在污染区地面进行防渗处理，防止洒落地面的污染物渗入地下，从而避免对地下水的污染。根据项目场地包气带防污性能、污染控制难易程度和污染物特性对项目进行分区防控。</w:t>
            </w:r>
          </w:p>
        </w:tc>
      </w:tr>
      <w:tr w14:paraId="4055D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38" w:type="dxa"/>
            <w:gridSpan w:val="2"/>
            <w:noWrap w:val="0"/>
            <w:vAlign w:val="center"/>
          </w:tcPr>
          <w:p w14:paraId="690A0B21">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生态保护措施</w:t>
            </w:r>
          </w:p>
        </w:tc>
        <w:tc>
          <w:tcPr>
            <w:tcW w:w="7445" w:type="dxa"/>
            <w:gridSpan w:val="5"/>
            <w:noWrap w:val="0"/>
            <w:vAlign w:val="center"/>
          </w:tcPr>
          <w:p w14:paraId="3E4593E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1ADC2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38" w:type="dxa"/>
            <w:gridSpan w:val="2"/>
            <w:noWrap w:val="0"/>
            <w:vAlign w:val="center"/>
          </w:tcPr>
          <w:p w14:paraId="628BF2E8">
            <w:pPr>
              <w:adjustRightInd w:val="0"/>
              <w:snapToGrid w:val="0"/>
              <w:jc w:val="center"/>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环境风险</w:t>
            </w:r>
          </w:p>
          <w:p w14:paraId="4D96F98F">
            <w:pPr>
              <w:adjustRightInd w:val="0"/>
              <w:snapToGrid w:val="0"/>
              <w:jc w:val="center"/>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防范措施</w:t>
            </w:r>
          </w:p>
        </w:tc>
        <w:tc>
          <w:tcPr>
            <w:tcW w:w="7445" w:type="dxa"/>
            <w:gridSpan w:val="5"/>
            <w:noWrap w:val="0"/>
            <w:vAlign w:val="center"/>
          </w:tcPr>
          <w:p w14:paraId="22A32300">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（1）运输、储存及生产过程中风险防范对策与措施</w:t>
            </w:r>
          </w:p>
          <w:p w14:paraId="5A1CF8EB">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a、厂区平面布置方面防范措施</w:t>
            </w:r>
          </w:p>
          <w:p w14:paraId="65F676A3">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严格按照防火规范进行平面布置，电气设备及仪表按防爆等级的不同选用不同的设备，设置明显的警示标志。</w:t>
            </w:r>
          </w:p>
          <w:p w14:paraId="1E43D863">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b、化学品物料的储存和</w:t>
            </w:r>
            <w:r>
              <w:rPr>
                <w:rFonts w:hint="default" w:ascii="Times New Roman" w:hAnsi="Times New Roman" w:eastAsia="宋体" w:cs="Times New Roman"/>
                <w:color w:val="auto"/>
                <w:kern w:val="0"/>
                <w:sz w:val="21"/>
                <w:szCs w:val="21"/>
                <w:lang w:eastAsia="zh-CN"/>
              </w:rPr>
              <w:t>采取</w:t>
            </w:r>
            <w:r>
              <w:rPr>
                <w:rFonts w:hint="default" w:ascii="Times New Roman" w:hAnsi="Times New Roman" w:eastAsia="宋体" w:cs="Times New Roman"/>
                <w:color w:val="auto"/>
                <w:kern w:val="0"/>
                <w:sz w:val="21"/>
                <w:szCs w:val="21"/>
              </w:rPr>
              <w:t>风险防范措施</w:t>
            </w:r>
          </w:p>
          <w:p w14:paraId="49D3BACC">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①严格限制仓库中各类化学品物料的储存量，应尽量缩短物料储存周期，减少重大风险事故的隐患。</w:t>
            </w:r>
          </w:p>
          <w:p w14:paraId="43479775">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②设立规章制度，生产、仓储区域严禁吸烟与动火作业；</w:t>
            </w:r>
          </w:p>
          <w:p w14:paraId="35544C95">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③配备种类与数量齐全的消防设备以防范火灾、爆炸等危险事故的发生；</w:t>
            </w:r>
          </w:p>
          <w:p w14:paraId="2A744266">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④易燃易爆化学品存放在防爆柜中；</w:t>
            </w:r>
          </w:p>
          <w:p w14:paraId="4CA46DA9">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⑤对员工进行安全教育，培训其事故应急处理能力。</w:t>
            </w:r>
          </w:p>
          <w:p w14:paraId="63B02B29">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c、危废暂存场所风险防范措施</w:t>
            </w:r>
          </w:p>
          <w:p w14:paraId="4F90C678">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企业危废暂存场所按照《危险废物贮存污染控制标准》（GB 18597-2023）建设管理，设置防风、防雨、防晒、防渗等措施；存放废液的地方，需设耐腐蚀硬化地面和防泄漏托盘；在明显地点设有警示标志，输配电线、灯具、火灾事故照明和疏散指示标志均应符合安全要求。项目产生的危险固废进行科学的分类收集，不相容危险废物要分别存放或存放在不渗透间隔分开的区域内；必须定期对所贮存的危险废物包装容器及贮存设施进行检查，发现破损，应及时采取措施清理更换。对危险废物进行规范的贮存和运送，危险废物转交及运送过程中，严格执行《危险废物转移管理办法》（部令第23号）中的相关条款，确保危险废物安全转移运输。</w:t>
            </w:r>
          </w:p>
          <w:p w14:paraId="54A7796A">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d、消防及火灾报警系统</w:t>
            </w:r>
          </w:p>
          <w:p w14:paraId="1D77BD2F">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根据《建筑灭火器配置设计规范》（GB50140-2005）、《建筑防火通用规范》（GB 55037-2022）、《消防设施通用规范》（GB 55036-2022）和《建筑设计防火规范》（GB50016-2014）的规定，车间、公用工程、原辅料及危废存储区等场所应配置足量的抗溶泡沫、泡沫、干粉等灭火器，并保持完好状态。在车间、贮存场所等公用工程设施室内设置符合要求的消火栓。在厂区内应设自动灭火系统；工厂工艺技术尽量应用自动化、密闭化及远程化控制手段，在仪表控制系统尽量使用</w:t>
            </w:r>
            <w:r>
              <w:rPr>
                <w:rFonts w:hint="default" w:ascii="Times New Roman" w:hAnsi="Times New Roman" w:eastAsia="宋体" w:cs="Times New Roman"/>
                <w:color w:val="auto"/>
                <w:kern w:val="0"/>
                <w:sz w:val="21"/>
                <w:szCs w:val="21"/>
                <w:lang w:eastAsia="zh-CN"/>
              </w:rPr>
              <w:t>联锁</w:t>
            </w:r>
            <w:r>
              <w:rPr>
                <w:rFonts w:hint="default" w:ascii="Times New Roman" w:hAnsi="Times New Roman" w:eastAsia="宋体" w:cs="Times New Roman"/>
                <w:color w:val="auto"/>
                <w:kern w:val="0"/>
                <w:sz w:val="21"/>
                <w:szCs w:val="21"/>
              </w:rPr>
              <w:t>、声光、报警等事故应急系统。车间、原辅料及危废暂存场所</w:t>
            </w:r>
            <w:r>
              <w:rPr>
                <w:rFonts w:hint="default" w:ascii="Times New Roman" w:hAnsi="Times New Roman" w:eastAsia="宋体" w:cs="Times New Roman"/>
                <w:color w:val="auto"/>
                <w:kern w:val="0"/>
                <w:sz w:val="21"/>
                <w:szCs w:val="21"/>
                <w:lang w:eastAsia="zh-CN"/>
              </w:rPr>
              <w:t>等</w:t>
            </w:r>
            <w:r>
              <w:rPr>
                <w:rFonts w:hint="default" w:ascii="Times New Roman" w:hAnsi="Times New Roman" w:eastAsia="宋体" w:cs="Times New Roman"/>
                <w:color w:val="auto"/>
                <w:kern w:val="0"/>
                <w:sz w:val="21"/>
                <w:szCs w:val="21"/>
              </w:rPr>
              <w:t>的电气装置和照明设施应满足各危险场所的防爆要求，并设置应急电源和应急照明。</w:t>
            </w:r>
          </w:p>
          <w:p w14:paraId="5A5783A5">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e、管理方面防范措施</w:t>
            </w:r>
          </w:p>
          <w:p w14:paraId="7B1D39B1">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①企业应加强对员工及新进厂员工的工艺操作规程、安全操作规程等的培训，并取得相应的合格证书或上岗证。设立规章制度，车间、仓储区域严禁吸烟与动火作业。</w:t>
            </w:r>
          </w:p>
          <w:p w14:paraId="2B350F56">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②企业加强对职工环保安全教育，专业培训和考核。使职工具有高度的安全责任心，熟练</w:t>
            </w:r>
            <w:r>
              <w:rPr>
                <w:rFonts w:hint="default" w:ascii="Times New Roman" w:hAnsi="Times New Roman" w:eastAsia="宋体" w:cs="Times New Roman"/>
                <w:color w:val="auto"/>
                <w:kern w:val="0"/>
                <w:sz w:val="21"/>
                <w:szCs w:val="21"/>
                <w:lang w:eastAsia="zh-CN"/>
              </w:rPr>
              <w:t>地</w:t>
            </w:r>
            <w:r>
              <w:rPr>
                <w:rFonts w:hint="default" w:ascii="Times New Roman" w:hAnsi="Times New Roman" w:eastAsia="宋体" w:cs="Times New Roman"/>
                <w:color w:val="auto"/>
                <w:kern w:val="0"/>
                <w:sz w:val="21"/>
                <w:szCs w:val="21"/>
              </w:rPr>
              <w:t>操作技能，增强事故情况应急处理能力。</w:t>
            </w:r>
          </w:p>
          <w:p w14:paraId="2612D653">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③制定风险事故的应急方案并落实到人，一旦发生事故，就能迅速采取防范措施进行控制，把事故所造成的影响降低</w:t>
            </w:r>
            <w:r>
              <w:rPr>
                <w:rFonts w:hint="default" w:ascii="Times New Roman" w:hAnsi="Times New Roman" w:eastAsia="宋体" w:cs="Times New Roman"/>
                <w:color w:val="auto"/>
                <w:kern w:val="0"/>
                <w:sz w:val="21"/>
                <w:szCs w:val="21"/>
                <w:lang w:eastAsia="zh-CN"/>
              </w:rPr>
              <w:t>到最低程度</w:t>
            </w:r>
            <w:r>
              <w:rPr>
                <w:rFonts w:hint="default" w:ascii="Times New Roman" w:hAnsi="Times New Roman" w:eastAsia="宋体" w:cs="Times New Roman"/>
                <w:color w:val="auto"/>
                <w:kern w:val="0"/>
                <w:sz w:val="21"/>
                <w:szCs w:val="21"/>
              </w:rPr>
              <w:t>。</w:t>
            </w:r>
          </w:p>
          <w:p w14:paraId="083CC6A4">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④企业应针对其特点制定相对应安全生产应急操作规程，组织演练，并从中发现问题，并定期组织学习事故应急预案和演练，根据演习情况结合实际情况不断完善预案。</w:t>
            </w:r>
          </w:p>
          <w:p w14:paraId="723EC5F1">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⑤发生火灾事故后，会产生大量的事故废水，这些废水必须进入单独的应急事故池收集以便后续处理。</w:t>
            </w:r>
          </w:p>
          <w:p w14:paraId="6D2B6F2C">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⑥本项目设置永久性采样口；每天检查过滤层前后压差计，压差超过500Pa时及时更换过滤网，并做好点检记录。</w:t>
            </w:r>
          </w:p>
          <w:p w14:paraId="1C534E4C">
            <w:pPr>
              <w:autoSpaceDE w:val="0"/>
              <w:autoSpaceDN w:val="0"/>
              <w:adjustRightInd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⑦废气治理措施与生产设备设置联动控制系统，保证治理工程先于生产废气的生产工艺设备开启，后于生产工艺设备停机。</w:t>
            </w:r>
          </w:p>
        </w:tc>
      </w:tr>
      <w:tr w14:paraId="1F71D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38" w:type="dxa"/>
            <w:gridSpan w:val="2"/>
            <w:noWrap w:val="0"/>
            <w:vAlign w:val="center"/>
          </w:tcPr>
          <w:p w14:paraId="0F95ED9F">
            <w:pPr>
              <w:adjustRightInd w:val="0"/>
              <w:snapToGrid w:val="0"/>
              <w:jc w:val="center"/>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其他环境</w:t>
            </w:r>
          </w:p>
          <w:p w14:paraId="515054B6">
            <w:pPr>
              <w:adjustRightInd w:val="0"/>
              <w:snapToGrid w:val="0"/>
              <w:jc w:val="center"/>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管理要求</w:t>
            </w:r>
          </w:p>
        </w:tc>
        <w:tc>
          <w:tcPr>
            <w:tcW w:w="7445" w:type="dxa"/>
            <w:gridSpan w:val="5"/>
            <w:noWrap w:val="0"/>
            <w:vAlign w:val="center"/>
          </w:tcPr>
          <w:p w14:paraId="028166E1">
            <w:pPr>
              <w:pStyle w:val="228"/>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（1）环境管理</w:t>
            </w:r>
          </w:p>
          <w:p w14:paraId="5B731789">
            <w:pPr>
              <w:pStyle w:val="228"/>
              <w:jc w:val="left"/>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auto"/>
                <w:kern w:val="2"/>
                <w:sz w:val="21"/>
                <w:szCs w:val="21"/>
              </w:rPr>
              <w:t>公司应设置环保专员岗位，其主要职责为：贯彻执行国家和地方的环境保护法规和标准；接受环保主管部门的检查监督，定期上报各项环境管理工作的执行情况；组织制定公司各部门的环境管理规章制度，并监督执行；负责公司环保设施的正常运转</w:t>
            </w:r>
            <w:r>
              <w:rPr>
                <w:rFonts w:hint="default" w:ascii="Times New Roman" w:hAnsi="Times New Roman" w:eastAsia="宋体" w:cs="Times New Roman"/>
                <w:color w:val="000000" w:themeColor="text1"/>
                <w:kern w:val="2"/>
                <w:sz w:val="21"/>
                <w:szCs w:val="21"/>
                <w14:textFill>
                  <w14:solidFill>
                    <w14:schemeClr w14:val="tx1"/>
                  </w14:solidFill>
                </w14:textFill>
              </w:rPr>
              <w:t>。</w:t>
            </w:r>
          </w:p>
          <w:p w14:paraId="7C3A7552">
            <w:pPr>
              <w:pStyle w:val="228"/>
              <w:jc w:val="left"/>
              <w:rPr>
                <w:rFonts w:hint="default" w:ascii="Times New Roman" w:hAnsi="Times New Roman" w:eastAsia="宋体" w:cs="Times New Roman"/>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主要产尘点位和设施安装高清视频监控设施，生产设施和治污设施应安装用电监控设施，生产车间门口和厂区内物料运输主干道路口等关键点位布设空气质量监测微站</w:t>
            </w:r>
            <w:r>
              <w:rPr>
                <w:rFonts w:hint="default" w:ascii="Times New Roman" w:hAnsi="Times New Roman" w:eastAsia="宋体" w:cs="Times New Roman"/>
                <w:color w:val="000000" w:themeColor="text1"/>
                <w:kern w:val="2"/>
                <w:sz w:val="21"/>
                <w:szCs w:val="21"/>
                <w:lang w:eastAsia="zh-CN"/>
                <w14:textFill>
                  <w14:solidFill>
                    <w14:schemeClr w14:val="tx1"/>
                  </w14:solidFill>
                </w14:textFill>
              </w:rPr>
              <w:t>。</w:t>
            </w:r>
          </w:p>
          <w:p w14:paraId="35B4D510">
            <w:pPr>
              <w:pStyle w:val="228"/>
              <w:jc w:val="left"/>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（2）排污许可证管理要求</w:t>
            </w:r>
          </w:p>
          <w:p w14:paraId="0B62A0B4">
            <w:pPr>
              <w:pStyle w:val="228"/>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000000" w:themeColor="text1"/>
                <w:kern w:val="2"/>
                <w:sz w:val="21"/>
                <w:szCs w:val="21"/>
                <w14:textFill>
                  <w14:solidFill>
                    <w14:schemeClr w14:val="tx1"/>
                  </w14:solidFill>
                </w14:textFill>
              </w:rPr>
              <w:t>根据</w:t>
            </w:r>
            <w:r>
              <w:rPr>
                <w:rFonts w:hint="default" w:ascii="Times New Roman" w:hAnsi="Times New Roman" w:cs="Times New Roman"/>
                <w:color w:val="000000" w:themeColor="text1"/>
                <w:sz w:val="21"/>
                <w:szCs w:val="21"/>
                <w:lang w:val="en-US" w:eastAsia="zh-CN"/>
                <w14:textFill>
                  <w14:solidFill>
                    <w14:schemeClr w14:val="tx1"/>
                  </w14:solidFill>
                </w14:textFill>
              </w:rPr>
              <w:t>《关于进一步优化建设项目排污总量指标管理提升环评审批效能的意见（试行）》（通环办[2023]132号），并根据</w:t>
            </w:r>
            <w:r>
              <w:rPr>
                <w:rFonts w:hint="default" w:ascii="Times New Roman" w:hAnsi="Times New Roman" w:cs="Times New Roman"/>
                <w:color w:val="000000" w:themeColor="text1"/>
                <w:kern w:val="2"/>
                <w:sz w:val="21"/>
                <w:szCs w:val="21"/>
                <w14:textFill>
                  <w14:solidFill>
                    <w14:schemeClr w14:val="tx1"/>
                  </w14:solidFill>
                </w14:textFill>
              </w:rPr>
              <w:t>《固定污染源排污许可分类管理名录》（2019年版），</w:t>
            </w:r>
            <w:r>
              <w:rPr>
                <w:rFonts w:hint="default" w:ascii="Times New Roman" w:hAnsi="Times New Roman" w:cs="Times New Roman"/>
                <w:color w:val="000000" w:themeColor="text1"/>
                <w:kern w:val="2"/>
                <w:sz w:val="21"/>
                <w:szCs w:val="21"/>
                <w:lang w:val="en-US" w:eastAsia="zh-CN"/>
                <w14:textFill>
                  <w14:solidFill>
                    <w14:schemeClr w14:val="tx1"/>
                  </w14:solidFill>
                </w14:textFill>
              </w:rPr>
              <w:t>本项目属于排污许可</w:t>
            </w:r>
            <w:r>
              <w:rPr>
                <w:rFonts w:hint="eastAsia" w:ascii="Times New Roman" w:hAnsi="Times New Roman" w:cs="Times New Roman"/>
                <w:color w:val="000000" w:themeColor="text1"/>
                <w:kern w:val="2"/>
                <w:sz w:val="21"/>
                <w:szCs w:val="21"/>
                <w:lang w:val="en-US" w:eastAsia="zh-CN"/>
                <w14:textFill>
                  <w14:solidFill>
                    <w14:schemeClr w14:val="tx1"/>
                  </w14:solidFill>
                </w14:textFill>
              </w:rPr>
              <w:t>登记</w:t>
            </w:r>
            <w:r>
              <w:rPr>
                <w:rFonts w:hint="default" w:ascii="Times New Roman" w:hAnsi="Times New Roman" w:cs="Times New Roman"/>
                <w:color w:val="000000" w:themeColor="text1"/>
                <w:kern w:val="2"/>
                <w:sz w:val="21"/>
                <w:szCs w:val="21"/>
                <w:lang w:val="en-US" w:eastAsia="zh-CN"/>
                <w14:textFill>
                  <w14:solidFill>
                    <w14:schemeClr w14:val="tx1"/>
                  </w14:solidFill>
                </w14:textFill>
              </w:rPr>
              <w:t>管理</w:t>
            </w:r>
            <w:r>
              <w:rPr>
                <w:rFonts w:hint="default" w:ascii="Times New Roman" w:hAnsi="Times New Roman" w:eastAsia="宋体" w:cs="Times New Roman"/>
                <w:color w:val="000000" w:themeColor="text1"/>
                <w:sz w:val="21"/>
                <w:szCs w:val="21"/>
                <w14:textFill>
                  <w14:solidFill>
                    <w14:schemeClr w14:val="tx1"/>
                  </w14:solidFill>
                </w14:textFill>
              </w:rPr>
              <w:t>。</w:t>
            </w:r>
          </w:p>
        </w:tc>
      </w:tr>
    </w:tbl>
    <w:p w14:paraId="1C764A69">
      <w:pPr>
        <w:pStyle w:val="36"/>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4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4723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721D5F63">
            <w:pPr>
              <w:autoSpaceDE w:val="0"/>
              <w:autoSpaceDN w:val="0"/>
              <w:adjustRightInd w:val="0"/>
              <w:spacing w:line="360" w:lineRule="auto"/>
              <w:ind w:firstLine="482" w:firstLineChars="200"/>
              <w:jc w:val="left"/>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综上所述，本项目采用本报告表的各项污染防治措施，各项污染物实现达标排放，且不会降低评价区域原有环境质量功能级别。实施过程中要严格执行“三同时”制度，在严格执行各项环保措施的前提下，从环境角度而言，该项目是可行的。</w:t>
            </w:r>
          </w:p>
          <w:p w14:paraId="3B39FEEE">
            <w:pPr>
              <w:pStyle w:val="23"/>
              <w:rPr>
                <w:rFonts w:hint="default" w:ascii="Times New Roman" w:hAnsi="Times New Roman" w:cs="Times New Roman"/>
                <w:color w:val="auto"/>
                <w:szCs w:val="22"/>
              </w:rPr>
            </w:pPr>
          </w:p>
          <w:p w14:paraId="381B0DEE">
            <w:pPr>
              <w:autoSpaceDE w:val="0"/>
              <w:autoSpaceDN w:val="0"/>
              <w:adjustRightInd w:val="0"/>
              <w:spacing w:line="360" w:lineRule="auto"/>
              <w:ind w:firstLine="480" w:firstLineChars="200"/>
              <w:jc w:val="left"/>
              <w:rPr>
                <w:rFonts w:hint="default" w:ascii="Times New Roman" w:hAnsi="Times New Roman" w:cs="Times New Roman"/>
                <w:color w:val="auto"/>
                <w:kern w:val="0"/>
                <w:sz w:val="24"/>
              </w:rPr>
            </w:pPr>
          </w:p>
          <w:p w14:paraId="70921AAE">
            <w:pPr>
              <w:spacing w:line="360" w:lineRule="auto"/>
              <w:rPr>
                <w:rFonts w:hint="default" w:ascii="Times New Roman" w:hAnsi="Times New Roman" w:cs="Times New Roman"/>
                <w:color w:val="auto"/>
                <w:sz w:val="24"/>
              </w:rPr>
            </w:pPr>
          </w:p>
        </w:tc>
      </w:tr>
    </w:tbl>
    <w:p w14:paraId="005CFF75">
      <w:pPr>
        <w:rPr>
          <w:rFonts w:hint="default" w:ascii="Times New Roman" w:hAnsi="Times New Roman" w:cs="Times New Roman"/>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F167998">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14:paraId="7FE5DC05">
      <w:pPr>
        <w:pStyle w:val="36"/>
        <w:adjustRightInd w:val="0"/>
        <w:snapToGrid w:val="0"/>
        <w:spacing w:before="0" w:beforeAutospacing="0" w:after="0" w:afterAutospacing="0" w:line="240" w:lineRule="auto"/>
        <w:jc w:val="center"/>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4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531"/>
        <w:gridCol w:w="886"/>
        <w:gridCol w:w="1701"/>
        <w:gridCol w:w="1276"/>
        <w:gridCol w:w="1701"/>
        <w:gridCol w:w="1559"/>
        <w:gridCol w:w="1761"/>
        <w:gridCol w:w="1641"/>
        <w:gridCol w:w="1144"/>
      </w:tblGrid>
      <w:tr w14:paraId="7AAA7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405013AA">
            <w:pPr>
              <w:adjustRightInd w:val="0"/>
              <w:snapToGrid w:val="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项目</w:t>
            </w:r>
          </w:p>
          <w:p w14:paraId="75B349AF">
            <w:pPr>
              <w:adjustRightInd w:val="0"/>
              <w:snapToGrid w:val="0"/>
              <w:ind w:firstLine="422" w:firstLineChars="200"/>
              <w:jc w:val="both"/>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分类</w:t>
            </w:r>
          </w:p>
        </w:tc>
        <w:tc>
          <w:tcPr>
            <w:tcW w:w="1417" w:type="dxa"/>
            <w:gridSpan w:val="2"/>
            <w:noWrap w:val="0"/>
            <w:tcMar>
              <w:left w:w="28" w:type="dxa"/>
              <w:right w:w="28" w:type="dxa"/>
            </w:tcMar>
            <w:vAlign w:val="center"/>
          </w:tcPr>
          <w:p w14:paraId="65490EB4">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污染物名称</w:t>
            </w:r>
          </w:p>
        </w:tc>
        <w:tc>
          <w:tcPr>
            <w:tcW w:w="1701" w:type="dxa"/>
            <w:noWrap w:val="0"/>
            <w:tcMar>
              <w:left w:w="28" w:type="dxa"/>
              <w:right w:w="28" w:type="dxa"/>
            </w:tcMar>
            <w:vAlign w:val="center"/>
          </w:tcPr>
          <w:p w14:paraId="0FC98F04">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现有工程</w:t>
            </w:r>
          </w:p>
          <w:p w14:paraId="4BC36C96">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排放量（固体废物产生量）</w:t>
            </w: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 1 \* GB3 \* MERGEFORMAT </w:instrText>
            </w:r>
            <w:r>
              <w:rPr>
                <w:rFonts w:hint="default" w:ascii="Times New Roman" w:hAnsi="Times New Roman" w:eastAsia="宋体" w:cs="Times New Roman"/>
                <w:b/>
                <w:bCs/>
                <w:color w:val="auto"/>
                <w:sz w:val="21"/>
                <w:szCs w:val="21"/>
                <w:lang w:val="en-US" w:eastAsia="zh-CN"/>
              </w:rPr>
              <w:fldChar w:fldCharType="separate"/>
            </w:r>
            <w:r>
              <w:rPr>
                <w:rFonts w:hint="default" w:ascii="Times New Roman" w:hAnsi="Times New Roman" w:eastAsia="宋体" w:cs="Times New Roman"/>
                <w:b/>
                <w:bCs/>
                <w:color w:val="auto"/>
                <w:sz w:val="21"/>
                <w:szCs w:val="21"/>
                <w:lang w:val="en-US" w:eastAsia="zh-CN"/>
              </w:rPr>
              <w:t>①</w:t>
            </w:r>
            <w:r>
              <w:rPr>
                <w:rFonts w:hint="default" w:ascii="Times New Roman" w:hAnsi="Times New Roman" w:eastAsia="宋体" w:cs="Times New Roman"/>
                <w:b/>
                <w:bCs/>
                <w:color w:val="auto"/>
                <w:sz w:val="21"/>
                <w:szCs w:val="21"/>
                <w:lang w:val="en-US" w:eastAsia="zh-CN"/>
              </w:rPr>
              <w:fldChar w:fldCharType="end"/>
            </w:r>
          </w:p>
        </w:tc>
        <w:tc>
          <w:tcPr>
            <w:tcW w:w="1276" w:type="dxa"/>
            <w:noWrap w:val="0"/>
            <w:tcMar>
              <w:left w:w="28" w:type="dxa"/>
              <w:right w:w="28" w:type="dxa"/>
            </w:tcMar>
            <w:vAlign w:val="center"/>
          </w:tcPr>
          <w:p w14:paraId="082269E1">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现有工程</w:t>
            </w:r>
          </w:p>
          <w:p w14:paraId="40AB5EB6">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许可排放量</w:t>
            </w:r>
          </w:p>
          <w:p w14:paraId="5E6FAAB6">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 2 \* GB3 \* MERGEFORMAT </w:instrText>
            </w:r>
            <w:r>
              <w:rPr>
                <w:rFonts w:hint="default" w:ascii="Times New Roman" w:hAnsi="Times New Roman" w:eastAsia="宋体" w:cs="Times New Roman"/>
                <w:b/>
                <w:bCs/>
                <w:color w:val="auto"/>
                <w:sz w:val="21"/>
                <w:szCs w:val="21"/>
                <w:lang w:val="en-US" w:eastAsia="zh-CN"/>
              </w:rPr>
              <w:fldChar w:fldCharType="separate"/>
            </w:r>
            <w:r>
              <w:rPr>
                <w:rFonts w:hint="default" w:ascii="Times New Roman" w:hAnsi="Times New Roman" w:eastAsia="宋体" w:cs="Times New Roman"/>
                <w:b/>
                <w:bCs/>
                <w:color w:val="auto"/>
                <w:sz w:val="21"/>
                <w:szCs w:val="21"/>
                <w:lang w:val="en-US" w:eastAsia="zh-CN"/>
              </w:rPr>
              <w:t>②</w:t>
            </w:r>
            <w:r>
              <w:rPr>
                <w:rFonts w:hint="default" w:ascii="Times New Roman" w:hAnsi="Times New Roman" w:eastAsia="宋体" w:cs="Times New Roman"/>
                <w:b/>
                <w:bCs/>
                <w:color w:val="auto"/>
                <w:sz w:val="21"/>
                <w:szCs w:val="21"/>
                <w:lang w:val="en-US" w:eastAsia="zh-CN"/>
              </w:rPr>
              <w:fldChar w:fldCharType="end"/>
            </w:r>
          </w:p>
        </w:tc>
        <w:tc>
          <w:tcPr>
            <w:tcW w:w="1701" w:type="dxa"/>
            <w:noWrap w:val="0"/>
            <w:tcMar>
              <w:left w:w="28" w:type="dxa"/>
              <w:right w:w="28" w:type="dxa"/>
            </w:tcMar>
            <w:vAlign w:val="center"/>
          </w:tcPr>
          <w:p w14:paraId="3D4CC2B6">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在建工程</w:t>
            </w:r>
          </w:p>
          <w:p w14:paraId="05043A9E">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排放量（固体废物产生量）</w:t>
            </w: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 3 \* GB3 \* MERGEFORMAT </w:instrText>
            </w:r>
            <w:r>
              <w:rPr>
                <w:rFonts w:hint="default" w:ascii="Times New Roman" w:hAnsi="Times New Roman" w:eastAsia="宋体" w:cs="Times New Roman"/>
                <w:b/>
                <w:bCs/>
                <w:color w:val="auto"/>
                <w:sz w:val="21"/>
                <w:szCs w:val="21"/>
                <w:lang w:val="en-US" w:eastAsia="zh-CN"/>
              </w:rPr>
              <w:fldChar w:fldCharType="separate"/>
            </w:r>
            <w:r>
              <w:rPr>
                <w:rFonts w:hint="default" w:ascii="Times New Roman" w:hAnsi="Times New Roman" w:eastAsia="宋体" w:cs="Times New Roman"/>
                <w:b/>
                <w:bCs/>
                <w:color w:val="auto"/>
                <w:sz w:val="21"/>
                <w:szCs w:val="21"/>
                <w:lang w:val="en-US" w:eastAsia="zh-CN"/>
              </w:rPr>
              <w:t>③</w:t>
            </w:r>
            <w:r>
              <w:rPr>
                <w:rFonts w:hint="default" w:ascii="Times New Roman" w:hAnsi="Times New Roman" w:eastAsia="宋体" w:cs="Times New Roman"/>
                <w:b/>
                <w:bCs/>
                <w:color w:val="auto"/>
                <w:sz w:val="21"/>
                <w:szCs w:val="21"/>
                <w:lang w:val="en-US" w:eastAsia="zh-CN"/>
              </w:rPr>
              <w:fldChar w:fldCharType="end"/>
            </w:r>
          </w:p>
        </w:tc>
        <w:tc>
          <w:tcPr>
            <w:tcW w:w="1559" w:type="dxa"/>
            <w:noWrap w:val="0"/>
            <w:tcMar>
              <w:left w:w="28" w:type="dxa"/>
              <w:right w:w="28" w:type="dxa"/>
            </w:tcMar>
            <w:vAlign w:val="center"/>
          </w:tcPr>
          <w:p w14:paraId="340F5972">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w:t>
            </w:r>
          </w:p>
          <w:p w14:paraId="4A3B5E3B">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排放量（固体废物产生量）</w:t>
            </w: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 4 \* GB3 \* MERGEFORMAT </w:instrText>
            </w:r>
            <w:r>
              <w:rPr>
                <w:rFonts w:hint="default" w:ascii="Times New Roman" w:hAnsi="Times New Roman" w:eastAsia="宋体" w:cs="Times New Roman"/>
                <w:b/>
                <w:bCs/>
                <w:color w:val="auto"/>
                <w:sz w:val="21"/>
                <w:szCs w:val="21"/>
                <w:lang w:val="en-US" w:eastAsia="zh-CN"/>
              </w:rPr>
              <w:fldChar w:fldCharType="separate"/>
            </w:r>
            <w:r>
              <w:rPr>
                <w:rFonts w:hint="default" w:ascii="Times New Roman" w:hAnsi="Times New Roman" w:eastAsia="宋体" w:cs="Times New Roman"/>
                <w:b/>
                <w:bCs/>
                <w:color w:val="auto"/>
                <w:sz w:val="21"/>
                <w:szCs w:val="21"/>
                <w:lang w:val="en-US" w:eastAsia="zh-CN"/>
              </w:rPr>
              <w:t>④</w:t>
            </w:r>
            <w:r>
              <w:rPr>
                <w:rFonts w:hint="default" w:ascii="Times New Roman" w:hAnsi="Times New Roman" w:eastAsia="宋体" w:cs="Times New Roman"/>
                <w:b/>
                <w:bCs/>
                <w:color w:val="auto"/>
                <w:sz w:val="21"/>
                <w:szCs w:val="21"/>
                <w:lang w:val="en-US" w:eastAsia="zh-CN"/>
              </w:rPr>
              <w:fldChar w:fldCharType="end"/>
            </w:r>
          </w:p>
        </w:tc>
        <w:tc>
          <w:tcPr>
            <w:tcW w:w="1761" w:type="dxa"/>
            <w:noWrap w:val="0"/>
            <w:tcMar>
              <w:left w:w="28" w:type="dxa"/>
              <w:right w:w="28" w:type="dxa"/>
            </w:tcMar>
            <w:vAlign w:val="center"/>
          </w:tcPr>
          <w:p w14:paraId="6EE9FC13">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以新带老削减量</w:t>
            </w:r>
          </w:p>
          <w:p w14:paraId="25FADF07">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（新建项目不填）</w:t>
            </w: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 5 \* GB3 \* MERGEFORMAT </w:instrText>
            </w:r>
            <w:r>
              <w:rPr>
                <w:rFonts w:hint="default" w:ascii="Times New Roman" w:hAnsi="Times New Roman" w:eastAsia="宋体" w:cs="Times New Roman"/>
                <w:b/>
                <w:bCs/>
                <w:color w:val="auto"/>
                <w:sz w:val="21"/>
                <w:szCs w:val="21"/>
                <w:lang w:val="en-US" w:eastAsia="zh-CN"/>
              </w:rPr>
              <w:fldChar w:fldCharType="separate"/>
            </w:r>
            <w:r>
              <w:rPr>
                <w:rFonts w:hint="default" w:ascii="Times New Roman" w:hAnsi="Times New Roman" w:eastAsia="宋体" w:cs="Times New Roman"/>
                <w:b/>
                <w:bCs/>
                <w:color w:val="auto"/>
                <w:sz w:val="21"/>
                <w:szCs w:val="21"/>
                <w:lang w:val="en-US" w:eastAsia="zh-CN"/>
              </w:rPr>
              <w:t>⑤</w:t>
            </w:r>
            <w:r>
              <w:rPr>
                <w:rFonts w:hint="default" w:ascii="Times New Roman" w:hAnsi="Times New Roman" w:eastAsia="宋体" w:cs="Times New Roman"/>
                <w:b/>
                <w:bCs/>
                <w:color w:val="auto"/>
                <w:sz w:val="21"/>
                <w:szCs w:val="21"/>
                <w:lang w:val="en-US" w:eastAsia="zh-CN"/>
              </w:rPr>
              <w:fldChar w:fldCharType="end"/>
            </w:r>
          </w:p>
        </w:tc>
        <w:tc>
          <w:tcPr>
            <w:tcW w:w="1641" w:type="dxa"/>
            <w:noWrap w:val="0"/>
            <w:tcMar>
              <w:left w:w="28" w:type="dxa"/>
              <w:right w:w="28" w:type="dxa"/>
            </w:tcMar>
            <w:vAlign w:val="center"/>
          </w:tcPr>
          <w:p w14:paraId="1510F1DE">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本项目建成后</w:t>
            </w:r>
          </w:p>
          <w:p w14:paraId="35F25563">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全厂排放量（固体废物产生量）</w:t>
            </w: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 6 \* GB3 \* MERGEFORMAT </w:instrText>
            </w:r>
            <w:r>
              <w:rPr>
                <w:rFonts w:hint="default" w:ascii="Times New Roman" w:hAnsi="Times New Roman" w:eastAsia="宋体" w:cs="Times New Roman"/>
                <w:b/>
                <w:bCs/>
                <w:color w:val="auto"/>
                <w:sz w:val="21"/>
                <w:szCs w:val="21"/>
                <w:lang w:val="en-US" w:eastAsia="zh-CN"/>
              </w:rPr>
              <w:fldChar w:fldCharType="separate"/>
            </w:r>
            <w:r>
              <w:rPr>
                <w:rFonts w:hint="default" w:ascii="Times New Roman" w:hAnsi="Times New Roman" w:eastAsia="宋体" w:cs="Times New Roman"/>
                <w:b/>
                <w:bCs/>
                <w:color w:val="auto"/>
                <w:sz w:val="21"/>
                <w:szCs w:val="21"/>
                <w:lang w:val="en-US" w:eastAsia="zh-CN"/>
              </w:rPr>
              <w:t>⑥</w:t>
            </w:r>
            <w:r>
              <w:rPr>
                <w:rFonts w:hint="default" w:ascii="Times New Roman" w:hAnsi="Times New Roman" w:eastAsia="宋体" w:cs="Times New Roman"/>
                <w:b/>
                <w:bCs/>
                <w:color w:val="auto"/>
                <w:sz w:val="21"/>
                <w:szCs w:val="21"/>
                <w:lang w:val="en-US" w:eastAsia="zh-CN"/>
              </w:rPr>
              <w:fldChar w:fldCharType="end"/>
            </w:r>
          </w:p>
        </w:tc>
        <w:tc>
          <w:tcPr>
            <w:tcW w:w="1144" w:type="dxa"/>
            <w:noWrap w:val="0"/>
            <w:tcMar>
              <w:left w:w="28" w:type="dxa"/>
              <w:right w:w="28" w:type="dxa"/>
            </w:tcMar>
            <w:vAlign w:val="center"/>
          </w:tcPr>
          <w:p w14:paraId="32A114B8">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变化量</w:t>
            </w:r>
          </w:p>
          <w:p w14:paraId="790A30E5">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 7 \* GB3 \* MERGEFORMAT </w:instrText>
            </w:r>
            <w:r>
              <w:rPr>
                <w:rFonts w:hint="default" w:ascii="Times New Roman" w:hAnsi="Times New Roman" w:eastAsia="宋体" w:cs="Times New Roman"/>
                <w:b/>
                <w:bCs/>
                <w:color w:val="auto"/>
                <w:sz w:val="21"/>
                <w:szCs w:val="21"/>
                <w:lang w:val="en-US" w:eastAsia="zh-CN"/>
              </w:rPr>
              <w:fldChar w:fldCharType="separate"/>
            </w:r>
            <w:r>
              <w:rPr>
                <w:rFonts w:hint="default" w:ascii="Times New Roman" w:hAnsi="Times New Roman" w:eastAsia="宋体" w:cs="Times New Roman"/>
                <w:b/>
                <w:bCs/>
                <w:color w:val="auto"/>
                <w:sz w:val="21"/>
                <w:szCs w:val="21"/>
                <w:lang w:val="en-US" w:eastAsia="zh-CN"/>
              </w:rPr>
              <w:t>⑦</w:t>
            </w:r>
            <w:r>
              <w:rPr>
                <w:rFonts w:hint="default" w:ascii="Times New Roman" w:hAnsi="Times New Roman" w:eastAsia="宋体" w:cs="Times New Roman"/>
                <w:b/>
                <w:bCs/>
                <w:color w:val="auto"/>
                <w:sz w:val="21"/>
                <w:szCs w:val="21"/>
                <w:lang w:val="en-US" w:eastAsia="zh-CN"/>
              </w:rPr>
              <w:fldChar w:fldCharType="end"/>
            </w:r>
          </w:p>
        </w:tc>
      </w:tr>
      <w:tr w14:paraId="69A67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restart"/>
            <w:noWrap w:val="0"/>
            <w:vAlign w:val="center"/>
          </w:tcPr>
          <w:p w14:paraId="22670D3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w:t>
            </w:r>
          </w:p>
        </w:tc>
        <w:tc>
          <w:tcPr>
            <w:tcW w:w="531" w:type="dxa"/>
            <w:vMerge w:val="restart"/>
            <w:noWrap w:val="0"/>
            <w:vAlign w:val="center"/>
          </w:tcPr>
          <w:p w14:paraId="0012EA2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w:t>
            </w:r>
          </w:p>
        </w:tc>
        <w:tc>
          <w:tcPr>
            <w:tcW w:w="886" w:type="dxa"/>
            <w:noWrap w:val="0"/>
            <w:vAlign w:val="center"/>
          </w:tcPr>
          <w:p w14:paraId="5A9E402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701" w:type="dxa"/>
            <w:noWrap w:val="0"/>
            <w:vAlign w:val="center"/>
          </w:tcPr>
          <w:p w14:paraId="6931B04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3261997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360C73A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4BC1196C">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0.7436</w:t>
            </w:r>
          </w:p>
        </w:tc>
        <w:tc>
          <w:tcPr>
            <w:tcW w:w="1761" w:type="dxa"/>
            <w:noWrap w:val="0"/>
            <w:vAlign w:val="center"/>
          </w:tcPr>
          <w:p w14:paraId="2950BC1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0804A27F">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0.7436</w:t>
            </w:r>
          </w:p>
        </w:tc>
        <w:tc>
          <w:tcPr>
            <w:tcW w:w="1144" w:type="dxa"/>
            <w:noWrap w:val="0"/>
            <w:vAlign w:val="center"/>
          </w:tcPr>
          <w:p w14:paraId="72BEBED9">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0.7436</w:t>
            </w:r>
          </w:p>
        </w:tc>
      </w:tr>
      <w:tr w14:paraId="2C1B5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02581ECE">
            <w:pPr>
              <w:adjustRightInd w:val="0"/>
              <w:snapToGrid w:val="0"/>
              <w:jc w:val="center"/>
              <w:rPr>
                <w:rFonts w:hint="default" w:ascii="Times New Roman" w:hAnsi="Times New Roman" w:eastAsia="宋体" w:cs="Times New Roman"/>
                <w:color w:val="auto"/>
                <w:sz w:val="21"/>
                <w:szCs w:val="21"/>
                <w:lang w:val="en-US" w:eastAsia="zh-CN"/>
              </w:rPr>
            </w:pPr>
          </w:p>
        </w:tc>
        <w:tc>
          <w:tcPr>
            <w:tcW w:w="531" w:type="dxa"/>
            <w:vMerge w:val="continue"/>
            <w:noWrap w:val="0"/>
            <w:vAlign w:val="center"/>
          </w:tcPr>
          <w:p w14:paraId="6C7CFA0D">
            <w:pPr>
              <w:adjustRightInd w:val="0"/>
              <w:snapToGrid w:val="0"/>
              <w:jc w:val="center"/>
              <w:rPr>
                <w:rFonts w:hint="default" w:ascii="Times New Roman" w:hAnsi="Times New Roman" w:eastAsia="宋体" w:cs="Times New Roman"/>
                <w:color w:val="auto"/>
                <w:sz w:val="21"/>
                <w:szCs w:val="21"/>
                <w:lang w:val="en-US" w:eastAsia="zh-CN"/>
              </w:rPr>
            </w:pPr>
          </w:p>
        </w:tc>
        <w:tc>
          <w:tcPr>
            <w:tcW w:w="886" w:type="dxa"/>
            <w:noWrap w:val="0"/>
            <w:vAlign w:val="center"/>
          </w:tcPr>
          <w:p w14:paraId="23D1070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二氧化硫</w:t>
            </w:r>
          </w:p>
        </w:tc>
        <w:tc>
          <w:tcPr>
            <w:tcW w:w="1701" w:type="dxa"/>
            <w:noWrap w:val="0"/>
            <w:vAlign w:val="center"/>
          </w:tcPr>
          <w:p w14:paraId="7FD65200">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5758F52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139E018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74B25EA0">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0.52</w:t>
            </w:r>
          </w:p>
        </w:tc>
        <w:tc>
          <w:tcPr>
            <w:tcW w:w="1761" w:type="dxa"/>
            <w:noWrap w:val="0"/>
            <w:vAlign w:val="center"/>
          </w:tcPr>
          <w:p w14:paraId="281658B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1FBFD15C">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0.52</w:t>
            </w:r>
          </w:p>
        </w:tc>
        <w:tc>
          <w:tcPr>
            <w:tcW w:w="1144" w:type="dxa"/>
            <w:noWrap w:val="0"/>
            <w:vAlign w:val="center"/>
          </w:tcPr>
          <w:p w14:paraId="1251FE0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0.52</w:t>
            </w:r>
          </w:p>
        </w:tc>
      </w:tr>
      <w:tr w14:paraId="1A2B3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588" w:type="dxa"/>
            <w:vMerge w:val="continue"/>
            <w:noWrap w:val="0"/>
            <w:vAlign w:val="center"/>
          </w:tcPr>
          <w:p w14:paraId="7218CF67">
            <w:pPr>
              <w:adjustRightInd w:val="0"/>
              <w:snapToGrid w:val="0"/>
              <w:jc w:val="center"/>
              <w:rPr>
                <w:rFonts w:hint="default" w:ascii="Times New Roman" w:hAnsi="Times New Roman" w:eastAsia="宋体" w:cs="Times New Roman"/>
                <w:color w:val="auto"/>
                <w:sz w:val="21"/>
                <w:szCs w:val="21"/>
                <w:lang w:val="en-US" w:eastAsia="zh-CN"/>
              </w:rPr>
            </w:pPr>
          </w:p>
        </w:tc>
        <w:tc>
          <w:tcPr>
            <w:tcW w:w="531" w:type="dxa"/>
            <w:vMerge w:val="continue"/>
            <w:noWrap w:val="0"/>
            <w:vAlign w:val="center"/>
          </w:tcPr>
          <w:p w14:paraId="5EF80C9C">
            <w:pPr>
              <w:adjustRightInd w:val="0"/>
              <w:snapToGrid w:val="0"/>
              <w:jc w:val="center"/>
              <w:rPr>
                <w:rFonts w:hint="default" w:ascii="Times New Roman" w:hAnsi="Times New Roman" w:eastAsia="宋体" w:cs="Times New Roman"/>
                <w:color w:val="auto"/>
                <w:sz w:val="21"/>
                <w:szCs w:val="21"/>
                <w:lang w:val="en-US" w:eastAsia="zh-CN"/>
              </w:rPr>
            </w:pPr>
          </w:p>
        </w:tc>
        <w:tc>
          <w:tcPr>
            <w:tcW w:w="886" w:type="dxa"/>
            <w:noWrap w:val="0"/>
            <w:vAlign w:val="center"/>
          </w:tcPr>
          <w:p w14:paraId="1E074E66">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氮氧化物</w:t>
            </w:r>
          </w:p>
        </w:tc>
        <w:tc>
          <w:tcPr>
            <w:tcW w:w="1701" w:type="dxa"/>
            <w:noWrap w:val="0"/>
            <w:vAlign w:val="center"/>
          </w:tcPr>
          <w:p w14:paraId="192296D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562C23C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29A5A8F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4F43EAF0">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2.431</w:t>
            </w:r>
          </w:p>
        </w:tc>
        <w:tc>
          <w:tcPr>
            <w:tcW w:w="1761" w:type="dxa"/>
            <w:noWrap w:val="0"/>
            <w:vAlign w:val="center"/>
          </w:tcPr>
          <w:p w14:paraId="3BA147C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5B34A449">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2.431</w:t>
            </w:r>
          </w:p>
        </w:tc>
        <w:tc>
          <w:tcPr>
            <w:tcW w:w="1144" w:type="dxa"/>
            <w:noWrap w:val="0"/>
            <w:vAlign w:val="center"/>
          </w:tcPr>
          <w:p w14:paraId="11EC996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2.431</w:t>
            </w:r>
          </w:p>
        </w:tc>
      </w:tr>
      <w:tr w14:paraId="6E605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88" w:type="dxa"/>
            <w:vMerge w:val="continue"/>
            <w:noWrap w:val="0"/>
            <w:vAlign w:val="center"/>
          </w:tcPr>
          <w:p w14:paraId="2BAEF57F">
            <w:pPr>
              <w:adjustRightInd w:val="0"/>
              <w:snapToGrid w:val="0"/>
              <w:jc w:val="center"/>
              <w:rPr>
                <w:color w:val="auto"/>
              </w:rPr>
            </w:pPr>
          </w:p>
        </w:tc>
        <w:tc>
          <w:tcPr>
            <w:tcW w:w="531" w:type="dxa"/>
            <w:noWrap w:val="0"/>
            <w:vAlign w:val="center"/>
          </w:tcPr>
          <w:p w14:paraId="2C4EE748">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无组织</w:t>
            </w:r>
          </w:p>
        </w:tc>
        <w:tc>
          <w:tcPr>
            <w:tcW w:w="886" w:type="dxa"/>
            <w:noWrap w:val="0"/>
            <w:vAlign w:val="center"/>
          </w:tcPr>
          <w:p w14:paraId="1FA2CFF9">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w:t>
            </w:r>
          </w:p>
        </w:tc>
        <w:tc>
          <w:tcPr>
            <w:tcW w:w="1701" w:type="dxa"/>
            <w:noWrap w:val="0"/>
            <w:vAlign w:val="center"/>
          </w:tcPr>
          <w:p w14:paraId="05D4A9F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69660CD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5A5B38F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42BDE1EC">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0.06204</w:t>
            </w:r>
          </w:p>
        </w:tc>
        <w:tc>
          <w:tcPr>
            <w:tcW w:w="1761" w:type="dxa"/>
            <w:noWrap w:val="0"/>
            <w:vAlign w:val="center"/>
          </w:tcPr>
          <w:p w14:paraId="0170AD3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56D9B72C">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0.06204</w:t>
            </w:r>
          </w:p>
        </w:tc>
        <w:tc>
          <w:tcPr>
            <w:tcW w:w="1144" w:type="dxa"/>
            <w:noWrap w:val="0"/>
            <w:vAlign w:val="center"/>
          </w:tcPr>
          <w:p w14:paraId="00E25463">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0.06204</w:t>
            </w:r>
          </w:p>
        </w:tc>
      </w:tr>
      <w:tr w14:paraId="559DE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restart"/>
            <w:noWrap w:val="0"/>
            <w:vAlign w:val="center"/>
          </w:tcPr>
          <w:p w14:paraId="4A48EB6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w:t>
            </w:r>
          </w:p>
          <w:p w14:paraId="234851FE">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37CBEA9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废水量</w:t>
            </w:r>
          </w:p>
        </w:tc>
        <w:tc>
          <w:tcPr>
            <w:tcW w:w="1701" w:type="dxa"/>
            <w:noWrap w:val="0"/>
            <w:vAlign w:val="center"/>
          </w:tcPr>
          <w:p w14:paraId="1D59A83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6DA7B0F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5EAB83F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6CC00B09">
            <w:pPr>
              <w:adjustRightInd w:val="0"/>
              <w:snapToGrid w:val="0"/>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2169</w:t>
            </w:r>
          </w:p>
        </w:tc>
        <w:tc>
          <w:tcPr>
            <w:tcW w:w="1761" w:type="dxa"/>
            <w:noWrap w:val="0"/>
            <w:vAlign w:val="center"/>
          </w:tcPr>
          <w:p w14:paraId="08D90CB0">
            <w:pPr>
              <w:adjustRightInd w:val="0"/>
              <w:snapToGrid w:val="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w:t>
            </w:r>
          </w:p>
        </w:tc>
        <w:tc>
          <w:tcPr>
            <w:tcW w:w="1641" w:type="dxa"/>
            <w:noWrap w:val="0"/>
            <w:vAlign w:val="center"/>
          </w:tcPr>
          <w:p w14:paraId="10CC5FEB">
            <w:pPr>
              <w:adjustRightInd w:val="0"/>
              <w:snapToGrid w:val="0"/>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2169</w:t>
            </w:r>
          </w:p>
        </w:tc>
        <w:tc>
          <w:tcPr>
            <w:tcW w:w="1144" w:type="dxa"/>
            <w:noWrap w:val="0"/>
            <w:vAlign w:val="center"/>
          </w:tcPr>
          <w:p w14:paraId="459E04D3">
            <w:pPr>
              <w:adjustRightInd w:val="0"/>
              <w:snapToGrid w:val="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w:t>
            </w:r>
            <w:r>
              <w:rPr>
                <w:rFonts w:hint="eastAsia" w:ascii="Times New Roman" w:hAnsi="Times New Roman" w:cs="Times New Roman"/>
                <w:color w:val="FF0000"/>
                <w:sz w:val="21"/>
                <w:szCs w:val="21"/>
                <w:lang w:val="en-US" w:eastAsia="zh-CN"/>
              </w:rPr>
              <w:t>2169</w:t>
            </w:r>
          </w:p>
        </w:tc>
      </w:tr>
      <w:tr w14:paraId="49C2E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6718726A">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54661523">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1701" w:type="dxa"/>
            <w:noWrap w:val="0"/>
            <w:vAlign w:val="center"/>
          </w:tcPr>
          <w:p w14:paraId="5D3CA2C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0079A6C6">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1DA99139">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6C903A81">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0.5819</w:t>
            </w:r>
          </w:p>
        </w:tc>
        <w:tc>
          <w:tcPr>
            <w:tcW w:w="1761" w:type="dxa"/>
            <w:noWrap w:val="0"/>
            <w:vAlign w:val="center"/>
          </w:tcPr>
          <w:p w14:paraId="3601330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0BFFB27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0.5819</w:t>
            </w:r>
          </w:p>
        </w:tc>
        <w:tc>
          <w:tcPr>
            <w:tcW w:w="1144" w:type="dxa"/>
            <w:noWrap w:val="0"/>
            <w:vAlign w:val="center"/>
          </w:tcPr>
          <w:p w14:paraId="4FF328F8">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FF0000"/>
                <w:sz w:val="21"/>
                <w:szCs w:val="21"/>
                <w:lang w:val="en-US" w:eastAsia="zh-CN"/>
              </w:rPr>
              <w:t>+</w:t>
            </w:r>
            <w:r>
              <w:rPr>
                <w:rFonts w:hint="eastAsia" w:ascii="Times New Roman" w:hAnsi="Times New Roman" w:cs="Times New Roman"/>
                <w:color w:val="FF0000"/>
                <w:sz w:val="21"/>
                <w:szCs w:val="21"/>
                <w:lang w:val="en-US" w:eastAsia="zh-CN"/>
              </w:rPr>
              <w:t>0.5819</w:t>
            </w:r>
          </w:p>
        </w:tc>
      </w:tr>
      <w:tr w14:paraId="6739E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308501E5">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154EEF1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BOD5</w:t>
            </w:r>
          </w:p>
        </w:tc>
        <w:tc>
          <w:tcPr>
            <w:tcW w:w="1701" w:type="dxa"/>
            <w:noWrap w:val="0"/>
            <w:vAlign w:val="center"/>
          </w:tcPr>
          <w:p w14:paraId="77446CC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381A9249">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6964F94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4CBB7B59">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0.219</w:t>
            </w:r>
          </w:p>
        </w:tc>
        <w:tc>
          <w:tcPr>
            <w:tcW w:w="1761" w:type="dxa"/>
            <w:noWrap w:val="0"/>
            <w:vAlign w:val="center"/>
          </w:tcPr>
          <w:p w14:paraId="29C3360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5919EAE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0.219</w:t>
            </w:r>
          </w:p>
        </w:tc>
        <w:tc>
          <w:tcPr>
            <w:tcW w:w="1144" w:type="dxa"/>
            <w:noWrap w:val="0"/>
            <w:vAlign w:val="center"/>
          </w:tcPr>
          <w:p w14:paraId="595BC70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+0.219</w:t>
            </w:r>
          </w:p>
        </w:tc>
      </w:tr>
      <w:tr w14:paraId="68421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3ED31555">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43684E4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1701" w:type="dxa"/>
            <w:noWrap w:val="0"/>
            <w:vAlign w:val="center"/>
          </w:tcPr>
          <w:p w14:paraId="10E4738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444C78C8">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6E86927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728FEA68">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0.64072</w:t>
            </w:r>
          </w:p>
        </w:tc>
        <w:tc>
          <w:tcPr>
            <w:tcW w:w="1761" w:type="dxa"/>
            <w:noWrap w:val="0"/>
            <w:vAlign w:val="center"/>
          </w:tcPr>
          <w:p w14:paraId="1307CE5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0929D479">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0.64072</w:t>
            </w:r>
          </w:p>
        </w:tc>
        <w:tc>
          <w:tcPr>
            <w:tcW w:w="1144" w:type="dxa"/>
            <w:noWrap w:val="0"/>
            <w:vAlign w:val="center"/>
          </w:tcPr>
          <w:p w14:paraId="5CB23EE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FF0000"/>
                <w:sz w:val="21"/>
                <w:szCs w:val="21"/>
                <w:lang w:val="en-US" w:eastAsia="zh-CN"/>
              </w:rPr>
              <w:t>+</w:t>
            </w:r>
            <w:r>
              <w:rPr>
                <w:rFonts w:hint="eastAsia" w:ascii="Times New Roman" w:hAnsi="Times New Roman" w:cs="Times New Roman"/>
                <w:color w:val="FF0000"/>
                <w:sz w:val="21"/>
                <w:szCs w:val="21"/>
                <w:lang w:val="en-US" w:eastAsia="zh-CN"/>
              </w:rPr>
              <w:t>0.64072</w:t>
            </w:r>
          </w:p>
        </w:tc>
      </w:tr>
      <w:tr w14:paraId="1CED8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284912E9">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5B94E40A">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1701" w:type="dxa"/>
            <w:noWrap w:val="0"/>
            <w:vAlign w:val="center"/>
          </w:tcPr>
          <w:p w14:paraId="6F91C34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65FF025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5CD516A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36F565B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c>
          <w:tcPr>
            <w:tcW w:w="1761" w:type="dxa"/>
            <w:noWrap w:val="0"/>
            <w:vAlign w:val="center"/>
          </w:tcPr>
          <w:p w14:paraId="098AA366">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05BBB596">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c>
          <w:tcPr>
            <w:tcW w:w="1144" w:type="dxa"/>
            <w:noWrap w:val="0"/>
            <w:vAlign w:val="center"/>
          </w:tcPr>
          <w:p w14:paraId="3A40525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r>
      <w:tr w14:paraId="1DA04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7CDE2D80">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265E52F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TP</w:t>
            </w:r>
          </w:p>
        </w:tc>
        <w:tc>
          <w:tcPr>
            <w:tcW w:w="1701" w:type="dxa"/>
            <w:noWrap w:val="0"/>
            <w:vAlign w:val="center"/>
          </w:tcPr>
          <w:p w14:paraId="71F98A3A">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2363B5A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2F4BA78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6FF74A8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0.0073</w:t>
            </w:r>
          </w:p>
        </w:tc>
        <w:tc>
          <w:tcPr>
            <w:tcW w:w="1761" w:type="dxa"/>
            <w:noWrap w:val="0"/>
            <w:vAlign w:val="center"/>
          </w:tcPr>
          <w:p w14:paraId="23607C6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7E22482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0.0073</w:t>
            </w:r>
          </w:p>
        </w:tc>
        <w:tc>
          <w:tcPr>
            <w:tcW w:w="1144" w:type="dxa"/>
            <w:noWrap w:val="0"/>
            <w:vAlign w:val="center"/>
          </w:tcPr>
          <w:p w14:paraId="2E0F8A9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+0.0073</w:t>
            </w:r>
          </w:p>
        </w:tc>
      </w:tr>
      <w:tr w14:paraId="251D0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14D8C754">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700BDF9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TN</w:t>
            </w:r>
          </w:p>
        </w:tc>
        <w:tc>
          <w:tcPr>
            <w:tcW w:w="1701" w:type="dxa"/>
            <w:noWrap w:val="0"/>
            <w:vAlign w:val="center"/>
          </w:tcPr>
          <w:p w14:paraId="7FC7CBF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63A5222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4456C48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7A57BC5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c>
          <w:tcPr>
            <w:tcW w:w="1761" w:type="dxa"/>
            <w:noWrap w:val="0"/>
            <w:vAlign w:val="center"/>
          </w:tcPr>
          <w:p w14:paraId="09806F3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372126A6">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c>
          <w:tcPr>
            <w:tcW w:w="1144" w:type="dxa"/>
            <w:noWrap w:val="0"/>
            <w:vAlign w:val="center"/>
          </w:tcPr>
          <w:p w14:paraId="3935C6A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+0.0438</w:t>
            </w:r>
          </w:p>
        </w:tc>
      </w:tr>
      <w:tr w14:paraId="53AC1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88" w:type="dxa"/>
            <w:vMerge w:val="restart"/>
            <w:noWrap w:val="0"/>
            <w:vAlign w:val="center"/>
          </w:tcPr>
          <w:p w14:paraId="1A0D6D68">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一般工业</w:t>
            </w:r>
          </w:p>
          <w:p w14:paraId="744D0B9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w:t>
            </w:r>
          </w:p>
        </w:tc>
        <w:tc>
          <w:tcPr>
            <w:tcW w:w="1417" w:type="dxa"/>
            <w:gridSpan w:val="2"/>
            <w:noWrap w:val="0"/>
            <w:vAlign w:val="center"/>
          </w:tcPr>
          <w:p w14:paraId="174A2D63">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废下脚料</w:t>
            </w:r>
          </w:p>
        </w:tc>
        <w:tc>
          <w:tcPr>
            <w:tcW w:w="1701" w:type="dxa"/>
            <w:noWrap w:val="0"/>
            <w:vAlign w:val="center"/>
          </w:tcPr>
          <w:p w14:paraId="3CCE968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49F883D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0142486C">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61BD3EDB">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w:t>
            </w:r>
          </w:p>
        </w:tc>
        <w:tc>
          <w:tcPr>
            <w:tcW w:w="1761" w:type="dxa"/>
            <w:noWrap w:val="0"/>
            <w:vAlign w:val="center"/>
          </w:tcPr>
          <w:p w14:paraId="6E1E5779">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391EF839">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w:t>
            </w:r>
          </w:p>
        </w:tc>
        <w:tc>
          <w:tcPr>
            <w:tcW w:w="1144" w:type="dxa"/>
            <w:noWrap w:val="0"/>
            <w:vAlign w:val="center"/>
          </w:tcPr>
          <w:p w14:paraId="0248891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9000</w:t>
            </w:r>
          </w:p>
        </w:tc>
      </w:tr>
      <w:tr w14:paraId="0282B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572D6635">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2213AE6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废氧化皮</w:t>
            </w:r>
          </w:p>
        </w:tc>
        <w:tc>
          <w:tcPr>
            <w:tcW w:w="1701" w:type="dxa"/>
            <w:noWrap w:val="0"/>
            <w:vAlign w:val="center"/>
          </w:tcPr>
          <w:p w14:paraId="2C72D19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1A4EB686">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472D110C">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284F284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c>
          <w:tcPr>
            <w:tcW w:w="1761" w:type="dxa"/>
            <w:noWrap w:val="0"/>
            <w:vAlign w:val="center"/>
          </w:tcPr>
          <w:p w14:paraId="34CCE6F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373052A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c>
          <w:tcPr>
            <w:tcW w:w="1144" w:type="dxa"/>
            <w:noWrap w:val="0"/>
            <w:vAlign w:val="center"/>
          </w:tcPr>
          <w:p w14:paraId="265E2E6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r>
      <w:tr w14:paraId="6AA9A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88" w:type="dxa"/>
            <w:vMerge w:val="continue"/>
            <w:noWrap w:val="0"/>
            <w:vAlign w:val="center"/>
          </w:tcPr>
          <w:p w14:paraId="60E479AC">
            <w:pPr>
              <w:pStyle w:val="85"/>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417" w:type="dxa"/>
            <w:gridSpan w:val="2"/>
            <w:noWrap w:val="0"/>
            <w:vAlign w:val="center"/>
          </w:tcPr>
          <w:p w14:paraId="1E9107EB">
            <w:pPr>
              <w:widowControl/>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废边角料</w:t>
            </w:r>
          </w:p>
        </w:tc>
        <w:tc>
          <w:tcPr>
            <w:tcW w:w="1701" w:type="dxa"/>
            <w:noWrap w:val="0"/>
            <w:vAlign w:val="center"/>
          </w:tcPr>
          <w:p w14:paraId="6C7DD30B">
            <w:pPr>
              <w:adjustRightInd w:val="0"/>
              <w:snapToGrid w:val="0"/>
              <w:jc w:val="center"/>
              <w:textAlignment w:val="baseline"/>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276" w:type="dxa"/>
            <w:noWrap w:val="0"/>
            <w:vAlign w:val="center"/>
          </w:tcPr>
          <w:p w14:paraId="7AEE2DE0">
            <w:pPr>
              <w:spacing w:beforeLines="0" w:afterLines="0" w:line="240" w:lineRule="auto"/>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701" w:type="dxa"/>
            <w:noWrap w:val="0"/>
            <w:vAlign w:val="center"/>
          </w:tcPr>
          <w:p w14:paraId="5C8FCD45">
            <w:pPr>
              <w:spacing w:beforeLines="0" w:afterLines="0" w:line="240" w:lineRule="auto"/>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559" w:type="dxa"/>
            <w:noWrap w:val="0"/>
            <w:vAlign w:val="center"/>
          </w:tcPr>
          <w:p w14:paraId="24B04DA5">
            <w:pPr>
              <w:adjustRightInd w:val="0"/>
              <w:snapToGrid w:val="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c>
          <w:tcPr>
            <w:tcW w:w="1761" w:type="dxa"/>
            <w:noWrap w:val="0"/>
            <w:vAlign w:val="center"/>
          </w:tcPr>
          <w:p w14:paraId="549B223D">
            <w:pPr>
              <w:spacing w:beforeLines="0" w:afterLines="0" w:line="240" w:lineRule="auto"/>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641" w:type="dxa"/>
            <w:noWrap w:val="0"/>
            <w:vAlign w:val="center"/>
          </w:tcPr>
          <w:p w14:paraId="54B6B304">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1144" w:type="dxa"/>
            <w:noWrap w:val="0"/>
            <w:vAlign w:val="center"/>
          </w:tcPr>
          <w:p w14:paraId="642534FD">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r>
      <w:tr w14:paraId="7497D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32D262EB">
            <w:pPr>
              <w:pStyle w:val="85"/>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417" w:type="dxa"/>
            <w:gridSpan w:val="2"/>
            <w:noWrap w:val="0"/>
            <w:vAlign w:val="center"/>
          </w:tcPr>
          <w:p w14:paraId="2C101AD3">
            <w:pPr>
              <w:widowControl/>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不合格品</w:t>
            </w:r>
          </w:p>
        </w:tc>
        <w:tc>
          <w:tcPr>
            <w:tcW w:w="1701" w:type="dxa"/>
            <w:noWrap w:val="0"/>
            <w:vAlign w:val="center"/>
          </w:tcPr>
          <w:p w14:paraId="5A24839D">
            <w:pPr>
              <w:adjustRightInd w:val="0"/>
              <w:snapToGrid w:val="0"/>
              <w:jc w:val="center"/>
              <w:textAlignment w:val="baseline"/>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276" w:type="dxa"/>
            <w:noWrap w:val="0"/>
            <w:vAlign w:val="center"/>
          </w:tcPr>
          <w:p w14:paraId="486B4496">
            <w:pPr>
              <w:spacing w:beforeLines="0" w:afterLines="0" w:line="240" w:lineRule="auto"/>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701" w:type="dxa"/>
            <w:noWrap w:val="0"/>
            <w:vAlign w:val="center"/>
          </w:tcPr>
          <w:p w14:paraId="321AD961">
            <w:pPr>
              <w:spacing w:beforeLines="0" w:afterLines="0" w:line="240" w:lineRule="auto"/>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559" w:type="dxa"/>
            <w:noWrap w:val="0"/>
            <w:vAlign w:val="center"/>
          </w:tcPr>
          <w:p w14:paraId="4E901416">
            <w:pPr>
              <w:adjustRightInd w:val="0"/>
              <w:snapToGrid w:val="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c>
          <w:tcPr>
            <w:tcW w:w="1761" w:type="dxa"/>
            <w:noWrap w:val="0"/>
            <w:vAlign w:val="center"/>
          </w:tcPr>
          <w:p w14:paraId="092F3455">
            <w:pPr>
              <w:spacing w:beforeLines="0" w:afterLines="0" w:line="240" w:lineRule="auto"/>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641" w:type="dxa"/>
            <w:noWrap w:val="0"/>
            <w:vAlign w:val="center"/>
          </w:tcPr>
          <w:p w14:paraId="6CEA0A28">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w:t>
            </w:r>
          </w:p>
        </w:tc>
        <w:tc>
          <w:tcPr>
            <w:tcW w:w="1144" w:type="dxa"/>
            <w:noWrap w:val="0"/>
            <w:vAlign w:val="center"/>
          </w:tcPr>
          <w:p w14:paraId="5938E448">
            <w:pPr>
              <w:adjustRightInd w:val="0"/>
              <w:snapToGrid w:val="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r>
      <w:tr w14:paraId="50588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4E2FB40F">
            <w:pPr>
              <w:pStyle w:val="85"/>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417" w:type="dxa"/>
            <w:gridSpan w:val="2"/>
            <w:noWrap w:val="0"/>
            <w:vAlign w:val="center"/>
          </w:tcPr>
          <w:p w14:paraId="6449C0E8">
            <w:pPr>
              <w:widowControl/>
              <w:jc w:val="center"/>
              <w:textAlignment w:val="center"/>
              <w:rPr>
                <w:rFonts w:hint="default" w:ascii="Times New Roman" w:hAnsi="Times New Roman" w:eastAsia="宋体" w:cs="Times New Roman"/>
                <w:color w:val="auto"/>
                <w:szCs w:val="21"/>
              </w:rPr>
            </w:pPr>
            <w:r>
              <w:rPr>
                <w:rFonts w:hint="default" w:ascii="Times New Roman" w:hAnsi="Times New Roman" w:cs="Times New Roman"/>
                <w:color w:val="auto"/>
                <w:kern w:val="0"/>
                <w:sz w:val="21"/>
                <w:szCs w:val="21"/>
              </w:rPr>
              <w:t>生活垃圾</w:t>
            </w:r>
          </w:p>
        </w:tc>
        <w:tc>
          <w:tcPr>
            <w:tcW w:w="1701" w:type="dxa"/>
            <w:noWrap w:val="0"/>
            <w:vAlign w:val="center"/>
          </w:tcPr>
          <w:p w14:paraId="2469CF3D">
            <w:pPr>
              <w:adjustRightInd w:val="0"/>
              <w:snapToGrid w:val="0"/>
              <w:jc w:val="center"/>
              <w:textAlignment w:val="baseline"/>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276" w:type="dxa"/>
            <w:noWrap w:val="0"/>
            <w:vAlign w:val="center"/>
          </w:tcPr>
          <w:p w14:paraId="604950BF">
            <w:pPr>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701" w:type="dxa"/>
            <w:noWrap w:val="0"/>
            <w:vAlign w:val="center"/>
          </w:tcPr>
          <w:p w14:paraId="58290825">
            <w:pPr>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559" w:type="dxa"/>
            <w:noWrap w:val="0"/>
            <w:vAlign w:val="center"/>
          </w:tcPr>
          <w:p w14:paraId="69FAD16E">
            <w:pPr>
              <w:adjustRightInd w:val="0"/>
              <w:snapToGrid w:val="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cs="Times New Roman"/>
                <w:snapToGrid w:val="0"/>
                <w:color w:val="auto"/>
                <w:kern w:val="21"/>
                <w:szCs w:val="21"/>
                <w:lang w:val="en-US" w:eastAsia="zh-CN"/>
              </w:rPr>
              <w:t>9.125</w:t>
            </w:r>
          </w:p>
        </w:tc>
        <w:tc>
          <w:tcPr>
            <w:tcW w:w="1761" w:type="dxa"/>
            <w:noWrap w:val="0"/>
            <w:vAlign w:val="center"/>
          </w:tcPr>
          <w:p w14:paraId="09D0F011">
            <w:pPr>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w:t>
            </w:r>
          </w:p>
        </w:tc>
        <w:tc>
          <w:tcPr>
            <w:tcW w:w="1641" w:type="dxa"/>
            <w:noWrap w:val="0"/>
            <w:vAlign w:val="center"/>
          </w:tcPr>
          <w:p w14:paraId="4B21510B">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21"/>
                <w:szCs w:val="21"/>
                <w:lang w:val="en-US" w:eastAsia="zh-CN"/>
              </w:rPr>
              <w:t>9.125</w:t>
            </w:r>
          </w:p>
        </w:tc>
        <w:tc>
          <w:tcPr>
            <w:tcW w:w="1144" w:type="dxa"/>
            <w:noWrap w:val="0"/>
            <w:vAlign w:val="center"/>
          </w:tcPr>
          <w:p w14:paraId="4B3588F8">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r>
              <w:rPr>
                <w:rFonts w:hint="default" w:ascii="Times New Roman" w:hAnsi="Times New Roman" w:cs="Times New Roman"/>
                <w:snapToGrid w:val="0"/>
                <w:color w:val="auto"/>
                <w:kern w:val="21"/>
                <w:szCs w:val="21"/>
                <w:lang w:val="en-US" w:eastAsia="zh-CN"/>
              </w:rPr>
              <w:t>9.125</w:t>
            </w:r>
          </w:p>
        </w:tc>
      </w:tr>
      <w:tr w14:paraId="38E1F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restart"/>
            <w:noWrap w:val="0"/>
            <w:vAlign w:val="center"/>
          </w:tcPr>
          <w:p w14:paraId="731FBF1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1417" w:type="dxa"/>
            <w:gridSpan w:val="2"/>
            <w:noWrap w:val="0"/>
            <w:vAlign w:val="center"/>
          </w:tcPr>
          <w:p w14:paraId="7EC185A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废润滑油</w:t>
            </w:r>
          </w:p>
        </w:tc>
        <w:tc>
          <w:tcPr>
            <w:tcW w:w="1701" w:type="dxa"/>
            <w:noWrap w:val="0"/>
            <w:vAlign w:val="center"/>
          </w:tcPr>
          <w:p w14:paraId="596B162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505026F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5B61D32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5767618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w:t>
            </w:r>
          </w:p>
        </w:tc>
        <w:tc>
          <w:tcPr>
            <w:tcW w:w="1761" w:type="dxa"/>
            <w:noWrap w:val="0"/>
            <w:vAlign w:val="center"/>
          </w:tcPr>
          <w:p w14:paraId="53B359F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53887F4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w:t>
            </w:r>
          </w:p>
        </w:tc>
        <w:tc>
          <w:tcPr>
            <w:tcW w:w="1144" w:type="dxa"/>
            <w:noWrap w:val="0"/>
            <w:vAlign w:val="center"/>
          </w:tcPr>
          <w:p w14:paraId="109BB20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0.01</w:t>
            </w:r>
          </w:p>
        </w:tc>
      </w:tr>
      <w:tr w14:paraId="01AB1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88" w:type="dxa"/>
            <w:vMerge w:val="continue"/>
            <w:noWrap w:val="0"/>
            <w:vAlign w:val="center"/>
          </w:tcPr>
          <w:p w14:paraId="3E3CAB1D">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69A312A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废切削液</w:t>
            </w:r>
          </w:p>
        </w:tc>
        <w:tc>
          <w:tcPr>
            <w:tcW w:w="1701" w:type="dxa"/>
            <w:noWrap w:val="0"/>
            <w:vAlign w:val="center"/>
          </w:tcPr>
          <w:p w14:paraId="31CD439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170E5EF6">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101F3FC0">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12A9BAC4">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761" w:type="dxa"/>
            <w:noWrap w:val="0"/>
            <w:vAlign w:val="center"/>
          </w:tcPr>
          <w:p w14:paraId="021C165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32551C65">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44" w:type="dxa"/>
            <w:noWrap w:val="0"/>
            <w:vAlign w:val="center"/>
          </w:tcPr>
          <w:p w14:paraId="4215E51D">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r>
      <w:tr w14:paraId="10CC5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88" w:type="dxa"/>
            <w:vMerge w:val="continue"/>
            <w:noWrap w:val="0"/>
            <w:vAlign w:val="center"/>
          </w:tcPr>
          <w:p w14:paraId="26785B45">
            <w:pPr>
              <w:adjustRightInd w:val="0"/>
              <w:snapToGrid w:val="0"/>
              <w:jc w:val="center"/>
              <w:rPr>
                <w:color w:val="auto"/>
              </w:rPr>
            </w:pPr>
          </w:p>
        </w:tc>
        <w:tc>
          <w:tcPr>
            <w:tcW w:w="1417" w:type="dxa"/>
            <w:gridSpan w:val="2"/>
            <w:noWrap w:val="0"/>
            <w:vAlign w:val="center"/>
          </w:tcPr>
          <w:p w14:paraId="366AE037">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含有金属屑</w:t>
            </w:r>
          </w:p>
        </w:tc>
        <w:tc>
          <w:tcPr>
            <w:tcW w:w="1701" w:type="dxa"/>
            <w:noWrap w:val="0"/>
            <w:vAlign w:val="center"/>
          </w:tcPr>
          <w:p w14:paraId="1C0E0F48">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3C15EDA0">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3C9A07B8">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5F74AE8F">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1761" w:type="dxa"/>
            <w:noWrap w:val="0"/>
            <w:vAlign w:val="center"/>
          </w:tcPr>
          <w:p w14:paraId="5C2E2F77">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0372A950">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1144" w:type="dxa"/>
            <w:noWrap w:val="0"/>
            <w:vAlign w:val="center"/>
          </w:tcPr>
          <w:p w14:paraId="7947849C">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r>
      <w:tr w14:paraId="65BBC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7CAA2A59">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5F1A0BE6">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废液压油</w:t>
            </w:r>
          </w:p>
        </w:tc>
        <w:tc>
          <w:tcPr>
            <w:tcW w:w="1701" w:type="dxa"/>
            <w:noWrap w:val="0"/>
            <w:vAlign w:val="center"/>
          </w:tcPr>
          <w:p w14:paraId="0F49DCD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26FF1CD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61DF322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7396F66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761" w:type="dxa"/>
            <w:noWrap w:val="0"/>
            <w:vAlign w:val="center"/>
          </w:tcPr>
          <w:p w14:paraId="52EAC9E0">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00BA591F">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144" w:type="dxa"/>
            <w:noWrap w:val="0"/>
            <w:vAlign w:val="center"/>
          </w:tcPr>
          <w:p w14:paraId="165A0FD3">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r>
      <w:tr w14:paraId="21A44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3E47947B">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245F9C33">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废润滑油桶</w:t>
            </w:r>
          </w:p>
        </w:tc>
        <w:tc>
          <w:tcPr>
            <w:tcW w:w="1701" w:type="dxa"/>
            <w:noWrap w:val="0"/>
            <w:vAlign w:val="center"/>
          </w:tcPr>
          <w:p w14:paraId="442C00D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378A4B8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74E1E0C8">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0E90C171">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1761" w:type="dxa"/>
            <w:noWrap w:val="0"/>
            <w:vAlign w:val="center"/>
          </w:tcPr>
          <w:p w14:paraId="6A05286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1C0E3C78">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1144" w:type="dxa"/>
            <w:noWrap w:val="0"/>
            <w:vAlign w:val="center"/>
          </w:tcPr>
          <w:p w14:paraId="12954A2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0.05</w:t>
            </w:r>
          </w:p>
        </w:tc>
      </w:tr>
      <w:tr w14:paraId="5AF20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3EDFEB7E">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2F434E74">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废切削液桶</w:t>
            </w:r>
          </w:p>
        </w:tc>
        <w:tc>
          <w:tcPr>
            <w:tcW w:w="1701" w:type="dxa"/>
            <w:noWrap w:val="0"/>
            <w:vAlign w:val="center"/>
          </w:tcPr>
          <w:p w14:paraId="6D7FEFB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228A295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5846016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4319FCD5">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c>
          <w:tcPr>
            <w:tcW w:w="1761" w:type="dxa"/>
            <w:noWrap w:val="0"/>
            <w:vAlign w:val="center"/>
          </w:tcPr>
          <w:p w14:paraId="7034740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485439DC">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c>
          <w:tcPr>
            <w:tcW w:w="1144" w:type="dxa"/>
            <w:noWrap w:val="0"/>
            <w:vAlign w:val="center"/>
          </w:tcPr>
          <w:p w14:paraId="78737A13">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r>
      <w:tr w14:paraId="5E103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063D8A4E">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35BB1C9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废液压油桶</w:t>
            </w:r>
          </w:p>
        </w:tc>
        <w:tc>
          <w:tcPr>
            <w:tcW w:w="1701" w:type="dxa"/>
            <w:noWrap w:val="0"/>
            <w:vAlign w:val="center"/>
          </w:tcPr>
          <w:p w14:paraId="793E0D1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272ABE6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3F27327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4B4531E9">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761" w:type="dxa"/>
            <w:noWrap w:val="0"/>
            <w:vAlign w:val="center"/>
          </w:tcPr>
          <w:p w14:paraId="5255CCD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631C0BC7">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44" w:type="dxa"/>
            <w:noWrap w:val="0"/>
            <w:vAlign w:val="center"/>
          </w:tcPr>
          <w:p w14:paraId="577E360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r>
      <w:tr w14:paraId="7D84B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8" w:type="dxa"/>
            <w:vMerge w:val="continue"/>
            <w:noWrap w:val="0"/>
            <w:vAlign w:val="center"/>
          </w:tcPr>
          <w:p w14:paraId="7E9F06A5">
            <w:pPr>
              <w:adjustRightInd w:val="0"/>
              <w:snapToGrid w:val="0"/>
              <w:jc w:val="center"/>
              <w:rPr>
                <w:rFonts w:hint="default" w:ascii="Times New Roman" w:hAnsi="Times New Roman" w:eastAsia="宋体" w:cs="Times New Roman"/>
                <w:color w:val="auto"/>
                <w:sz w:val="21"/>
                <w:szCs w:val="21"/>
                <w:lang w:val="en-US" w:eastAsia="zh-CN"/>
              </w:rPr>
            </w:pPr>
          </w:p>
        </w:tc>
        <w:tc>
          <w:tcPr>
            <w:tcW w:w="1417" w:type="dxa"/>
            <w:gridSpan w:val="2"/>
            <w:noWrap w:val="0"/>
            <w:vAlign w:val="center"/>
          </w:tcPr>
          <w:p w14:paraId="11671478">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含油抹布及手套</w:t>
            </w:r>
          </w:p>
        </w:tc>
        <w:tc>
          <w:tcPr>
            <w:tcW w:w="1701" w:type="dxa"/>
            <w:noWrap w:val="0"/>
            <w:vAlign w:val="center"/>
          </w:tcPr>
          <w:p w14:paraId="6B5329A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76" w:type="dxa"/>
            <w:noWrap w:val="0"/>
            <w:vAlign w:val="center"/>
          </w:tcPr>
          <w:p w14:paraId="5D22EC2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01" w:type="dxa"/>
            <w:noWrap w:val="0"/>
            <w:vAlign w:val="center"/>
          </w:tcPr>
          <w:p w14:paraId="0D109ED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59" w:type="dxa"/>
            <w:noWrap w:val="0"/>
            <w:vAlign w:val="center"/>
          </w:tcPr>
          <w:p w14:paraId="66A47099">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w:t>
            </w:r>
          </w:p>
        </w:tc>
        <w:tc>
          <w:tcPr>
            <w:tcW w:w="1761" w:type="dxa"/>
            <w:noWrap w:val="0"/>
            <w:vAlign w:val="center"/>
          </w:tcPr>
          <w:p w14:paraId="5340B0A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641" w:type="dxa"/>
            <w:noWrap w:val="0"/>
            <w:vAlign w:val="center"/>
          </w:tcPr>
          <w:p w14:paraId="7075F25D">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w:t>
            </w:r>
          </w:p>
        </w:tc>
        <w:tc>
          <w:tcPr>
            <w:tcW w:w="1144" w:type="dxa"/>
            <w:noWrap w:val="0"/>
            <w:vAlign w:val="center"/>
          </w:tcPr>
          <w:p w14:paraId="4CECA9B6">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w:t>
            </w:r>
          </w:p>
        </w:tc>
      </w:tr>
    </w:tbl>
    <w:p w14:paraId="1EBA42BE">
      <w:pPr>
        <w:pStyle w:val="85"/>
        <w:spacing w:before="192" w:beforeLines="80" w:after="24"/>
        <w:jc w:val="left"/>
        <w:rPr>
          <w:rFonts w:hint="default" w:ascii="Times New Roman" w:hAnsi="Times New Roman" w:cs="Times New Roman"/>
          <w:snapToGrid w:val="0"/>
          <w:color w:val="auto"/>
          <w:spacing w:val="-6"/>
          <w:kern w:val="21"/>
          <w:szCs w:val="21"/>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14:paraId="2BEA1ABA">
      <w:pPr>
        <w:pStyle w:val="36"/>
        <w:adjustRightInd w:val="0"/>
        <w:snapToGrid w:val="0"/>
        <w:spacing w:before="648" w:beforeLines="270" w:beforeAutospacing="0" w:after="648" w:afterLines="270" w:afterAutospacing="0"/>
        <w:jc w:val="center"/>
        <w:outlineLvl w:val="0"/>
        <w:rPr>
          <w:rFonts w:hint="default" w:ascii="Times New Roman" w:hAnsi="Times New Roman" w:eastAsia="黑体" w:cs="Times New Roman"/>
          <w:color w:val="auto"/>
        </w:rPr>
      </w:pPr>
      <w:bookmarkStart w:id="6" w:name="_GoBack"/>
      <w:bookmarkEnd w:id="6"/>
    </w:p>
    <w:sectPr>
      <w:footerReference r:id="rId5"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方正楷体_GBK">
    <w:altName w:val="微软雅黑"/>
    <w:panose1 w:val="03000509000000000000"/>
    <w:charset w:val="86"/>
    <w:family w:val="script"/>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77A7D">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4F9D">
    <w:pPr>
      <w:pStyle w:val="2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FE8BE">
                          <w:pPr>
                            <w:pStyle w:val="25"/>
                            <w:rPr>
                              <w:rStyle w:val="45"/>
                              <w:rFonts w:ascii="宋体" w:hAnsi="宋体"/>
                              <w:sz w:val="28"/>
                              <w:szCs w:val="28"/>
                            </w:rPr>
                          </w:pPr>
                          <w:r>
                            <w:rPr>
                              <w:rStyle w:val="45"/>
                              <w:rFonts w:hint="eastAsia" w:ascii="宋体" w:hAnsi="宋体"/>
                              <w:sz w:val="28"/>
                              <w:szCs w:val="28"/>
                            </w:rPr>
                            <w:t>—</w:t>
                          </w:r>
                          <w:r>
                            <w:rPr>
                              <w:rStyle w:val="45"/>
                              <w:rFonts w:hint="eastAsia" w:ascii="宋体" w:hAnsi="宋体"/>
                              <w:sz w:val="20"/>
                            </w:rPr>
                            <w:t xml:space="preserve">  </w:t>
                          </w:r>
                          <w:r>
                            <w:rPr>
                              <w:rFonts w:ascii="宋体" w:hAnsi="宋体"/>
                              <w:sz w:val="26"/>
                              <w:szCs w:val="26"/>
                            </w:rPr>
                            <w:fldChar w:fldCharType="begin"/>
                          </w:r>
                          <w:r>
                            <w:rPr>
                              <w:rStyle w:val="45"/>
                              <w:rFonts w:ascii="宋体" w:hAnsi="宋体"/>
                              <w:sz w:val="26"/>
                              <w:szCs w:val="26"/>
                            </w:rPr>
                            <w:instrText xml:space="preserve">PAGE  </w:instrText>
                          </w:r>
                          <w:r>
                            <w:rPr>
                              <w:rFonts w:ascii="宋体" w:hAnsi="宋体"/>
                              <w:sz w:val="26"/>
                              <w:szCs w:val="26"/>
                            </w:rPr>
                            <w:fldChar w:fldCharType="separate"/>
                          </w:r>
                          <w:r>
                            <w:rPr>
                              <w:rStyle w:val="45"/>
                              <w:rFonts w:ascii="宋体" w:hAnsi="宋体"/>
                              <w:sz w:val="26"/>
                              <w:szCs w:val="26"/>
                            </w:rPr>
                            <w:t>11</w:t>
                          </w:r>
                          <w:r>
                            <w:rPr>
                              <w:rFonts w:ascii="宋体" w:hAnsi="宋体"/>
                              <w:sz w:val="26"/>
                              <w:szCs w:val="26"/>
                            </w:rPr>
                            <w:fldChar w:fldCharType="end"/>
                          </w:r>
                          <w:r>
                            <w:rPr>
                              <w:rStyle w:val="45"/>
                              <w:rFonts w:hint="eastAsia" w:ascii="宋体" w:hAnsi="宋体"/>
                              <w:sz w:val="20"/>
                            </w:rPr>
                            <w:t xml:space="preserve">  </w:t>
                          </w:r>
                          <w:r>
                            <w:rPr>
                              <w:rStyle w:val="45"/>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4DDFE8BE">
                    <w:pPr>
                      <w:pStyle w:val="25"/>
                      <w:rPr>
                        <w:rStyle w:val="45"/>
                        <w:rFonts w:ascii="宋体" w:hAnsi="宋体"/>
                        <w:sz w:val="28"/>
                        <w:szCs w:val="28"/>
                      </w:rPr>
                    </w:pPr>
                    <w:r>
                      <w:rPr>
                        <w:rStyle w:val="45"/>
                        <w:rFonts w:hint="eastAsia" w:ascii="宋体" w:hAnsi="宋体"/>
                        <w:sz w:val="28"/>
                        <w:szCs w:val="28"/>
                      </w:rPr>
                      <w:t>—</w:t>
                    </w:r>
                    <w:r>
                      <w:rPr>
                        <w:rStyle w:val="45"/>
                        <w:rFonts w:hint="eastAsia" w:ascii="宋体" w:hAnsi="宋体"/>
                        <w:sz w:val="20"/>
                      </w:rPr>
                      <w:t xml:space="preserve">  </w:t>
                    </w:r>
                    <w:r>
                      <w:rPr>
                        <w:rFonts w:ascii="宋体" w:hAnsi="宋体"/>
                        <w:sz w:val="26"/>
                        <w:szCs w:val="26"/>
                      </w:rPr>
                      <w:fldChar w:fldCharType="begin"/>
                    </w:r>
                    <w:r>
                      <w:rPr>
                        <w:rStyle w:val="45"/>
                        <w:rFonts w:ascii="宋体" w:hAnsi="宋体"/>
                        <w:sz w:val="26"/>
                        <w:szCs w:val="26"/>
                      </w:rPr>
                      <w:instrText xml:space="preserve">PAGE  </w:instrText>
                    </w:r>
                    <w:r>
                      <w:rPr>
                        <w:rFonts w:ascii="宋体" w:hAnsi="宋体"/>
                        <w:sz w:val="26"/>
                        <w:szCs w:val="26"/>
                      </w:rPr>
                      <w:fldChar w:fldCharType="separate"/>
                    </w:r>
                    <w:r>
                      <w:rPr>
                        <w:rStyle w:val="45"/>
                        <w:rFonts w:ascii="宋体" w:hAnsi="宋体"/>
                        <w:sz w:val="26"/>
                        <w:szCs w:val="26"/>
                      </w:rPr>
                      <w:t>11</w:t>
                    </w:r>
                    <w:r>
                      <w:rPr>
                        <w:rFonts w:ascii="宋体" w:hAnsi="宋体"/>
                        <w:sz w:val="26"/>
                        <w:szCs w:val="26"/>
                      </w:rPr>
                      <w:fldChar w:fldCharType="end"/>
                    </w:r>
                    <w:r>
                      <w:rPr>
                        <w:rStyle w:val="45"/>
                        <w:rFonts w:hint="eastAsia" w:ascii="宋体" w:hAnsi="宋体"/>
                        <w:sz w:val="20"/>
                      </w:rPr>
                      <w:t xml:space="preserve">  </w:t>
                    </w:r>
                    <w:r>
                      <w:rPr>
                        <w:rStyle w:val="45"/>
                        <w:rFonts w:hint="eastAsia" w:ascii="宋体" w:hAns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2BD0">
    <w:pPr>
      <w:pStyle w:val="2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08C1">
                          <w:pPr>
                            <w:pStyle w:val="25"/>
                            <w:rPr>
                              <w:rStyle w:val="45"/>
                              <w:rFonts w:ascii="宋体" w:hAnsi="宋体"/>
                              <w:sz w:val="28"/>
                              <w:szCs w:val="28"/>
                            </w:rPr>
                          </w:pPr>
                          <w:r>
                            <w:rPr>
                              <w:rStyle w:val="45"/>
                              <w:rFonts w:hint="eastAsia" w:ascii="宋体" w:hAnsi="宋体"/>
                              <w:sz w:val="28"/>
                              <w:szCs w:val="28"/>
                            </w:rPr>
                            <w:t>—</w:t>
                          </w:r>
                          <w:r>
                            <w:rPr>
                              <w:rStyle w:val="45"/>
                              <w:rFonts w:hint="eastAsia" w:ascii="宋体" w:hAnsi="宋体"/>
                              <w:sz w:val="20"/>
                            </w:rPr>
                            <w:t xml:space="preserve">  </w:t>
                          </w:r>
                          <w:r>
                            <w:rPr>
                              <w:rFonts w:ascii="宋体" w:hAnsi="宋体"/>
                              <w:sz w:val="26"/>
                              <w:szCs w:val="26"/>
                            </w:rPr>
                            <w:fldChar w:fldCharType="begin"/>
                          </w:r>
                          <w:r>
                            <w:rPr>
                              <w:rStyle w:val="45"/>
                              <w:rFonts w:ascii="宋体" w:hAnsi="宋体"/>
                              <w:sz w:val="26"/>
                              <w:szCs w:val="26"/>
                            </w:rPr>
                            <w:instrText xml:space="preserve">PAGE  </w:instrText>
                          </w:r>
                          <w:r>
                            <w:rPr>
                              <w:rFonts w:ascii="宋体" w:hAnsi="宋体"/>
                              <w:sz w:val="26"/>
                              <w:szCs w:val="26"/>
                            </w:rPr>
                            <w:fldChar w:fldCharType="separate"/>
                          </w:r>
                          <w:r>
                            <w:rPr>
                              <w:rStyle w:val="45"/>
                              <w:rFonts w:ascii="宋体" w:hAnsi="宋体"/>
                              <w:sz w:val="26"/>
                              <w:szCs w:val="26"/>
                            </w:rPr>
                            <w:t>42</w:t>
                          </w:r>
                          <w:r>
                            <w:rPr>
                              <w:rFonts w:ascii="宋体" w:hAnsi="宋体"/>
                              <w:sz w:val="26"/>
                              <w:szCs w:val="26"/>
                            </w:rPr>
                            <w:fldChar w:fldCharType="end"/>
                          </w:r>
                          <w:r>
                            <w:rPr>
                              <w:rStyle w:val="45"/>
                              <w:rFonts w:hint="eastAsia" w:ascii="宋体" w:hAnsi="宋体"/>
                              <w:sz w:val="20"/>
                            </w:rPr>
                            <w:t xml:space="preserve">  </w:t>
                          </w:r>
                          <w:r>
                            <w:rPr>
                              <w:rStyle w:val="45"/>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717008C1">
                    <w:pPr>
                      <w:pStyle w:val="25"/>
                      <w:rPr>
                        <w:rStyle w:val="45"/>
                        <w:rFonts w:ascii="宋体" w:hAnsi="宋体"/>
                        <w:sz w:val="28"/>
                        <w:szCs w:val="28"/>
                      </w:rPr>
                    </w:pPr>
                    <w:r>
                      <w:rPr>
                        <w:rStyle w:val="45"/>
                        <w:rFonts w:hint="eastAsia" w:ascii="宋体" w:hAnsi="宋体"/>
                        <w:sz w:val="28"/>
                        <w:szCs w:val="28"/>
                      </w:rPr>
                      <w:t>—</w:t>
                    </w:r>
                    <w:r>
                      <w:rPr>
                        <w:rStyle w:val="45"/>
                        <w:rFonts w:hint="eastAsia" w:ascii="宋体" w:hAnsi="宋体"/>
                        <w:sz w:val="20"/>
                      </w:rPr>
                      <w:t xml:space="preserve">  </w:t>
                    </w:r>
                    <w:r>
                      <w:rPr>
                        <w:rFonts w:ascii="宋体" w:hAnsi="宋体"/>
                        <w:sz w:val="26"/>
                        <w:szCs w:val="26"/>
                      </w:rPr>
                      <w:fldChar w:fldCharType="begin"/>
                    </w:r>
                    <w:r>
                      <w:rPr>
                        <w:rStyle w:val="45"/>
                        <w:rFonts w:ascii="宋体" w:hAnsi="宋体"/>
                        <w:sz w:val="26"/>
                        <w:szCs w:val="26"/>
                      </w:rPr>
                      <w:instrText xml:space="preserve">PAGE  </w:instrText>
                    </w:r>
                    <w:r>
                      <w:rPr>
                        <w:rFonts w:ascii="宋体" w:hAnsi="宋体"/>
                        <w:sz w:val="26"/>
                        <w:szCs w:val="26"/>
                      </w:rPr>
                      <w:fldChar w:fldCharType="separate"/>
                    </w:r>
                    <w:r>
                      <w:rPr>
                        <w:rStyle w:val="45"/>
                        <w:rFonts w:ascii="宋体" w:hAnsi="宋体"/>
                        <w:sz w:val="26"/>
                        <w:szCs w:val="26"/>
                      </w:rPr>
                      <w:t>42</w:t>
                    </w:r>
                    <w:r>
                      <w:rPr>
                        <w:rFonts w:ascii="宋体" w:hAnsi="宋体"/>
                        <w:sz w:val="26"/>
                        <w:szCs w:val="26"/>
                      </w:rPr>
                      <w:fldChar w:fldCharType="end"/>
                    </w:r>
                    <w:r>
                      <w:rPr>
                        <w:rStyle w:val="45"/>
                        <w:rFonts w:hint="eastAsia" w:ascii="宋体" w:hAnsi="宋体"/>
                        <w:sz w:val="20"/>
                      </w:rPr>
                      <w:t xml:space="preserve">  </w:t>
                    </w:r>
                    <w:r>
                      <w:rPr>
                        <w:rStyle w:val="45"/>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DA78A"/>
    <w:multiLevelType w:val="singleLevel"/>
    <w:tmpl w:val="858DA78A"/>
    <w:lvl w:ilvl="0" w:tentative="0">
      <w:start w:val="1"/>
      <w:numFmt w:val="decimal"/>
      <w:suff w:val="nothing"/>
      <w:lvlText w:val="（%1）"/>
      <w:lvlJc w:val="left"/>
    </w:lvl>
  </w:abstractNum>
  <w:abstractNum w:abstractNumId="1">
    <w:nsid w:val="8A67CB48"/>
    <w:multiLevelType w:val="singleLevel"/>
    <w:tmpl w:val="8A67CB48"/>
    <w:lvl w:ilvl="0" w:tentative="0">
      <w:start w:val="1"/>
      <w:numFmt w:val="decimal"/>
      <w:lvlText w:val="(%1)"/>
      <w:lvlJc w:val="left"/>
      <w:pPr>
        <w:tabs>
          <w:tab w:val="left" w:pos="312"/>
        </w:tabs>
      </w:pPr>
    </w:lvl>
  </w:abstractNum>
  <w:abstractNum w:abstractNumId="2">
    <w:nsid w:val="B18E28BF"/>
    <w:multiLevelType w:val="singleLevel"/>
    <w:tmpl w:val="B18E28BF"/>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3">
    <w:nsid w:val="B9EBE08A"/>
    <w:multiLevelType w:val="singleLevel"/>
    <w:tmpl w:val="B9EBE08A"/>
    <w:lvl w:ilvl="0" w:tentative="0">
      <w:start w:val="1"/>
      <w:numFmt w:val="decimal"/>
      <w:lvlText w:val="(%1)"/>
      <w:lvlJc w:val="left"/>
      <w:pPr>
        <w:tabs>
          <w:tab w:val="left" w:pos="312"/>
        </w:tabs>
      </w:pPr>
    </w:lvl>
  </w:abstractNum>
  <w:abstractNum w:abstractNumId="4">
    <w:nsid w:val="BBECFA5F"/>
    <w:multiLevelType w:val="singleLevel"/>
    <w:tmpl w:val="BBECFA5F"/>
    <w:lvl w:ilvl="0" w:tentative="0">
      <w:start w:val="1"/>
      <w:numFmt w:val="decimal"/>
      <w:lvlText w:val="(%1)"/>
      <w:lvlJc w:val="left"/>
      <w:pPr>
        <w:tabs>
          <w:tab w:val="left" w:pos="312"/>
        </w:tabs>
      </w:pPr>
    </w:lvl>
  </w:abstractNum>
  <w:abstractNum w:abstractNumId="5">
    <w:nsid w:val="DF1E9EC1"/>
    <w:multiLevelType w:val="singleLevel"/>
    <w:tmpl w:val="DF1E9EC1"/>
    <w:lvl w:ilvl="0" w:tentative="0">
      <w:start w:val="1"/>
      <w:numFmt w:val="decimal"/>
      <w:suff w:val="nothing"/>
      <w:lvlText w:val="%1、"/>
      <w:lvlJc w:val="left"/>
    </w:lvl>
  </w:abstractNum>
  <w:abstractNum w:abstractNumId="6">
    <w:nsid w:val="07DF66D6"/>
    <w:multiLevelType w:val="singleLevel"/>
    <w:tmpl w:val="07DF66D6"/>
    <w:lvl w:ilvl="0" w:tentative="0">
      <w:start w:val="1"/>
      <w:numFmt w:val="decimal"/>
      <w:lvlText w:val="(%1)"/>
      <w:lvlJc w:val="left"/>
      <w:pPr>
        <w:tabs>
          <w:tab w:val="left" w:pos="312"/>
        </w:tabs>
      </w:pPr>
    </w:lvl>
  </w:abstractNum>
  <w:abstractNum w:abstractNumId="7">
    <w:nsid w:val="0D0E8EC4"/>
    <w:multiLevelType w:val="singleLevel"/>
    <w:tmpl w:val="0D0E8EC4"/>
    <w:lvl w:ilvl="0" w:tentative="0">
      <w:start w:val="1"/>
      <w:numFmt w:val="decimal"/>
      <w:lvlText w:val="(%1)"/>
      <w:lvlJc w:val="left"/>
      <w:pPr>
        <w:tabs>
          <w:tab w:val="left" w:pos="312"/>
        </w:tabs>
      </w:pPr>
    </w:lvl>
  </w:abstractNum>
  <w:abstractNum w:abstractNumId="8">
    <w:nsid w:val="2248C226"/>
    <w:multiLevelType w:val="singleLevel"/>
    <w:tmpl w:val="2248C226"/>
    <w:lvl w:ilvl="0" w:tentative="0">
      <w:start w:val="1"/>
      <w:numFmt w:val="decimal"/>
      <w:lvlText w:val="(%1)"/>
      <w:lvlJc w:val="left"/>
      <w:pPr>
        <w:tabs>
          <w:tab w:val="left" w:pos="312"/>
        </w:tabs>
      </w:pPr>
    </w:lvl>
  </w:abstractNum>
  <w:abstractNum w:abstractNumId="9">
    <w:nsid w:val="78CD5CF3"/>
    <w:multiLevelType w:val="singleLevel"/>
    <w:tmpl w:val="78CD5CF3"/>
    <w:lvl w:ilvl="0" w:tentative="0">
      <w:start w:val="3"/>
      <w:numFmt w:val="decimal"/>
      <w:suff w:val="nothing"/>
      <w:lvlText w:val="（%1）"/>
      <w:lvlJc w:val="left"/>
    </w:lvl>
  </w:abstractNum>
  <w:num w:numId="1">
    <w:abstractNumId w:val="2"/>
  </w:num>
  <w:num w:numId="2">
    <w:abstractNumId w:val="5"/>
  </w:num>
  <w:num w:numId="3">
    <w:abstractNumId w:val="9"/>
  </w:num>
  <w:num w:numId="4">
    <w:abstractNumId w:val="6"/>
  </w:num>
  <w:num w:numId="5">
    <w:abstractNumId w:val="1"/>
  </w:num>
  <w:num w:numId="6">
    <w:abstractNumId w:val="8"/>
  </w:num>
  <w:num w:numId="7">
    <w:abstractNumId w:val="3"/>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DkxMDQ2ZjEwMWMxZWU0MWJlMjBmMTgxYWVjODYifQ=="/>
  </w:docVars>
  <w:rsids>
    <w:rsidRoot w:val="00172A27"/>
    <w:rsid w:val="000037A9"/>
    <w:rsid w:val="000060B3"/>
    <w:rsid w:val="00017170"/>
    <w:rsid w:val="0002680D"/>
    <w:rsid w:val="000274AB"/>
    <w:rsid w:val="00030D88"/>
    <w:rsid w:val="0003488D"/>
    <w:rsid w:val="00035D56"/>
    <w:rsid w:val="0004364B"/>
    <w:rsid w:val="00047337"/>
    <w:rsid w:val="000547D5"/>
    <w:rsid w:val="00057CDD"/>
    <w:rsid w:val="000609CD"/>
    <w:rsid w:val="00061B1F"/>
    <w:rsid w:val="000733C4"/>
    <w:rsid w:val="00074783"/>
    <w:rsid w:val="0008070B"/>
    <w:rsid w:val="000810AC"/>
    <w:rsid w:val="00081A02"/>
    <w:rsid w:val="00082231"/>
    <w:rsid w:val="000841E1"/>
    <w:rsid w:val="00087FE4"/>
    <w:rsid w:val="000901AE"/>
    <w:rsid w:val="000903B8"/>
    <w:rsid w:val="00092D38"/>
    <w:rsid w:val="0009377B"/>
    <w:rsid w:val="00094D11"/>
    <w:rsid w:val="000A10BC"/>
    <w:rsid w:val="000A20C9"/>
    <w:rsid w:val="000A2267"/>
    <w:rsid w:val="000B058F"/>
    <w:rsid w:val="000B34AE"/>
    <w:rsid w:val="000B4467"/>
    <w:rsid w:val="000B4DB9"/>
    <w:rsid w:val="000B6DD3"/>
    <w:rsid w:val="000C09AC"/>
    <w:rsid w:val="000C767F"/>
    <w:rsid w:val="000D2528"/>
    <w:rsid w:val="000D5A44"/>
    <w:rsid w:val="000E3ED2"/>
    <w:rsid w:val="000F64B2"/>
    <w:rsid w:val="001017C2"/>
    <w:rsid w:val="00103681"/>
    <w:rsid w:val="00104361"/>
    <w:rsid w:val="0011622F"/>
    <w:rsid w:val="0011656D"/>
    <w:rsid w:val="00120A3B"/>
    <w:rsid w:val="00121445"/>
    <w:rsid w:val="00121C41"/>
    <w:rsid w:val="001220A8"/>
    <w:rsid w:val="00126273"/>
    <w:rsid w:val="00131F42"/>
    <w:rsid w:val="001357F1"/>
    <w:rsid w:val="00140FA8"/>
    <w:rsid w:val="00142FEB"/>
    <w:rsid w:val="00143A2D"/>
    <w:rsid w:val="00145A41"/>
    <w:rsid w:val="00146B11"/>
    <w:rsid w:val="00151675"/>
    <w:rsid w:val="00152321"/>
    <w:rsid w:val="00154F67"/>
    <w:rsid w:val="00157435"/>
    <w:rsid w:val="0016470F"/>
    <w:rsid w:val="0017420E"/>
    <w:rsid w:val="0017504D"/>
    <w:rsid w:val="0017671A"/>
    <w:rsid w:val="00177422"/>
    <w:rsid w:val="00184590"/>
    <w:rsid w:val="001861EC"/>
    <w:rsid w:val="001870D1"/>
    <w:rsid w:val="0018781E"/>
    <w:rsid w:val="0019262D"/>
    <w:rsid w:val="001945F6"/>
    <w:rsid w:val="001A1B35"/>
    <w:rsid w:val="001A344C"/>
    <w:rsid w:val="001A48A2"/>
    <w:rsid w:val="001A6F61"/>
    <w:rsid w:val="001A7BF0"/>
    <w:rsid w:val="001B72B8"/>
    <w:rsid w:val="001C573E"/>
    <w:rsid w:val="001C69B3"/>
    <w:rsid w:val="001C7924"/>
    <w:rsid w:val="001D1ED4"/>
    <w:rsid w:val="001D5595"/>
    <w:rsid w:val="001D7874"/>
    <w:rsid w:val="001D7F22"/>
    <w:rsid w:val="001E1E2A"/>
    <w:rsid w:val="001E443B"/>
    <w:rsid w:val="001F0D65"/>
    <w:rsid w:val="001F0F17"/>
    <w:rsid w:val="001F3347"/>
    <w:rsid w:val="001F69E4"/>
    <w:rsid w:val="002125B4"/>
    <w:rsid w:val="00213C38"/>
    <w:rsid w:val="002155B8"/>
    <w:rsid w:val="00224839"/>
    <w:rsid w:val="002249B2"/>
    <w:rsid w:val="00226574"/>
    <w:rsid w:val="0022729D"/>
    <w:rsid w:val="002278EC"/>
    <w:rsid w:val="0023280E"/>
    <w:rsid w:val="002340A6"/>
    <w:rsid w:val="0023743E"/>
    <w:rsid w:val="002377D1"/>
    <w:rsid w:val="00240E06"/>
    <w:rsid w:val="00240E50"/>
    <w:rsid w:val="002417C7"/>
    <w:rsid w:val="002422F6"/>
    <w:rsid w:val="00247C65"/>
    <w:rsid w:val="002506BC"/>
    <w:rsid w:val="00254345"/>
    <w:rsid w:val="0026045C"/>
    <w:rsid w:val="002633EC"/>
    <w:rsid w:val="002638C2"/>
    <w:rsid w:val="00264557"/>
    <w:rsid w:val="00265EC5"/>
    <w:rsid w:val="0027170E"/>
    <w:rsid w:val="00272F58"/>
    <w:rsid w:val="002805AB"/>
    <w:rsid w:val="00284204"/>
    <w:rsid w:val="002861F7"/>
    <w:rsid w:val="002865F8"/>
    <w:rsid w:val="00291773"/>
    <w:rsid w:val="002922B0"/>
    <w:rsid w:val="002A168C"/>
    <w:rsid w:val="002A3DC7"/>
    <w:rsid w:val="002B28F2"/>
    <w:rsid w:val="002B49E2"/>
    <w:rsid w:val="002B7B00"/>
    <w:rsid w:val="002B7C44"/>
    <w:rsid w:val="002C2B17"/>
    <w:rsid w:val="002C2FD7"/>
    <w:rsid w:val="002C4FF9"/>
    <w:rsid w:val="002D3DD0"/>
    <w:rsid w:val="002E1F3A"/>
    <w:rsid w:val="002E298A"/>
    <w:rsid w:val="002E2BEB"/>
    <w:rsid w:val="002E495D"/>
    <w:rsid w:val="002F796B"/>
    <w:rsid w:val="00301978"/>
    <w:rsid w:val="00301AED"/>
    <w:rsid w:val="0030332C"/>
    <w:rsid w:val="003051C2"/>
    <w:rsid w:val="00306540"/>
    <w:rsid w:val="0030723D"/>
    <w:rsid w:val="00312296"/>
    <w:rsid w:val="0031332F"/>
    <w:rsid w:val="00314F0E"/>
    <w:rsid w:val="00321D8E"/>
    <w:rsid w:val="00324FFD"/>
    <w:rsid w:val="00325928"/>
    <w:rsid w:val="0033110B"/>
    <w:rsid w:val="00332863"/>
    <w:rsid w:val="003328D7"/>
    <w:rsid w:val="0033684D"/>
    <w:rsid w:val="00337B42"/>
    <w:rsid w:val="00340CC0"/>
    <w:rsid w:val="00341B42"/>
    <w:rsid w:val="003432A2"/>
    <w:rsid w:val="0034348F"/>
    <w:rsid w:val="003525E6"/>
    <w:rsid w:val="00356653"/>
    <w:rsid w:val="0035743F"/>
    <w:rsid w:val="00357BE2"/>
    <w:rsid w:val="00357F85"/>
    <w:rsid w:val="0036170C"/>
    <w:rsid w:val="00365D0E"/>
    <w:rsid w:val="00366E0F"/>
    <w:rsid w:val="003745EA"/>
    <w:rsid w:val="00381A72"/>
    <w:rsid w:val="00381C91"/>
    <w:rsid w:val="0038238B"/>
    <w:rsid w:val="003828BB"/>
    <w:rsid w:val="00384676"/>
    <w:rsid w:val="00385F77"/>
    <w:rsid w:val="00386787"/>
    <w:rsid w:val="00390857"/>
    <w:rsid w:val="00392ABA"/>
    <w:rsid w:val="003A0CA1"/>
    <w:rsid w:val="003A4BF3"/>
    <w:rsid w:val="003A6969"/>
    <w:rsid w:val="003A6C2F"/>
    <w:rsid w:val="003B1C92"/>
    <w:rsid w:val="003B420D"/>
    <w:rsid w:val="003C64B9"/>
    <w:rsid w:val="003C6C16"/>
    <w:rsid w:val="003D151A"/>
    <w:rsid w:val="003D66BB"/>
    <w:rsid w:val="003D794D"/>
    <w:rsid w:val="003E3058"/>
    <w:rsid w:val="003E3255"/>
    <w:rsid w:val="003E3931"/>
    <w:rsid w:val="003E76A9"/>
    <w:rsid w:val="003F0809"/>
    <w:rsid w:val="003F209B"/>
    <w:rsid w:val="003F6A8C"/>
    <w:rsid w:val="003F755C"/>
    <w:rsid w:val="004000AC"/>
    <w:rsid w:val="0040167F"/>
    <w:rsid w:val="00406F01"/>
    <w:rsid w:val="004161EE"/>
    <w:rsid w:val="00416D50"/>
    <w:rsid w:val="00416FD5"/>
    <w:rsid w:val="00417772"/>
    <w:rsid w:val="00420E6A"/>
    <w:rsid w:val="004237B6"/>
    <w:rsid w:val="004257B9"/>
    <w:rsid w:val="00425A9E"/>
    <w:rsid w:val="00426D6B"/>
    <w:rsid w:val="00431E6C"/>
    <w:rsid w:val="00433CE7"/>
    <w:rsid w:val="004352D1"/>
    <w:rsid w:val="00450883"/>
    <w:rsid w:val="00452738"/>
    <w:rsid w:val="00456091"/>
    <w:rsid w:val="00457A92"/>
    <w:rsid w:val="00466321"/>
    <w:rsid w:val="00467D7A"/>
    <w:rsid w:val="00474C5E"/>
    <w:rsid w:val="00484B9B"/>
    <w:rsid w:val="004855F6"/>
    <w:rsid w:val="00485DBB"/>
    <w:rsid w:val="00486327"/>
    <w:rsid w:val="0048661E"/>
    <w:rsid w:val="00494670"/>
    <w:rsid w:val="004A3823"/>
    <w:rsid w:val="004A3DFF"/>
    <w:rsid w:val="004B08CD"/>
    <w:rsid w:val="004B69FC"/>
    <w:rsid w:val="004D00C1"/>
    <w:rsid w:val="004E297E"/>
    <w:rsid w:val="004E3652"/>
    <w:rsid w:val="004E6946"/>
    <w:rsid w:val="004F1AD8"/>
    <w:rsid w:val="004F3EFD"/>
    <w:rsid w:val="00500D26"/>
    <w:rsid w:val="0050208A"/>
    <w:rsid w:val="005039CB"/>
    <w:rsid w:val="0050558F"/>
    <w:rsid w:val="00506286"/>
    <w:rsid w:val="00506557"/>
    <w:rsid w:val="00510813"/>
    <w:rsid w:val="00511990"/>
    <w:rsid w:val="00511DE0"/>
    <w:rsid w:val="00514870"/>
    <w:rsid w:val="00514B9B"/>
    <w:rsid w:val="00517293"/>
    <w:rsid w:val="00517F02"/>
    <w:rsid w:val="00524303"/>
    <w:rsid w:val="005258A2"/>
    <w:rsid w:val="005401AE"/>
    <w:rsid w:val="00542E07"/>
    <w:rsid w:val="00545424"/>
    <w:rsid w:val="0054659D"/>
    <w:rsid w:val="00546A62"/>
    <w:rsid w:val="005528D4"/>
    <w:rsid w:val="00554A7B"/>
    <w:rsid w:val="0055572C"/>
    <w:rsid w:val="00557D7E"/>
    <w:rsid w:val="005607B5"/>
    <w:rsid w:val="0056106A"/>
    <w:rsid w:val="00561C00"/>
    <w:rsid w:val="00562862"/>
    <w:rsid w:val="00564BB1"/>
    <w:rsid w:val="00565892"/>
    <w:rsid w:val="005720AE"/>
    <w:rsid w:val="00574D68"/>
    <w:rsid w:val="00575922"/>
    <w:rsid w:val="00580646"/>
    <w:rsid w:val="00580C8E"/>
    <w:rsid w:val="00587706"/>
    <w:rsid w:val="0059445E"/>
    <w:rsid w:val="00594D77"/>
    <w:rsid w:val="005969E4"/>
    <w:rsid w:val="005A0149"/>
    <w:rsid w:val="005A06B7"/>
    <w:rsid w:val="005A1759"/>
    <w:rsid w:val="005A39DA"/>
    <w:rsid w:val="005A68A7"/>
    <w:rsid w:val="005B3802"/>
    <w:rsid w:val="005B3F7C"/>
    <w:rsid w:val="005B5F51"/>
    <w:rsid w:val="005C3DCB"/>
    <w:rsid w:val="005C4B5D"/>
    <w:rsid w:val="005C77E4"/>
    <w:rsid w:val="005D36AB"/>
    <w:rsid w:val="005D4D06"/>
    <w:rsid w:val="005D5BC6"/>
    <w:rsid w:val="005E5804"/>
    <w:rsid w:val="005F22F4"/>
    <w:rsid w:val="00602817"/>
    <w:rsid w:val="00603468"/>
    <w:rsid w:val="00610029"/>
    <w:rsid w:val="006105A8"/>
    <w:rsid w:val="006135B6"/>
    <w:rsid w:val="00617CC3"/>
    <w:rsid w:val="006200B6"/>
    <w:rsid w:val="00621470"/>
    <w:rsid w:val="0063077E"/>
    <w:rsid w:val="00632E25"/>
    <w:rsid w:val="006377A6"/>
    <w:rsid w:val="00637A3D"/>
    <w:rsid w:val="006411EF"/>
    <w:rsid w:val="00641BF0"/>
    <w:rsid w:val="006438DC"/>
    <w:rsid w:val="00643F2C"/>
    <w:rsid w:val="0064672A"/>
    <w:rsid w:val="00647C36"/>
    <w:rsid w:val="006537CA"/>
    <w:rsid w:val="00653EE3"/>
    <w:rsid w:val="006570E1"/>
    <w:rsid w:val="00665379"/>
    <w:rsid w:val="006665EB"/>
    <w:rsid w:val="006748B8"/>
    <w:rsid w:val="00674C82"/>
    <w:rsid w:val="006775C3"/>
    <w:rsid w:val="00680698"/>
    <w:rsid w:val="006818F0"/>
    <w:rsid w:val="00690096"/>
    <w:rsid w:val="006923F1"/>
    <w:rsid w:val="0069290A"/>
    <w:rsid w:val="00694E1D"/>
    <w:rsid w:val="0069775A"/>
    <w:rsid w:val="00697813"/>
    <w:rsid w:val="006A3EE8"/>
    <w:rsid w:val="006A72BF"/>
    <w:rsid w:val="006A7EC2"/>
    <w:rsid w:val="006B03F2"/>
    <w:rsid w:val="006B37DC"/>
    <w:rsid w:val="006B4F68"/>
    <w:rsid w:val="006B6404"/>
    <w:rsid w:val="006B72BF"/>
    <w:rsid w:val="006C0592"/>
    <w:rsid w:val="006C272E"/>
    <w:rsid w:val="006C5479"/>
    <w:rsid w:val="006C6D2B"/>
    <w:rsid w:val="006D13B5"/>
    <w:rsid w:val="006D469A"/>
    <w:rsid w:val="006D7A41"/>
    <w:rsid w:val="006E12FF"/>
    <w:rsid w:val="006E607E"/>
    <w:rsid w:val="006E6D51"/>
    <w:rsid w:val="006E7AA4"/>
    <w:rsid w:val="006F47B0"/>
    <w:rsid w:val="0070093B"/>
    <w:rsid w:val="00706536"/>
    <w:rsid w:val="00706C5D"/>
    <w:rsid w:val="00715981"/>
    <w:rsid w:val="00732791"/>
    <w:rsid w:val="00732922"/>
    <w:rsid w:val="00741BCD"/>
    <w:rsid w:val="007460E1"/>
    <w:rsid w:val="0075162E"/>
    <w:rsid w:val="00754034"/>
    <w:rsid w:val="00756556"/>
    <w:rsid w:val="007618C4"/>
    <w:rsid w:val="00763499"/>
    <w:rsid w:val="00767980"/>
    <w:rsid w:val="00770B19"/>
    <w:rsid w:val="0077463F"/>
    <w:rsid w:val="00776956"/>
    <w:rsid w:val="0078025C"/>
    <w:rsid w:val="007836EA"/>
    <w:rsid w:val="00784CDA"/>
    <w:rsid w:val="00784FEB"/>
    <w:rsid w:val="007906C4"/>
    <w:rsid w:val="00791D06"/>
    <w:rsid w:val="00792B14"/>
    <w:rsid w:val="007940EA"/>
    <w:rsid w:val="007967E8"/>
    <w:rsid w:val="00797B1E"/>
    <w:rsid w:val="007A14FE"/>
    <w:rsid w:val="007A2170"/>
    <w:rsid w:val="007A22BF"/>
    <w:rsid w:val="007A3323"/>
    <w:rsid w:val="007B70EF"/>
    <w:rsid w:val="007B72B8"/>
    <w:rsid w:val="007B7A58"/>
    <w:rsid w:val="007C21B5"/>
    <w:rsid w:val="007C39B6"/>
    <w:rsid w:val="007C51C1"/>
    <w:rsid w:val="007C7137"/>
    <w:rsid w:val="007E03B3"/>
    <w:rsid w:val="007E215C"/>
    <w:rsid w:val="007E3AAC"/>
    <w:rsid w:val="007E4BD2"/>
    <w:rsid w:val="007E6C84"/>
    <w:rsid w:val="007F0E02"/>
    <w:rsid w:val="007F10DC"/>
    <w:rsid w:val="007F7C9E"/>
    <w:rsid w:val="00801393"/>
    <w:rsid w:val="00802465"/>
    <w:rsid w:val="00802F88"/>
    <w:rsid w:val="0081293E"/>
    <w:rsid w:val="00814A82"/>
    <w:rsid w:val="00815465"/>
    <w:rsid w:val="00817E9A"/>
    <w:rsid w:val="00826637"/>
    <w:rsid w:val="008306BD"/>
    <w:rsid w:val="00830F67"/>
    <w:rsid w:val="00831A80"/>
    <w:rsid w:val="00833743"/>
    <w:rsid w:val="008340A4"/>
    <w:rsid w:val="00835215"/>
    <w:rsid w:val="00835AA5"/>
    <w:rsid w:val="00840833"/>
    <w:rsid w:val="00844D3E"/>
    <w:rsid w:val="00846B53"/>
    <w:rsid w:val="008526CD"/>
    <w:rsid w:val="0087135F"/>
    <w:rsid w:val="00872D94"/>
    <w:rsid w:val="00873482"/>
    <w:rsid w:val="00880364"/>
    <w:rsid w:val="008857CC"/>
    <w:rsid w:val="00891592"/>
    <w:rsid w:val="00891C83"/>
    <w:rsid w:val="00891E9E"/>
    <w:rsid w:val="008A2F68"/>
    <w:rsid w:val="008B4FA6"/>
    <w:rsid w:val="008B5282"/>
    <w:rsid w:val="008B7C17"/>
    <w:rsid w:val="008C2947"/>
    <w:rsid w:val="008C2D01"/>
    <w:rsid w:val="008C40E6"/>
    <w:rsid w:val="008D0F7A"/>
    <w:rsid w:val="008D506A"/>
    <w:rsid w:val="008D57F3"/>
    <w:rsid w:val="008D68E4"/>
    <w:rsid w:val="008E034E"/>
    <w:rsid w:val="008E0506"/>
    <w:rsid w:val="008E0CFF"/>
    <w:rsid w:val="008E1B01"/>
    <w:rsid w:val="008E40A3"/>
    <w:rsid w:val="008E5D6B"/>
    <w:rsid w:val="008E76F0"/>
    <w:rsid w:val="008F15FE"/>
    <w:rsid w:val="008F2D29"/>
    <w:rsid w:val="008F5187"/>
    <w:rsid w:val="008F60D8"/>
    <w:rsid w:val="00902727"/>
    <w:rsid w:val="0090312B"/>
    <w:rsid w:val="009051BF"/>
    <w:rsid w:val="009062A8"/>
    <w:rsid w:val="0091736D"/>
    <w:rsid w:val="0093037A"/>
    <w:rsid w:val="0093615E"/>
    <w:rsid w:val="0093673C"/>
    <w:rsid w:val="00936ACA"/>
    <w:rsid w:val="0094154D"/>
    <w:rsid w:val="0095155F"/>
    <w:rsid w:val="00951FEE"/>
    <w:rsid w:val="00954429"/>
    <w:rsid w:val="00955F21"/>
    <w:rsid w:val="009563CE"/>
    <w:rsid w:val="00956DE6"/>
    <w:rsid w:val="009601C7"/>
    <w:rsid w:val="009606AA"/>
    <w:rsid w:val="00964E3F"/>
    <w:rsid w:val="00974EAF"/>
    <w:rsid w:val="00976328"/>
    <w:rsid w:val="0097680D"/>
    <w:rsid w:val="00982438"/>
    <w:rsid w:val="0098404C"/>
    <w:rsid w:val="00985283"/>
    <w:rsid w:val="00985A6C"/>
    <w:rsid w:val="00995992"/>
    <w:rsid w:val="009968EE"/>
    <w:rsid w:val="00997AA8"/>
    <w:rsid w:val="009A03E5"/>
    <w:rsid w:val="009A075E"/>
    <w:rsid w:val="009A0F3B"/>
    <w:rsid w:val="009A1BB4"/>
    <w:rsid w:val="009A2628"/>
    <w:rsid w:val="009A3200"/>
    <w:rsid w:val="009A3895"/>
    <w:rsid w:val="009A7EA8"/>
    <w:rsid w:val="009B0897"/>
    <w:rsid w:val="009B7BD9"/>
    <w:rsid w:val="009C43BB"/>
    <w:rsid w:val="009C7DD5"/>
    <w:rsid w:val="009E227D"/>
    <w:rsid w:val="009E22FA"/>
    <w:rsid w:val="009E5019"/>
    <w:rsid w:val="009F6ACA"/>
    <w:rsid w:val="00A04F1B"/>
    <w:rsid w:val="00A0501B"/>
    <w:rsid w:val="00A11D51"/>
    <w:rsid w:val="00A12746"/>
    <w:rsid w:val="00A14947"/>
    <w:rsid w:val="00A14D02"/>
    <w:rsid w:val="00A2027E"/>
    <w:rsid w:val="00A32A83"/>
    <w:rsid w:val="00A36166"/>
    <w:rsid w:val="00A368DB"/>
    <w:rsid w:val="00A3698A"/>
    <w:rsid w:val="00A4131D"/>
    <w:rsid w:val="00A423AA"/>
    <w:rsid w:val="00A44B31"/>
    <w:rsid w:val="00A51280"/>
    <w:rsid w:val="00A53EC6"/>
    <w:rsid w:val="00A54D8F"/>
    <w:rsid w:val="00A55C0F"/>
    <w:rsid w:val="00A56B8A"/>
    <w:rsid w:val="00A67F19"/>
    <w:rsid w:val="00A80308"/>
    <w:rsid w:val="00A85774"/>
    <w:rsid w:val="00A86706"/>
    <w:rsid w:val="00A8713F"/>
    <w:rsid w:val="00A90BA1"/>
    <w:rsid w:val="00A97A9A"/>
    <w:rsid w:val="00AA0671"/>
    <w:rsid w:val="00AA2531"/>
    <w:rsid w:val="00AA4D68"/>
    <w:rsid w:val="00AB1E09"/>
    <w:rsid w:val="00AB5330"/>
    <w:rsid w:val="00AB7747"/>
    <w:rsid w:val="00AC14CE"/>
    <w:rsid w:val="00AC2A56"/>
    <w:rsid w:val="00AC3628"/>
    <w:rsid w:val="00AD055E"/>
    <w:rsid w:val="00AD47A7"/>
    <w:rsid w:val="00AD7196"/>
    <w:rsid w:val="00AE02CD"/>
    <w:rsid w:val="00AE6F35"/>
    <w:rsid w:val="00AF0CBF"/>
    <w:rsid w:val="00AF257F"/>
    <w:rsid w:val="00AF33CF"/>
    <w:rsid w:val="00AF4D50"/>
    <w:rsid w:val="00AF6179"/>
    <w:rsid w:val="00B017B7"/>
    <w:rsid w:val="00B01DE6"/>
    <w:rsid w:val="00B03CAA"/>
    <w:rsid w:val="00B0555D"/>
    <w:rsid w:val="00B077BD"/>
    <w:rsid w:val="00B10DDC"/>
    <w:rsid w:val="00B1199D"/>
    <w:rsid w:val="00B1295A"/>
    <w:rsid w:val="00B15F50"/>
    <w:rsid w:val="00B20A45"/>
    <w:rsid w:val="00B22C5C"/>
    <w:rsid w:val="00B24F30"/>
    <w:rsid w:val="00B26A17"/>
    <w:rsid w:val="00B31ABF"/>
    <w:rsid w:val="00B33BE3"/>
    <w:rsid w:val="00B47B12"/>
    <w:rsid w:val="00B52683"/>
    <w:rsid w:val="00B53B5D"/>
    <w:rsid w:val="00B57CCA"/>
    <w:rsid w:val="00B6055E"/>
    <w:rsid w:val="00B6317D"/>
    <w:rsid w:val="00B65CA1"/>
    <w:rsid w:val="00B70080"/>
    <w:rsid w:val="00B7723F"/>
    <w:rsid w:val="00B775D6"/>
    <w:rsid w:val="00B802BA"/>
    <w:rsid w:val="00B80534"/>
    <w:rsid w:val="00B8433C"/>
    <w:rsid w:val="00B85F48"/>
    <w:rsid w:val="00B87491"/>
    <w:rsid w:val="00B954FB"/>
    <w:rsid w:val="00B95BEB"/>
    <w:rsid w:val="00BA29E9"/>
    <w:rsid w:val="00BA6D85"/>
    <w:rsid w:val="00BA7142"/>
    <w:rsid w:val="00BB237C"/>
    <w:rsid w:val="00BB41A3"/>
    <w:rsid w:val="00BC32DC"/>
    <w:rsid w:val="00BC35B6"/>
    <w:rsid w:val="00BC59F8"/>
    <w:rsid w:val="00BD1B51"/>
    <w:rsid w:val="00BD44A4"/>
    <w:rsid w:val="00BD4596"/>
    <w:rsid w:val="00BD641A"/>
    <w:rsid w:val="00BE1405"/>
    <w:rsid w:val="00BE204F"/>
    <w:rsid w:val="00BE312D"/>
    <w:rsid w:val="00BF1C20"/>
    <w:rsid w:val="00BF4C4F"/>
    <w:rsid w:val="00BF4D3A"/>
    <w:rsid w:val="00C03BC1"/>
    <w:rsid w:val="00C046C3"/>
    <w:rsid w:val="00C100CC"/>
    <w:rsid w:val="00C10578"/>
    <w:rsid w:val="00C135BC"/>
    <w:rsid w:val="00C15C95"/>
    <w:rsid w:val="00C23F39"/>
    <w:rsid w:val="00C2496B"/>
    <w:rsid w:val="00C2596A"/>
    <w:rsid w:val="00C27537"/>
    <w:rsid w:val="00C328FE"/>
    <w:rsid w:val="00C33507"/>
    <w:rsid w:val="00C42914"/>
    <w:rsid w:val="00C4409D"/>
    <w:rsid w:val="00C44E72"/>
    <w:rsid w:val="00C45A06"/>
    <w:rsid w:val="00C475D4"/>
    <w:rsid w:val="00C47E5B"/>
    <w:rsid w:val="00C55249"/>
    <w:rsid w:val="00C61D75"/>
    <w:rsid w:val="00C61E4B"/>
    <w:rsid w:val="00C64BFF"/>
    <w:rsid w:val="00C64D25"/>
    <w:rsid w:val="00C65D0C"/>
    <w:rsid w:val="00C704E9"/>
    <w:rsid w:val="00C74FFB"/>
    <w:rsid w:val="00C756EA"/>
    <w:rsid w:val="00C763C9"/>
    <w:rsid w:val="00C7766A"/>
    <w:rsid w:val="00C80057"/>
    <w:rsid w:val="00C82232"/>
    <w:rsid w:val="00C82913"/>
    <w:rsid w:val="00C95714"/>
    <w:rsid w:val="00C972B1"/>
    <w:rsid w:val="00CA2CCE"/>
    <w:rsid w:val="00CA43FD"/>
    <w:rsid w:val="00CA7EF8"/>
    <w:rsid w:val="00CB64D4"/>
    <w:rsid w:val="00CC489B"/>
    <w:rsid w:val="00CC6175"/>
    <w:rsid w:val="00CC7FAB"/>
    <w:rsid w:val="00CD2BCD"/>
    <w:rsid w:val="00CD3A4C"/>
    <w:rsid w:val="00CE10E9"/>
    <w:rsid w:val="00CE2910"/>
    <w:rsid w:val="00CE536B"/>
    <w:rsid w:val="00CE5393"/>
    <w:rsid w:val="00CF10EF"/>
    <w:rsid w:val="00CF1E2C"/>
    <w:rsid w:val="00CF36BE"/>
    <w:rsid w:val="00CF3A41"/>
    <w:rsid w:val="00CF6000"/>
    <w:rsid w:val="00CF6198"/>
    <w:rsid w:val="00D003F3"/>
    <w:rsid w:val="00D0364F"/>
    <w:rsid w:val="00D06834"/>
    <w:rsid w:val="00D07099"/>
    <w:rsid w:val="00D120FC"/>
    <w:rsid w:val="00D1491B"/>
    <w:rsid w:val="00D16034"/>
    <w:rsid w:val="00D22141"/>
    <w:rsid w:val="00D245CF"/>
    <w:rsid w:val="00D24E7A"/>
    <w:rsid w:val="00D308ED"/>
    <w:rsid w:val="00D33A8D"/>
    <w:rsid w:val="00D36D86"/>
    <w:rsid w:val="00D428AA"/>
    <w:rsid w:val="00D44C80"/>
    <w:rsid w:val="00D45136"/>
    <w:rsid w:val="00D50A34"/>
    <w:rsid w:val="00D52F41"/>
    <w:rsid w:val="00D53EFA"/>
    <w:rsid w:val="00D658BC"/>
    <w:rsid w:val="00D65BF1"/>
    <w:rsid w:val="00D72A77"/>
    <w:rsid w:val="00D813B5"/>
    <w:rsid w:val="00D90478"/>
    <w:rsid w:val="00D906FF"/>
    <w:rsid w:val="00D91491"/>
    <w:rsid w:val="00D9286A"/>
    <w:rsid w:val="00D92F3C"/>
    <w:rsid w:val="00D94A7C"/>
    <w:rsid w:val="00D95896"/>
    <w:rsid w:val="00DA70A2"/>
    <w:rsid w:val="00DA755E"/>
    <w:rsid w:val="00DB0470"/>
    <w:rsid w:val="00DB2983"/>
    <w:rsid w:val="00DB4509"/>
    <w:rsid w:val="00DC1257"/>
    <w:rsid w:val="00DC3DC0"/>
    <w:rsid w:val="00DC5B2B"/>
    <w:rsid w:val="00DD318D"/>
    <w:rsid w:val="00DE760F"/>
    <w:rsid w:val="00DF2E12"/>
    <w:rsid w:val="00DF514A"/>
    <w:rsid w:val="00DF6690"/>
    <w:rsid w:val="00DF6804"/>
    <w:rsid w:val="00E010A4"/>
    <w:rsid w:val="00E02C3A"/>
    <w:rsid w:val="00E0358D"/>
    <w:rsid w:val="00E04323"/>
    <w:rsid w:val="00E068E1"/>
    <w:rsid w:val="00E070A2"/>
    <w:rsid w:val="00E100A7"/>
    <w:rsid w:val="00E174E9"/>
    <w:rsid w:val="00E179BA"/>
    <w:rsid w:val="00E17E10"/>
    <w:rsid w:val="00E23EC1"/>
    <w:rsid w:val="00E2656A"/>
    <w:rsid w:val="00E36C8A"/>
    <w:rsid w:val="00E37473"/>
    <w:rsid w:val="00E412D0"/>
    <w:rsid w:val="00E42FE7"/>
    <w:rsid w:val="00E4474E"/>
    <w:rsid w:val="00E45FE6"/>
    <w:rsid w:val="00E463BA"/>
    <w:rsid w:val="00E4658A"/>
    <w:rsid w:val="00E56322"/>
    <w:rsid w:val="00E60982"/>
    <w:rsid w:val="00E62C62"/>
    <w:rsid w:val="00E654C1"/>
    <w:rsid w:val="00E65D97"/>
    <w:rsid w:val="00E66BB4"/>
    <w:rsid w:val="00E66D45"/>
    <w:rsid w:val="00E71580"/>
    <w:rsid w:val="00E72A5A"/>
    <w:rsid w:val="00E73354"/>
    <w:rsid w:val="00E86274"/>
    <w:rsid w:val="00E910EB"/>
    <w:rsid w:val="00E91130"/>
    <w:rsid w:val="00E9242D"/>
    <w:rsid w:val="00EA266D"/>
    <w:rsid w:val="00EA587E"/>
    <w:rsid w:val="00EA781A"/>
    <w:rsid w:val="00EB045C"/>
    <w:rsid w:val="00EB243C"/>
    <w:rsid w:val="00EB5255"/>
    <w:rsid w:val="00EB56C6"/>
    <w:rsid w:val="00EB5C47"/>
    <w:rsid w:val="00ED0639"/>
    <w:rsid w:val="00ED2F71"/>
    <w:rsid w:val="00EE76E2"/>
    <w:rsid w:val="00EE775E"/>
    <w:rsid w:val="00EF1EAC"/>
    <w:rsid w:val="00EF4755"/>
    <w:rsid w:val="00EF59A4"/>
    <w:rsid w:val="00EF7135"/>
    <w:rsid w:val="00F027DB"/>
    <w:rsid w:val="00F05FE6"/>
    <w:rsid w:val="00F06440"/>
    <w:rsid w:val="00F067A4"/>
    <w:rsid w:val="00F0737D"/>
    <w:rsid w:val="00F13737"/>
    <w:rsid w:val="00F14A7A"/>
    <w:rsid w:val="00F201CF"/>
    <w:rsid w:val="00F22985"/>
    <w:rsid w:val="00F25208"/>
    <w:rsid w:val="00F306F5"/>
    <w:rsid w:val="00F31565"/>
    <w:rsid w:val="00F3383E"/>
    <w:rsid w:val="00F465A7"/>
    <w:rsid w:val="00F50B7C"/>
    <w:rsid w:val="00F51715"/>
    <w:rsid w:val="00F550E6"/>
    <w:rsid w:val="00F55238"/>
    <w:rsid w:val="00F64924"/>
    <w:rsid w:val="00F66B1A"/>
    <w:rsid w:val="00F67A7D"/>
    <w:rsid w:val="00F7036F"/>
    <w:rsid w:val="00F73BCE"/>
    <w:rsid w:val="00F74345"/>
    <w:rsid w:val="00F80A0A"/>
    <w:rsid w:val="00F82B19"/>
    <w:rsid w:val="00F9212D"/>
    <w:rsid w:val="00F965DA"/>
    <w:rsid w:val="00FA406A"/>
    <w:rsid w:val="00FA5B3F"/>
    <w:rsid w:val="00FB179D"/>
    <w:rsid w:val="00FB503A"/>
    <w:rsid w:val="00FB516C"/>
    <w:rsid w:val="00FB5D83"/>
    <w:rsid w:val="00FC3AC6"/>
    <w:rsid w:val="00FC53D0"/>
    <w:rsid w:val="00FC76D8"/>
    <w:rsid w:val="00FD0236"/>
    <w:rsid w:val="00FD18F4"/>
    <w:rsid w:val="00FD1AEA"/>
    <w:rsid w:val="00FD405E"/>
    <w:rsid w:val="00FD54DB"/>
    <w:rsid w:val="00FD619F"/>
    <w:rsid w:val="00FE3B9C"/>
    <w:rsid w:val="00FE3E3B"/>
    <w:rsid w:val="00FE6E2D"/>
    <w:rsid w:val="00FF008B"/>
    <w:rsid w:val="00FF0E93"/>
    <w:rsid w:val="00FF0F1F"/>
    <w:rsid w:val="00FF2B67"/>
    <w:rsid w:val="00FF462F"/>
    <w:rsid w:val="0100390C"/>
    <w:rsid w:val="012610ED"/>
    <w:rsid w:val="01290F7E"/>
    <w:rsid w:val="015872EB"/>
    <w:rsid w:val="015D1E09"/>
    <w:rsid w:val="01791910"/>
    <w:rsid w:val="017F682C"/>
    <w:rsid w:val="01851B4A"/>
    <w:rsid w:val="018B23AB"/>
    <w:rsid w:val="018E53BB"/>
    <w:rsid w:val="019F6F41"/>
    <w:rsid w:val="01A84F95"/>
    <w:rsid w:val="01AE2755"/>
    <w:rsid w:val="01CD685C"/>
    <w:rsid w:val="01D265B5"/>
    <w:rsid w:val="01EC3E90"/>
    <w:rsid w:val="01ED48B8"/>
    <w:rsid w:val="01F30BBC"/>
    <w:rsid w:val="01F77EB9"/>
    <w:rsid w:val="02074B0A"/>
    <w:rsid w:val="021C368D"/>
    <w:rsid w:val="02455137"/>
    <w:rsid w:val="0246079A"/>
    <w:rsid w:val="0261487E"/>
    <w:rsid w:val="02637F53"/>
    <w:rsid w:val="02697903"/>
    <w:rsid w:val="0276784D"/>
    <w:rsid w:val="028247F4"/>
    <w:rsid w:val="029524D4"/>
    <w:rsid w:val="02954528"/>
    <w:rsid w:val="02B44AD2"/>
    <w:rsid w:val="02B56CD5"/>
    <w:rsid w:val="02CB0AFA"/>
    <w:rsid w:val="02F96569"/>
    <w:rsid w:val="03394EB3"/>
    <w:rsid w:val="034D1CF2"/>
    <w:rsid w:val="036B2F50"/>
    <w:rsid w:val="03700F8F"/>
    <w:rsid w:val="037362C2"/>
    <w:rsid w:val="037C0C1D"/>
    <w:rsid w:val="03946BD5"/>
    <w:rsid w:val="03BC6BDC"/>
    <w:rsid w:val="03C70711"/>
    <w:rsid w:val="03D965BB"/>
    <w:rsid w:val="03EA7B21"/>
    <w:rsid w:val="03ED33CD"/>
    <w:rsid w:val="03EE3285"/>
    <w:rsid w:val="03F96809"/>
    <w:rsid w:val="03FC57BA"/>
    <w:rsid w:val="0405249B"/>
    <w:rsid w:val="04365896"/>
    <w:rsid w:val="0446459A"/>
    <w:rsid w:val="044B0148"/>
    <w:rsid w:val="047D34C5"/>
    <w:rsid w:val="04953F2D"/>
    <w:rsid w:val="049D0AFA"/>
    <w:rsid w:val="04A47A17"/>
    <w:rsid w:val="04CF5745"/>
    <w:rsid w:val="04E1792C"/>
    <w:rsid w:val="04F056DB"/>
    <w:rsid w:val="04F83E96"/>
    <w:rsid w:val="04FA7115"/>
    <w:rsid w:val="050F7E85"/>
    <w:rsid w:val="051C22B7"/>
    <w:rsid w:val="051F2C2C"/>
    <w:rsid w:val="05355B4E"/>
    <w:rsid w:val="053C71ED"/>
    <w:rsid w:val="054072A1"/>
    <w:rsid w:val="054F19D4"/>
    <w:rsid w:val="0580326D"/>
    <w:rsid w:val="058523FD"/>
    <w:rsid w:val="058B3D93"/>
    <w:rsid w:val="05BC5F72"/>
    <w:rsid w:val="05D26066"/>
    <w:rsid w:val="05DD58A6"/>
    <w:rsid w:val="05F73D59"/>
    <w:rsid w:val="05F83EAE"/>
    <w:rsid w:val="061B34C6"/>
    <w:rsid w:val="061F3D74"/>
    <w:rsid w:val="063E7D85"/>
    <w:rsid w:val="06410F76"/>
    <w:rsid w:val="06694CB0"/>
    <w:rsid w:val="06705247"/>
    <w:rsid w:val="069516C4"/>
    <w:rsid w:val="06985D9E"/>
    <w:rsid w:val="069F2F18"/>
    <w:rsid w:val="06C62F02"/>
    <w:rsid w:val="06EC2C1C"/>
    <w:rsid w:val="06EF559D"/>
    <w:rsid w:val="06F73010"/>
    <w:rsid w:val="070210E1"/>
    <w:rsid w:val="07097292"/>
    <w:rsid w:val="070C28DE"/>
    <w:rsid w:val="071D689A"/>
    <w:rsid w:val="07293586"/>
    <w:rsid w:val="07295285"/>
    <w:rsid w:val="074455BF"/>
    <w:rsid w:val="07636392"/>
    <w:rsid w:val="076F023F"/>
    <w:rsid w:val="07770C56"/>
    <w:rsid w:val="078465C2"/>
    <w:rsid w:val="07935C2F"/>
    <w:rsid w:val="07A477E7"/>
    <w:rsid w:val="07E91BD2"/>
    <w:rsid w:val="07F0463D"/>
    <w:rsid w:val="081710BE"/>
    <w:rsid w:val="081D1247"/>
    <w:rsid w:val="082500FC"/>
    <w:rsid w:val="08255ADB"/>
    <w:rsid w:val="083A5520"/>
    <w:rsid w:val="08572528"/>
    <w:rsid w:val="088A7D16"/>
    <w:rsid w:val="089D1687"/>
    <w:rsid w:val="089F56E3"/>
    <w:rsid w:val="08CC4A1B"/>
    <w:rsid w:val="08F756ED"/>
    <w:rsid w:val="09012917"/>
    <w:rsid w:val="092217DD"/>
    <w:rsid w:val="09376339"/>
    <w:rsid w:val="093A7294"/>
    <w:rsid w:val="096A58DA"/>
    <w:rsid w:val="09834B42"/>
    <w:rsid w:val="0993176D"/>
    <w:rsid w:val="09BC2025"/>
    <w:rsid w:val="09C0116F"/>
    <w:rsid w:val="09C661EE"/>
    <w:rsid w:val="09C824C6"/>
    <w:rsid w:val="09D14BB0"/>
    <w:rsid w:val="09D83618"/>
    <w:rsid w:val="09D973F0"/>
    <w:rsid w:val="09DE4A01"/>
    <w:rsid w:val="09E46FBE"/>
    <w:rsid w:val="09FF496F"/>
    <w:rsid w:val="0A022D2E"/>
    <w:rsid w:val="0A1C49E3"/>
    <w:rsid w:val="0A263993"/>
    <w:rsid w:val="0A2C751F"/>
    <w:rsid w:val="0A2D3AC2"/>
    <w:rsid w:val="0A312D88"/>
    <w:rsid w:val="0A3D3A9A"/>
    <w:rsid w:val="0A4E393A"/>
    <w:rsid w:val="0A7E7112"/>
    <w:rsid w:val="0A8530D4"/>
    <w:rsid w:val="0A97787C"/>
    <w:rsid w:val="0AA755DF"/>
    <w:rsid w:val="0AAE1E79"/>
    <w:rsid w:val="0AB80DB3"/>
    <w:rsid w:val="0ADA341F"/>
    <w:rsid w:val="0AEF778C"/>
    <w:rsid w:val="0AFB3396"/>
    <w:rsid w:val="0B064214"/>
    <w:rsid w:val="0B120D44"/>
    <w:rsid w:val="0B27418B"/>
    <w:rsid w:val="0B4765DB"/>
    <w:rsid w:val="0B4B4FF0"/>
    <w:rsid w:val="0B5F0A07"/>
    <w:rsid w:val="0B712BEB"/>
    <w:rsid w:val="0B9255AA"/>
    <w:rsid w:val="0BA23811"/>
    <w:rsid w:val="0BAD4DCF"/>
    <w:rsid w:val="0BC23F01"/>
    <w:rsid w:val="0BD07366"/>
    <w:rsid w:val="0BD27BF6"/>
    <w:rsid w:val="0BE357CF"/>
    <w:rsid w:val="0BFC4ED6"/>
    <w:rsid w:val="0C197F77"/>
    <w:rsid w:val="0C1F4842"/>
    <w:rsid w:val="0C2414CF"/>
    <w:rsid w:val="0C3101BE"/>
    <w:rsid w:val="0C3B3C7D"/>
    <w:rsid w:val="0C5F3CFD"/>
    <w:rsid w:val="0C765152"/>
    <w:rsid w:val="0C7A6A0A"/>
    <w:rsid w:val="0CAB2EAE"/>
    <w:rsid w:val="0CC32D2B"/>
    <w:rsid w:val="0CC51EAD"/>
    <w:rsid w:val="0CE9794A"/>
    <w:rsid w:val="0CEA34BE"/>
    <w:rsid w:val="0D197B03"/>
    <w:rsid w:val="0D2419BC"/>
    <w:rsid w:val="0D330BC5"/>
    <w:rsid w:val="0D361575"/>
    <w:rsid w:val="0D450893"/>
    <w:rsid w:val="0D621C7D"/>
    <w:rsid w:val="0D643474"/>
    <w:rsid w:val="0D6E7D24"/>
    <w:rsid w:val="0DB33992"/>
    <w:rsid w:val="0DD45E9F"/>
    <w:rsid w:val="0DE20FC7"/>
    <w:rsid w:val="0DE32E0A"/>
    <w:rsid w:val="0DE50DF5"/>
    <w:rsid w:val="0DE54399"/>
    <w:rsid w:val="0E067E5F"/>
    <w:rsid w:val="0E2A521E"/>
    <w:rsid w:val="0E4D74FF"/>
    <w:rsid w:val="0E73034D"/>
    <w:rsid w:val="0E744138"/>
    <w:rsid w:val="0E797100"/>
    <w:rsid w:val="0EA45387"/>
    <w:rsid w:val="0EA86D7E"/>
    <w:rsid w:val="0EA9449E"/>
    <w:rsid w:val="0EAE008A"/>
    <w:rsid w:val="0EF77800"/>
    <w:rsid w:val="0F0514E5"/>
    <w:rsid w:val="0F0A3BA7"/>
    <w:rsid w:val="0F130B06"/>
    <w:rsid w:val="0F13775A"/>
    <w:rsid w:val="0F392184"/>
    <w:rsid w:val="0F487F6D"/>
    <w:rsid w:val="0F5A1F40"/>
    <w:rsid w:val="0F5F45FE"/>
    <w:rsid w:val="0F876B63"/>
    <w:rsid w:val="0F9A112B"/>
    <w:rsid w:val="0FCD4867"/>
    <w:rsid w:val="0FCE6D16"/>
    <w:rsid w:val="0FDB7019"/>
    <w:rsid w:val="0FDE02BF"/>
    <w:rsid w:val="0FE77BA8"/>
    <w:rsid w:val="0FEF0C7C"/>
    <w:rsid w:val="1005358F"/>
    <w:rsid w:val="101F2740"/>
    <w:rsid w:val="103F51B1"/>
    <w:rsid w:val="106D2F64"/>
    <w:rsid w:val="107F5AC5"/>
    <w:rsid w:val="1089609D"/>
    <w:rsid w:val="108F55CB"/>
    <w:rsid w:val="10B63710"/>
    <w:rsid w:val="10F10820"/>
    <w:rsid w:val="1102547E"/>
    <w:rsid w:val="11190A0E"/>
    <w:rsid w:val="111C2F7A"/>
    <w:rsid w:val="11254E97"/>
    <w:rsid w:val="11503847"/>
    <w:rsid w:val="11505B83"/>
    <w:rsid w:val="11665CA1"/>
    <w:rsid w:val="118F58AD"/>
    <w:rsid w:val="11A337EE"/>
    <w:rsid w:val="11AC486F"/>
    <w:rsid w:val="11BA4092"/>
    <w:rsid w:val="11BF3ECF"/>
    <w:rsid w:val="11C41482"/>
    <w:rsid w:val="11D00824"/>
    <w:rsid w:val="11D95F87"/>
    <w:rsid w:val="12456648"/>
    <w:rsid w:val="12523EAB"/>
    <w:rsid w:val="125A5637"/>
    <w:rsid w:val="127752AF"/>
    <w:rsid w:val="12933C69"/>
    <w:rsid w:val="12BD0125"/>
    <w:rsid w:val="12BD0AF8"/>
    <w:rsid w:val="12CA3D79"/>
    <w:rsid w:val="12CF6473"/>
    <w:rsid w:val="12D531EF"/>
    <w:rsid w:val="12D76485"/>
    <w:rsid w:val="12DF4BA9"/>
    <w:rsid w:val="12FE46AA"/>
    <w:rsid w:val="1304103A"/>
    <w:rsid w:val="13290778"/>
    <w:rsid w:val="13362245"/>
    <w:rsid w:val="133E0898"/>
    <w:rsid w:val="1353051C"/>
    <w:rsid w:val="136E1ECF"/>
    <w:rsid w:val="137F6359"/>
    <w:rsid w:val="138561DB"/>
    <w:rsid w:val="138C54D7"/>
    <w:rsid w:val="138E3C07"/>
    <w:rsid w:val="13951726"/>
    <w:rsid w:val="139C7086"/>
    <w:rsid w:val="13D160FB"/>
    <w:rsid w:val="13DA260D"/>
    <w:rsid w:val="14021813"/>
    <w:rsid w:val="14060DE1"/>
    <w:rsid w:val="14396509"/>
    <w:rsid w:val="143F3093"/>
    <w:rsid w:val="14627FE2"/>
    <w:rsid w:val="14810F5B"/>
    <w:rsid w:val="1499221F"/>
    <w:rsid w:val="149D161B"/>
    <w:rsid w:val="14A002A8"/>
    <w:rsid w:val="14B069E7"/>
    <w:rsid w:val="14C01C03"/>
    <w:rsid w:val="14C34F24"/>
    <w:rsid w:val="14DD2C3C"/>
    <w:rsid w:val="14E65E40"/>
    <w:rsid w:val="14EC6DE8"/>
    <w:rsid w:val="14EF5D19"/>
    <w:rsid w:val="15017169"/>
    <w:rsid w:val="15274AFD"/>
    <w:rsid w:val="1529040D"/>
    <w:rsid w:val="15311E8E"/>
    <w:rsid w:val="153859F2"/>
    <w:rsid w:val="15510351"/>
    <w:rsid w:val="15876E7E"/>
    <w:rsid w:val="158A5F6F"/>
    <w:rsid w:val="159279D8"/>
    <w:rsid w:val="15A21FAA"/>
    <w:rsid w:val="15AB47A0"/>
    <w:rsid w:val="15EA2684"/>
    <w:rsid w:val="15EF58A5"/>
    <w:rsid w:val="16087E1D"/>
    <w:rsid w:val="160E39B5"/>
    <w:rsid w:val="16225CDD"/>
    <w:rsid w:val="162977EF"/>
    <w:rsid w:val="164D719B"/>
    <w:rsid w:val="16627FB5"/>
    <w:rsid w:val="16646347"/>
    <w:rsid w:val="16720BB1"/>
    <w:rsid w:val="16CA512C"/>
    <w:rsid w:val="16E12512"/>
    <w:rsid w:val="16E26EAB"/>
    <w:rsid w:val="172872C1"/>
    <w:rsid w:val="173B5D7C"/>
    <w:rsid w:val="1745528E"/>
    <w:rsid w:val="174D4F79"/>
    <w:rsid w:val="174F093C"/>
    <w:rsid w:val="176035F0"/>
    <w:rsid w:val="17701D14"/>
    <w:rsid w:val="17735226"/>
    <w:rsid w:val="17777B62"/>
    <w:rsid w:val="178A2737"/>
    <w:rsid w:val="17B5039E"/>
    <w:rsid w:val="17B62B1E"/>
    <w:rsid w:val="17C7779A"/>
    <w:rsid w:val="17CB31D5"/>
    <w:rsid w:val="17D84E04"/>
    <w:rsid w:val="18005D4F"/>
    <w:rsid w:val="180535AA"/>
    <w:rsid w:val="189F624C"/>
    <w:rsid w:val="18A07DB5"/>
    <w:rsid w:val="18AC33BF"/>
    <w:rsid w:val="18BD1F0B"/>
    <w:rsid w:val="18C67398"/>
    <w:rsid w:val="18CD0120"/>
    <w:rsid w:val="18D3114A"/>
    <w:rsid w:val="18D714A8"/>
    <w:rsid w:val="18F44311"/>
    <w:rsid w:val="19122550"/>
    <w:rsid w:val="191838A8"/>
    <w:rsid w:val="19373AD9"/>
    <w:rsid w:val="19387973"/>
    <w:rsid w:val="19411A33"/>
    <w:rsid w:val="195555AC"/>
    <w:rsid w:val="195A3ED2"/>
    <w:rsid w:val="195E49E1"/>
    <w:rsid w:val="19881DB8"/>
    <w:rsid w:val="19C64799"/>
    <w:rsid w:val="19E71F84"/>
    <w:rsid w:val="1A1C66C0"/>
    <w:rsid w:val="1A211DF4"/>
    <w:rsid w:val="1A3976E8"/>
    <w:rsid w:val="1A42393B"/>
    <w:rsid w:val="1A4408B5"/>
    <w:rsid w:val="1A551BE2"/>
    <w:rsid w:val="1AAD45DE"/>
    <w:rsid w:val="1ADA243A"/>
    <w:rsid w:val="1AE00EB1"/>
    <w:rsid w:val="1AEF53F6"/>
    <w:rsid w:val="1AF628A3"/>
    <w:rsid w:val="1AF916A0"/>
    <w:rsid w:val="1B021704"/>
    <w:rsid w:val="1B046F80"/>
    <w:rsid w:val="1B0B4F5E"/>
    <w:rsid w:val="1B244243"/>
    <w:rsid w:val="1B2C2D7C"/>
    <w:rsid w:val="1B3145AC"/>
    <w:rsid w:val="1B3267B5"/>
    <w:rsid w:val="1B40161D"/>
    <w:rsid w:val="1B441859"/>
    <w:rsid w:val="1B6606B1"/>
    <w:rsid w:val="1B6C64E1"/>
    <w:rsid w:val="1B7F1479"/>
    <w:rsid w:val="1B856D32"/>
    <w:rsid w:val="1B8C7840"/>
    <w:rsid w:val="1BB43819"/>
    <w:rsid w:val="1BBD688A"/>
    <w:rsid w:val="1BD16179"/>
    <w:rsid w:val="1BD61547"/>
    <w:rsid w:val="1C1A1F34"/>
    <w:rsid w:val="1C2115EC"/>
    <w:rsid w:val="1C293A7F"/>
    <w:rsid w:val="1C3C0549"/>
    <w:rsid w:val="1C484909"/>
    <w:rsid w:val="1C5923AB"/>
    <w:rsid w:val="1C5E7925"/>
    <w:rsid w:val="1C766D20"/>
    <w:rsid w:val="1C867463"/>
    <w:rsid w:val="1C874147"/>
    <w:rsid w:val="1C875C0C"/>
    <w:rsid w:val="1C994197"/>
    <w:rsid w:val="1CA266CE"/>
    <w:rsid w:val="1CBA6BC0"/>
    <w:rsid w:val="1CC32B1C"/>
    <w:rsid w:val="1CCB0B4C"/>
    <w:rsid w:val="1CCD16A4"/>
    <w:rsid w:val="1CFD070F"/>
    <w:rsid w:val="1CFE421A"/>
    <w:rsid w:val="1D1E53EE"/>
    <w:rsid w:val="1D4B34D5"/>
    <w:rsid w:val="1D5F6196"/>
    <w:rsid w:val="1D6132A5"/>
    <w:rsid w:val="1D8E56D5"/>
    <w:rsid w:val="1D9427DC"/>
    <w:rsid w:val="1DAF5021"/>
    <w:rsid w:val="1DB81243"/>
    <w:rsid w:val="1DCD61B0"/>
    <w:rsid w:val="1DE92DC8"/>
    <w:rsid w:val="1DF55E7A"/>
    <w:rsid w:val="1E082697"/>
    <w:rsid w:val="1E292297"/>
    <w:rsid w:val="1E311151"/>
    <w:rsid w:val="1E5B7B67"/>
    <w:rsid w:val="1E7526B8"/>
    <w:rsid w:val="1E7A43DA"/>
    <w:rsid w:val="1EA118FA"/>
    <w:rsid w:val="1EAA4A5F"/>
    <w:rsid w:val="1EB06519"/>
    <w:rsid w:val="1EBC46C3"/>
    <w:rsid w:val="1ECB5640"/>
    <w:rsid w:val="1EFB0FDF"/>
    <w:rsid w:val="1F0979D8"/>
    <w:rsid w:val="1F1E7EEC"/>
    <w:rsid w:val="1F2C5CED"/>
    <w:rsid w:val="1F3835CB"/>
    <w:rsid w:val="1F3E2F34"/>
    <w:rsid w:val="1F3E570B"/>
    <w:rsid w:val="1F516C35"/>
    <w:rsid w:val="1F52455B"/>
    <w:rsid w:val="1F7E21DE"/>
    <w:rsid w:val="1F9E2311"/>
    <w:rsid w:val="1FAE58AE"/>
    <w:rsid w:val="1FB542C0"/>
    <w:rsid w:val="1FC523DE"/>
    <w:rsid w:val="1FD4771F"/>
    <w:rsid w:val="1FE7539E"/>
    <w:rsid w:val="1FF468DA"/>
    <w:rsid w:val="1FFB5F39"/>
    <w:rsid w:val="20166850"/>
    <w:rsid w:val="20256A93"/>
    <w:rsid w:val="202927F4"/>
    <w:rsid w:val="203F3DB2"/>
    <w:rsid w:val="204C4020"/>
    <w:rsid w:val="20671BE0"/>
    <w:rsid w:val="208B7348"/>
    <w:rsid w:val="2096227D"/>
    <w:rsid w:val="20963CB8"/>
    <w:rsid w:val="20A81A1B"/>
    <w:rsid w:val="20B07FB6"/>
    <w:rsid w:val="20B646FB"/>
    <w:rsid w:val="20C20786"/>
    <w:rsid w:val="20D40C10"/>
    <w:rsid w:val="20F25F6B"/>
    <w:rsid w:val="21030387"/>
    <w:rsid w:val="210B3EDB"/>
    <w:rsid w:val="211858E0"/>
    <w:rsid w:val="213504BA"/>
    <w:rsid w:val="213571AA"/>
    <w:rsid w:val="213B74B1"/>
    <w:rsid w:val="21525EBF"/>
    <w:rsid w:val="215721B9"/>
    <w:rsid w:val="215A2310"/>
    <w:rsid w:val="21C97D7A"/>
    <w:rsid w:val="21DE318A"/>
    <w:rsid w:val="21EF5B80"/>
    <w:rsid w:val="21F060CC"/>
    <w:rsid w:val="21F157B0"/>
    <w:rsid w:val="22054CF7"/>
    <w:rsid w:val="22166FE3"/>
    <w:rsid w:val="221C5DF2"/>
    <w:rsid w:val="22405B46"/>
    <w:rsid w:val="22576990"/>
    <w:rsid w:val="22692972"/>
    <w:rsid w:val="227B6E3E"/>
    <w:rsid w:val="229B303C"/>
    <w:rsid w:val="22BE6611"/>
    <w:rsid w:val="22E44DCB"/>
    <w:rsid w:val="22F47480"/>
    <w:rsid w:val="230A1A8F"/>
    <w:rsid w:val="230D217E"/>
    <w:rsid w:val="230E40E7"/>
    <w:rsid w:val="23120105"/>
    <w:rsid w:val="232261B6"/>
    <w:rsid w:val="235606BA"/>
    <w:rsid w:val="23564752"/>
    <w:rsid w:val="23726365"/>
    <w:rsid w:val="23746F7B"/>
    <w:rsid w:val="237959DC"/>
    <w:rsid w:val="237A70F6"/>
    <w:rsid w:val="237B3964"/>
    <w:rsid w:val="23867BE9"/>
    <w:rsid w:val="23DE1C48"/>
    <w:rsid w:val="23E660AE"/>
    <w:rsid w:val="23E83E17"/>
    <w:rsid w:val="23EB72B1"/>
    <w:rsid w:val="23EC35FA"/>
    <w:rsid w:val="240210CD"/>
    <w:rsid w:val="2406091D"/>
    <w:rsid w:val="242D5F16"/>
    <w:rsid w:val="243A7142"/>
    <w:rsid w:val="244E6D15"/>
    <w:rsid w:val="2453648C"/>
    <w:rsid w:val="24766CC6"/>
    <w:rsid w:val="24A22990"/>
    <w:rsid w:val="24BD5115"/>
    <w:rsid w:val="24BF09F7"/>
    <w:rsid w:val="24D871E6"/>
    <w:rsid w:val="2503788A"/>
    <w:rsid w:val="252D53FE"/>
    <w:rsid w:val="25343ABC"/>
    <w:rsid w:val="25384C06"/>
    <w:rsid w:val="25490794"/>
    <w:rsid w:val="25496D80"/>
    <w:rsid w:val="25812B7C"/>
    <w:rsid w:val="25C34D40"/>
    <w:rsid w:val="25CC175F"/>
    <w:rsid w:val="25D839FD"/>
    <w:rsid w:val="25EC2D81"/>
    <w:rsid w:val="25ED39A3"/>
    <w:rsid w:val="25F96D8D"/>
    <w:rsid w:val="260A43BD"/>
    <w:rsid w:val="26120070"/>
    <w:rsid w:val="26176F9A"/>
    <w:rsid w:val="26217DC5"/>
    <w:rsid w:val="26273B2F"/>
    <w:rsid w:val="26467763"/>
    <w:rsid w:val="264D3888"/>
    <w:rsid w:val="2652435A"/>
    <w:rsid w:val="265A5BA2"/>
    <w:rsid w:val="266F18D0"/>
    <w:rsid w:val="267D3C6C"/>
    <w:rsid w:val="26B9107C"/>
    <w:rsid w:val="26FC392A"/>
    <w:rsid w:val="270E7E69"/>
    <w:rsid w:val="27332CF9"/>
    <w:rsid w:val="275705D2"/>
    <w:rsid w:val="27640AE5"/>
    <w:rsid w:val="27674EEA"/>
    <w:rsid w:val="277057A2"/>
    <w:rsid w:val="277F4AB0"/>
    <w:rsid w:val="278034C2"/>
    <w:rsid w:val="27881509"/>
    <w:rsid w:val="27B511A5"/>
    <w:rsid w:val="27C03141"/>
    <w:rsid w:val="27D45C2C"/>
    <w:rsid w:val="27EA402D"/>
    <w:rsid w:val="27F154AD"/>
    <w:rsid w:val="27F507CA"/>
    <w:rsid w:val="27F54F28"/>
    <w:rsid w:val="280335C6"/>
    <w:rsid w:val="28215D92"/>
    <w:rsid w:val="28503020"/>
    <w:rsid w:val="28893937"/>
    <w:rsid w:val="2889395B"/>
    <w:rsid w:val="28986532"/>
    <w:rsid w:val="28BD52AF"/>
    <w:rsid w:val="29206EB8"/>
    <w:rsid w:val="293867EF"/>
    <w:rsid w:val="294E183C"/>
    <w:rsid w:val="29550D90"/>
    <w:rsid w:val="29595666"/>
    <w:rsid w:val="29624C73"/>
    <w:rsid w:val="2976772F"/>
    <w:rsid w:val="29874881"/>
    <w:rsid w:val="298E557C"/>
    <w:rsid w:val="29D32BD5"/>
    <w:rsid w:val="29D628AB"/>
    <w:rsid w:val="29DA7ECF"/>
    <w:rsid w:val="29E325E0"/>
    <w:rsid w:val="2A005628"/>
    <w:rsid w:val="2A101D07"/>
    <w:rsid w:val="2A114D06"/>
    <w:rsid w:val="2A256489"/>
    <w:rsid w:val="2A35062C"/>
    <w:rsid w:val="2A3A138D"/>
    <w:rsid w:val="2A452503"/>
    <w:rsid w:val="2A796B7D"/>
    <w:rsid w:val="2A820FD6"/>
    <w:rsid w:val="2A9F0CCB"/>
    <w:rsid w:val="2ABB200C"/>
    <w:rsid w:val="2AE454C3"/>
    <w:rsid w:val="2B147E30"/>
    <w:rsid w:val="2B2B7AE6"/>
    <w:rsid w:val="2B345770"/>
    <w:rsid w:val="2B4D6C73"/>
    <w:rsid w:val="2B593A95"/>
    <w:rsid w:val="2BA76506"/>
    <w:rsid w:val="2BA936A8"/>
    <w:rsid w:val="2BB24DC5"/>
    <w:rsid w:val="2BBF2ED2"/>
    <w:rsid w:val="2BDB734F"/>
    <w:rsid w:val="2BEC7E3B"/>
    <w:rsid w:val="2C013648"/>
    <w:rsid w:val="2C2136F0"/>
    <w:rsid w:val="2C2E0A7D"/>
    <w:rsid w:val="2C315A5A"/>
    <w:rsid w:val="2C3B319A"/>
    <w:rsid w:val="2C3F7086"/>
    <w:rsid w:val="2C4604BD"/>
    <w:rsid w:val="2C49528C"/>
    <w:rsid w:val="2C4B1C25"/>
    <w:rsid w:val="2C6E3A09"/>
    <w:rsid w:val="2C741228"/>
    <w:rsid w:val="2C750DD9"/>
    <w:rsid w:val="2C772424"/>
    <w:rsid w:val="2C9A4365"/>
    <w:rsid w:val="2CA20365"/>
    <w:rsid w:val="2CA54848"/>
    <w:rsid w:val="2CA6713F"/>
    <w:rsid w:val="2CAA70E1"/>
    <w:rsid w:val="2CB3298B"/>
    <w:rsid w:val="2CCA541E"/>
    <w:rsid w:val="2CEC4A39"/>
    <w:rsid w:val="2D0833B3"/>
    <w:rsid w:val="2D0B0083"/>
    <w:rsid w:val="2D245EB7"/>
    <w:rsid w:val="2D282586"/>
    <w:rsid w:val="2D4D3B60"/>
    <w:rsid w:val="2D8C70C7"/>
    <w:rsid w:val="2D9E56F5"/>
    <w:rsid w:val="2DA16CBB"/>
    <w:rsid w:val="2DCA64C9"/>
    <w:rsid w:val="2DDD03B7"/>
    <w:rsid w:val="2DDD6BFF"/>
    <w:rsid w:val="2DE32084"/>
    <w:rsid w:val="2DEE0111"/>
    <w:rsid w:val="2DF73D32"/>
    <w:rsid w:val="2E0527A2"/>
    <w:rsid w:val="2E3F0997"/>
    <w:rsid w:val="2E5561FD"/>
    <w:rsid w:val="2E667F96"/>
    <w:rsid w:val="2E81758A"/>
    <w:rsid w:val="2E8226AB"/>
    <w:rsid w:val="2E8B26F1"/>
    <w:rsid w:val="2E8D43D6"/>
    <w:rsid w:val="2E91707E"/>
    <w:rsid w:val="2EAD503C"/>
    <w:rsid w:val="2EAE5EA6"/>
    <w:rsid w:val="2ECF7C5D"/>
    <w:rsid w:val="2EDC683C"/>
    <w:rsid w:val="2EE07091"/>
    <w:rsid w:val="2F300FB0"/>
    <w:rsid w:val="2F462579"/>
    <w:rsid w:val="2F487325"/>
    <w:rsid w:val="2F537022"/>
    <w:rsid w:val="2F662C24"/>
    <w:rsid w:val="2FAA3CDA"/>
    <w:rsid w:val="2FC44FE2"/>
    <w:rsid w:val="2FC816D3"/>
    <w:rsid w:val="2FD065E6"/>
    <w:rsid w:val="2FD464D6"/>
    <w:rsid w:val="2FD96870"/>
    <w:rsid w:val="2FDD6C1F"/>
    <w:rsid w:val="2FE91AFB"/>
    <w:rsid w:val="2FF24BE6"/>
    <w:rsid w:val="30112B90"/>
    <w:rsid w:val="303A650F"/>
    <w:rsid w:val="304F36B8"/>
    <w:rsid w:val="30580BC9"/>
    <w:rsid w:val="308F65C1"/>
    <w:rsid w:val="30A471AA"/>
    <w:rsid w:val="30D3310E"/>
    <w:rsid w:val="30D33D1D"/>
    <w:rsid w:val="30F30C9A"/>
    <w:rsid w:val="30FD766F"/>
    <w:rsid w:val="311E2ED7"/>
    <w:rsid w:val="31255F87"/>
    <w:rsid w:val="31323C9D"/>
    <w:rsid w:val="315619EE"/>
    <w:rsid w:val="315C449C"/>
    <w:rsid w:val="317C3157"/>
    <w:rsid w:val="31921AAF"/>
    <w:rsid w:val="319D172B"/>
    <w:rsid w:val="31B04C26"/>
    <w:rsid w:val="31B82709"/>
    <w:rsid w:val="31D05482"/>
    <w:rsid w:val="31EA18EB"/>
    <w:rsid w:val="32081D71"/>
    <w:rsid w:val="320E01DC"/>
    <w:rsid w:val="321275A0"/>
    <w:rsid w:val="32141876"/>
    <w:rsid w:val="321626E0"/>
    <w:rsid w:val="321E3342"/>
    <w:rsid w:val="32400B34"/>
    <w:rsid w:val="32586B3B"/>
    <w:rsid w:val="32672F3B"/>
    <w:rsid w:val="327348A4"/>
    <w:rsid w:val="3291409C"/>
    <w:rsid w:val="32966601"/>
    <w:rsid w:val="329E6876"/>
    <w:rsid w:val="32BC38A9"/>
    <w:rsid w:val="32E32081"/>
    <w:rsid w:val="331549A5"/>
    <w:rsid w:val="333015F2"/>
    <w:rsid w:val="334B6320"/>
    <w:rsid w:val="337D2302"/>
    <w:rsid w:val="33850EF2"/>
    <w:rsid w:val="338C6E17"/>
    <w:rsid w:val="33B6683A"/>
    <w:rsid w:val="33D934D4"/>
    <w:rsid w:val="33E54DB7"/>
    <w:rsid w:val="33E8669A"/>
    <w:rsid w:val="33FE2F6A"/>
    <w:rsid w:val="340E07E5"/>
    <w:rsid w:val="34235BF7"/>
    <w:rsid w:val="346E05B1"/>
    <w:rsid w:val="34AE6BFF"/>
    <w:rsid w:val="34CB2EBD"/>
    <w:rsid w:val="34CD2C7B"/>
    <w:rsid w:val="34E15227"/>
    <w:rsid w:val="34EC7728"/>
    <w:rsid w:val="353C06AF"/>
    <w:rsid w:val="35431CCA"/>
    <w:rsid w:val="354C01C6"/>
    <w:rsid w:val="355A3A9B"/>
    <w:rsid w:val="355D23D3"/>
    <w:rsid w:val="357522BC"/>
    <w:rsid w:val="35800F48"/>
    <w:rsid w:val="358428AC"/>
    <w:rsid w:val="358C5FA8"/>
    <w:rsid w:val="35C15DF1"/>
    <w:rsid w:val="35C45BEF"/>
    <w:rsid w:val="35D7324A"/>
    <w:rsid w:val="35F04FF6"/>
    <w:rsid w:val="35F46FD7"/>
    <w:rsid w:val="35F603F1"/>
    <w:rsid w:val="36074A7F"/>
    <w:rsid w:val="3614178D"/>
    <w:rsid w:val="36237179"/>
    <w:rsid w:val="36241417"/>
    <w:rsid w:val="362F3272"/>
    <w:rsid w:val="364E4984"/>
    <w:rsid w:val="36603477"/>
    <w:rsid w:val="366C6D72"/>
    <w:rsid w:val="3673233C"/>
    <w:rsid w:val="367C2CC1"/>
    <w:rsid w:val="36923549"/>
    <w:rsid w:val="3693187C"/>
    <w:rsid w:val="36997BA6"/>
    <w:rsid w:val="36B75FBF"/>
    <w:rsid w:val="36BD0C45"/>
    <w:rsid w:val="36E65507"/>
    <w:rsid w:val="37004732"/>
    <w:rsid w:val="37101AAB"/>
    <w:rsid w:val="37211E2F"/>
    <w:rsid w:val="37346123"/>
    <w:rsid w:val="373527E2"/>
    <w:rsid w:val="37517D16"/>
    <w:rsid w:val="379C31AF"/>
    <w:rsid w:val="37A5040E"/>
    <w:rsid w:val="37CD3840"/>
    <w:rsid w:val="37D646EA"/>
    <w:rsid w:val="37E00298"/>
    <w:rsid w:val="380A3AA6"/>
    <w:rsid w:val="381063B1"/>
    <w:rsid w:val="3811408B"/>
    <w:rsid w:val="38372745"/>
    <w:rsid w:val="383B5907"/>
    <w:rsid w:val="38424DE2"/>
    <w:rsid w:val="38437156"/>
    <w:rsid w:val="385F23EF"/>
    <w:rsid w:val="38AE3672"/>
    <w:rsid w:val="38B302F9"/>
    <w:rsid w:val="38C11791"/>
    <w:rsid w:val="38C31512"/>
    <w:rsid w:val="38E34AD8"/>
    <w:rsid w:val="38F12CD3"/>
    <w:rsid w:val="38F50F41"/>
    <w:rsid w:val="38F94775"/>
    <w:rsid w:val="390441B4"/>
    <w:rsid w:val="390A7CEF"/>
    <w:rsid w:val="391060DB"/>
    <w:rsid w:val="392971ED"/>
    <w:rsid w:val="39325651"/>
    <w:rsid w:val="39452588"/>
    <w:rsid w:val="395123E3"/>
    <w:rsid w:val="39615D49"/>
    <w:rsid w:val="39682C9F"/>
    <w:rsid w:val="3973426B"/>
    <w:rsid w:val="3998745F"/>
    <w:rsid w:val="399B34CA"/>
    <w:rsid w:val="39AD5700"/>
    <w:rsid w:val="39B25AAC"/>
    <w:rsid w:val="39CC7C3B"/>
    <w:rsid w:val="39D23390"/>
    <w:rsid w:val="3A173499"/>
    <w:rsid w:val="3A1F1601"/>
    <w:rsid w:val="3A3A2CE3"/>
    <w:rsid w:val="3A6E356F"/>
    <w:rsid w:val="3A780230"/>
    <w:rsid w:val="3A7E59B3"/>
    <w:rsid w:val="3A872856"/>
    <w:rsid w:val="3A916DA7"/>
    <w:rsid w:val="3AAC14F0"/>
    <w:rsid w:val="3AB24F6F"/>
    <w:rsid w:val="3ACE1C71"/>
    <w:rsid w:val="3AD635B9"/>
    <w:rsid w:val="3AEC222F"/>
    <w:rsid w:val="3AFD72FA"/>
    <w:rsid w:val="3B346569"/>
    <w:rsid w:val="3B3763D1"/>
    <w:rsid w:val="3B8B6139"/>
    <w:rsid w:val="3B9041A1"/>
    <w:rsid w:val="3B983226"/>
    <w:rsid w:val="3B9C1A70"/>
    <w:rsid w:val="3BBE2064"/>
    <w:rsid w:val="3BCC3E0F"/>
    <w:rsid w:val="3BEF42B0"/>
    <w:rsid w:val="3C2F4ACD"/>
    <w:rsid w:val="3C2F6E1E"/>
    <w:rsid w:val="3C4F64BA"/>
    <w:rsid w:val="3C6241E7"/>
    <w:rsid w:val="3C706D32"/>
    <w:rsid w:val="3C775710"/>
    <w:rsid w:val="3C884A06"/>
    <w:rsid w:val="3CBB7DAE"/>
    <w:rsid w:val="3CDA245A"/>
    <w:rsid w:val="3CE358B4"/>
    <w:rsid w:val="3CE4178D"/>
    <w:rsid w:val="3CF81902"/>
    <w:rsid w:val="3CF92405"/>
    <w:rsid w:val="3CFE624A"/>
    <w:rsid w:val="3D095ED2"/>
    <w:rsid w:val="3D195B84"/>
    <w:rsid w:val="3D1E06B7"/>
    <w:rsid w:val="3D2F28A7"/>
    <w:rsid w:val="3D4520CB"/>
    <w:rsid w:val="3D6B76D5"/>
    <w:rsid w:val="3D8F6C90"/>
    <w:rsid w:val="3D9275CC"/>
    <w:rsid w:val="3D98205A"/>
    <w:rsid w:val="3DD845A2"/>
    <w:rsid w:val="3DF35CC4"/>
    <w:rsid w:val="3E09202B"/>
    <w:rsid w:val="3E16743A"/>
    <w:rsid w:val="3E3B1664"/>
    <w:rsid w:val="3E8D0A7D"/>
    <w:rsid w:val="3E9E1A93"/>
    <w:rsid w:val="3EDA0523"/>
    <w:rsid w:val="3EFC2C5D"/>
    <w:rsid w:val="3F3348D1"/>
    <w:rsid w:val="3F47757E"/>
    <w:rsid w:val="3F4F16E6"/>
    <w:rsid w:val="3F6D1167"/>
    <w:rsid w:val="3F791C22"/>
    <w:rsid w:val="3F8C2233"/>
    <w:rsid w:val="3F8F2899"/>
    <w:rsid w:val="3F9F61A1"/>
    <w:rsid w:val="3FF111DE"/>
    <w:rsid w:val="401B0F9E"/>
    <w:rsid w:val="401C1B87"/>
    <w:rsid w:val="40362E2E"/>
    <w:rsid w:val="404843AC"/>
    <w:rsid w:val="40523A5F"/>
    <w:rsid w:val="405D308E"/>
    <w:rsid w:val="406A27D9"/>
    <w:rsid w:val="407A6407"/>
    <w:rsid w:val="409D4C28"/>
    <w:rsid w:val="40BA2DB9"/>
    <w:rsid w:val="40D676B4"/>
    <w:rsid w:val="40E3251D"/>
    <w:rsid w:val="40E75AD5"/>
    <w:rsid w:val="4114603C"/>
    <w:rsid w:val="411918A4"/>
    <w:rsid w:val="41422084"/>
    <w:rsid w:val="414C5D81"/>
    <w:rsid w:val="415475F9"/>
    <w:rsid w:val="41C23CEA"/>
    <w:rsid w:val="41D57B26"/>
    <w:rsid w:val="41D81760"/>
    <w:rsid w:val="41E067FC"/>
    <w:rsid w:val="41EC3663"/>
    <w:rsid w:val="4200449D"/>
    <w:rsid w:val="420F4A55"/>
    <w:rsid w:val="42134D03"/>
    <w:rsid w:val="423A3BCC"/>
    <w:rsid w:val="423F095A"/>
    <w:rsid w:val="424E57D2"/>
    <w:rsid w:val="425C11B3"/>
    <w:rsid w:val="425C4AE5"/>
    <w:rsid w:val="426052B1"/>
    <w:rsid w:val="42807174"/>
    <w:rsid w:val="428257CC"/>
    <w:rsid w:val="428E62C2"/>
    <w:rsid w:val="42B26C49"/>
    <w:rsid w:val="42C13FA2"/>
    <w:rsid w:val="42E320C4"/>
    <w:rsid w:val="42F0276F"/>
    <w:rsid w:val="433A6FE6"/>
    <w:rsid w:val="43480868"/>
    <w:rsid w:val="434C6385"/>
    <w:rsid w:val="4350713C"/>
    <w:rsid w:val="436653E0"/>
    <w:rsid w:val="437E62BA"/>
    <w:rsid w:val="43860D47"/>
    <w:rsid w:val="43C4431A"/>
    <w:rsid w:val="43CA5F68"/>
    <w:rsid w:val="43D30A32"/>
    <w:rsid w:val="43EB6CEF"/>
    <w:rsid w:val="43FD4B4E"/>
    <w:rsid w:val="44050BA8"/>
    <w:rsid w:val="44054627"/>
    <w:rsid w:val="440E33C8"/>
    <w:rsid w:val="4420782C"/>
    <w:rsid w:val="445A757A"/>
    <w:rsid w:val="449000D0"/>
    <w:rsid w:val="449148CA"/>
    <w:rsid w:val="44971D77"/>
    <w:rsid w:val="44B951CC"/>
    <w:rsid w:val="44BB7C10"/>
    <w:rsid w:val="44CD14E0"/>
    <w:rsid w:val="44E87F0C"/>
    <w:rsid w:val="44F1621F"/>
    <w:rsid w:val="44F20B0B"/>
    <w:rsid w:val="44F33748"/>
    <w:rsid w:val="45173A7B"/>
    <w:rsid w:val="452E5F4C"/>
    <w:rsid w:val="453171C5"/>
    <w:rsid w:val="45612018"/>
    <w:rsid w:val="45623C0E"/>
    <w:rsid w:val="45752C35"/>
    <w:rsid w:val="45796A8B"/>
    <w:rsid w:val="45860AB4"/>
    <w:rsid w:val="458946E9"/>
    <w:rsid w:val="45896AB0"/>
    <w:rsid w:val="458B7D2B"/>
    <w:rsid w:val="4591695C"/>
    <w:rsid w:val="45A174D8"/>
    <w:rsid w:val="45A47C0E"/>
    <w:rsid w:val="45D12A60"/>
    <w:rsid w:val="46071B0B"/>
    <w:rsid w:val="463A35E5"/>
    <w:rsid w:val="46445615"/>
    <w:rsid w:val="46577FD6"/>
    <w:rsid w:val="46627B45"/>
    <w:rsid w:val="46975587"/>
    <w:rsid w:val="46BE523C"/>
    <w:rsid w:val="46D955A7"/>
    <w:rsid w:val="46E42955"/>
    <w:rsid w:val="46F23687"/>
    <w:rsid w:val="47133957"/>
    <w:rsid w:val="471D6033"/>
    <w:rsid w:val="473D304E"/>
    <w:rsid w:val="473D7C93"/>
    <w:rsid w:val="477261B2"/>
    <w:rsid w:val="47763EAA"/>
    <w:rsid w:val="4779309D"/>
    <w:rsid w:val="477D674C"/>
    <w:rsid w:val="4792415F"/>
    <w:rsid w:val="479F17D9"/>
    <w:rsid w:val="47A07E0C"/>
    <w:rsid w:val="47B972D2"/>
    <w:rsid w:val="47C06F1E"/>
    <w:rsid w:val="47D9517B"/>
    <w:rsid w:val="47E618F3"/>
    <w:rsid w:val="48126A4D"/>
    <w:rsid w:val="482617B1"/>
    <w:rsid w:val="484B27C1"/>
    <w:rsid w:val="48522DEE"/>
    <w:rsid w:val="485446D1"/>
    <w:rsid w:val="4870272E"/>
    <w:rsid w:val="487877F8"/>
    <w:rsid w:val="488312D8"/>
    <w:rsid w:val="48957877"/>
    <w:rsid w:val="48A87089"/>
    <w:rsid w:val="48AB3482"/>
    <w:rsid w:val="48F40100"/>
    <w:rsid w:val="48FA57C3"/>
    <w:rsid w:val="4902502E"/>
    <w:rsid w:val="4959279C"/>
    <w:rsid w:val="495D254A"/>
    <w:rsid w:val="499F0B6D"/>
    <w:rsid w:val="499F6145"/>
    <w:rsid w:val="49A43D53"/>
    <w:rsid w:val="49AE31B1"/>
    <w:rsid w:val="49C7497F"/>
    <w:rsid w:val="49DC7715"/>
    <w:rsid w:val="49F10B4A"/>
    <w:rsid w:val="49FE5478"/>
    <w:rsid w:val="4A023139"/>
    <w:rsid w:val="4A0552A1"/>
    <w:rsid w:val="4A1271ED"/>
    <w:rsid w:val="4A1B607B"/>
    <w:rsid w:val="4A2D3EE0"/>
    <w:rsid w:val="4A453246"/>
    <w:rsid w:val="4A454085"/>
    <w:rsid w:val="4A6E7F88"/>
    <w:rsid w:val="4A703FE8"/>
    <w:rsid w:val="4A7B576F"/>
    <w:rsid w:val="4A9401EE"/>
    <w:rsid w:val="4AC16CB4"/>
    <w:rsid w:val="4AD470F3"/>
    <w:rsid w:val="4AEC21B4"/>
    <w:rsid w:val="4AF561A9"/>
    <w:rsid w:val="4AF931EE"/>
    <w:rsid w:val="4B0D06CC"/>
    <w:rsid w:val="4B11425C"/>
    <w:rsid w:val="4B1C3C13"/>
    <w:rsid w:val="4B266C57"/>
    <w:rsid w:val="4B403600"/>
    <w:rsid w:val="4B4B7123"/>
    <w:rsid w:val="4B6252AD"/>
    <w:rsid w:val="4B637224"/>
    <w:rsid w:val="4B7532BD"/>
    <w:rsid w:val="4B856FD3"/>
    <w:rsid w:val="4B8D35BB"/>
    <w:rsid w:val="4B9366F7"/>
    <w:rsid w:val="4B9C1A50"/>
    <w:rsid w:val="4BB01C3B"/>
    <w:rsid w:val="4BBC467C"/>
    <w:rsid w:val="4BDB4182"/>
    <w:rsid w:val="4BE37E70"/>
    <w:rsid w:val="4C1A13AB"/>
    <w:rsid w:val="4C4A0649"/>
    <w:rsid w:val="4C7E5ECA"/>
    <w:rsid w:val="4C876AA5"/>
    <w:rsid w:val="4C8C0BFE"/>
    <w:rsid w:val="4C95377B"/>
    <w:rsid w:val="4CA37C91"/>
    <w:rsid w:val="4CBF4EF2"/>
    <w:rsid w:val="4CD31AF6"/>
    <w:rsid w:val="4D0E00FB"/>
    <w:rsid w:val="4D176606"/>
    <w:rsid w:val="4D1A0EB1"/>
    <w:rsid w:val="4D2460EC"/>
    <w:rsid w:val="4D5F56A2"/>
    <w:rsid w:val="4D9A74ED"/>
    <w:rsid w:val="4D9D560B"/>
    <w:rsid w:val="4D9F361E"/>
    <w:rsid w:val="4DC61F9B"/>
    <w:rsid w:val="4DCD4142"/>
    <w:rsid w:val="4DE17EB7"/>
    <w:rsid w:val="4DE44A70"/>
    <w:rsid w:val="4DEC4FB0"/>
    <w:rsid w:val="4E075D8A"/>
    <w:rsid w:val="4E0C49E3"/>
    <w:rsid w:val="4E1B09B4"/>
    <w:rsid w:val="4E1D5E87"/>
    <w:rsid w:val="4E2704BB"/>
    <w:rsid w:val="4E3E294A"/>
    <w:rsid w:val="4E4A5ACC"/>
    <w:rsid w:val="4E6A7F72"/>
    <w:rsid w:val="4E8D38D2"/>
    <w:rsid w:val="4EA2381F"/>
    <w:rsid w:val="4EBF53E4"/>
    <w:rsid w:val="4EC00FAD"/>
    <w:rsid w:val="4EC55108"/>
    <w:rsid w:val="4ED2492C"/>
    <w:rsid w:val="4F1736AA"/>
    <w:rsid w:val="4F426636"/>
    <w:rsid w:val="4F635CE8"/>
    <w:rsid w:val="4F9843DC"/>
    <w:rsid w:val="4FB01628"/>
    <w:rsid w:val="4FC62A8C"/>
    <w:rsid w:val="4FCA2016"/>
    <w:rsid w:val="4FE20F0D"/>
    <w:rsid w:val="4FE51552"/>
    <w:rsid w:val="50006F99"/>
    <w:rsid w:val="500139CA"/>
    <w:rsid w:val="501A4F6D"/>
    <w:rsid w:val="50211E0E"/>
    <w:rsid w:val="50447FC0"/>
    <w:rsid w:val="50504C4B"/>
    <w:rsid w:val="5051142D"/>
    <w:rsid w:val="506F6E5B"/>
    <w:rsid w:val="50715259"/>
    <w:rsid w:val="509C6E7C"/>
    <w:rsid w:val="50B43398"/>
    <w:rsid w:val="50B93183"/>
    <w:rsid w:val="50BD049E"/>
    <w:rsid w:val="50C575B7"/>
    <w:rsid w:val="510864F4"/>
    <w:rsid w:val="510C35E0"/>
    <w:rsid w:val="5113341C"/>
    <w:rsid w:val="5115591D"/>
    <w:rsid w:val="51176BB7"/>
    <w:rsid w:val="512155F0"/>
    <w:rsid w:val="51295319"/>
    <w:rsid w:val="51333B62"/>
    <w:rsid w:val="5162104E"/>
    <w:rsid w:val="5168381A"/>
    <w:rsid w:val="516C289D"/>
    <w:rsid w:val="51AB78A6"/>
    <w:rsid w:val="51C32400"/>
    <w:rsid w:val="51FD2B1C"/>
    <w:rsid w:val="52087CC1"/>
    <w:rsid w:val="5214043A"/>
    <w:rsid w:val="52222D9E"/>
    <w:rsid w:val="524D4648"/>
    <w:rsid w:val="52520654"/>
    <w:rsid w:val="527B181E"/>
    <w:rsid w:val="52A27E93"/>
    <w:rsid w:val="52AD27DA"/>
    <w:rsid w:val="52C14F6D"/>
    <w:rsid w:val="52E521BF"/>
    <w:rsid w:val="52EF06B7"/>
    <w:rsid w:val="530C7FAD"/>
    <w:rsid w:val="534F6444"/>
    <w:rsid w:val="536C7C1E"/>
    <w:rsid w:val="537C6387"/>
    <w:rsid w:val="53A039CC"/>
    <w:rsid w:val="53A1505A"/>
    <w:rsid w:val="53BA2CC4"/>
    <w:rsid w:val="53C67485"/>
    <w:rsid w:val="53CF27C9"/>
    <w:rsid w:val="54063E08"/>
    <w:rsid w:val="542A140D"/>
    <w:rsid w:val="543437E8"/>
    <w:rsid w:val="54585C2E"/>
    <w:rsid w:val="547513F6"/>
    <w:rsid w:val="547F5A6B"/>
    <w:rsid w:val="54851A7F"/>
    <w:rsid w:val="54880DC3"/>
    <w:rsid w:val="549B69F9"/>
    <w:rsid w:val="54AB7EB4"/>
    <w:rsid w:val="54B74C14"/>
    <w:rsid w:val="54DA4918"/>
    <w:rsid w:val="54F73313"/>
    <w:rsid w:val="54F80955"/>
    <w:rsid w:val="550B01C3"/>
    <w:rsid w:val="551560C9"/>
    <w:rsid w:val="551911C1"/>
    <w:rsid w:val="552738E4"/>
    <w:rsid w:val="553D758D"/>
    <w:rsid w:val="554D4434"/>
    <w:rsid w:val="555170A7"/>
    <w:rsid w:val="555823FD"/>
    <w:rsid w:val="55674E7D"/>
    <w:rsid w:val="5587536D"/>
    <w:rsid w:val="559528AB"/>
    <w:rsid w:val="559B174B"/>
    <w:rsid w:val="55CE0CF4"/>
    <w:rsid w:val="55DA73FC"/>
    <w:rsid w:val="55E62390"/>
    <w:rsid w:val="561511D8"/>
    <w:rsid w:val="561A1FD7"/>
    <w:rsid w:val="563625F4"/>
    <w:rsid w:val="56394843"/>
    <w:rsid w:val="564248FE"/>
    <w:rsid w:val="56447B3C"/>
    <w:rsid w:val="56574EF1"/>
    <w:rsid w:val="56580248"/>
    <w:rsid w:val="567C0606"/>
    <w:rsid w:val="56815ACA"/>
    <w:rsid w:val="569357FD"/>
    <w:rsid w:val="56996F60"/>
    <w:rsid w:val="56B22A9C"/>
    <w:rsid w:val="56F02C50"/>
    <w:rsid w:val="57153F5A"/>
    <w:rsid w:val="573F4218"/>
    <w:rsid w:val="57494D92"/>
    <w:rsid w:val="57572CCF"/>
    <w:rsid w:val="57623B4D"/>
    <w:rsid w:val="57635F05"/>
    <w:rsid w:val="57760ECE"/>
    <w:rsid w:val="57B72A76"/>
    <w:rsid w:val="57C00874"/>
    <w:rsid w:val="57C3426C"/>
    <w:rsid w:val="57CE1F93"/>
    <w:rsid w:val="57EA42D0"/>
    <w:rsid w:val="57EB37E4"/>
    <w:rsid w:val="581C4118"/>
    <w:rsid w:val="58233794"/>
    <w:rsid w:val="583856AF"/>
    <w:rsid w:val="584414A5"/>
    <w:rsid w:val="584D407C"/>
    <w:rsid w:val="58586ADD"/>
    <w:rsid w:val="586109A0"/>
    <w:rsid w:val="58631B7F"/>
    <w:rsid w:val="58782A71"/>
    <w:rsid w:val="587933EA"/>
    <w:rsid w:val="588743D1"/>
    <w:rsid w:val="5887701A"/>
    <w:rsid w:val="589A7317"/>
    <w:rsid w:val="58D93765"/>
    <w:rsid w:val="58DF5F0C"/>
    <w:rsid w:val="58E94F67"/>
    <w:rsid w:val="58EF1411"/>
    <w:rsid w:val="591B0458"/>
    <w:rsid w:val="592F33DF"/>
    <w:rsid w:val="593133A3"/>
    <w:rsid w:val="593E3ABC"/>
    <w:rsid w:val="594C1EFB"/>
    <w:rsid w:val="596D2F3F"/>
    <w:rsid w:val="59735842"/>
    <w:rsid w:val="59C0439F"/>
    <w:rsid w:val="59C71EFF"/>
    <w:rsid w:val="59CD1F4C"/>
    <w:rsid w:val="59EE2F1B"/>
    <w:rsid w:val="5A1E6CD2"/>
    <w:rsid w:val="5A4D4013"/>
    <w:rsid w:val="5A6021E6"/>
    <w:rsid w:val="5A8010FC"/>
    <w:rsid w:val="5A856418"/>
    <w:rsid w:val="5AA52929"/>
    <w:rsid w:val="5AAC6D3A"/>
    <w:rsid w:val="5ABE2233"/>
    <w:rsid w:val="5AE61224"/>
    <w:rsid w:val="5AEB4783"/>
    <w:rsid w:val="5B0D110B"/>
    <w:rsid w:val="5B206281"/>
    <w:rsid w:val="5B5B0773"/>
    <w:rsid w:val="5B6C6C25"/>
    <w:rsid w:val="5B6D017F"/>
    <w:rsid w:val="5B7F7288"/>
    <w:rsid w:val="5B904E39"/>
    <w:rsid w:val="5B911D15"/>
    <w:rsid w:val="5B9D7D25"/>
    <w:rsid w:val="5BAF30D9"/>
    <w:rsid w:val="5BB86614"/>
    <w:rsid w:val="5BCF31F5"/>
    <w:rsid w:val="5BDC53C8"/>
    <w:rsid w:val="5BDF5D95"/>
    <w:rsid w:val="5BE10DB9"/>
    <w:rsid w:val="5BE13282"/>
    <w:rsid w:val="5BED16FB"/>
    <w:rsid w:val="5BEE2CF8"/>
    <w:rsid w:val="5BFE7528"/>
    <w:rsid w:val="5C083CBB"/>
    <w:rsid w:val="5C21192F"/>
    <w:rsid w:val="5C5E3851"/>
    <w:rsid w:val="5C690491"/>
    <w:rsid w:val="5CA14256"/>
    <w:rsid w:val="5CFC749F"/>
    <w:rsid w:val="5D1606C3"/>
    <w:rsid w:val="5D2D075A"/>
    <w:rsid w:val="5D35683B"/>
    <w:rsid w:val="5D487342"/>
    <w:rsid w:val="5D8556D0"/>
    <w:rsid w:val="5D984ACD"/>
    <w:rsid w:val="5D9D673B"/>
    <w:rsid w:val="5DA91F5E"/>
    <w:rsid w:val="5DB8110A"/>
    <w:rsid w:val="5DC34650"/>
    <w:rsid w:val="5DC73E77"/>
    <w:rsid w:val="5E2467F1"/>
    <w:rsid w:val="5E4552CE"/>
    <w:rsid w:val="5E473F98"/>
    <w:rsid w:val="5EAE28FC"/>
    <w:rsid w:val="5EB16250"/>
    <w:rsid w:val="5EB34C8F"/>
    <w:rsid w:val="5EC23EE0"/>
    <w:rsid w:val="5EC56AB8"/>
    <w:rsid w:val="5EC57DB8"/>
    <w:rsid w:val="5ED13367"/>
    <w:rsid w:val="5ED74E21"/>
    <w:rsid w:val="5F0B0627"/>
    <w:rsid w:val="5F103E8F"/>
    <w:rsid w:val="5F1A2B43"/>
    <w:rsid w:val="5F2600D6"/>
    <w:rsid w:val="5F2D3C78"/>
    <w:rsid w:val="5F406240"/>
    <w:rsid w:val="5F5E40ED"/>
    <w:rsid w:val="5F605781"/>
    <w:rsid w:val="5F74443A"/>
    <w:rsid w:val="5F755823"/>
    <w:rsid w:val="5F90015F"/>
    <w:rsid w:val="5FA61EA9"/>
    <w:rsid w:val="5FAE5456"/>
    <w:rsid w:val="5FB837BB"/>
    <w:rsid w:val="5FCE0FA6"/>
    <w:rsid w:val="5FD21144"/>
    <w:rsid w:val="5FD36F84"/>
    <w:rsid w:val="5FDD2886"/>
    <w:rsid w:val="60150BD4"/>
    <w:rsid w:val="604858AA"/>
    <w:rsid w:val="606965CF"/>
    <w:rsid w:val="606F4BE5"/>
    <w:rsid w:val="607F321E"/>
    <w:rsid w:val="60806DF2"/>
    <w:rsid w:val="60812FAE"/>
    <w:rsid w:val="60A9459B"/>
    <w:rsid w:val="60AB6F92"/>
    <w:rsid w:val="60B62419"/>
    <w:rsid w:val="60BB50E0"/>
    <w:rsid w:val="60BD0047"/>
    <w:rsid w:val="60CC405A"/>
    <w:rsid w:val="60EC4034"/>
    <w:rsid w:val="60EE640C"/>
    <w:rsid w:val="61120392"/>
    <w:rsid w:val="61251748"/>
    <w:rsid w:val="612C05C2"/>
    <w:rsid w:val="613E6964"/>
    <w:rsid w:val="613F0F94"/>
    <w:rsid w:val="61451719"/>
    <w:rsid w:val="616B7AA3"/>
    <w:rsid w:val="616D517F"/>
    <w:rsid w:val="617526CF"/>
    <w:rsid w:val="619206DD"/>
    <w:rsid w:val="619F05DB"/>
    <w:rsid w:val="61C04167"/>
    <w:rsid w:val="61CA2A1B"/>
    <w:rsid w:val="61CE5911"/>
    <w:rsid w:val="61DF5D9B"/>
    <w:rsid w:val="61E215D8"/>
    <w:rsid w:val="61F37131"/>
    <w:rsid w:val="61F411A7"/>
    <w:rsid w:val="621B3775"/>
    <w:rsid w:val="621F3247"/>
    <w:rsid w:val="62293A4C"/>
    <w:rsid w:val="62364782"/>
    <w:rsid w:val="623A6229"/>
    <w:rsid w:val="62456F59"/>
    <w:rsid w:val="62944598"/>
    <w:rsid w:val="62A8367A"/>
    <w:rsid w:val="62BE4E10"/>
    <w:rsid w:val="62CA4840"/>
    <w:rsid w:val="62CD5A06"/>
    <w:rsid w:val="62E01DCA"/>
    <w:rsid w:val="63043D0B"/>
    <w:rsid w:val="631752CA"/>
    <w:rsid w:val="631D539D"/>
    <w:rsid w:val="632B69BC"/>
    <w:rsid w:val="63517500"/>
    <w:rsid w:val="63623C96"/>
    <w:rsid w:val="63665B9D"/>
    <w:rsid w:val="63695FDF"/>
    <w:rsid w:val="637E64C5"/>
    <w:rsid w:val="63824E5B"/>
    <w:rsid w:val="6394356A"/>
    <w:rsid w:val="63C61B2C"/>
    <w:rsid w:val="63CA0336"/>
    <w:rsid w:val="63D40BE9"/>
    <w:rsid w:val="63ED6D66"/>
    <w:rsid w:val="64102431"/>
    <w:rsid w:val="64102C85"/>
    <w:rsid w:val="6418329F"/>
    <w:rsid w:val="642808EA"/>
    <w:rsid w:val="645C296C"/>
    <w:rsid w:val="64700229"/>
    <w:rsid w:val="64915A72"/>
    <w:rsid w:val="649D3BB0"/>
    <w:rsid w:val="64A5243A"/>
    <w:rsid w:val="64B84329"/>
    <w:rsid w:val="64C84327"/>
    <w:rsid w:val="64D9797F"/>
    <w:rsid w:val="64F531DE"/>
    <w:rsid w:val="65073069"/>
    <w:rsid w:val="650D2C1F"/>
    <w:rsid w:val="65182897"/>
    <w:rsid w:val="65273CE0"/>
    <w:rsid w:val="65373578"/>
    <w:rsid w:val="65376450"/>
    <w:rsid w:val="653E102A"/>
    <w:rsid w:val="654E74BF"/>
    <w:rsid w:val="655223F0"/>
    <w:rsid w:val="655338AB"/>
    <w:rsid w:val="65576BCD"/>
    <w:rsid w:val="659C39B1"/>
    <w:rsid w:val="65DD6A95"/>
    <w:rsid w:val="65E27C0D"/>
    <w:rsid w:val="660D6249"/>
    <w:rsid w:val="66342B59"/>
    <w:rsid w:val="663F4013"/>
    <w:rsid w:val="66654F32"/>
    <w:rsid w:val="66824C62"/>
    <w:rsid w:val="669C33AA"/>
    <w:rsid w:val="669F4E8A"/>
    <w:rsid w:val="66AA6977"/>
    <w:rsid w:val="66AB4640"/>
    <w:rsid w:val="66C57C55"/>
    <w:rsid w:val="66D83985"/>
    <w:rsid w:val="66E65143"/>
    <w:rsid w:val="66F340DD"/>
    <w:rsid w:val="66F73097"/>
    <w:rsid w:val="671F124A"/>
    <w:rsid w:val="67574343"/>
    <w:rsid w:val="677A33C6"/>
    <w:rsid w:val="67813030"/>
    <w:rsid w:val="67944914"/>
    <w:rsid w:val="67B05D79"/>
    <w:rsid w:val="67BB6975"/>
    <w:rsid w:val="67C14246"/>
    <w:rsid w:val="681F6961"/>
    <w:rsid w:val="683C1DB5"/>
    <w:rsid w:val="68610A2F"/>
    <w:rsid w:val="686C0D85"/>
    <w:rsid w:val="68805514"/>
    <w:rsid w:val="6898013F"/>
    <w:rsid w:val="68B13471"/>
    <w:rsid w:val="68C74E2D"/>
    <w:rsid w:val="68E359E7"/>
    <w:rsid w:val="68F05352"/>
    <w:rsid w:val="690042D1"/>
    <w:rsid w:val="69111E2C"/>
    <w:rsid w:val="692218F8"/>
    <w:rsid w:val="692A5054"/>
    <w:rsid w:val="69316E2F"/>
    <w:rsid w:val="693D18D4"/>
    <w:rsid w:val="69495BE1"/>
    <w:rsid w:val="694E2071"/>
    <w:rsid w:val="69521DAE"/>
    <w:rsid w:val="69683DEC"/>
    <w:rsid w:val="696E0130"/>
    <w:rsid w:val="69766163"/>
    <w:rsid w:val="697A3B33"/>
    <w:rsid w:val="69830923"/>
    <w:rsid w:val="69855891"/>
    <w:rsid w:val="69AB37C4"/>
    <w:rsid w:val="69B228F7"/>
    <w:rsid w:val="69CA5566"/>
    <w:rsid w:val="69D44760"/>
    <w:rsid w:val="69DE4350"/>
    <w:rsid w:val="6A07169C"/>
    <w:rsid w:val="6A340684"/>
    <w:rsid w:val="6A3D668A"/>
    <w:rsid w:val="6A520EC7"/>
    <w:rsid w:val="6A54493C"/>
    <w:rsid w:val="6A8F64E9"/>
    <w:rsid w:val="6A972D17"/>
    <w:rsid w:val="6A9D2281"/>
    <w:rsid w:val="6AB44268"/>
    <w:rsid w:val="6AB500CF"/>
    <w:rsid w:val="6AC904BD"/>
    <w:rsid w:val="6AD02EF0"/>
    <w:rsid w:val="6ADA00FB"/>
    <w:rsid w:val="6AF103A0"/>
    <w:rsid w:val="6AF87E20"/>
    <w:rsid w:val="6AFB5005"/>
    <w:rsid w:val="6B0A20DA"/>
    <w:rsid w:val="6B0F392F"/>
    <w:rsid w:val="6B322639"/>
    <w:rsid w:val="6B475D26"/>
    <w:rsid w:val="6B581098"/>
    <w:rsid w:val="6B5A3EA1"/>
    <w:rsid w:val="6B6C00C0"/>
    <w:rsid w:val="6B7B1AB7"/>
    <w:rsid w:val="6B884050"/>
    <w:rsid w:val="6BA16EB3"/>
    <w:rsid w:val="6BB05FC8"/>
    <w:rsid w:val="6BB51331"/>
    <w:rsid w:val="6BB64A11"/>
    <w:rsid w:val="6C10781A"/>
    <w:rsid w:val="6C1C513B"/>
    <w:rsid w:val="6C3977E1"/>
    <w:rsid w:val="6C40626B"/>
    <w:rsid w:val="6C5D4E58"/>
    <w:rsid w:val="6C636C38"/>
    <w:rsid w:val="6C721197"/>
    <w:rsid w:val="6C77331D"/>
    <w:rsid w:val="6C930860"/>
    <w:rsid w:val="6CA2657E"/>
    <w:rsid w:val="6CBA7B30"/>
    <w:rsid w:val="6CBB1BC1"/>
    <w:rsid w:val="6CC75394"/>
    <w:rsid w:val="6CDF30F3"/>
    <w:rsid w:val="6CFA64F6"/>
    <w:rsid w:val="6D024268"/>
    <w:rsid w:val="6D060EC7"/>
    <w:rsid w:val="6D6B009C"/>
    <w:rsid w:val="6D7A68DC"/>
    <w:rsid w:val="6D8E6720"/>
    <w:rsid w:val="6D923495"/>
    <w:rsid w:val="6DA54742"/>
    <w:rsid w:val="6DA661D3"/>
    <w:rsid w:val="6DA878D6"/>
    <w:rsid w:val="6DAA3701"/>
    <w:rsid w:val="6DB34098"/>
    <w:rsid w:val="6DB545B6"/>
    <w:rsid w:val="6DE02FB4"/>
    <w:rsid w:val="6DF517F1"/>
    <w:rsid w:val="6DF80860"/>
    <w:rsid w:val="6DFF6FEB"/>
    <w:rsid w:val="6E0E5A3E"/>
    <w:rsid w:val="6E3861FC"/>
    <w:rsid w:val="6E4F1EFF"/>
    <w:rsid w:val="6E514CED"/>
    <w:rsid w:val="6E5B08A7"/>
    <w:rsid w:val="6E680F11"/>
    <w:rsid w:val="6E777A87"/>
    <w:rsid w:val="6EA90D68"/>
    <w:rsid w:val="6EB563D5"/>
    <w:rsid w:val="6ED565D5"/>
    <w:rsid w:val="6ED92677"/>
    <w:rsid w:val="6EE113A4"/>
    <w:rsid w:val="6EE54848"/>
    <w:rsid w:val="6EE77E7D"/>
    <w:rsid w:val="6EEB37E0"/>
    <w:rsid w:val="6EED1AF7"/>
    <w:rsid w:val="6F001311"/>
    <w:rsid w:val="6F1A27FB"/>
    <w:rsid w:val="6F206165"/>
    <w:rsid w:val="6F225983"/>
    <w:rsid w:val="6F670488"/>
    <w:rsid w:val="6F6E0C98"/>
    <w:rsid w:val="6F9C3578"/>
    <w:rsid w:val="6FC838FC"/>
    <w:rsid w:val="6FDE68AE"/>
    <w:rsid w:val="6FFA6132"/>
    <w:rsid w:val="6FFC5590"/>
    <w:rsid w:val="70057AB8"/>
    <w:rsid w:val="7016469B"/>
    <w:rsid w:val="701F5F3F"/>
    <w:rsid w:val="702D6E7D"/>
    <w:rsid w:val="703630BC"/>
    <w:rsid w:val="7036748D"/>
    <w:rsid w:val="704003D9"/>
    <w:rsid w:val="705F12D9"/>
    <w:rsid w:val="706B71A3"/>
    <w:rsid w:val="706D1DD0"/>
    <w:rsid w:val="70785D38"/>
    <w:rsid w:val="7079557E"/>
    <w:rsid w:val="70856B87"/>
    <w:rsid w:val="708C3FEE"/>
    <w:rsid w:val="70AA563F"/>
    <w:rsid w:val="70C77E59"/>
    <w:rsid w:val="70D527EE"/>
    <w:rsid w:val="70DE2E58"/>
    <w:rsid w:val="70E67980"/>
    <w:rsid w:val="70E936C8"/>
    <w:rsid w:val="711041C2"/>
    <w:rsid w:val="71424DB0"/>
    <w:rsid w:val="714F5473"/>
    <w:rsid w:val="71554B8E"/>
    <w:rsid w:val="7155560C"/>
    <w:rsid w:val="715B5300"/>
    <w:rsid w:val="71631F45"/>
    <w:rsid w:val="719A423E"/>
    <w:rsid w:val="71A36DE5"/>
    <w:rsid w:val="71AF2DF4"/>
    <w:rsid w:val="71B23549"/>
    <w:rsid w:val="71D27F8A"/>
    <w:rsid w:val="71E56CF2"/>
    <w:rsid w:val="71EF552E"/>
    <w:rsid w:val="71F15DA2"/>
    <w:rsid w:val="71F80EDE"/>
    <w:rsid w:val="72083936"/>
    <w:rsid w:val="721B5AC2"/>
    <w:rsid w:val="722515A8"/>
    <w:rsid w:val="722A4E10"/>
    <w:rsid w:val="72553024"/>
    <w:rsid w:val="727B1163"/>
    <w:rsid w:val="727C2B53"/>
    <w:rsid w:val="72822E9E"/>
    <w:rsid w:val="729C651A"/>
    <w:rsid w:val="72CB2074"/>
    <w:rsid w:val="72D7317B"/>
    <w:rsid w:val="730353CE"/>
    <w:rsid w:val="73122968"/>
    <w:rsid w:val="73163EEC"/>
    <w:rsid w:val="731F5D5E"/>
    <w:rsid w:val="73203C77"/>
    <w:rsid w:val="734B217A"/>
    <w:rsid w:val="73766D20"/>
    <w:rsid w:val="73774085"/>
    <w:rsid w:val="73A66710"/>
    <w:rsid w:val="73C51AD5"/>
    <w:rsid w:val="73C9540C"/>
    <w:rsid w:val="73D83BE1"/>
    <w:rsid w:val="73DB23A9"/>
    <w:rsid w:val="73FD3C21"/>
    <w:rsid w:val="741E793C"/>
    <w:rsid w:val="74281823"/>
    <w:rsid w:val="74296511"/>
    <w:rsid w:val="74381A66"/>
    <w:rsid w:val="745C1B0B"/>
    <w:rsid w:val="745E3944"/>
    <w:rsid w:val="747B1953"/>
    <w:rsid w:val="74AE3AD6"/>
    <w:rsid w:val="74B157D7"/>
    <w:rsid w:val="74CD776B"/>
    <w:rsid w:val="751D2A0A"/>
    <w:rsid w:val="7521568D"/>
    <w:rsid w:val="753811A8"/>
    <w:rsid w:val="755503F6"/>
    <w:rsid w:val="756039C1"/>
    <w:rsid w:val="75682667"/>
    <w:rsid w:val="757209CF"/>
    <w:rsid w:val="757D0B6E"/>
    <w:rsid w:val="757F5473"/>
    <w:rsid w:val="75A31161"/>
    <w:rsid w:val="75AD6F6F"/>
    <w:rsid w:val="75B83D28"/>
    <w:rsid w:val="75BF7F65"/>
    <w:rsid w:val="75FE283B"/>
    <w:rsid w:val="7635099D"/>
    <w:rsid w:val="76454878"/>
    <w:rsid w:val="76517B15"/>
    <w:rsid w:val="76641723"/>
    <w:rsid w:val="76737E9C"/>
    <w:rsid w:val="76972E72"/>
    <w:rsid w:val="769C07B3"/>
    <w:rsid w:val="769F76C9"/>
    <w:rsid w:val="76D40C75"/>
    <w:rsid w:val="76E8255C"/>
    <w:rsid w:val="77013ACB"/>
    <w:rsid w:val="773D71A0"/>
    <w:rsid w:val="77444BC6"/>
    <w:rsid w:val="77691C43"/>
    <w:rsid w:val="776C2441"/>
    <w:rsid w:val="77752E24"/>
    <w:rsid w:val="77762421"/>
    <w:rsid w:val="77826C99"/>
    <w:rsid w:val="779D63BF"/>
    <w:rsid w:val="77A0580F"/>
    <w:rsid w:val="77A60210"/>
    <w:rsid w:val="77B56B1F"/>
    <w:rsid w:val="77C30694"/>
    <w:rsid w:val="77C6382D"/>
    <w:rsid w:val="77CF26E1"/>
    <w:rsid w:val="77D71596"/>
    <w:rsid w:val="77E2470B"/>
    <w:rsid w:val="77F37B81"/>
    <w:rsid w:val="780F09F4"/>
    <w:rsid w:val="78155EF8"/>
    <w:rsid w:val="78232A2D"/>
    <w:rsid w:val="782D2DA3"/>
    <w:rsid w:val="7844734B"/>
    <w:rsid w:val="78623556"/>
    <w:rsid w:val="78835E1A"/>
    <w:rsid w:val="78870457"/>
    <w:rsid w:val="788D6345"/>
    <w:rsid w:val="7897365A"/>
    <w:rsid w:val="78973CF5"/>
    <w:rsid w:val="789B30D4"/>
    <w:rsid w:val="78A90480"/>
    <w:rsid w:val="78CD22D3"/>
    <w:rsid w:val="78DD1773"/>
    <w:rsid w:val="78F716EF"/>
    <w:rsid w:val="78F9553C"/>
    <w:rsid w:val="793271EE"/>
    <w:rsid w:val="79416FF3"/>
    <w:rsid w:val="79434123"/>
    <w:rsid w:val="79460A68"/>
    <w:rsid w:val="794F0FE4"/>
    <w:rsid w:val="7954009B"/>
    <w:rsid w:val="79611E6B"/>
    <w:rsid w:val="798204CF"/>
    <w:rsid w:val="79866E02"/>
    <w:rsid w:val="79905EA0"/>
    <w:rsid w:val="79954AEE"/>
    <w:rsid w:val="79A00FFF"/>
    <w:rsid w:val="79BC5841"/>
    <w:rsid w:val="7A1270FD"/>
    <w:rsid w:val="7A1E16FE"/>
    <w:rsid w:val="7A364017"/>
    <w:rsid w:val="7A431165"/>
    <w:rsid w:val="7A661013"/>
    <w:rsid w:val="7A692A98"/>
    <w:rsid w:val="7A742B8F"/>
    <w:rsid w:val="7A820C3E"/>
    <w:rsid w:val="7A8265E1"/>
    <w:rsid w:val="7A9049C1"/>
    <w:rsid w:val="7A97325F"/>
    <w:rsid w:val="7A9C055A"/>
    <w:rsid w:val="7AB23C81"/>
    <w:rsid w:val="7AC322A6"/>
    <w:rsid w:val="7AD16358"/>
    <w:rsid w:val="7AD20D8A"/>
    <w:rsid w:val="7ADE49EA"/>
    <w:rsid w:val="7AEA338E"/>
    <w:rsid w:val="7AED637A"/>
    <w:rsid w:val="7AFD2A82"/>
    <w:rsid w:val="7B0A57DF"/>
    <w:rsid w:val="7B322A49"/>
    <w:rsid w:val="7B4909FD"/>
    <w:rsid w:val="7B564EC8"/>
    <w:rsid w:val="7B686D42"/>
    <w:rsid w:val="7B811F29"/>
    <w:rsid w:val="7B841746"/>
    <w:rsid w:val="7B95704A"/>
    <w:rsid w:val="7BA73FD9"/>
    <w:rsid w:val="7BC372F4"/>
    <w:rsid w:val="7C0E57A2"/>
    <w:rsid w:val="7C640510"/>
    <w:rsid w:val="7C651F0B"/>
    <w:rsid w:val="7C6C5AC7"/>
    <w:rsid w:val="7C80044E"/>
    <w:rsid w:val="7C8739C7"/>
    <w:rsid w:val="7CA92FF3"/>
    <w:rsid w:val="7CC222E2"/>
    <w:rsid w:val="7CC6544B"/>
    <w:rsid w:val="7CC9488C"/>
    <w:rsid w:val="7CD662C0"/>
    <w:rsid w:val="7CE37B3F"/>
    <w:rsid w:val="7CE729E7"/>
    <w:rsid w:val="7D0239FF"/>
    <w:rsid w:val="7D0D3E09"/>
    <w:rsid w:val="7D252DA4"/>
    <w:rsid w:val="7D272678"/>
    <w:rsid w:val="7D2B765C"/>
    <w:rsid w:val="7D3D6655"/>
    <w:rsid w:val="7D565D1B"/>
    <w:rsid w:val="7D5E40CD"/>
    <w:rsid w:val="7D851A94"/>
    <w:rsid w:val="7D857577"/>
    <w:rsid w:val="7D913F95"/>
    <w:rsid w:val="7DBC11BE"/>
    <w:rsid w:val="7DC011AC"/>
    <w:rsid w:val="7DC425BD"/>
    <w:rsid w:val="7DCD56F2"/>
    <w:rsid w:val="7DD71BA7"/>
    <w:rsid w:val="7E04380F"/>
    <w:rsid w:val="7E084A8D"/>
    <w:rsid w:val="7E176B90"/>
    <w:rsid w:val="7E2272E3"/>
    <w:rsid w:val="7E5C0A47"/>
    <w:rsid w:val="7E6F4EBA"/>
    <w:rsid w:val="7E725B75"/>
    <w:rsid w:val="7E865892"/>
    <w:rsid w:val="7E8E6727"/>
    <w:rsid w:val="7EC42A09"/>
    <w:rsid w:val="7ED61BA0"/>
    <w:rsid w:val="7EEF4EF0"/>
    <w:rsid w:val="7EF377C6"/>
    <w:rsid w:val="7F001CE7"/>
    <w:rsid w:val="7F0471B9"/>
    <w:rsid w:val="7F3948E4"/>
    <w:rsid w:val="7F4F5DB3"/>
    <w:rsid w:val="7F676DCE"/>
    <w:rsid w:val="7F6A425D"/>
    <w:rsid w:val="7FDD61A0"/>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qFormat="1"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78"/>
    <w:autoRedefine/>
    <w:qFormat/>
    <w:locked/>
    <w:uiPriority w:val="0"/>
    <w:pPr>
      <w:keepNext/>
      <w:keepLines/>
      <w:spacing w:before="260" w:after="260" w:line="416" w:lineRule="auto"/>
      <w:outlineLvl w:val="1"/>
    </w:pPr>
    <w:rPr>
      <w:rFonts w:ascii="Calibri" w:hAnsi="Calibri" w:eastAsia="仿宋_GB2312"/>
      <w:b/>
      <w:bCs/>
      <w:sz w:val="28"/>
      <w:szCs w:val="32"/>
    </w:rPr>
  </w:style>
  <w:style w:type="paragraph" w:styleId="4">
    <w:name w:val="heading 3"/>
    <w:basedOn w:val="1"/>
    <w:next w:val="5"/>
    <w:link w:val="93"/>
    <w:autoRedefine/>
    <w:qFormat/>
    <w:locked/>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119"/>
    <w:autoRedefine/>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autoRedefine/>
    <w:qFormat/>
    <w:locked/>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103"/>
    <w:autoRedefine/>
    <w:qFormat/>
    <w:locked/>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90"/>
    <w:autoRedefine/>
    <w:qFormat/>
    <w:locked/>
    <w:uiPriority w:val="0"/>
    <w:pPr>
      <w:keepNext/>
      <w:keepLines/>
      <w:spacing w:before="240" w:after="64" w:line="320" w:lineRule="auto"/>
      <w:outlineLvl w:val="6"/>
    </w:pPr>
    <w:rPr>
      <w:rFonts w:ascii="Calibri" w:hAnsi="Calibri"/>
      <w:b/>
      <w:bCs/>
      <w:sz w:val="24"/>
    </w:rPr>
  </w:style>
  <w:style w:type="paragraph" w:styleId="10">
    <w:name w:val="heading 8"/>
    <w:basedOn w:val="1"/>
    <w:next w:val="1"/>
    <w:link w:val="130"/>
    <w:autoRedefine/>
    <w:qFormat/>
    <w:locked/>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0"/>
    <w:autoRedefine/>
    <w:qFormat/>
    <w:locked/>
    <w:uiPriority w:val="0"/>
    <w:pPr>
      <w:keepNext/>
      <w:keepLines/>
      <w:spacing w:before="240" w:after="64" w:line="320" w:lineRule="auto"/>
      <w:outlineLvl w:val="8"/>
    </w:pPr>
    <w:rPr>
      <w:rFonts w:ascii="Arial" w:hAnsi="Arial" w:eastAsia="黑体"/>
      <w:szCs w:val="21"/>
    </w:rPr>
  </w:style>
  <w:style w:type="character" w:default="1" w:styleId="43">
    <w:name w:val="Default Paragraph Font"/>
    <w:autoRedefine/>
    <w:semiHidden/>
    <w:qFormat/>
    <w:uiPriority w:val="0"/>
  </w:style>
  <w:style w:type="table" w:default="1" w:styleId="41">
    <w:name w:val="Normal Table"/>
    <w:autoRedefine/>
    <w:semiHidden/>
    <w:qFormat/>
    <w:uiPriority w:val="0"/>
    <w:tblPr>
      <w:tblCellMar>
        <w:top w:w="0" w:type="dxa"/>
        <w:left w:w="108" w:type="dxa"/>
        <w:bottom w:w="0" w:type="dxa"/>
        <w:right w:w="108" w:type="dxa"/>
      </w:tblCellMar>
    </w:tblPr>
  </w:style>
  <w:style w:type="paragraph" w:styleId="5">
    <w:name w:val="Normal Indent"/>
    <w:basedOn w:val="1"/>
    <w:link w:val="56"/>
    <w:autoRedefine/>
    <w:qFormat/>
    <w:locked/>
    <w:uiPriority w:val="0"/>
    <w:pPr>
      <w:ind w:firstLine="200" w:firstLineChars="200"/>
    </w:pPr>
    <w:rPr>
      <w:sz w:val="28"/>
    </w:rPr>
  </w:style>
  <w:style w:type="paragraph" w:styleId="12">
    <w:name w:val="caption"/>
    <w:basedOn w:val="1"/>
    <w:next w:val="1"/>
    <w:autoRedefine/>
    <w:qFormat/>
    <w:locked/>
    <w:uiPriority w:val="35"/>
    <w:pPr>
      <w:keepNext/>
      <w:spacing w:before="50" w:beforeLines="50"/>
      <w:jc w:val="center"/>
    </w:pPr>
    <w:rPr>
      <w:rFonts w:ascii="Calibri" w:hAnsi="Calibri" w:eastAsia="黑体"/>
      <w:szCs w:val="20"/>
    </w:rPr>
  </w:style>
  <w:style w:type="paragraph" w:styleId="13">
    <w:name w:val="Document Map"/>
    <w:basedOn w:val="1"/>
    <w:link w:val="137"/>
    <w:autoRedefine/>
    <w:qFormat/>
    <w:locked/>
    <w:uiPriority w:val="0"/>
    <w:pPr>
      <w:shd w:val="clear" w:color="auto" w:fill="000080"/>
    </w:pPr>
    <w:rPr>
      <w:rFonts w:ascii="Calibri" w:hAnsi="Calibri"/>
      <w:szCs w:val="20"/>
    </w:rPr>
  </w:style>
  <w:style w:type="paragraph" w:styleId="14">
    <w:name w:val="annotation text"/>
    <w:basedOn w:val="1"/>
    <w:link w:val="76"/>
    <w:autoRedefine/>
    <w:qFormat/>
    <w:uiPriority w:val="0"/>
    <w:pPr>
      <w:jc w:val="left"/>
    </w:pPr>
    <w:rPr>
      <w:kern w:val="0"/>
      <w:sz w:val="24"/>
      <w:szCs w:val="20"/>
    </w:rPr>
  </w:style>
  <w:style w:type="paragraph" w:styleId="15">
    <w:name w:val="Body Text 3"/>
    <w:basedOn w:val="1"/>
    <w:link w:val="82"/>
    <w:autoRedefine/>
    <w:qFormat/>
    <w:locked/>
    <w:uiPriority w:val="0"/>
    <w:rPr>
      <w:rFonts w:ascii="宋体" w:hAnsi="Calibri"/>
      <w:szCs w:val="20"/>
    </w:rPr>
  </w:style>
  <w:style w:type="paragraph" w:styleId="16">
    <w:name w:val="Body Text"/>
    <w:basedOn w:val="1"/>
    <w:next w:val="1"/>
    <w:link w:val="113"/>
    <w:autoRedefine/>
    <w:qFormat/>
    <w:uiPriority w:val="0"/>
    <w:pPr>
      <w:widowControl/>
      <w:snapToGrid w:val="0"/>
      <w:spacing w:before="60" w:after="160" w:line="259" w:lineRule="auto"/>
      <w:ind w:right="113"/>
    </w:pPr>
    <w:rPr>
      <w:kern w:val="0"/>
      <w:sz w:val="18"/>
      <w:szCs w:val="20"/>
    </w:rPr>
  </w:style>
  <w:style w:type="paragraph" w:styleId="17">
    <w:name w:val="Body Text Indent"/>
    <w:basedOn w:val="1"/>
    <w:next w:val="1"/>
    <w:link w:val="123"/>
    <w:autoRedefine/>
    <w:qFormat/>
    <w:uiPriority w:val="0"/>
    <w:pPr>
      <w:spacing w:after="120"/>
      <w:ind w:left="420" w:leftChars="200"/>
    </w:pPr>
    <w:rPr>
      <w:kern w:val="0"/>
      <w:sz w:val="24"/>
      <w:szCs w:val="20"/>
    </w:rPr>
  </w:style>
  <w:style w:type="paragraph" w:styleId="18">
    <w:name w:val="List 2"/>
    <w:basedOn w:val="1"/>
    <w:autoRedefine/>
    <w:qFormat/>
    <w:locked/>
    <w:uiPriority w:val="0"/>
    <w:pPr>
      <w:ind w:left="100" w:leftChars="200" w:hanging="200" w:hangingChars="200"/>
    </w:pPr>
    <w:rPr>
      <w:rFonts w:ascii="Calibri" w:hAnsi="Calibri"/>
      <w:szCs w:val="20"/>
    </w:rPr>
  </w:style>
  <w:style w:type="paragraph" w:styleId="19">
    <w:name w:val="Block Text"/>
    <w:basedOn w:val="1"/>
    <w:autoRedefine/>
    <w:qFormat/>
    <w:locked/>
    <w:uiPriority w:val="0"/>
    <w:pPr>
      <w:ind w:left="-57" w:right="-57"/>
      <w:jc w:val="center"/>
    </w:pPr>
    <w:rPr>
      <w:rFonts w:ascii="宋体" w:hAnsi="MS Sans Serif"/>
      <w:color w:val="000000"/>
      <w:sz w:val="24"/>
    </w:rPr>
  </w:style>
  <w:style w:type="paragraph" w:styleId="20">
    <w:name w:val="Plain Text"/>
    <w:basedOn w:val="1"/>
    <w:next w:val="1"/>
    <w:link w:val="55"/>
    <w:autoRedefine/>
    <w:qFormat/>
    <w:locked/>
    <w:uiPriority w:val="0"/>
    <w:rPr>
      <w:rFonts w:ascii="宋体" w:hAnsi="Courier New"/>
      <w:szCs w:val="20"/>
    </w:rPr>
  </w:style>
  <w:style w:type="paragraph" w:styleId="21">
    <w:name w:val="List Bullet 5"/>
    <w:basedOn w:val="1"/>
    <w:autoRedefine/>
    <w:qFormat/>
    <w:locked/>
    <w:uiPriority w:val="0"/>
    <w:pPr>
      <w:numPr>
        <w:ilvl w:val="0"/>
        <w:numId w:val="1"/>
      </w:numPr>
    </w:pPr>
  </w:style>
  <w:style w:type="paragraph" w:styleId="22">
    <w:name w:val="Date"/>
    <w:basedOn w:val="1"/>
    <w:next w:val="1"/>
    <w:link w:val="97"/>
    <w:autoRedefine/>
    <w:qFormat/>
    <w:uiPriority w:val="0"/>
    <w:pPr>
      <w:ind w:left="100" w:leftChars="2500"/>
    </w:pPr>
    <w:rPr>
      <w:kern w:val="0"/>
      <w:sz w:val="24"/>
      <w:szCs w:val="20"/>
    </w:rPr>
  </w:style>
  <w:style w:type="paragraph" w:styleId="23">
    <w:name w:val="Body Text Indent 2"/>
    <w:basedOn w:val="1"/>
    <w:link w:val="66"/>
    <w:autoRedefine/>
    <w:qFormat/>
    <w:locked/>
    <w:uiPriority w:val="0"/>
    <w:pPr>
      <w:spacing w:line="360" w:lineRule="auto"/>
      <w:ind w:firstLine="480" w:firstLineChars="200"/>
    </w:pPr>
    <w:rPr>
      <w:color w:val="000000"/>
      <w:sz w:val="24"/>
      <w:szCs w:val="20"/>
    </w:rPr>
  </w:style>
  <w:style w:type="paragraph" w:styleId="24">
    <w:name w:val="Balloon Text"/>
    <w:basedOn w:val="1"/>
    <w:link w:val="75"/>
    <w:autoRedefine/>
    <w:qFormat/>
    <w:uiPriority w:val="0"/>
    <w:rPr>
      <w:kern w:val="0"/>
      <w:sz w:val="18"/>
      <w:szCs w:val="20"/>
    </w:rPr>
  </w:style>
  <w:style w:type="paragraph" w:styleId="25">
    <w:name w:val="footer"/>
    <w:basedOn w:val="1"/>
    <w:link w:val="67"/>
    <w:autoRedefine/>
    <w:qFormat/>
    <w:uiPriority w:val="0"/>
    <w:pPr>
      <w:tabs>
        <w:tab w:val="center" w:pos="4153"/>
        <w:tab w:val="right" w:pos="8306"/>
      </w:tabs>
      <w:snapToGrid w:val="0"/>
      <w:jc w:val="left"/>
    </w:pPr>
    <w:rPr>
      <w:kern w:val="0"/>
      <w:sz w:val="18"/>
      <w:szCs w:val="20"/>
    </w:rPr>
  </w:style>
  <w:style w:type="paragraph" w:styleId="26">
    <w:name w:val="header"/>
    <w:basedOn w:val="1"/>
    <w:link w:val="121"/>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7">
    <w:name w:val="toc 1"/>
    <w:basedOn w:val="1"/>
    <w:next w:val="1"/>
    <w:autoRedefine/>
    <w:qFormat/>
    <w:locked/>
    <w:uiPriority w:val="0"/>
    <w:pPr>
      <w:tabs>
        <w:tab w:val="left" w:pos="420"/>
        <w:tab w:val="right" w:leader="dot" w:pos="8303"/>
      </w:tabs>
    </w:pPr>
    <w:rPr>
      <w:rFonts w:ascii="仿宋_GB2312" w:hAnsi="Arial Black" w:eastAsia="仿宋_GB2312"/>
      <w:sz w:val="28"/>
      <w:szCs w:val="20"/>
    </w:rPr>
  </w:style>
  <w:style w:type="paragraph" w:styleId="28">
    <w:name w:val="toc 4"/>
    <w:basedOn w:val="1"/>
    <w:next w:val="1"/>
    <w:autoRedefine/>
    <w:qFormat/>
    <w:locked/>
    <w:uiPriority w:val="0"/>
    <w:pPr>
      <w:ind w:left="1260" w:leftChars="600"/>
    </w:pPr>
    <w:rPr>
      <w:rFonts w:ascii="Calibri" w:hAnsi="Calibri"/>
      <w:szCs w:val="20"/>
    </w:rPr>
  </w:style>
  <w:style w:type="paragraph" w:styleId="29">
    <w:name w:val="index heading"/>
    <w:basedOn w:val="1"/>
    <w:next w:val="30"/>
    <w:autoRedefine/>
    <w:qFormat/>
    <w:locked/>
    <w:uiPriority w:val="0"/>
    <w:rPr>
      <w:rFonts w:ascii="仿宋_GB2312" w:hAnsi="宋体" w:eastAsia="仿宋_GB2312"/>
      <w:b/>
      <w:bCs/>
      <w:sz w:val="28"/>
      <w:szCs w:val="20"/>
    </w:rPr>
  </w:style>
  <w:style w:type="paragraph" w:styleId="30">
    <w:name w:val="index 1"/>
    <w:basedOn w:val="1"/>
    <w:next w:val="1"/>
    <w:autoRedefine/>
    <w:qFormat/>
    <w:locked/>
    <w:uiPriority w:val="0"/>
  </w:style>
  <w:style w:type="paragraph" w:styleId="31">
    <w:name w:val="List"/>
    <w:basedOn w:val="1"/>
    <w:autoRedefine/>
    <w:qFormat/>
    <w:locked/>
    <w:uiPriority w:val="0"/>
    <w:pPr>
      <w:ind w:left="200" w:hanging="200" w:hangingChars="200"/>
    </w:pPr>
    <w:rPr>
      <w:rFonts w:ascii="Calibri" w:hAnsi="Calibri"/>
      <w:szCs w:val="20"/>
    </w:rPr>
  </w:style>
  <w:style w:type="paragraph" w:styleId="32">
    <w:name w:val="Body Text Indent 3"/>
    <w:basedOn w:val="1"/>
    <w:link w:val="65"/>
    <w:autoRedefine/>
    <w:qFormat/>
    <w:locked/>
    <w:uiPriority w:val="0"/>
    <w:pPr>
      <w:tabs>
        <w:tab w:val="left" w:pos="604"/>
      </w:tabs>
      <w:spacing w:line="360" w:lineRule="auto"/>
      <w:ind w:firstLine="600"/>
    </w:pPr>
    <w:rPr>
      <w:rFonts w:ascii="Calibri" w:hAnsi="Calibri"/>
      <w:sz w:val="24"/>
    </w:rPr>
  </w:style>
  <w:style w:type="paragraph" w:styleId="33">
    <w:name w:val="toc 2"/>
    <w:basedOn w:val="1"/>
    <w:next w:val="1"/>
    <w:autoRedefine/>
    <w:qFormat/>
    <w:locked/>
    <w:uiPriority w:val="0"/>
    <w:pPr>
      <w:ind w:left="420"/>
    </w:pPr>
    <w:rPr>
      <w:rFonts w:ascii="Calibri" w:hAnsi="Calibri"/>
      <w:szCs w:val="20"/>
    </w:rPr>
  </w:style>
  <w:style w:type="paragraph" w:styleId="34">
    <w:name w:val="Body Text 2"/>
    <w:basedOn w:val="1"/>
    <w:link w:val="72"/>
    <w:autoRedefine/>
    <w:qFormat/>
    <w:locked/>
    <w:uiPriority w:val="0"/>
    <w:rPr>
      <w:rFonts w:ascii="Calibri" w:hAnsi="Calibri"/>
      <w:b/>
      <w:bCs/>
      <w:sz w:val="24"/>
      <w:szCs w:val="20"/>
    </w:rPr>
  </w:style>
  <w:style w:type="paragraph" w:styleId="35">
    <w:name w:val="HTML Preformatted"/>
    <w:basedOn w:val="1"/>
    <w:link w:val="59"/>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6">
    <w:name w:val="Normal (Web)"/>
    <w:basedOn w:val="1"/>
    <w:link w:val="81"/>
    <w:autoRedefine/>
    <w:qFormat/>
    <w:uiPriority w:val="99"/>
    <w:pPr>
      <w:widowControl/>
      <w:spacing w:before="100" w:beforeAutospacing="1" w:after="100" w:afterAutospacing="1"/>
      <w:jc w:val="left"/>
    </w:pPr>
    <w:rPr>
      <w:rFonts w:ascii="宋体" w:hAnsi="宋体"/>
      <w:kern w:val="0"/>
      <w:sz w:val="24"/>
      <w:szCs w:val="20"/>
    </w:rPr>
  </w:style>
  <w:style w:type="paragraph" w:styleId="37">
    <w:name w:val="Title"/>
    <w:basedOn w:val="1"/>
    <w:link w:val="71"/>
    <w:autoRedefine/>
    <w:qFormat/>
    <w:locked/>
    <w:uiPriority w:val="0"/>
    <w:pPr>
      <w:adjustRightInd w:val="0"/>
      <w:snapToGrid w:val="0"/>
      <w:spacing w:before="240" w:after="240" w:line="300" w:lineRule="auto"/>
      <w:jc w:val="left"/>
      <w:outlineLvl w:val="0"/>
    </w:pPr>
    <w:rPr>
      <w:rFonts w:ascii="仿宋_GB2312" w:hAnsi="Arial" w:eastAsia="仿宋_GB2312"/>
      <w:b/>
      <w:bCs/>
      <w:sz w:val="32"/>
      <w:szCs w:val="32"/>
    </w:rPr>
  </w:style>
  <w:style w:type="paragraph" w:styleId="38">
    <w:name w:val="annotation subject"/>
    <w:basedOn w:val="14"/>
    <w:next w:val="14"/>
    <w:link w:val="89"/>
    <w:autoRedefine/>
    <w:qFormat/>
    <w:uiPriority w:val="0"/>
    <w:rPr>
      <w:b/>
      <w:kern w:val="2"/>
    </w:rPr>
  </w:style>
  <w:style w:type="paragraph" w:styleId="39">
    <w:name w:val="Body Text First Indent"/>
    <w:basedOn w:val="16"/>
    <w:next w:val="1"/>
    <w:link w:val="98"/>
    <w:autoRedefine/>
    <w:qFormat/>
    <w:locked/>
    <w:uiPriority w:val="0"/>
    <w:pPr>
      <w:widowControl w:val="0"/>
      <w:snapToGrid/>
      <w:spacing w:before="0" w:after="120" w:line="240" w:lineRule="auto"/>
      <w:ind w:right="0" w:firstLine="420" w:firstLineChars="100"/>
    </w:pPr>
    <w:rPr>
      <w:kern w:val="2"/>
      <w:sz w:val="21"/>
    </w:rPr>
  </w:style>
  <w:style w:type="paragraph" w:styleId="40">
    <w:name w:val="Body Text First Indent 2"/>
    <w:basedOn w:val="17"/>
    <w:next w:val="39"/>
    <w:link w:val="74"/>
    <w:autoRedefine/>
    <w:qFormat/>
    <w:locked/>
    <w:uiPriority w:val="0"/>
    <w:pPr>
      <w:ind w:firstLine="420" w:firstLineChars="200"/>
    </w:pPr>
    <w:rPr>
      <w:rFonts w:ascii="Calibri" w:hAnsi="Calibri"/>
      <w:kern w:val="2"/>
      <w:sz w:val="21"/>
    </w:rPr>
  </w:style>
  <w:style w:type="table" w:styleId="42">
    <w:name w:val="Table Grid"/>
    <w:basedOn w:val="41"/>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locked/>
    <w:uiPriority w:val="0"/>
    <w:rPr>
      <w:b/>
      <w:bCs/>
      <w:sz w:val="24"/>
      <w:szCs w:val="24"/>
    </w:rPr>
  </w:style>
  <w:style w:type="character" w:styleId="45">
    <w:name w:val="page number"/>
    <w:autoRedefine/>
    <w:qFormat/>
    <w:locked/>
    <w:uiPriority w:val="0"/>
  </w:style>
  <w:style w:type="character" w:styleId="46">
    <w:name w:val="FollowedHyperlink"/>
    <w:autoRedefine/>
    <w:qFormat/>
    <w:locked/>
    <w:uiPriority w:val="0"/>
    <w:rPr>
      <w:color w:val="800080"/>
      <w:u w:val="single"/>
    </w:rPr>
  </w:style>
  <w:style w:type="character" w:styleId="47">
    <w:name w:val="Hyperlink"/>
    <w:autoRedefine/>
    <w:qFormat/>
    <w:locked/>
    <w:uiPriority w:val="0"/>
    <w:rPr>
      <w:color w:val="0000FF"/>
      <w:u w:val="single"/>
    </w:rPr>
  </w:style>
  <w:style w:type="character" w:styleId="48">
    <w:name w:val="annotation reference"/>
    <w:autoRedefine/>
    <w:qFormat/>
    <w:uiPriority w:val="0"/>
    <w:rPr>
      <w:sz w:val="21"/>
    </w:rPr>
  </w:style>
  <w:style w:type="paragraph" w:customStyle="1" w:styleId="49">
    <w:name w:val="正文缩进2"/>
    <w:basedOn w:val="1"/>
    <w:autoRedefine/>
    <w:qFormat/>
    <w:uiPriority w:val="0"/>
    <w:pPr>
      <w:ind w:firstLine="200" w:firstLineChars="200"/>
    </w:pPr>
    <w:rPr>
      <w:rFonts w:ascii="Calibri" w:hAnsi="Calibri"/>
      <w:sz w:val="24"/>
      <w:szCs w:val="20"/>
    </w:rPr>
  </w:style>
  <w:style w:type="paragraph" w:customStyle="1" w:styleId="50">
    <w:name w:val="Default"/>
    <w:basedOn w:val="51"/>
    <w:next w:val="1"/>
    <w:autoRedefine/>
    <w:qFormat/>
    <w:uiPriority w:val="0"/>
    <w:pPr>
      <w:autoSpaceDE w:val="0"/>
      <w:autoSpaceDN w:val="0"/>
      <w:adjustRightInd w:val="0"/>
    </w:pPr>
    <w:rPr>
      <w:rFonts w:ascii="宋体" w:hAnsi="Calibri" w:eastAsia="宋体" w:cs="Times New Roman"/>
      <w:color w:val="000000"/>
      <w:sz w:val="24"/>
      <w:szCs w:val="24"/>
      <w:lang w:val="en-US" w:eastAsia="en-US" w:bidi="ar-SA"/>
    </w:rPr>
  </w:style>
  <w:style w:type="paragraph" w:customStyle="1" w:styleId="5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52">
    <w:name w:val="样式1"/>
    <w:basedOn w:val="4"/>
    <w:next w:val="1"/>
    <w:autoRedefine/>
    <w:qFormat/>
    <w:uiPriority w:val="0"/>
    <w:pPr>
      <w:tabs>
        <w:tab w:val="left" w:pos="1740"/>
      </w:tabs>
      <w:adjustRightInd w:val="0"/>
      <w:snapToGrid w:val="0"/>
      <w:spacing w:before="120" w:after="120" w:line="300" w:lineRule="auto"/>
      <w:ind w:left="720" w:hanging="720"/>
    </w:pPr>
    <w:rPr>
      <w:rFonts w:eastAsia="仿宋_GB2312"/>
      <w:b w:val="0"/>
      <w:bCs w:val="0"/>
      <w:color w:val="0000FF"/>
      <w:sz w:val="28"/>
      <w:szCs w:val="28"/>
    </w:rPr>
  </w:style>
  <w:style w:type="character" w:customStyle="1" w:styleId="53">
    <w:name w:val="apple-converted-space"/>
    <w:autoRedefine/>
    <w:qFormat/>
    <w:uiPriority w:val="0"/>
    <w:rPr>
      <w:sz w:val="24"/>
      <w:szCs w:val="24"/>
    </w:rPr>
  </w:style>
  <w:style w:type="character" w:customStyle="1" w:styleId="54">
    <w:name w:val="正文缩进1"/>
    <w:autoRedefine/>
    <w:qFormat/>
    <w:uiPriority w:val="0"/>
    <w:rPr>
      <w:rFonts w:eastAsia="宋体"/>
      <w:kern w:val="2"/>
      <w:sz w:val="28"/>
      <w:szCs w:val="24"/>
      <w:lang w:val="en-US" w:eastAsia="zh-CN" w:bidi="ar-SA"/>
    </w:rPr>
  </w:style>
  <w:style w:type="character" w:customStyle="1" w:styleId="55">
    <w:name w:val="纯文本 Char"/>
    <w:link w:val="20"/>
    <w:autoRedefine/>
    <w:qFormat/>
    <w:uiPriority w:val="0"/>
    <w:rPr>
      <w:rFonts w:ascii="宋体" w:hAnsi="Courier New"/>
      <w:kern w:val="2"/>
      <w:sz w:val="21"/>
    </w:rPr>
  </w:style>
  <w:style w:type="character" w:customStyle="1" w:styleId="56">
    <w:name w:val="正文缩进 Char"/>
    <w:link w:val="5"/>
    <w:autoRedefine/>
    <w:qFormat/>
    <w:uiPriority w:val="0"/>
    <w:rPr>
      <w:kern w:val="2"/>
      <w:sz w:val="28"/>
      <w:szCs w:val="24"/>
    </w:rPr>
  </w:style>
  <w:style w:type="character" w:customStyle="1" w:styleId="57">
    <w:name w:val="新正文 Char Char"/>
    <w:link w:val="58"/>
    <w:autoRedefine/>
    <w:qFormat/>
    <w:uiPriority w:val="0"/>
    <w:rPr>
      <w:rFonts w:ascii="仿宋_GB2312" w:eastAsia="仿宋_GB2312"/>
      <w:bCs/>
      <w:sz w:val="28"/>
    </w:rPr>
  </w:style>
  <w:style w:type="paragraph" w:customStyle="1" w:styleId="58">
    <w:name w:val="新正文"/>
    <w:basedOn w:val="1"/>
    <w:link w:val="57"/>
    <w:autoRedefine/>
    <w:qFormat/>
    <w:uiPriority w:val="0"/>
    <w:pPr>
      <w:spacing w:line="500" w:lineRule="exact"/>
      <w:ind w:firstLine="510"/>
    </w:pPr>
    <w:rPr>
      <w:rFonts w:ascii="仿宋_GB2312" w:eastAsia="仿宋_GB2312"/>
      <w:bCs/>
      <w:kern w:val="0"/>
      <w:sz w:val="28"/>
      <w:szCs w:val="20"/>
    </w:rPr>
  </w:style>
  <w:style w:type="character" w:customStyle="1" w:styleId="59">
    <w:name w:val="HTML 预设格式 Char"/>
    <w:link w:val="35"/>
    <w:autoRedefine/>
    <w:qFormat/>
    <w:uiPriority w:val="0"/>
    <w:rPr>
      <w:rFonts w:ascii="宋体" w:hAnsi="宋体" w:cs="宋体"/>
      <w:sz w:val="24"/>
      <w:szCs w:val="24"/>
    </w:rPr>
  </w:style>
  <w:style w:type="character" w:customStyle="1" w:styleId="60">
    <w:name w:val="标题 9 Char"/>
    <w:link w:val="11"/>
    <w:autoRedefine/>
    <w:qFormat/>
    <w:uiPriority w:val="0"/>
    <w:rPr>
      <w:rFonts w:ascii="Arial" w:hAnsi="Arial" w:eastAsia="黑体"/>
      <w:kern w:val="2"/>
      <w:sz w:val="21"/>
      <w:szCs w:val="21"/>
    </w:rPr>
  </w:style>
  <w:style w:type="character" w:customStyle="1" w:styleId="61">
    <w:name w:val="hangg"/>
    <w:autoRedefine/>
    <w:qFormat/>
    <w:uiPriority w:val="0"/>
    <w:rPr>
      <w:sz w:val="24"/>
      <w:szCs w:val="24"/>
    </w:rPr>
  </w:style>
  <w:style w:type="character" w:customStyle="1" w:styleId="62">
    <w:name w:val="by12h1"/>
    <w:autoRedefine/>
    <w:qFormat/>
    <w:uiPriority w:val="0"/>
    <w:rPr>
      <w:rFonts w:hint="eastAsia" w:ascii="宋体" w:hAnsi="宋体" w:eastAsia="宋体"/>
      <w:sz w:val="18"/>
      <w:szCs w:val="18"/>
    </w:rPr>
  </w:style>
  <w:style w:type="character" w:customStyle="1" w:styleId="63">
    <w:name w:val="页脚 字符"/>
    <w:autoRedefine/>
    <w:qFormat/>
    <w:uiPriority w:val="99"/>
  </w:style>
  <w:style w:type="character" w:customStyle="1" w:styleId="64">
    <w:name w:val="font21"/>
    <w:autoRedefine/>
    <w:qFormat/>
    <w:uiPriority w:val="0"/>
    <w:rPr>
      <w:rFonts w:hint="default" w:ascii="Times New Roman" w:hAnsi="Times New Roman" w:cs="Times New Roman"/>
      <w:color w:val="000000"/>
      <w:sz w:val="24"/>
      <w:szCs w:val="24"/>
      <w:u w:val="none"/>
    </w:rPr>
  </w:style>
  <w:style w:type="character" w:customStyle="1" w:styleId="65">
    <w:name w:val="正文文本缩进 3 Char"/>
    <w:link w:val="32"/>
    <w:autoRedefine/>
    <w:qFormat/>
    <w:uiPriority w:val="0"/>
    <w:rPr>
      <w:rFonts w:ascii="Calibri" w:hAnsi="Calibri"/>
      <w:kern w:val="2"/>
      <w:sz w:val="24"/>
      <w:szCs w:val="24"/>
    </w:rPr>
  </w:style>
  <w:style w:type="character" w:customStyle="1" w:styleId="66">
    <w:name w:val="正文文本缩进 2 Char"/>
    <w:link w:val="23"/>
    <w:autoRedefine/>
    <w:qFormat/>
    <w:uiPriority w:val="0"/>
    <w:rPr>
      <w:color w:val="000000"/>
      <w:kern w:val="2"/>
      <w:sz w:val="24"/>
    </w:rPr>
  </w:style>
  <w:style w:type="character" w:customStyle="1" w:styleId="67">
    <w:name w:val="页脚 Char"/>
    <w:link w:val="25"/>
    <w:autoRedefine/>
    <w:qFormat/>
    <w:locked/>
    <w:uiPriority w:val="0"/>
    <w:rPr>
      <w:sz w:val="18"/>
    </w:rPr>
  </w:style>
  <w:style w:type="character" w:customStyle="1" w:styleId="68">
    <w:name w:val="head121"/>
    <w:autoRedefine/>
    <w:qFormat/>
    <w:uiPriority w:val="0"/>
    <w:rPr>
      <w:sz w:val="22"/>
      <w:szCs w:val="22"/>
    </w:rPr>
  </w:style>
  <w:style w:type="character" w:customStyle="1" w:styleId="69">
    <w:name w:val="headline-content2"/>
    <w:autoRedefine/>
    <w:qFormat/>
    <w:uiPriority w:val="0"/>
    <w:rPr>
      <w:sz w:val="24"/>
      <w:szCs w:val="24"/>
    </w:rPr>
  </w:style>
  <w:style w:type="character" w:customStyle="1" w:styleId="70">
    <w:name w:val="12b1"/>
    <w:autoRedefine/>
    <w:qFormat/>
    <w:uiPriority w:val="0"/>
    <w:rPr>
      <w:sz w:val="18"/>
      <w:szCs w:val="18"/>
    </w:rPr>
  </w:style>
  <w:style w:type="character" w:customStyle="1" w:styleId="71">
    <w:name w:val="标题 Char"/>
    <w:link w:val="37"/>
    <w:autoRedefine/>
    <w:qFormat/>
    <w:uiPriority w:val="0"/>
    <w:rPr>
      <w:rFonts w:ascii="仿宋_GB2312" w:hAnsi="Arial" w:eastAsia="仿宋_GB2312" w:cs="Arial"/>
      <w:b/>
      <w:bCs/>
      <w:kern w:val="2"/>
      <w:sz w:val="32"/>
      <w:szCs w:val="32"/>
    </w:rPr>
  </w:style>
  <w:style w:type="character" w:customStyle="1" w:styleId="72">
    <w:name w:val="正文文本 2 Char"/>
    <w:link w:val="34"/>
    <w:autoRedefine/>
    <w:qFormat/>
    <w:uiPriority w:val="0"/>
    <w:rPr>
      <w:rFonts w:ascii="Calibri" w:hAnsi="Calibri"/>
      <w:b/>
      <w:bCs/>
      <w:kern w:val="2"/>
      <w:sz w:val="24"/>
    </w:rPr>
  </w:style>
  <w:style w:type="character" w:customStyle="1" w:styleId="73">
    <w:name w:val="HTML 预设格式 Char1"/>
    <w:autoRedefine/>
    <w:qFormat/>
    <w:uiPriority w:val="0"/>
    <w:rPr>
      <w:rFonts w:ascii="Courier New" w:hAnsi="Courier New" w:cs="Courier New"/>
      <w:kern w:val="2"/>
    </w:rPr>
  </w:style>
  <w:style w:type="character" w:customStyle="1" w:styleId="74">
    <w:name w:val="正文首行缩进 2 Char"/>
    <w:link w:val="40"/>
    <w:autoRedefine/>
    <w:qFormat/>
    <w:uiPriority w:val="0"/>
    <w:rPr>
      <w:rFonts w:ascii="Calibri" w:hAnsi="Calibri" w:eastAsia="宋体"/>
      <w:kern w:val="2"/>
      <w:sz w:val="21"/>
    </w:rPr>
  </w:style>
  <w:style w:type="character" w:customStyle="1" w:styleId="75">
    <w:name w:val="批注框文本 Char"/>
    <w:link w:val="24"/>
    <w:autoRedefine/>
    <w:semiHidden/>
    <w:qFormat/>
    <w:locked/>
    <w:uiPriority w:val="0"/>
    <w:rPr>
      <w:rFonts w:ascii="Times New Roman" w:hAnsi="Times New Roman" w:eastAsia="宋体"/>
      <w:sz w:val="18"/>
    </w:rPr>
  </w:style>
  <w:style w:type="character" w:customStyle="1" w:styleId="76">
    <w:name w:val="批注文字 Char"/>
    <w:link w:val="14"/>
    <w:autoRedefine/>
    <w:qFormat/>
    <w:locked/>
    <w:uiPriority w:val="0"/>
    <w:rPr>
      <w:rFonts w:ascii="Times New Roman" w:hAnsi="Times New Roman" w:eastAsia="宋体"/>
      <w:sz w:val="24"/>
    </w:rPr>
  </w:style>
  <w:style w:type="character" w:customStyle="1" w:styleId="77">
    <w:name w:val="纯文本 Char2"/>
    <w:autoRedefine/>
    <w:qFormat/>
    <w:uiPriority w:val="0"/>
    <w:rPr>
      <w:rFonts w:ascii="宋体" w:hAnsi="Courier New" w:cs="Courier New"/>
      <w:kern w:val="2"/>
      <w:sz w:val="21"/>
      <w:szCs w:val="21"/>
    </w:rPr>
  </w:style>
  <w:style w:type="character" w:customStyle="1" w:styleId="78">
    <w:name w:val="标题 2 Char"/>
    <w:link w:val="3"/>
    <w:autoRedefine/>
    <w:qFormat/>
    <w:uiPriority w:val="0"/>
    <w:rPr>
      <w:rFonts w:ascii="Calibri" w:hAnsi="Calibri" w:eastAsia="仿宋_GB2312"/>
      <w:b/>
      <w:bCs/>
      <w:kern w:val="2"/>
      <w:sz w:val="28"/>
      <w:szCs w:val="32"/>
    </w:rPr>
  </w:style>
  <w:style w:type="character" w:customStyle="1" w:styleId="79">
    <w:name w:val="表格文字 Char Char"/>
    <w:link w:val="80"/>
    <w:autoRedefine/>
    <w:qFormat/>
    <w:uiPriority w:val="0"/>
    <w:rPr>
      <w:rFonts w:ascii="仿宋_GB2312" w:hAnsi="Arial Black" w:eastAsia="仿宋_GB2312"/>
      <w:kern w:val="44"/>
      <w:sz w:val="24"/>
    </w:rPr>
  </w:style>
  <w:style w:type="paragraph" w:customStyle="1" w:styleId="80">
    <w:name w:val="表格文字"/>
    <w:basedOn w:val="1"/>
    <w:link w:val="79"/>
    <w:autoRedefine/>
    <w:qFormat/>
    <w:uiPriority w:val="0"/>
    <w:pPr>
      <w:jc w:val="center"/>
    </w:pPr>
    <w:rPr>
      <w:rFonts w:ascii="仿宋_GB2312" w:hAnsi="Arial Black" w:eastAsia="仿宋_GB2312"/>
      <w:kern w:val="44"/>
      <w:sz w:val="24"/>
      <w:szCs w:val="20"/>
    </w:rPr>
  </w:style>
  <w:style w:type="character" w:customStyle="1" w:styleId="81">
    <w:name w:val="普通(网站) Char"/>
    <w:link w:val="36"/>
    <w:autoRedefine/>
    <w:qFormat/>
    <w:locked/>
    <w:uiPriority w:val="0"/>
    <w:rPr>
      <w:rFonts w:ascii="宋体" w:hAnsi="宋体" w:eastAsia="宋体"/>
      <w:sz w:val="24"/>
    </w:rPr>
  </w:style>
  <w:style w:type="character" w:customStyle="1" w:styleId="82">
    <w:name w:val="正文文本 3 Char"/>
    <w:link w:val="15"/>
    <w:autoRedefine/>
    <w:qFormat/>
    <w:uiPriority w:val="0"/>
    <w:rPr>
      <w:rFonts w:ascii="宋体" w:hAnsi="Calibri"/>
      <w:kern w:val="2"/>
      <w:sz w:val="21"/>
    </w:rPr>
  </w:style>
  <w:style w:type="character" w:customStyle="1" w:styleId="83">
    <w:name w:val="样式 表格 + 黑色 Char Char"/>
    <w:link w:val="84"/>
    <w:autoRedefine/>
    <w:qFormat/>
    <w:uiPriority w:val="0"/>
    <w:rPr>
      <w:color w:val="000000"/>
      <w:spacing w:val="-4"/>
      <w:kern w:val="2"/>
      <w:sz w:val="21"/>
      <w:szCs w:val="21"/>
    </w:rPr>
  </w:style>
  <w:style w:type="paragraph" w:customStyle="1" w:styleId="84">
    <w:name w:val="样式 表格 + 黑色"/>
    <w:basedOn w:val="85"/>
    <w:link w:val="83"/>
    <w:autoRedefine/>
    <w:qFormat/>
    <w:uiPriority w:val="0"/>
    <w:pPr>
      <w:spacing w:beforeLines="0" w:afterLines="0" w:line="240" w:lineRule="auto"/>
    </w:pPr>
    <w:rPr>
      <w:rFonts w:ascii="Times New Roman"/>
      <w:color w:val="000000"/>
      <w:spacing w:val="-4"/>
      <w:kern w:val="2"/>
      <w:szCs w:val="21"/>
    </w:rPr>
  </w:style>
  <w:style w:type="paragraph" w:customStyle="1" w:styleId="85">
    <w:name w:val="表格"/>
    <w:basedOn w:val="86"/>
    <w:next w:val="1"/>
    <w:link w:val="101"/>
    <w:autoRedefine/>
    <w:qFormat/>
    <w:uiPriority w:val="0"/>
    <w:pPr>
      <w:adjustRightInd w:val="0"/>
      <w:snapToGrid w:val="0"/>
      <w:spacing w:beforeLines="10" w:afterLines="10" w:line="259" w:lineRule="auto"/>
      <w:jc w:val="center"/>
    </w:pPr>
    <w:rPr>
      <w:rFonts w:ascii="宋体"/>
      <w:kern w:val="0"/>
      <w:szCs w:val="20"/>
    </w:rPr>
  </w:style>
  <w:style w:type="paragraph" w:customStyle="1" w:styleId="86">
    <w:name w:val="表头"/>
    <w:basedOn w:val="5"/>
    <w:next w:val="1"/>
    <w:autoRedefine/>
    <w:qFormat/>
    <w:uiPriority w:val="0"/>
    <w:pPr>
      <w:ind w:firstLine="2042" w:firstLineChars="850"/>
    </w:pPr>
    <w:rPr>
      <w:rFonts w:ascii="Calibri" w:hAnsi="宋体"/>
      <w:b/>
      <w:bCs/>
      <w:color w:val="000000"/>
      <w:sz w:val="24"/>
      <w:szCs w:val="20"/>
    </w:rPr>
  </w:style>
  <w:style w:type="character" w:customStyle="1" w:styleId="87">
    <w:name w:val="文字 Char"/>
    <w:link w:val="88"/>
    <w:autoRedefine/>
    <w:qFormat/>
    <w:uiPriority w:val="99"/>
    <w:rPr>
      <w:kern w:val="2"/>
      <w:sz w:val="24"/>
      <w:szCs w:val="24"/>
    </w:rPr>
  </w:style>
  <w:style w:type="paragraph" w:customStyle="1" w:styleId="88">
    <w:name w:val="文字"/>
    <w:basedOn w:val="1"/>
    <w:link w:val="87"/>
    <w:autoRedefine/>
    <w:qFormat/>
    <w:uiPriority w:val="99"/>
    <w:pPr>
      <w:spacing w:line="360" w:lineRule="auto"/>
      <w:ind w:firstLine="200" w:firstLineChars="200"/>
    </w:pPr>
    <w:rPr>
      <w:sz w:val="24"/>
    </w:rPr>
  </w:style>
  <w:style w:type="character" w:customStyle="1" w:styleId="89">
    <w:name w:val="批注主题 Char"/>
    <w:link w:val="38"/>
    <w:autoRedefine/>
    <w:qFormat/>
    <w:locked/>
    <w:uiPriority w:val="0"/>
    <w:rPr>
      <w:rFonts w:ascii="Times New Roman" w:hAnsi="Times New Roman" w:eastAsia="宋体"/>
      <w:b/>
      <w:kern w:val="2"/>
      <w:sz w:val="24"/>
    </w:rPr>
  </w:style>
  <w:style w:type="character" w:customStyle="1" w:styleId="90">
    <w:name w:val="标题 7 Char"/>
    <w:link w:val="9"/>
    <w:autoRedefine/>
    <w:qFormat/>
    <w:uiPriority w:val="0"/>
    <w:rPr>
      <w:rFonts w:ascii="Calibri" w:hAnsi="Calibri"/>
      <w:b/>
      <w:bCs/>
      <w:kern w:val="2"/>
      <w:sz w:val="24"/>
      <w:szCs w:val="24"/>
    </w:rPr>
  </w:style>
  <w:style w:type="character" w:customStyle="1" w:styleId="91">
    <w:name w:val="谏壁正文chen Char Char"/>
    <w:link w:val="92"/>
    <w:autoRedefine/>
    <w:qFormat/>
    <w:uiPriority w:val="0"/>
    <w:rPr>
      <w:kern w:val="2"/>
      <w:sz w:val="24"/>
      <w:szCs w:val="24"/>
    </w:rPr>
  </w:style>
  <w:style w:type="paragraph" w:customStyle="1" w:styleId="92">
    <w:name w:val="谏壁正文chen"/>
    <w:basedOn w:val="1"/>
    <w:link w:val="91"/>
    <w:autoRedefine/>
    <w:qFormat/>
    <w:uiPriority w:val="0"/>
    <w:pPr>
      <w:spacing w:line="360" w:lineRule="auto"/>
      <w:ind w:firstLine="200" w:firstLineChars="200"/>
    </w:pPr>
    <w:rPr>
      <w:sz w:val="24"/>
    </w:rPr>
  </w:style>
  <w:style w:type="character" w:customStyle="1" w:styleId="93">
    <w:name w:val="标题 3 Char"/>
    <w:link w:val="4"/>
    <w:autoRedefine/>
    <w:qFormat/>
    <w:uiPriority w:val="0"/>
    <w:rPr>
      <w:rFonts w:ascii="Calibri" w:hAnsi="Calibri"/>
      <w:b/>
      <w:bCs/>
      <w:kern w:val="2"/>
      <w:sz w:val="32"/>
      <w:szCs w:val="32"/>
    </w:rPr>
  </w:style>
  <w:style w:type="character" w:customStyle="1" w:styleId="94">
    <w:name w:val="aar_9ptcopy1"/>
    <w:autoRedefine/>
    <w:qFormat/>
    <w:uiPriority w:val="0"/>
    <w:rPr>
      <w:rFonts w:hint="default" w:ascii="ˎ̥" w:hAnsi="ˎ̥"/>
      <w:sz w:val="18"/>
      <w:szCs w:val="18"/>
    </w:rPr>
  </w:style>
  <w:style w:type="character" w:customStyle="1" w:styleId="95">
    <w:name w:val="纯文本 Char1"/>
    <w:link w:val="96"/>
    <w:autoRedefine/>
    <w:qFormat/>
    <w:uiPriority w:val="99"/>
    <w:rPr>
      <w:rFonts w:ascii="宋体" w:hAnsi="Courier New"/>
      <w:kern w:val="2"/>
      <w:sz w:val="21"/>
    </w:rPr>
  </w:style>
  <w:style w:type="paragraph" w:customStyle="1" w:styleId="96">
    <w:name w:val="纯文本1"/>
    <w:basedOn w:val="1"/>
    <w:link w:val="95"/>
    <w:autoRedefine/>
    <w:qFormat/>
    <w:uiPriority w:val="99"/>
    <w:rPr>
      <w:rFonts w:ascii="宋体" w:hAnsi="Courier New"/>
      <w:szCs w:val="20"/>
    </w:rPr>
  </w:style>
  <w:style w:type="character" w:customStyle="1" w:styleId="97">
    <w:name w:val="日期 Char"/>
    <w:link w:val="22"/>
    <w:autoRedefine/>
    <w:qFormat/>
    <w:locked/>
    <w:uiPriority w:val="0"/>
    <w:rPr>
      <w:rFonts w:ascii="Times New Roman" w:hAnsi="Times New Roman" w:eastAsia="宋体"/>
      <w:sz w:val="24"/>
    </w:rPr>
  </w:style>
  <w:style w:type="character" w:customStyle="1" w:styleId="98">
    <w:name w:val="正文首行缩进 Char"/>
    <w:link w:val="39"/>
    <w:autoRedefine/>
    <w:qFormat/>
    <w:uiPriority w:val="0"/>
    <w:rPr>
      <w:kern w:val="2"/>
      <w:sz w:val="21"/>
    </w:rPr>
  </w:style>
  <w:style w:type="character" w:customStyle="1" w:styleId="99">
    <w:name w:val="text31"/>
    <w:autoRedefine/>
    <w:qFormat/>
    <w:uiPriority w:val="0"/>
    <w:rPr>
      <w:rFonts w:hint="eastAsia" w:ascii="宋体" w:hAnsi="宋体" w:eastAsia="宋体"/>
      <w:color w:val="673434"/>
      <w:sz w:val="22"/>
      <w:u w:val="none"/>
    </w:rPr>
  </w:style>
  <w:style w:type="character" w:customStyle="1" w:styleId="100">
    <w:name w:val="标题 5 Char"/>
    <w:link w:val="7"/>
    <w:autoRedefine/>
    <w:qFormat/>
    <w:uiPriority w:val="0"/>
    <w:rPr>
      <w:rFonts w:ascii="Calibri" w:hAnsi="Calibri"/>
      <w:b/>
      <w:bCs/>
      <w:kern w:val="2"/>
      <w:sz w:val="28"/>
      <w:szCs w:val="28"/>
    </w:rPr>
  </w:style>
  <w:style w:type="character" w:customStyle="1" w:styleId="101">
    <w:name w:val="表格 Char"/>
    <w:link w:val="85"/>
    <w:autoRedefine/>
    <w:qFormat/>
    <w:locked/>
    <w:uiPriority w:val="0"/>
    <w:rPr>
      <w:rFonts w:ascii="宋体"/>
      <w:sz w:val="21"/>
    </w:rPr>
  </w:style>
  <w:style w:type="character" w:customStyle="1" w:styleId="102">
    <w:name w:val="日期 字符"/>
    <w:autoRedefine/>
    <w:semiHidden/>
    <w:qFormat/>
    <w:uiPriority w:val="0"/>
    <w:rPr>
      <w:rFonts w:ascii="Times New Roman" w:hAnsi="Times New Roman" w:eastAsia="宋体"/>
      <w:sz w:val="24"/>
    </w:rPr>
  </w:style>
  <w:style w:type="character" w:customStyle="1" w:styleId="103">
    <w:name w:val="标题 6 Char"/>
    <w:link w:val="8"/>
    <w:autoRedefine/>
    <w:qFormat/>
    <w:uiPriority w:val="0"/>
    <w:rPr>
      <w:rFonts w:ascii="Arial" w:hAnsi="Arial" w:eastAsia="黑体"/>
      <w:b/>
      <w:bCs/>
      <w:kern w:val="2"/>
      <w:sz w:val="24"/>
      <w:szCs w:val="24"/>
    </w:rPr>
  </w:style>
  <w:style w:type="character" w:customStyle="1" w:styleId="104">
    <w:name w:val="z-窗体顶端 Char"/>
    <w:link w:val="105"/>
    <w:autoRedefine/>
    <w:qFormat/>
    <w:uiPriority w:val="0"/>
    <w:rPr>
      <w:rFonts w:ascii="Arial" w:hAnsi="Arial" w:eastAsia="仿宋_GB2312" w:cs="Arial"/>
      <w:vanish/>
      <w:kern w:val="2"/>
      <w:sz w:val="16"/>
      <w:szCs w:val="16"/>
    </w:rPr>
  </w:style>
  <w:style w:type="paragraph" w:customStyle="1" w:styleId="105">
    <w:name w:val="_Style 96"/>
    <w:basedOn w:val="1"/>
    <w:next w:val="1"/>
    <w:link w:val="104"/>
    <w:autoRedefine/>
    <w:qFormat/>
    <w:uiPriority w:val="0"/>
    <w:pPr>
      <w:pBdr>
        <w:bottom w:val="single" w:color="auto" w:sz="6" w:space="1"/>
      </w:pBdr>
      <w:adjustRightInd w:val="0"/>
      <w:snapToGrid w:val="0"/>
      <w:spacing w:line="300" w:lineRule="auto"/>
      <w:jc w:val="center"/>
    </w:pPr>
    <w:rPr>
      <w:rFonts w:ascii="Arial" w:hAnsi="Arial" w:eastAsia="仿宋_GB2312"/>
      <w:vanish/>
      <w:sz w:val="16"/>
      <w:szCs w:val="16"/>
    </w:rPr>
  </w:style>
  <w:style w:type="character" w:customStyle="1" w:styleId="106">
    <w:name w:val="正文首行缩进 Char1"/>
    <w:autoRedefine/>
    <w:qFormat/>
    <w:uiPriority w:val="0"/>
    <w:rPr>
      <w:kern w:val="2"/>
      <w:sz w:val="21"/>
      <w:szCs w:val="24"/>
    </w:rPr>
  </w:style>
  <w:style w:type="character" w:customStyle="1" w:styleId="107">
    <w:name w:val="ourfont11"/>
    <w:autoRedefine/>
    <w:qFormat/>
    <w:uiPriority w:val="0"/>
    <w:rPr>
      <w:sz w:val="20"/>
      <w:szCs w:val="20"/>
    </w:rPr>
  </w:style>
  <w:style w:type="character" w:customStyle="1" w:styleId="108">
    <w:name w:val="ourfont2"/>
    <w:autoRedefine/>
    <w:qFormat/>
    <w:uiPriority w:val="0"/>
    <w:rPr>
      <w:sz w:val="24"/>
      <w:szCs w:val="24"/>
    </w:rPr>
  </w:style>
  <w:style w:type="character" w:customStyle="1" w:styleId="109">
    <w:name w:val="style11"/>
    <w:autoRedefine/>
    <w:qFormat/>
    <w:uiPriority w:val="0"/>
    <w:rPr>
      <w:color w:val="333333"/>
    </w:rPr>
  </w:style>
  <w:style w:type="character" w:customStyle="1" w:styleId="110">
    <w:name w:val="px14"/>
    <w:autoRedefine/>
    <w:qFormat/>
    <w:uiPriority w:val="0"/>
    <w:rPr>
      <w:sz w:val="24"/>
      <w:szCs w:val="24"/>
    </w:rPr>
  </w:style>
  <w:style w:type="character" w:customStyle="1" w:styleId="111">
    <w:name w:val="font9"/>
    <w:autoRedefine/>
    <w:qFormat/>
    <w:uiPriority w:val="0"/>
    <w:rPr>
      <w:sz w:val="24"/>
      <w:szCs w:val="24"/>
    </w:rPr>
  </w:style>
  <w:style w:type="character" w:customStyle="1" w:styleId="112">
    <w:name w:val="z-窗体顶端 Char1"/>
    <w:autoRedefine/>
    <w:semiHidden/>
    <w:qFormat/>
    <w:uiPriority w:val="99"/>
    <w:rPr>
      <w:rFonts w:ascii="Arial" w:hAnsi="Arial" w:cs="Arial"/>
      <w:vanish/>
      <w:kern w:val="2"/>
      <w:sz w:val="16"/>
      <w:szCs w:val="16"/>
    </w:rPr>
  </w:style>
  <w:style w:type="character" w:customStyle="1" w:styleId="113">
    <w:name w:val="正文文本 Char"/>
    <w:link w:val="16"/>
    <w:autoRedefine/>
    <w:qFormat/>
    <w:locked/>
    <w:uiPriority w:val="0"/>
    <w:rPr>
      <w:sz w:val="18"/>
    </w:rPr>
  </w:style>
  <w:style w:type="character" w:customStyle="1" w:styleId="114">
    <w:name w:val="样式 居中 Char Char"/>
    <w:link w:val="115"/>
    <w:autoRedefine/>
    <w:qFormat/>
    <w:uiPriority w:val="0"/>
    <w:rPr>
      <w:rFonts w:cs="宋体"/>
      <w:b/>
      <w:kern w:val="10"/>
      <w:sz w:val="24"/>
      <w:szCs w:val="28"/>
    </w:rPr>
  </w:style>
  <w:style w:type="paragraph" w:customStyle="1" w:styleId="115">
    <w:name w:val="样式 居中"/>
    <w:basedOn w:val="1"/>
    <w:link w:val="114"/>
    <w:autoRedefine/>
    <w:qFormat/>
    <w:uiPriority w:val="0"/>
    <w:pPr>
      <w:ind w:left="179" w:leftChars="38" w:hanging="88"/>
      <w:jc w:val="center"/>
    </w:pPr>
    <w:rPr>
      <w:b/>
      <w:kern w:val="10"/>
      <w:sz w:val="24"/>
      <w:szCs w:val="28"/>
    </w:rPr>
  </w:style>
  <w:style w:type="character" w:customStyle="1" w:styleId="116">
    <w:name w:val="表格 Char Char"/>
    <w:autoRedefine/>
    <w:qFormat/>
    <w:uiPriority w:val="0"/>
    <w:rPr>
      <w:rFonts w:eastAsia="宋体"/>
      <w:kern w:val="2"/>
      <w:sz w:val="24"/>
      <w:szCs w:val="24"/>
      <w:lang w:val="en-US" w:eastAsia="zh-CN" w:bidi="ar-SA"/>
    </w:rPr>
  </w:style>
  <w:style w:type="character" w:customStyle="1" w:styleId="117">
    <w:name w:val="正文（首行缩进两字） Char2"/>
    <w:link w:val="118"/>
    <w:autoRedefine/>
    <w:qFormat/>
    <w:uiPriority w:val="0"/>
    <w:rPr>
      <w:kern w:val="2"/>
      <w:sz w:val="28"/>
      <w:szCs w:val="24"/>
    </w:rPr>
  </w:style>
  <w:style w:type="paragraph" w:customStyle="1" w:styleId="118">
    <w:name w:val="表格标题"/>
    <w:basedOn w:val="1"/>
    <w:next w:val="1"/>
    <w:link w:val="117"/>
    <w:autoRedefine/>
    <w:qFormat/>
    <w:uiPriority w:val="0"/>
    <w:pPr>
      <w:adjustRightInd w:val="0"/>
      <w:snapToGrid w:val="0"/>
      <w:spacing w:before="120" w:after="120"/>
      <w:jc w:val="center"/>
    </w:pPr>
    <w:rPr>
      <w:sz w:val="28"/>
    </w:rPr>
  </w:style>
  <w:style w:type="character" w:customStyle="1" w:styleId="119">
    <w:name w:val="标题 4 Char"/>
    <w:link w:val="6"/>
    <w:autoRedefine/>
    <w:qFormat/>
    <w:uiPriority w:val="0"/>
    <w:rPr>
      <w:rFonts w:ascii="Arial" w:hAnsi="Arial" w:eastAsia="黑体"/>
      <w:b/>
      <w:bCs/>
      <w:kern w:val="2"/>
      <w:sz w:val="28"/>
      <w:szCs w:val="28"/>
    </w:rPr>
  </w:style>
  <w:style w:type="character" w:customStyle="1" w:styleId="120">
    <w:name w:val="unnamed11"/>
    <w:autoRedefine/>
    <w:qFormat/>
    <w:uiPriority w:val="0"/>
    <w:rPr>
      <w:rFonts w:hint="eastAsia" w:ascii="宋体" w:hAnsi="宋体" w:eastAsia="宋体"/>
      <w:sz w:val="18"/>
      <w:u w:val="none"/>
    </w:rPr>
  </w:style>
  <w:style w:type="character" w:customStyle="1" w:styleId="121">
    <w:name w:val="页眉 Char"/>
    <w:link w:val="26"/>
    <w:autoRedefine/>
    <w:qFormat/>
    <w:locked/>
    <w:uiPriority w:val="0"/>
    <w:rPr>
      <w:sz w:val="18"/>
    </w:rPr>
  </w:style>
  <w:style w:type="character" w:customStyle="1" w:styleId="122">
    <w:name w:val="标题 Char1"/>
    <w:autoRedefine/>
    <w:qFormat/>
    <w:uiPriority w:val="0"/>
    <w:rPr>
      <w:rFonts w:ascii="Cambria" w:hAnsi="Cambria" w:cs="Times New Roman"/>
      <w:b/>
      <w:bCs/>
      <w:kern w:val="2"/>
      <w:sz w:val="32"/>
      <w:szCs w:val="32"/>
    </w:rPr>
  </w:style>
  <w:style w:type="character" w:customStyle="1" w:styleId="123">
    <w:name w:val="正文文本缩进 Char"/>
    <w:link w:val="17"/>
    <w:autoRedefine/>
    <w:qFormat/>
    <w:locked/>
    <w:uiPriority w:val="0"/>
    <w:rPr>
      <w:rFonts w:ascii="Times New Roman" w:hAnsi="Times New Roman" w:eastAsia="宋体"/>
      <w:sz w:val="24"/>
    </w:rPr>
  </w:style>
  <w:style w:type="character" w:customStyle="1" w:styleId="124">
    <w:name w:val="font01"/>
    <w:autoRedefine/>
    <w:qFormat/>
    <w:uiPriority w:val="0"/>
    <w:rPr>
      <w:rFonts w:hint="eastAsia" w:ascii="宋体" w:hAnsi="宋体" w:eastAsia="宋体"/>
      <w:color w:val="000000"/>
      <w:sz w:val="24"/>
      <w:szCs w:val="24"/>
      <w:u w:val="none"/>
    </w:rPr>
  </w:style>
  <w:style w:type="character" w:customStyle="1" w:styleId="125">
    <w:name w:val="表格标题新 Char"/>
    <w:autoRedefine/>
    <w:qFormat/>
    <w:uiPriority w:val="0"/>
    <w:rPr>
      <w:rFonts w:ascii="Times New Roman" w:hAnsi="Times New Roman" w:eastAsia="宋体"/>
      <w:b/>
      <w:snapToGrid/>
      <w:spacing w:val="4"/>
      <w:kern w:val="18"/>
      <w:sz w:val="21"/>
      <w:lang w:val="en-US" w:eastAsia="zh-CN"/>
    </w:rPr>
  </w:style>
  <w:style w:type="character" w:customStyle="1" w:styleId="126">
    <w:name w:val="正文文本 字符1"/>
    <w:autoRedefine/>
    <w:semiHidden/>
    <w:qFormat/>
    <w:uiPriority w:val="0"/>
    <w:rPr>
      <w:rFonts w:ascii="Times New Roman" w:hAnsi="Times New Roman" w:eastAsia="宋体"/>
      <w:sz w:val="24"/>
    </w:rPr>
  </w:style>
  <w:style w:type="character" w:customStyle="1" w:styleId="127">
    <w:name w:val="正文文本 (2) Exact"/>
    <w:autoRedefine/>
    <w:qFormat/>
    <w:uiPriority w:val="0"/>
    <w:rPr>
      <w:rFonts w:ascii="MingLiU" w:hAnsi="MingLiU" w:eastAsia="MingLiU" w:cs="MingLiU"/>
      <w:sz w:val="22"/>
      <w:szCs w:val="22"/>
      <w:u w:val="none"/>
    </w:rPr>
  </w:style>
  <w:style w:type="character" w:customStyle="1" w:styleId="128">
    <w:name w:val="正文（首行缩进两字） Char Char1 Char Char Char Char Char Char Char Char Char Char"/>
    <w:autoRedefine/>
    <w:qFormat/>
    <w:uiPriority w:val="0"/>
    <w:rPr>
      <w:rFonts w:eastAsia="宋体"/>
      <w:kern w:val="2"/>
      <w:sz w:val="28"/>
      <w:szCs w:val="24"/>
      <w:lang w:val="en-US" w:eastAsia="zh-CN" w:bidi="ar-SA"/>
    </w:rPr>
  </w:style>
  <w:style w:type="character" w:customStyle="1" w:styleId="129">
    <w:name w:val="font11"/>
    <w:autoRedefine/>
    <w:qFormat/>
    <w:uiPriority w:val="0"/>
    <w:rPr>
      <w:rFonts w:hint="default" w:ascii="Times New Roman" w:hAnsi="Times New Roman" w:cs="Times New Roman"/>
      <w:color w:val="000000"/>
      <w:sz w:val="24"/>
      <w:szCs w:val="24"/>
      <w:u w:val="none"/>
    </w:rPr>
  </w:style>
  <w:style w:type="character" w:customStyle="1" w:styleId="130">
    <w:name w:val="标题 8 Char"/>
    <w:link w:val="10"/>
    <w:autoRedefine/>
    <w:qFormat/>
    <w:uiPriority w:val="0"/>
    <w:rPr>
      <w:rFonts w:ascii="Arial" w:hAnsi="Arial" w:eastAsia="黑体"/>
      <w:kern w:val="2"/>
      <w:sz w:val="24"/>
      <w:szCs w:val="24"/>
    </w:rPr>
  </w:style>
  <w:style w:type="character" w:customStyle="1" w:styleId="131">
    <w:name w:val="批注引用1"/>
    <w:autoRedefine/>
    <w:qFormat/>
    <w:uiPriority w:val="0"/>
    <w:rPr>
      <w:sz w:val="21"/>
      <w:szCs w:val="21"/>
    </w:rPr>
  </w:style>
  <w:style w:type="character" w:customStyle="1" w:styleId="132">
    <w:name w:val="Char Char2"/>
    <w:autoRedefine/>
    <w:qFormat/>
    <w:uiPriority w:val="0"/>
    <w:rPr>
      <w:rFonts w:eastAsia="宋体"/>
      <w:kern w:val="2"/>
      <w:sz w:val="21"/>
      <w:lang w:val="en-US" w:eastAsia="zh-CN" w:bidi="ar-SA"/>
    </w:rPr>
  </w:style>
  <w:style w:type="character" w:customStyle="1" w:styleId="133">
    <w:name w:val="0正文 字符"/>
    <w:link w:val="134"/>
    <w:autoRedefine/>
    <w:qFormat/>
    <w:uiPriority w:val="0"/>
    <w:rPr>
      <w:kern w:val="2"/>
      <w:sz w:val="24"/>
      <w:szCs w:val="24"/>
    </w:rPr>
  </w:style>
  <w:style w:type="paragraph" w:customStyle="1" w:styleId="134">
    <w:name w:val="0正文"/>
    <w:basedOn w:val="36"/>
    <w:link w:val="133"/>
    <w:autoRedefine/>
    <w:qFormat/>
    <w:uiPriority w:val="0"/>
    <w:pPr>
      <w:spacing w:before="0" w:beforeAutospacing="0" w:after="0" w:afterAutospacing="0" w:line="360" w:lineRule="auto"/>
      <w:ind w:firstLine="482"/>
      <w:jc w:val="both"/>
    </w:pPr>
    <w:rPr>
      <w:rFonts w:ascii="Times New Roman" w:hAnsi="Times New Roman"/>
      <w:kern w:val="2"/>
      <w:szCs w:val="24"/>
    </w:rPr>
  </w:style>
  <w:style w:type="character" w:customStyle="1" w:styleId="135">
    <w:name w:val="正文文本缩进 2 Char1"/>
    <w:autoRedefine/>
    <w:qFormat/>
    <w:uiPriority w:val="0"/>
    <w:rPr>
      <w:kern w:val="2"/>
      <w:sz w:val="21"/>
      <w:szCs w:val="24"/>
    </w:rPr>
  </w:style>
  <w:style w:type="character" w:customStyle="1" w:styleId="136">
    <w:name w:val="批注文字 字符1"/>
    <w:autoRedefine/>
    <w:semiHidden/>
    <w:qFormat/>
    <w:uiPriority w:val="0"/>
    <w:rPr>
      <w:rFonts w:ascii="Times New Roman" w:hAnsi="Times New Roman" w:eastAsia="宋体"/>
      <w:sz w:val="24"/>
    </w:rPr>
  </w:style>
  <w:style w:type="character" w:customStyle="1" w:styleId="137">
    <w:name w:val="文档结构图 Char"/>
    <w:link w:val="13"/>
    <w:autoRedefine/>
    <w:qFormat/>
    <w:uiPriority w:val="0"/>
    <w:rPr>
      <w:rFonts w:ascii="Calibri" w:hAnsi="Calibri"/>
      <w:kern w:val="2"/>
      <w:sz w:val="21"/>
      <w:shd w:val="clear" w:color="auto" w:fill="000080"/>
    </w:rPr>
  </w:style>
  <w:style w:type="character" w:customStyle="1" w:styleId="138">
    <w:name w:val="表格内容 字符"/>
    <w:link w:val="139"/>
    <w:autoRedefine/>
    <w:qFormat/>
    <w:uiPriority w:val="0"/>
    <w:rPr>
      <w:spacing w:val="5"/>
      <w:sz w:val="21"/>
      <w:szCs w:val="21"/>
      <w:lang w:val="zh-CN"/>
    </w:rPr>
  </w:style>
  <w:style w:type="paragraph" w:customStyle="1" w:styleId="139">
    <w:name w:val="表格内容"/>
    <w:basedOn w:val="1"/>
    <w:next w:val="20"/>
    <w:link w:val="138"/>
    <w:autoRedefine/>
    <w:qFormat/>
    <w:uiPriority w:val="0"/>
    <w:pPr>
      <w:jc w:val="center"/>
    </w:pPr>
    <w:rPr>
      <w:spacing w:val="5"/>
      <w:kern w:val="0"/>
      <w:szCs w:val="21"/>
      <w:lang w:val="zh-CN"/>
    </w:rPr>
  </w:style>
  <w:style w:type="paragraph" w:customStyle="1" w:styleId="140">
    <w:name w:val="报告表格"/>
    <w:basedOn w:val="1"/>
    <w:autoRedefine/>
    <w:qFormat/>
    <w:uiPriority w:val="0"/>
    <w:pPr>
      <w:autoSpaceDE w:val="0"/>
      <w:autoSpaceDN w:val="0"/>
      <w:adjustRightInd w:val="0"/>
      <w:spacing w:before="40" w:after="40"/>
      <w:jc w:val="center"/>
      <w:textAlignment w:val="baseline"/>
    </w:pPr>
    <w:rPr>
      <w:rFonts w:ascii="Calibri" w:hAnsi="Calibri"/>
      <w:kern w:val="0"/>
      <w:szCs w:val="20"/>
    </w:rPr>
  </w:style>
  <w:style w:type="paragraph" w:customStyle="1" w:styleId="141">
    <w:name w:val="xl42"/>
    <w:basedOn w:val="1"/>
    <w:autoRedefine/>
    <w:qFormat/>
    <w:uiPriority w:val="0"/>
    <w:pPr>
      <w:widowControl/>
      <w:pBdr>
        <w:bottom w:val="dotted" w:color="auto" w:sz="4" w:space="0"/>
        <w:right w:val="dotted" w:color="auto" w:sz="4" w:space="0"/>
      </w:pBdr>
      <w:spacing w:before="100" w:beforeAutospacing="1" w:after="100" w:afterAutospacing="1"/>
    </w:pPr>
    <w:rPr>
      <w:rFonts w:ascii="Calibri" w:hAnsi="Calibri"/>
      <w:kern w:val="0"/>
      <w:szCs w:val="21"/>
    </w:rPr>
  </w:style>
  <w:style w:type="paragraph" w:customStyle="1" w:styleId="142">
    <w:name w:val="报告表正文"/>
    <w:basedOn w:val="1"/>
    <w:autoRedefine/>
    <w:qFormat/>
    <w:uiPriority w:val="0"/>
    <w:pPr>
      <w:spacing w:line="360" w:lineRule="auto"/>
      <w:ind w:firstLine="200" w:firstLineChars="200"/>
      <w:textAlignment w:val="baseline"/>
    </w:pPr>
    <w:rPr>
      <w:rFonts w:ascii="Calibri" w:hAnsi="Calibri"/>
      <w:sz w:val="24"/>
      <w:szCs w:val="20"/>
    </w:rPr>
  </w:style>
  <w:style w:type="paragraph" w:customStyle="1" w:styleId="143">
    <w:name w:val="文本框"/>
    <w:basedOn w:val="1"/>
    <w:next w:val="1"/>
    <w:autoRedefine/>
    <w:qFormat/>
    <w:uiPriority w:val="0"/>
    <w:pPr>
      <w:tabs>
        <w:tab w:val="left" w:pos="0"/>
      </w:tabs>
      <w:spacing w:line="240" w:lineRule="atLeast"/>
      <w:jc w:val="center"/>
    </w:pPr>
    <w:rPr>
      <w:rFonts w:ascii="Calibri" w:hAnsi="Calibri" w:eastAsia="仿宋_GB2312"/>
      <w:spacing w:val="12"/>
      <w:szCs w:val="28"/>
    </w:rPr>
  </w:style>
  <w:style w:type="paragraph" w:customStyle="1" w:styleId="144">
    <w:name w:val=" Char Char Char Char1 Char Char Char"/>
    <w:basedOn w:val="1"/>
    <w:autoRedefine/>
    <w:qFormat/>
    <w:uiPriority w:val="0"/>
    <w:rPr>
      <w:rFonts w:ascii="Calibri" w:hAnsi="Calibri"/>
      <w:sz w:val="24"/>
    </w:rPr>
  </w:style>
  <w:style w:type="paragraph" w:customStyle="1" w:styleId="145">
    <w:name w:val="Date1"/>
    <w:basedOn w:val="1"/>
    <w:next w:val="1"/>
    <w:autoRedefine/>
    <w:qFormat/>
    <w:uiPriority w:val="0"/>
    <w:pPr>
      <w:adjustRightInd w:val="0"/>
      <w:textAlignment w:val="baseline"/>
    </w:pPr>
    <w:rPr>
      <w:rFonts w:ascii="Calibri" w:hAnsi="Calibri"/>
      <w:szCs w:val="20"/>
    </w:rPr>
  </w:style>
  <w:style w:type="paragraph" w:customStyle="1" w:styleId="146">
    <w:name w:val="_Style 17"/>
    <w:basedOn w:val="1"/>
    <w:autoRedefine/>
    <w:qFormat/>
    <w:uiPriority w:val="0"/>
    <w:rPr>
      <w:rFonts w:ascii="Calibri" w:hAnsi="Calibri"/>
      <w:szCs w:val="20"/>
    </w:rPr>
  </w:style>
  <w:style w:type="paragraph" w:customStyle="1" w:styleId="147">
    <w:name w:val="1"/>
    <w:basedOn w:val="1"/>
    <w:next w:val="17"/>
    <w:autoRedefine/>
    <w:qFormat/>
    <w:uiPriority w:val="0"/>
    <w:pPr>
      <w:spacing w:line="360" w:lineRule="auto"/>
      <w:ind w:firstLine="480"/>
    </w:pPr>
    <w:rPr>
      <w:rFonts w:ascii="Calibri" w:hAnsi="Calibri"/>
      <w:sz w:val="24"/>
      <w:szCs w:val="20"/>
    </w:rPr>
  </w:style>
  <w:style w:type="paragraph" w:customStyle="1" w:styleId="148">
    <w:name w:val="z-窗体顶端1"/>
    <w:basedOn w:val="1"/>
    <w:next w:val="1"/>
    <w:autoRedefine/>
    <w:qFormat/>
    <w:uiPriority w:val="0"/>
    <w:pPr>
      <w:pBdr>
        <w:bottom w:val="single" w:color="auto" w:sz="6" w:space="1"/>
      </w:pBdr>
      <w:adjustRightInd w:val="0"/>
      <w:snapToGrid w:val="0"/>
      <w:spacing w:line="300" w:lineRule="auto"/>
      <w:jc w:val="center"/>
    </w:pPr>
    <w:rPr>
      <w:rFonts w:ascii="Arial" w:hAnsi="Arial" w:eastAsia="仿宋_GB2312" w:cs="Arial"/>
      <w:vanish/>
      <w:sz w:val="16"/>
      <w:szCs w:val="16"/>
    </w:rPr>
  </w:style>
  <w:style w:type="paragraph" w:customStyle="1" w:styleId="149">
    <w:name w:val="Char Char Char Char Char Char Char Char Char1 Char Char Char Char Char Char Char"/>
    <w:basedOn w:val="1"/>
    <w:autoRedefine/>
    <w:qFormat/>
    <w:uiPriority w:val="0"/>
    <w:rPr>
      <w:rFonts w:ascii="Calibri" w:hAnsi="Calibri"/>
      <w:szCs w:val="20"/>
    </w:rPr>
  </w:style>
  <w:style w:type="paragraph" w:customStyle="1" w:styleId="150">
    <w:name w:val="xl67"/>
    <w:basedOn w:val="1"/>
    <w:autoRedefine/>
    <w:qFormat/>
    <w:uiPriority w:val="0"/>
    <w:pPr>
      <w:widowControl/>
      <w:pBdr>
        <w:left w:val="single" w:color="auto" w:sz="4" w:space="0"/>
      </w:pBdr>
      <w:spacing w:before="100" w:beforeAutospacing="1" w:after="100" w:afterAutospacing="1"/>
    </w:pPr>
    <w:rPr>
      <w:rFonts w:hint="eastAsia" w:ascii="仿宋_GB2312" w:hAnsi="宋体" w:eastAsia="仿宋_GB2312"/>
      <w:kern w:val="0"/>
      <w:sz w:val="24"/>
      <w:szCs w:val="20"/>
    </w:rPr>
  </w:style>
  <w:style w:type="paragraph" w:customStyle="1" w:styleId="151">
    <w:name w:val="表字1"/>
    <w:basedOn w:val="1"/>
    <w:autoRedefine/>
    <w:qFormat/>
    <w:uiPriority w:val="0"/>
    <w:pPr>
      <w:adjustRightInd w:val="0"/>
      <w:spacing w:line="360" w:lineRule="auto"/>
      <w:jc w:val="center"/>
      <w:textAlignment w:val="baseline"/>
    </w:pPr>
    <w:rPr>
      <w:rFonts w:ascii="宋体" w:hAnsi="Calibri"/>
      <w:kern w:val="0"/>
      <w:szCs w:val="20"/>
    </w:rPr>
  </w:style>
  <w:style w:type="paragraph" w:customStyle="1" w:styleId="152">
    <w:name w:val="Normal"/>
    <w:autoRedefine/>
    <w:qFormat/>
    <w:uiPriority w:val="0"/>
    <w:pPr>
      <w:jc w:val="both"/>
    </w:pPr>
    <w:rPr>
      <w:rFonts w:ascii="Calibri" w:hAnsi="Calibri" w:eastAsia="宋体" w:cs="Calibri"/>
      <w:kern w:val="2"/>
      <w:sz w:val="21"/>
      <w:szCs w:val="21"/>
      <w:lang w:val="en-US" w:eastAsia="zh-CN" w:bidi="ar-SA"/>
    </w:rPr>
  </w:style>
  <w:style w:type="paragraph" w:customStyle="1" w:styleId="153">
    <w:name w:val="reader-word-layer reader-word-s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4"/>
    <w:basedOn w:val="1"/>
    <w:next w:val="17"/>
    <w:autoRedefine/>
    <w:qFormat/>
    <w:uiPriority w:val="0"/>
    <w:pPr>
      <w:ind w:firstLine="564"/>
    </w:pPr>
    <w:rPr>
      <w:rFonts w:ascii="Calibri" w:hAnsi="Calibri"/>
      <w:szCs w:val="20"/>
    </w:rPr>
  </w:style>
  <w:style w:type="paragraph" w:customStyle="1" w:styleId="155">
    <w:name w:val="样式 标题 1 + 段前: 1 行 段后: 1.5 行"/>
    <w:basedOn w:val="1"/>
    <w:autoRedefine/>
    <w:qFormat/>
    <w:uiPriority w:val="0"/>
    <w:pPr>
      <w:tabs>
        <w:tab w:val="left" w:pos="432"/>
      </w:tabs>
      <w:ind w:left="432" w:hanging="432"/>
    </w:pPr>
    <w:rPr>
      <w:rFonts w:ascii="Calibri" w:hAnsi="Calibri"/>
    </w:rPr>
  </w:style>
  <w:style w:type="paragraph" w:customStyle="1" w:styleId="156">
    <w:name w:val="p20"/>
    <w:basedOn w:val="1"/>
    <w:autoRedefine/>
    <w:qFormat/>
    <w:uiPriority w:val="0"/>
    <w:pPr>
      <w:widowControl/>
      <w:spacing w:after="120"/>
      <w:ind w:firstLine="210"/>
    </w:pPr>
    <w:rPr>
      <w:rFonts w:ascii="宋体" w:hAnsi="宋体" w:cs="宋体"/>
      <w:kern w:val="0"/>
      <w:szCs w:val="21"/>
    </w:rPr>
  </w:style>
  <w:style w:type="paragraph" w:customStyle="1" w:styleId="157">
    <w:name w:val="Char Char Char Char Char Char Char Char Char1 Char"/>
    <w:basedOn w:val="1"/>
    <w:autoRedefine/>
    <w:qFormat/>
    <w:uiPriority w:val="0"/>
    <w:rPr>
      <w:rFonts w:ascii="Calibri" w:hAnsi="Calibri"/>
      <w:sz w:val="24"/>
    </w:rPr>
  </w:style>
  <w:style w:type="paragraph" w:customStyle="1" w:styleId="158">
    <w:name w:val="Other|1"/>
    <w:basedOn w:val="1"/>
    <w:autoRedefine/>
    <w:qFormat/>
    <w:uiPriority w:val="0"/>
    <w:pPr>
      <w:jc w:val="center"/>
    </w:pPr>
    <w:rPr>
      <w:rFonts w:ascii="宋体" w:hAnsi="宋体" w:cs="宋体"/>
      <w:szCs w:val="20"/>
      <w:lang w:val="zh-TW" w:eastAsia="zh-TW" w:bidi="zh-TW"/>
    </w:rPr>
  </w:style>
  <w:style w:type="paragraph" w:customStyle="1" w:styleId="159">
    <w:name w:val="样式 XYF1 + 宋体"/>
    <w:basedOn w:val="1"/>
    <w:autoRedefine/>
    <w:qFormat/>
    <w:uiPriority w:val="0"/>
    <w:pPr>
      <w:tabs>
        <w:tab w:val="left" w:pos="1080"/>
      </w:tabs>
      <w:spacing w:line="480" w:lineRule="exact"/>
      <w:ind w:firstLine="200" w:firstLineChars="200"/>
    </w:pPr>
    <w:rPr>
      <w:rFonts w:ascii="宋体" w:hAnsi="宋体" w:cs="宋体"/>
      <w:sz w:val="28"/>
      <w:szCs w:val="20"/>
    </w:rPr>
  </w:style>
  <w:style w:type="paragraph" w:customStyle="1" w:styleId="160">
    <w:name w:val="Char"/>
    <w:basedOn w:val="1"/>
    <w:autoRedefine/>
    <w:qFormat/>
    <w:uiPriority w:val="0"/>
    <w:rPr>
      <w:rFonts w:ascii="Calibri" w:hAnsi="Calibri"/>
      <w:sz w:val="24"/>
    </w:rPr>
  </w:style>
  <w:style w:type="paragraph" w:customStyle="1" w:styleId="161">
    <w:name w:val="Char Char Char Char Char Char Char Char Char1 Char Char Char Char Char"/>
    <w:basedOn w:val="1"/>
    <w:autoRedefine/>
    <w:qFormat/>
    <w:uiPriority w:val="0"/>
    <w:rPr>
      <w:rFonts w:ascii="Calibri" w:hAnsi="Calibri"/>
      <w:szCs w:val="20"/>
    </w:rPr>
  </w:style>
  <w:style w:type="paragraph" w:customStyle="1" w:styleId="162">
    <w:name w:val="Char Char Char Char Char Char Char Char Char Char Char Char Char Char Char Char Char Char"/>
    <w:basedOn w:val="1"/>
    <w:autoRedefine/>
    <w:qFormat/>
    <w:uiPriority w:val="0"/>
    <w:rPr>
      <w:rFonts w:ascii="Calibri" w:hAnsi="Calibri"/>
      <w:sz w:val="24"/>
    </w:rPr>
  </w:style>
  <w:style w:type="paragraph" w:customStyle="1" w:styleId="163">
    <w:name w:val="列出段落2"/>
    <w:basedOn w:val="1"/>
    <w:autoRedefine/>
    <w:qFormat/>
    <w:uiPriority w:val="0"/>
    <w:pPr>
      <w:ind w:firstLine="420" w:firstLineChars="200"/>
    </w:pPr>
    <w:rPr>
      <w:rFonts w:ascii="Calibri" w:hAnsi="Calibri"/>
      <w:szCs w:val="22"/>
    </w:rPr>
  </w:style>
  <w:style w:type="paragraph" w:customStyle="1" w:styleId="164">
    <w:name w:val="xl24"/>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eastAsia="Arial Unicode MS"/>
      <w:kern w:val="0"/>
      <w:sz w:val="24"/>
    </w:rPr>
  </w:style>
  <w:style w:type="paragraph" w:customStyle="1" w:styleId="16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1"/>
    </w:rPr>
  </w:style>
  <w:style w:type="paragraph" w:customStyle="1" w:styleId="166">
    <w:name w:val="listparagraph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7">
    <w:name w:val="默认段落字体 Para Char Char Char Char"/>
    <w:basedOn w:val="1"/>
    <w:autoRedefine/>
    <w:qFormat/>
    <w:uiPriority w:val="0"/>
    <w:rPr>
      <w:rFonts w:ascii="Calibri" w:hAnsi="Calibri"/>
      <w:sz w:val="24"/>
    </w:rPr>
  </w:style>
  <w:style w:type="paragraph" w:customStyle="1" w:styleId="168">
    <w:name w:val="Char Char Char Char Char Char Char Char Char Char Char Char"/>
    <w:basedOn w:val="1"/>
    <w:autoRedefine/>
    <w:qFormat/>
    <w:uiPriority w:val="0"/>
    <w:rPr>
      <w:rFonts w:ascii="Calibri" w:hAnsi="Calibri"/>
      <w:sz w:val="24"/>
    </w:rPr>
  </w:style>
  <w:style w:type="paragraph" w:customStyle="1" w:styleId="169">
    <w:name w:val="样式3"/>
    <w:basedOn w:val="22"/>
    <w:autoRedefine/>
    <w:qFormat/>
    <w:uiPriority w:val="0"/>
    <w:pPr>
      <w:widowControl/>
      <w:adjustRightInd w:val="0"/>
      <w:snapToGrid w:val="0"/>
      <w:spacing w:line="360" w:lineRule="auto"/>
      <w:ind w:left="0" w:leftChars="0" w:firstLine="480" w:firstLineChars="200"/>
      <w:jc w:val="center"/>
    </w:pPr>
    <w:rPr>
      <w:rFonts w:ascii="宋体" w:hAnsi="宋体"/>
      <w:szCs w:val="24"/>
    </w:rPr>
  </w:style>
  <w:style w:type="paragraph" w:customStyle="1" w:styleId="170">
    <w:name w:val="样式 标题 3 + 段前: 3 磅 段后: 3 磅 行距: 多倍行距 1.35 字行1"/>
    <w:basedOn w:val="4"/>
    <w:autoRedefine/>
    <w:qFormat/>
    <w:uiPriority w:val="0"/>
    <w:pPr>
      <w:tabs>
        <w:tab w:val="left" w:pos="851"/>
        <w:tab w:val="left" w:pos="1080"/>
      </w:tabs>
      <w:adjustRightInd w:val="0"/>
      <w:snapToGrid w:val="0"/>
      <w:spacing w:before="60" w:after="60" w:line="324" w:lineRule="auto"/>
      <w:ind w:left="1080" w:hanging="420"/>
    </w:pPr>
    <w:rPr>
      <w:rFonts w:ascii="仿宋_GB2312" w:hAnsi="宋体" w:eastAsia="仿宋_GB2312" w:cs="宋体"/>
      <w:bCs w:val="0"/>
      <w:color w:val="000000"/>
      <w:sz w:val="28"/>
      <w:szCs w:val="20"/>
    </w:rPr>
  </w:style>
  <w:style w:type="paragraph" w:customStyle="1" w:styleId="171">
    <w:name w:val="reader-word-layer reader-word-s1-2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4"/>
    </w:rPr>
  </w:style>
  <w:style w:type="paragraph" w:customStyle="1" w:styleId="173">
    <w:name w:val="_Style 78"/>
    <w:basedOn w:val="1"/>
    <w:autoRedefine/>
    <w:qFormat/>
    <w:uiPriority w:val="0"/>
    <w:pPr>
      <w:spacing w:before="62" w:beforeLines="20" w:line="440" w:lineRule="atLeast"/>
      <w:ind w:firstLine="200" w:firstLineChars="200"/>
    </w:pPr>
    <w:rPr>
      <w:rFonts w:ascii="Calibri" w:hAnsi="Calibri"/>
      <w:sz w:val="24"/>
    </w:rPr>
  </w:style>
  <w:style w:type="paragraph" w:customStyle="1" w:styleId="174">
    <w:name w:val="小四表文左齐"/>
    <w:basedOn w:val="1"/>
    <w:autoRedefine/>
    <w:qFormat/>
    <w:uiPriority w:val="0"/>
    <w:pPr>
      <w:jc w:val="center"/>
    </w:pPr>
    <w:rPr>
      <w:rFonts w:ascii="宋体" w:hAnsi="宋体"/>
      <w:color w:val="000000"/>
      <w:szCs w:val="21"/>
    </w:rPr>
  </w:style>
  <w:style w:type="paragraph" w:customStyle="1" w:styleId="175">
    <w:name w:val="表文字"/>
    <w:basedOn w:val="1"/>
    <w:autoRedefine/>
    <w:qFormat/>
    <w:uiPriority w:val="0"/>
    <w:pPr>
      <w:widowControl/>
      <w:jc w:val="center"/>
    </w:pPr>
    <w:rPr>
      <w:rFonts w:ascii="Calibri" w:hAnsi="Calibri"/>
      <w:kern w:val="0"/>
      <w:szCs w:val="21"/>
    </w:rPr>
  </w:style>
  <w:style w:type="paragraph" w:customStyle="1" w:styleId="176">
    <w:name w:val="List Paragraph1"/>
    <w:basedOn w:val="1"/>
    <w:autoRedefine/>
    <w:qFormat/>
    <w:uiPriority w:val="0"/>
    <w:pPr>
      <w:ind w:firstLine="420" w:firstLineChars="200"/>
    </w:pPr>
    <w:rPr>
      <w:rFonts w:ascii="Calibri" w:hAnsi="Calibri"/>
      <w:szCs w:val="22"/>
    </w:rPr>
  </w:style>
  <w:style w:type="paragraph" w:customStyle="1" w:styleId="177">
    <w:name w:val="xl23"/>
    <w:basedOn w:val="1"/>
    <w:autoRedefine/>
    <w:qFormat/>
    <w:uiPriority w:val="0"/>
    <w:pPr>
      <w:widowControl/>
      <w:spacing w:before="100" w:beforeAutospacing="1" w:after="100" w:afterAutospacing="1"/>
      <w:jc w:val="center"/>
    </w:pPr>
    <w:rPr>
      <w:rFonts w:ascii="Arial Unicode MS" w:hAnsi="Arial Unicode MS"/>
      <w:kern w:val="0"/>
      <w:sz w:val="24"/>
    </w:rPr>
  </w:style>
  <w:style w:type="paragraph" w:customStyle="1" w:styleId="178">
    <w:name w:val="表格内文字"/>
    <w:basedOn w:val="1"/>
    <w:autoRedefine/>
    <w:qFormat/>
    <w:uiPriority w:val="0"/>
    <w:pPr>
      <w:tabs>
        <w:tab w:val="left" w:pos="0"/>
      </w:tabs>
      <w:jc w:val="center"/>
    </w:pPr>
    <w:rPr>
      <w:rFonts w:ascii="Calibri" w:hAnsi="Calibri" w:eastAsia="仿宋_GB2312"/>
      <w:sz w:val="24"/>
    </w:rPr>
  </w:style>
  <w:style w:type="paragraph" w:customStyle="1" w:styleId="179">
    <w:name w:val=" Char Char Char Char Char Char Char"/>
    <w:basedOn w:val="1"/>
    <w:autoRedefine/>
    <w:qFormat/>
    <w:uiPriority w:val="0"/>
    <w:rPr>
      <w:rFonts w:ascii="Calibri" w:hAnsi="Calibri"/>
      <w:sz w:val="24"/>
    </w:rPr>
  </w:style>
  <w:style w:type="paragraph" w:customStyle="1" w:styleId="180">
    <w:name w:val=" Char Char Char Char Char Char Char Char Char1 Char"/>
    <w:basedOn w:val="1"/>
    <w:autoRedefine/>
    <w:qFormat/>
    <w:uiPriority w:val="0"/>
    <w:rPr>
      <w:rFonts w:ascii="Calibri" w:hAnsi="Calibri"/>
    </w:rPr>
  </w:style>
  <w:style w:type="paragraph" w:customStyle="1" w:styleId="181">
    <w:name w:val="p19"/>
    <w:basedOn w:val="1"/>
    <w:autoRedefine/>
    <w:qFormat/>
    <w:uiPriority w:val="0"/>
    <w:pPr>
      <w:widowControl/>
      <w:jc w:val="center"/>
    </w:pPr>
    <w:rPr>
      <w:rFonts w:ascii="仿宋_GB2312" w:hAnsi="宋体" w:eastAsia="仿宋_GB2312" w:cs="宋体"/>
      <w:kern w:val="0"/>
      <w:sz w:val="24"/>
    </w:rPr>
  </w:style>
  <w:style w:type="paragraph" w:customStyle="1" w:styleId="182">
    <w:name w:val="p15"/>
    <w:basedOn w:val="1"/>
    <w:autoRedefine/>
    <w:qFormat/>
    <w:uiPriority w:val="0"/>
    <w:pPr>
      <w:widowControl/>
      <w:snapToGrid w:val="0"/>
      <w:ind w:left="113" w:right="-80" w:hanging="113"/>
      <w:jc w:val="center"/>
    </w:pPr>
    <w:rPr>
      <w:rFonts w:ascii="仿宋_GB2312" w:hAnsi="宋体" w:eastAsia="仿宋_GB2312" w:cs="宋体"/>
      <w:kern w:val="0"/>
      <w:sz w:val="20"/>
      <w:szCs w:val="20"/>
    </w:rPr>
  </w:style>
  <w:style w:type="paragraph" w:customStyle="1" w:styleId="183">
    <w:name w:val="reader-word-layer reader-word-s1-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标题2"/>
    <w:basedOn w:val="1"/>
    <w:next w:val="1"/>
    <w:autoRedefine/>
    <w:qFormat/>
    <w:uiPriority w:val="0"/>
    <w:pPr>
      <w:autoSpaceDE w:val="0"/>
      <w:autoSpaceDN w:val="0"/>
      <w:snapToGrid w:val="0"/>
      <w:spacing w:line="590" w:lineRule="atLeast"/>
      <w:jc w:val="center"/>
    </w:pPr>
    <w:rPr>
      <w:rFonts w:ascii="Calibri" w:hAnsi="Calibri" w:eastAsia="方正楷体_GBK"/>
      <w:snapToGrid w:val="0"/>
      <w:kern w:val="0"/>
      <w:sz w:val="32"/>
      <w:szCs w:val="20"/>
    </w:rPr>
  </w:style>
  <w:style w:type="paragraph" w:customStyle="1" w:styleId="185">
    <w:name w:val="Char Char Char Char Char Char"/>
    <w:basedOn w:val="1"/>
    <w:autoRedefine/>
    <w:qFormat/>
    <w:uiPriority w:val="0"/>
    <w:rPr>
      <w:rFonts w:ascii="Calibri" w:hAnsi="Calibri"/>
      <w:sz w:val="24"/>
    </w:rPr>
  </w:style>
  <w:style w:type="paragraph" w:customStyle="1" w:styleId="186">
    <w:name w:val="标题 41"/>
    <w:basedOn w:val="1"/>
    <w:autoRedefine/>
    <w:qFormat/>
    <w:uiPriority w:val="1"/>
    <w:pPr>
      <w:jc w:val="left"/>
      <w:outlineLvl w:val="4"/>
    </w:pPr>
    <w:rPr>
      <w:rFonts w:ascii="宋体" w:hAnsi="宋体"/>
      <w:bCs/>
      <w:kern w:val="0"/>
      <w:sz w:val="24"/>
      <w:lang w:eastAsia="en-US"/>
    </w:rPr>
  </w:style>
  <w:style w:type="paragraph" w:customStyle="1" w:styleId="187">
    <w:name w:val=" Char1"/>
    <w:basedOn w:val="1"/>
    <w:autoRedefine/>
    <w:qFormat/>
    <w:uiPriority w:val="0"/>
    <w:rPr>
      <w:rFonts w:ascii="Calibri" w:hAnsi="Calibri"/>
      <w:sz w:val="24"/>
    </w:rPr>
  </w:style>
  <w:style w:type="paragraph" w:customStyle="1" w:styleId="188">
    <w:name w:val="默认段落字体 Para Char Char Char Char Char Char Char Char Char Char Char Char Char"/>
    <w:basedOn w:val="1"/>
    <w:autoRedefine/>
    <w:qFormat/>
    <w:uiPriority w:val="0"/>
    <w:rPr>
      <w:rFonts w:ascii="Calibri" w:hAnsi="Calibri"/>
      <w:sz w:val="24"/>
    </w:rPr>
  </w:style>
  <w:style w:type="paragraph" w:customStyle="1" w:styleId="189">
    <w:name w:val="新表"/>
    <w:basedOn w:val="1"/>
    <w:autoRedefine/>
    <w:qFormat/>
    <w:uiPriority w:val="0"/>
    <w:pPr>
      <w:spacing w:line="360" w:lineRule="exact"/>
    </w:pPr>
    <w:rPr>
      <w:rFonts w:ascii="Calibri" w:hAnsi="Calibri" w:eastAsia="仿宋_GB2312"/>
      <w:bCs/>
      <w:kern w:val="0"/>
      <w:sz w:val="24"/>
      <w:szCs w:val="20"/>
    </w:rPr>
  </w:style>
  <w:style w:type="paragraph" w:customStyle="1" w:styleId="190">
    <w:name w:val="框图"/>
    <w:basedOn w:val="1"/>
    <w:autoRedefine/>
    <w:qFormat/>
    <w:uiPriority w:val="0"/>
    <w:pPr>
      <w:adjustRightInd w:val="0"/>
      <w:snapToGrid w:val="0"/>
      <w:spacing w:line="27" w:lineRule="atLeast"/>
      <w:ind w:left="12" w:leftChars="-38" w:right="-38" w:rightChars="-38" w:hanging="92" w:hangingChars="54"/>
      <w:jc w:val="center"/>
    </w:pPr>
    <w:rPr>
      <w:rFonts w:ascii="宋体" w:hAnsi="宋体"/>
      <w:spacing w:val="-20"/>
      <w:szCs w:val="20"/>
    </w:rPr>
  </w:style>
  <w:style w:type="paragraph" w:customStyle="1" w:styleId="19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2">
    <w:name w:val="Char Char Char1 Char"/>
    <w:basedOn w:val="1"/>
    <w:autoRedefine/>
    <w:qFormat/>
    <w:uiPriority w:val="0"/>
    <w:rPr>
      <w:rFonts w:ascii="Calibri" w:hAnsi="Calibri"/>
      <w:sz w:val="24"/>
    </w:rPr>
  </w:style>
  <w:style w:type="paragraph" w:customStyle="1" w:styleId="193">
    <w:name w:val="5正文 首行缩进"/>
    <w:basedOn w:val="1"/>
    <w:autoRedefine/>
    <w:qFormat/>
    <w:uiPriority w:val="0"/>
    <w:pPr>
      <w:adjustRightInd w:val="0"/>
      <w:snapToGrid w:val="0"/>
      <w:spacing w:line="360" w:lineRule="auto"/>
      <w:ind w:firstLine="480" w:firstLineChars="200"/>
    </w:pPr>
    <w:rPr>
      <w:rFonts w:ascii="Calibri" w:hAnsi="Calibri" w:cs="宋体"/>
      <w:sz w:val="24"/>
      <w:szCs w:val="20"/>
    </w:rPr>
  </w:style>
  <w:style w:type="paragraph" w:customStyle="1" w:styleId="194">
    <w:name w:val="Char Char Char1 Char1"/>
    <w:basedOn w:val="1"/>
    <w:autoRedefine/>
    <w:qFormat/>
    <w:uiPriority w:val="0"/>
    <w:rPr>
      <w:rFonts w:ascii="Calibri" w:hAnsi="Calibri"/>
      <w:sz w:val="24"/>
      <w:szCs w:val="20"/>
    </w:rPr>
  </w:style>
  <w:style w:type="paragraph" w:customStyle="1" w:styleId="195">
    <w:name w:val="默认段落字体 Para Char Char Char1 Char Char Char Char Char Char Char Char Char Char"/>
    <w:basedOn w:val="1"/>
    <w:autoRedefine/>
    <w:qFormat/>
    <w:uiPriority w:val="0"/>
    <w:rPr>
      <w:rFonts w:ascii="Calibri" w:hAnsi="Calibri"/>
      <w:sz w:val="24"/>
    </w:rPr>
  </w:style>
  <w:style w:type="paragraph" w:customStyle="1" w:styleId="196">
    <w:name w:val=" Char Char Char Char Char Char Char Char Char Char Char"/>
    <w:basedOn w:val="1"/>
    <w:autoRedefine/>
    <w:qFormat/>
    <w:uiPriority w:val="0"/>
    <w:rPr>
      <w:rFonts w:ascii="Calibri" w:hAnsi="Calibri"/>
      <w:sz w:val="24"/>
    </w:rPr>
  </w:style>
  <w:style w:type="paragraph" w:customStyle="1" w:styleId="197">
    <w:name w:val="Char Char Char1 Char2"/>
    <w:basedOn w:val="1"/>
    <w:autoRedefine/>
    <w:qFormat/>
    <w:uiPriority w:val="0"/>
    <w:rPr>
      <w:rFonts w:ascii="Calibri" w:hAnsi="Calibri"/>
      <w:sz w:val="24"/>
    </w:rPr>
  </w:style>
  <w:style w:type="paragraph" w:customStyle="1" w:styleId="198">
    <w:name w:val="pic-info"/>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9">
    <w:name w:val="15"/>
    <w:basedOn w:val="1"/>
    <w:autoRedefine/>
    <w:qFormat/>
    <w:uiPriority w:val="0"/>
    <w:pPr>
      <w:widowControl/>
      <w:snapToGrid w:val="0"/>
      <w:spacing w:before="100" w:beforeAutospacing="1" w:after="100" w:afterAutospacing="1" w:line="440" w:lineRule="atLeast"/>
      <w:jc w:val="left"/>
    </w:pPr>
    <w:rPr>
      <w:rFonts w:ascii="Calibri" w:hAnsi="Calibri"/>
      <w:color w:val="FF0000"/>
      <w:kern w:val="0"/>
      <w:sz w:val="24"/>
      <w:szCs w:val="20"/>
    </w:rPr>
  </w:style>
  <w:style w:type="paragraph" w:customStyle="1" w:styleId="200">
    <w:name w:val="列出段落1"/>
    <w:basedOn w:val="1"/>
    <w:autoRedefine/>
    <w:qFormat/>
    <w:uiPriority w:val="0"/>
    <w:pPr>
      <w:ind w:firstLine="420" w:firstLineChars="200"/>
    </w:pPr>
    <w:rPr>
      <w:rFonts w:ascii="Calibri" w:hAnsi="Calibri"/>
      <w:szCs w:val="22"/>
    </w:rPr>
  </w:style>
  <w:style w:type="paragraph" w:customStyle="1" w:styleId="201">
    <w:name w:val="样式 标题 2节 + 自动设置"/>
    <w:basedOn w:val="3"/>
    <w:autoRedefine/>
    <w:qFormat/>
    <w:uiPriority w:val="0"/>
    <w:pPr>
      <w:tabs>
        <w:tab w:val="left" w:pos="948"/>
      </w:tabs>
      <w:adjustRightInd w:val="0"/>
      <w:snapToGrid w:val="0"/>
      <w:spacing w:before="156" w:beforeLines="50" w:after="0" w:line="360" w:lineRule="auto"/>
      <w:ind w:left="948" w:hanging="312"/>
    </w:pPr>
    <w:rPr>
      <w:rFonts w:ascii="仿宋_GB2312" w:hAnsi="Arial"/>
      <w:color w:val="000000"/>
      <w:sz w:val="30"/>
      <w:szCs w:val="30"/>
    </w:rPr>
  </w:style>
  <w:style w:type="paragraph" w:customStyle="1" w:styleId="202">
    <w:name w:val="Char Char Char1 Char Char Char Char Char Char"/>
    <w:basedOn w:val="1"/>
    <w:autoRedefine/>
    <w:qFormat/>
    <w:uiPriority w:val="0"/>
    <w:rPr>
      <w:rFonts w:ascii="Calibri" w:hAnsi="Calibri"/>
      <w:sz w:val="24"/>
    </w:rPr>
  </w:style>
  <w:style w:type="paragraph" w:customStyle="1" w:styleId="203">
    <w:name w:val="列出段落3"/>
    <w:basedOn w:val="1"/>
    <w:autoRedefine/>
    <w:qFormat/>
    <w:uiPriority w:val="0"/>
    <w:pPr>
      <w:ind w:firstLine="420" w:firstLineChars="200"/>
    </w:pPr>
    <w:rPr>
      <w:rFonts w:ascii="Calibri" w:hAnsi="Calibri"/>
      <w:szCs w:val="22"/>
    </w:rPr>
  </w:style>
  <w:style w:type="paragraph" w:customStyle="1" w:styleId="204">
    <w:name w:val="样式5"/>
    <w:basedOn w:val="1"/>
    <w:autoRedefine/>
    <w:qFormat/>
    <w:uiPriority w:val="0"/>
    <w:pPr>
      <w:spacing w:before="156" w:beforeLines="50" w:after="156" w:afterLines="50" w:line="480" w:lineRule="exact"/>
      <w:ind w:firstLine="300" w:firstLineChars="100"/>
    </w:pPr>
    <w:rPr>
      <w:rFonts w:ascii="Calibri" w:hAnsi="Calibri" w:eastAsia="仿宋_GB2312"/>
      <w:bCs/>
      <w:sz w:val="30"/>
      <w:szCs w:val="20"/>
    </w:rPr>
  </w:style>
  <w:style w:type="paragraph" w:customStyle="1" w:styleId="205">
    <w:name w:val=" Char Char Char Char Char Char Char Char Char Char Char Char"/>
    <w:basedOn w:val="1"/>
    <w:autoRedefine/>
    <w:qFormat/>
    <w:uiPriority w:val="0"/>
    <w:rPr>
      <w:rFonts w:ascii="Calibri" w:hAnsi="Calibri"/>
      <w:sz w:val="24"/>
    </w:rPr>
  </w:style>
  <w:style w:type="paragraph" w:customStyle="1" w:styleId="206">
    <w:name w:val="Char Char Char Char Char Char Char Char Char Char Char Char Char Char Char Char"/>
    <w:basedOn w:val="1"/>
    <w:autoRedefine/>
    <w:qFormat/>
    <w:uiPriority w:val="0"/>
    <w:rPr>
      <w:rFonts w:ascii="Calibri" w:hAnsi="Calibri"/>
      <w:sz w:val="24"/>
    </w:rPr>
  </w:style>
  <w:style w:type="paragraph" w:customStyle="1" w:styleId="207">
    <w:name w:val=" Char Char Char1 Char"/>
    <w:basedOn w:val="1"/>
    <w:autoRedefine/>
    <w:qFormat/>
    <w:uiPriority w:val="0"/>
    <w:rPr>
      <w:rFonts w:ascii="Calibri" w:hAnsi="Calibri"/>
      <w:sz w:val="24"/>
    </w:rPr>
  </w:style>
  <w:style w:type="paragraph" w:customStyle="1" w:styleId="208">
    <w:name w:val="默认段落字体 Para Char Char Char Char Char Char1 Char Char Char Char Char Char Char"/>
    <w:basedOn w:val="1"/>
    <w:autoRedefine/>
    <w:qFormat/>
    <w:uiPriority w:val="0"/>
    <w:rPr>
      <w:rFonts w:ascii="Calibri" w:hAnsi="Calibri"/>
      <w:sz w:val="24"/>
    </w:rPr>
  </w:style>
  <w:style w:type="paragraph" w:customStyle="1" w:styleId="209">
    <w:name w:val="Char Char Char Char Char Char Char Char Char Char Char Char Char Char Char Char Char Char Char Char Char1 Char Char Char Char"/>
    <w:basedOn w:val="1"/>
    <w:autoRedefine/>
    <w:qFormat/>
    <w:uiPriority w:val="0"/>
    <w:rPr>
      <w:rFonts w:ascii="Calibri" w:hAnsi="Calibri"/>
      <w:sz w:val="24"/>
    </w:rPr>
  </w:style>
  <w:style w:type="paragraph" w:customStyle="1" w:styleId="210">
    <w:name w:val="_Style 201"/>
    <w:autoRedefine/>
    <w:qFormat/>
    <w:uiPriority w:val="0"/>
    <w:rPr>
      <w:rFonts w:ascii="Calibri" w:hAnsi="Calibri" w:eastAsia="宋体" w:cs="Times New Roman"/>
      <w:kern w:val="2"/>
      <w:sz w:val="21"/>
      <w:lang w:val="en-US" w:eastAsia="zh-CN" w:bidi="ar-SA"/>
    </w:rPr>
  </w:style>
  <w:style w:type="paragraph" w:customStyle="1" w:styleId="211">
    <w:name w:val="1 Char Char Char Char"/>
    <w:basedOn w:val="1"/>
    <w:autoRedefine/>
    <w:qFormat/>
    <w:uiPriority w:val="0"/>
    <w:rPr>
      <w:rFonts w:ascii="Calibri" w:hAnsi="Calibri"/>
    </w:rPr>
  </w:style>
  <w:style w:type="paragraph" w:customStyle="1" w:styleId="212">
    <w:name w:val="1 Char Char Char Char Char"/>
    <w:basedOn w:val="1"/>
    <w:autoRedefine/>
    <w:qFormat/>
    <w:uiPriority w:val="0"/>
    <w:rPr>
      <w:rFonts w:ascii="Calibri" w:hAnsi="Calibri"/>
      <w:sz w:val="24"/>
    </w:rPr>
  </w:style>
  <w:style w:type="paragraph" w:customStyle="1" w:styleId="213">
    <w:name w:val="正文文本缩进1"/>
    <w:basedOn w:val="1"/>
    <w:autoRedefine/>
    <w:qFormat/>
    <w:uiPriority w:val="0"/>
    <w:pPr>
      <w:spacing w:line="360" w:lineRule="auto"/>
      <w:ind w:firstLine="480"/>
    </w:pPr>
    <w:rPr>
      <w:rFonts w:hint="eastAsia" w:ascii="Calibri" w:hAnsi="Calibri"/>
      <w:sz w:val="24"/>
      <w:szCs w:val="20"/>
    </w:rPr>
  </w:style>
  <w:style w:type="paragraph" w:customStyle="1" w:styleId="214">
    <w:name w:val="_Style 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6">
    <w:name w:val="Char Char Char Char Char Char Char Char Char"/>
    <w:basedOn w:val="1"/>
    <w:autoRedefine/>
    <w:qFormat/>
    <w:uiPriority w:val="0"/>
    <w:rPr>
      <w:rFonts w:ascii="Calibri" w:hAnsi="Calibri"/>
      <w:sz w:val="24"/>
    </w:rPr>
  </w:style>
  <w:style w:type="paragraph" w:customStyle="1" w:styleId="217">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4"/>
    </w:rPr>
  </w:style>
  <w:style w:type="paragraph" w:customStyle="1" w:styleId="218">
    <w:name w:val="2"/>
    <w:basedOn w:val="1"/>
    <w:next w:val="32"/>
    <w:autoRedefine/>
    <w:qFormat/>
    <w:uiPriority w:val="0"/>
    <w:pPr>
      <w:tabs>
        <w:tab w:val="left" w:pos="604"/>
      </w:tabs>
      <w:spacing w:line="360" w:lineRule="auto"/>
      <w:ind w:firstLine="600"/>
    </w:pPr>
    <w:rPr>
      <w:rFonts w:ascii="Calibri" w:hAnsi="Calibri"/>
      <w:sz w:val="24"/>
    </w:rPr>
  </w:style>
  <w:style w:type="paragraph" w:styleId="219">
    <w:name w:val="List Paragraph"/>
    <w:basedOn w:val="1"/>
    <w:autoRedefine/>
    <w:qFormat/>
    <w:uiPriority w:val="99"/>
    <w:pPr>
      <w:ind w:firstLine="420" w:firstLineChars="200"/>
    </w:pPr>
    <w:rPr>
      <w:rFonts w:ascii="Calibri" w:hAnsi="Calibri"/>
      <w:szCs w:val="22"/>
    </w:rPr>
  </w:style>
  <w:style w:type="paragraph" w:customStyle="1" w:styleId="22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p17"/>
    <w:basedOn w:val="1"/>
    <w:autoRedefine/>
    <w:qFormat/>
    <w:uiPriority w:val="0"/>
    <w:pPr>
      <w:widowControl/>
      <w:pBdr>
        <w:bottom w:val="single" w:color="000000" w:sz="4" w:space="0"/>
        <w:right w:val="single" w:color="000000" w:sz="4" w:space="0"/>
      </w:pBdr>
      <w:spacing w:before="100" w:after="100"/>
      <w:jc w:val="center"/>
    </w:pPr>
    <w:rPr>
      <w:rFonts w:ascii="宋体" w:hAnsi="宋体" w:cs="宋体"/>
      <w:kern w:val="0"/>
      <w:szCs w:val="21"/>
    </w:rPr>
  </w:style>
  <w:style w:type="paragraph" w:customStyle="1" w:styleId="223">
    <w:name w:val="Char Char Char1 Char Char Char"/>
    <w:basedOn w:val="1"/>
    <w:autoRedefine/>
    <w:qFormat/>
    <w:uiPriority w:val="0"/>
    <w:rPr>
      <w:rFonts w:ascii="Calibri" w:hAnsi="Calibri"/>
      <w:sz w:val="24"/>
    </w:rPr>
  </w:style>
  <w:style w:type="paragraph" w:customStyle="1" w:styleId="224">
    <w:name w:val="正文文本 (2)1"/>
    <w:basedOn w:val="1"/>
    <w:autoRedefine/>
    <w:qFormat/>
    <w:uiPriority w:val="0"/>
    <w:pPr>
      <w:shd w:val="clear" w:color="auto" w:fill="FFFFFF"/>
      <w:spacing w:after="660" w:line="0" w:lineRule="atLeast"/>
      <w:jc w:val="center"/>
    </w:pPr>
    <w:rPr>
      <w:rFonts w:ascii="MingLiU" w:hAnsi="MingLiU" w:eastAsia="MingLiU" w:cs="MingLiU"/>
      <w:sz w:val="22"/>
      <w:szCs w:val="22"/>
    </w:rPr>
  </w:style>
  <w:style w:type="paragraph" w:customStyle="1" w:styleId="225">
    <w:name w:val=" Char Char Char Char Char Char1 Char Char Char Char Char Char Char"/>
    <w:basedOn w:val="1"/>
    <w:autoRedefine/>
    <w:qFormat/>
    <w:uiPriority w:val="0"/>
    <w:rPr>
      <w:rFonts w:ascii="Calibri" w:hAnsi="Calibri"/>
      <w:sz w:val="24"/>
    </w:rPr>
  </w:style>
  <w:style w:type="paragraph" w:customStyle="1" w:styleId="226">
    <w:name w:val="简单回函地址"/>
    <w:basedOn w:val="1"/>
    <w:autoRedefine/>
    <w:qFormat/>
    <w:uiPriority w:val="0"/>
    <w:rPr>
      <w:rFonts w:ascii="Calibri" w:hAnsi="Calibri"/>
      <w:szCs w:val="20"/>
    </w:rPr>
  </w:style>
  <w:style w:type="paragraph" w:customStyle="1" w:styleId="227">
    <w:name w:val="5 Char"/>
    <w:basedOn w:val="1"/>
    <w:autoRedefine/>
    <w:qFormat/>
    <w:uiPriority w:val="0"/>
    <w:rPr>
      <w:rFonts w:ascii="Calibri" w:hAnsi="Calibri"/>
      <w:szCs w:val="20"/>
    </w:rPr>
  </w:style>
  <w:style w:type="paragraph" w:customStyle="1" w:styleId="228">
    <w:name w:val="表格文字2"/>
    <w:basedOn w:val="1"/>
    <w:autoRedefine/>
    <w:qFormat/>
    <w:uiPriority w:val="0"/>
    <w:pPr>
      <w:tabs>
        <w:tab w:val="left" w:pos="277"/>
        <w:tab w:val="left" w:pos="600"/>
        <w:tab w:val="left" w:pos="780"/>
        <w:tab w:val="left" w:pos="2517"/>
      </w:tabs>
      <w:adjustRightInd w:val="0"/>
      <w:snapToGrid w:val="0"/>
      <w:jc w:val="center"/>
      <w:textAlignment w:val="baseline"/>
    </w:pPr>
    <w:rPr>
      <w:rFonts w:ascii="Calibri" w:hAnsi="Calibri"/>
      <w:kern w:val="0"/>
      <w:szCs w:val="21"/>
    </w:rPr>
  </w:style>
  <w:style w:type="paragraph" w:customStyle="1" w:styleId="229">
    <w:name w:val="reader-word-layer reader-word-s1-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30">
    <w:name w:val="Char Char Char"/>
    <w:basedOn w:val="1"/>
    <w:autoRedefine/>
    <w:qFormat/>
    <w:uiPriority w:val="0"/>
    <w:rPr>
      <w:rFonts w:ascii="Calibri" w:hAnsi="Calibri"/>
      <w:sz w:val="24"/>
    </w:rPr>
  </w:style>
  <w:style w:type="paragraph" w:customStyle="1" w:styleId="231">
    <w:name w:val="Char Char1 Char"/>
    <w:basedOn w:val="1"/>
    <w:autoRedefine/>
    <w:qFormat/>
    <w:uiPriority w:val="0"/>
    <w:rPr>
      <w:rFonts w:ascii="Calibri" w:hAnsi="Calibri"/>
      <w:sz w:val="24"/>
    </w:rPr>
  </w:style>
  <w:style w:type="paragraph" w:customStyle="1" w:styleId="232">
    <w:name w:val="正文首行缩进1"/>
    <w:basedOn w:val="16"/>
    <w:autoRedefine/>
    <w:qFormat/>
    <w:uiPriority w:val="0"/>
    <w:pPr>
      <w:widowControl w:val="0"/>
      <w:snapToGrid/>
      <w:spacing w:before="0" w:after="120" w:line="240" w:lineRule="auto"/>
      <w:ind w:right="0" w:firstLine="420" w:firstLineChars="100"/>
    </w:pPr>
    <w:rPr>
      <w:rFonts w:hAnsi="Calibri"/>
      <w:kern w:val="2"/>
      <w:sz w:val="21"/>
    </w:rPr>
  </w:style>
  <w:style w:type="paragraph" w:customStyle="1" w:styleId="233">
    <w:name w:val=" Char"/>
    <w:basedOn w:val="1"/>
    <w:autoRedefine/>
    <w:qFormat/>
    <w:uiPriority w:val="0"/>
    <w:rPr>
      <w:rFonts w:ascii="仿宋_GB2312" w:hAnsi="Calibri" w:eastAsia="仿宋_GB2312"/>
      <w:color w:val="000000"/>
      <w:sz w:val="24"/>
    </w:rPr>
  </w:style>
  <w:style w:type="paragraph" w:customStyle="1" w:styleId="234">
    <w:name w:val="3"/>
    <w:basedOn w:val="1"/>
    <w:autoRedefine/>
    <w:qFormat/>
    <w:uiPriority w:val="0"/>
    <w:rPr>
      <w:rFonts w:ascii="Calibri" w:hAnsi="Calibri"/>
      <w:sz w:val="24"/>
    </w:rPr>
  </w:style>
  <w:style w:type="paragraph" w:customStyle="1" w:styleId="235">
    <w:name w:val="p18"/>
    <w:basedOn w:val="1"/>
    <w:autoRedefine/>
    <w:qFormat/>
    <w:uiPriority w:val="0"/>
    <w:pPr>
      <w:widowControl/>
    </w:pPr>
    <w:rPr>
      <w:rFonts w:ascii="Calibri" w:hAnsi="Calibri"/>
      <w:kern w:val="0"/>
      <w:szCs w:val="21"/>
    </w:rPr>
  </w:style>
  <w:style w:type="paragraph" w:customStyle="1" w:styleId="236">
    <w:name w:val=" Char Char Char Char"/>
    <w:basedOn w:val="1"/>
    <w:autoRedefine/>
    <w:qFormat/>
    <w:uiPriority w:val="0"/>
    <w:rPr>
      <w:rFonts w:ascii="Calibri" w:hAnsi="Calibri"/>
      <w:sz w:val="24"/>
    </w:rPr>
  </w:style>
  <w:style w:type="paragraph" w:customStyle="1" w:styleId="237">
    <w:name w:val="Char Char Char Char Char Char Char Char1 Char Char Char Char Char Char Char Char Char Char Char Char1 Char"/>
    <w:basedOn w:val="1"/>
    <w:autoRedefine/>
    <w:qFormat/>
    <w:uiPriority w:val="0"/>
    <w:rPr>
      <w:rFonts w:ascii="Calibri" w:hAnsi="Calibri"/>
      <w:szCs w:val="20"/>
    </w:rPr>
  </w:style>
  <w:style w:type="paragraph" w:customStyle="1" w:styleId="238">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239">
    <w:name w:val="默认段落字体 Para Char Char Char Char Char Char Char"/>
    <w:basedOn w:val="1"/>
    <w:autoRedefine/>
    <w:qFormat/>
    <w:uiPriority w:val="0"/>
    <w:rPr>
      <w:rFonts w:ascii="Calibri" w:hAnsi="Calibri"/>
      <w:sz w:val="24"/>
    </w:rPr>
  </w:style>
  <w:style w:type="paragraph" w:customStyle="1" w:styleId="240">
    <w:name w:val="p16"/>
    <w:basedOn w:val="1"/>
    <w:autoRedefine/>
    <w:qFormat/>
    <w:uiPriority w:val="0"/>
    <w:pPr>
      <w:widowControl/>
      <w:spacing w:line="360" w:lineRule="auto"/>
      <w:ind w:firstLine="480"/>
    </w:pPr>
    <w:rPr>
      <w:rFonts w:ascii="Calibri" w:hAnsi="Calibri"/>
      <w:kern w:val="0"/>
      <w:sz w:val="24"/>
    </w:rPr>
  </w:style>
  <w:style w:type="paragraph" w:customStyle="1" w:styleId="241">
    <w:name w:val="表头1"/>
    <w:basedOn w:val="20"/>
    <w:autoRedefine/>
    <w:qFormat/>
    <w:uiPriority w:val="0"/>
    <w:pPr>
      <w:spacing w:line="360" w:lineRule="auto"/>
      <w:jc w:val="center"/>
    </w:pPr>
    <w:rPr>
      <w:rFonts w:hAnsi="宋体"/>
      <w:b/>
      <w:color w:val="000000"/>
      <w:kern w:val="0"/>
      <w:sz w:val="24"/>
    </w:rPr>
  </w:style>
  <w:style w:type="paragraph" w:customStyle="1" w:styleId="242">
    <w:name w:val="Char Char Char Char Char Char Char Char Char Char Char Char Char Char Char Char Char Char Char Char Char Char"/>
    <w:basedOn w:val="1"/>
    <w:autoRedefine/>
    <w:qFormat/>
    <w:uiPriority w:val="0"/>
    <w:rPr>
      <w:rFonts w:ascii="Calibri" w:hAnsi="Calibri"/>
      <w:sz w:val="24"/>
    </w:rPr>
  </w:style>
  <w:style w:type="paragraph" w:customStyle="1" w:styleId="243">
    <w:name w:val="zxz5"/>
    <w:next w:val="1"/>
    <w:autoRedefine/>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244">
    <w:name w:val="默认段落字体 Para Char"/>
    <w:basedOn w:val="1"/>
    <w:autoRedefine/>
    <w:qFormat/>
    <w:uiPriority w:val="0"/>
    <w:rPr>
      <w:rFonts w:ascii="Calibri" w:hAnsi="Calibri"/>
      <w:sz w:val="24"/>
    </w:rPr>
  </w:style>
  <w:style w:type="paragraph" w:customStyle="1" w:styleId="245">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246">
    <w:name w:val=" Char Char Char1 Char Char Char Char"/>
    <w:basedOn w:val="1"/>
    <w:autoRedefine/>
    <w:qFormat/>
    <w:uiPriority w:val="0"/>
    <w:rPr>
      <w:rFonts w:ascii="Calibri" w:hAnsi="Calibri"/>
      <w:sz w:val="24"/>
    </w:rPr>
  </w:style>
  <w:style w:type="paragraph" w:customStyle="1" w:styleId="247">
    <w:name w:val="p0"/>
    <w:basedOn w:val="1"/>
    <w:autoRedefine/>
    <w:qFormat/>
    <w:uiPriority w:val="0"/>
    <w:pPr>
      <w:widowControl/>
    </w:pPr>
    <w:rPr>
      <w:rFonts w:ascii="Calibri" w:hAnsi="Calibri"/>
      <w:kern w:val="0"/>
      <w:szCs w:val="21"/>
    </w:rPr>
  </w:style>
  <w:style w:type="paragraph" w:customStyle="1" w:styleId="248">
    <w:name w:val="默认段落字体 Para Char Char Char1 Char Char"/>
    <w:basedOn w:val="1"/>
    <w:autoRedefine/>
    <w:qFormat/>
    <w:uiPriority w:val="0"/>
    <w:rPr>
      <w:rFonts w:ascii="Calibri" w:hAnsi="Calibri"/>
      <w:sz w:val="24"/>
    </w:rPr>
  </w:style>
  <w:style w:type="paragraph" w:customStyle="1" w:styleId="249">
    <w:name w:val="公式样式1"/>
    <w:basedOn w:val="1"/>
    <w:autoRedefine/>
    <w:qFormat/>
    <w:uiPriority w:val="0"/>
    <w:pPr>
      <w:adjustRightInd w:val="0"/>
      <w:snapToGrid w:val="0"/>
      <w:spacing w:line="312" w:lineRule="auto"/>
      <w:jc w:val="center"/>
    </w:pPr>
    <w:rPr>
      <w:rFonts w:ascii="仿宋_GB2312" w:hAnsi="Calibri" w:eastAsia="仿宋_GB2312"/>
      <w:sz w:val="24"/>
    </w:rPr>
  </w:style>
  <w:style w:type="paragraph" w:customStyle="1" w:styleId="250">
    <w:name w:val="表题"/>
    <w:basedOn w:val="31"/>
    <w:autoRedefine/>
    <w:qFormat/>
    <w:uiPriority w:val="0"/>
    <w:pPr>
      <w:spacing w:before="156" w:beforeLines="50" w:line="480" w:lineRule="exact"/>
      <w:ind w:left="0" w:firstLine="0" w:firstLineChars="0"/>
      <w:jc w:val="center"/>
    </w:pPr>
    <w:rPr>
      <w:rFonts w:eastAsia="黑体"/>
      <w:sz w:val="28"/>
      <w:szCs w:val="24"/>
    </w:rPr>
  </w:style>
  <w:style w:type="table" w:customStyle="1" w:styleId="251">
    <w:name w:val="Table Normal"/>
    <w:autoRedefine/>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52">
    <w:name w:val="标准表格"/>
    <w:basedOn w:val="41"/>
    <w:autoRedefine/>
    <w:qFormat/>
    <w:uiPriority w:val="99"/>
    <w:pPr>
      <w:spacing w:before="74"/>
      <w:jc w:val="center"/>
    </w:pPr>
    <w:rPr>
      <w:rFonts w:ascii="Calibri" w:hAnsi="Calibri"/>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Calibri"/>
        <w:sz w:val="18"/>
      </w:rPr>
      <w:tblPr/>
      <w:trPr>
        <w:tblHeader/>
      </w:trPr>
    </w:tblStylePr>
    <w:tblStylePr w:type="firstCol">
      <w:pPr>
        <w:jc w:val="center"/>
      </w:pPr>
    </w:tblStylePr>
  </w:style>
  <w:style w:type="paragraph" w:customStyle="1" w:styleId="253">
    <w:name w:val="报告书 正文"/>
    <w:autoRedefine/>
    <w:qFormat/>
    <w:uiPriority w:val="0"/>
    <w:pPr>
      <w:widowControl w:val="0"/>
      <w:adjustRightInd w:val="0"/>
      <w:snapToGrid w:val="0"/>
      <w:spacing w:line="360" w:lineRule="auto"/>
      <w:ind w:firstLine="200" w:firstLineChars="200"/>
      <w:jc w:val="both"/>
    </w:pPr>
    <w:rPr>
      <w:rFonts w:ascii="Calibri" w:hAnsi="Calibri" w:eastAsia="宋体" w:cs="Times New Roman"/>
      <w:kern w:val="2"/>
      <w:sz w:val="24"/>
      <w:szCs w:val="24"/>
      <w:lang w:val="en-US" w:eastAsia="zh-CN" w:bidi="ar-SA"/>
    </w:rPr>
  </w:style>
  <w:style w:type="paragraph" w:customStyle="1" w:styleId="254">
    <w:name w:val="正常"/>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5">
    <w:name w:val="环评正文"/>
    <w:basedOn w:val="256"/>
    <w:autoRedefine/>
    <w:qFormat/>
    <w:uiPriority w:val="1"/>
    <w:pPr>
      <w:autoSpaceDE w:val="0"/>
      <w:autoSpaceDN w:val="0"/>
      <w:spacing w:line="360" w:lineRule="auto"/>
      <w:jc w:val="left"/>
    </w:pPr>
    <w:rPr>
      <w:rFonts w:ascii="宋体" w:hAnsi="宋体" w:cs="宋体"/>
      <w:bCs/>
      <w:kern w:val="0"/>
      <w:sz w:val="24"/>
      <w:lang w:val="zh-CN" w:bidi="zh-CN"/>
    </w:rPr>
  </w:style>
  <w:style w:type="paragraph" w:styleId="25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1 正文"/>
    <w:basedOn w:val="1"/>
    <w:autoRedefine/>
    <w:qFormat/>
    <w:uiPriority w:val="0"/>
    <w:pPr>
      <w:adjustRightInd w:val="0"/>
      <w:snapToGrid w:val="0"/>
      <w:spacing w:line="360" w:lineRule="auto"/>
      <w:ind w:firstLine="200" w:firstLineChars="200"/>
    </w:pPr>
    <w:rPr>
      <w:kern w:val="0"/>
      <w:sz w:val="24"/>
    </w:rPr>
  </w:style>
  <w:style w:type="character" w:customStyle="1" w:styleId="258">
    <w:name w:val="fontstyle21"/>
    <w:basedOn w:val="43"/>
    <w:autoRedefine/>
    <w:qFormat/>
    <w:uiPriority w:val="0"/>
    <w:rPr>
      <w:rFonts w:ascii="TimesNewRomanPSMT" w:hAnsi="TimesNewRomanPSMT" w:eastAsia="TimesNewRomanPSMT" w:cs="TimesNewRomanPSMT"/>
      <w:color w:val="000000"/>
      <w:sz w:val="24"/>
      <w:szCs w:val="24"/>
    </w:rPr>
  </w:style>
  <w:style w:type="paragraph" w:customStyle="1" w:styleId="259">
    <w:name w:val="我正文2"/>
    <w:basedOn w:val="260"/>
    <w:autoRedefine/>
    <w:qFormat/>
    <w:uiPriority w:val="0"/>
    <w:pPr>
      <w:ind w:left="-365" w:leftChars="-152" w:firstLine="480"/>
    </w:pPr>
  </w:style>
  <w:style w:type="paragraph" w:customStyle="1" w:styleId="260">
    <w:name w:val="中文报告书样式"/>
    <w:basedOn w:val="1"/>
    <w:autoRedefine/>
    <w:qFormat/>
    <w:uiPriority w:val="0"/>
    <w:pPr>
      <w:adjustRightInd w:val="0"/>
      <w:spacing w:line="360" w:lineRule="auto"/>
      <w:ind w:firstLine="482"/>
      <w:textAlignment w:val="baseline"/>
    </w:pPr>
    <w:rPr>
      <w:kern w:val="24"/>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86</Pages>
  <Words>60425</Words>
  <Characters>67511</Characters>
  <Lines>203</Lines>
  <Paragraphs>57</Paragraphs>
  <TotalTime>0</TotalTime>
  <ScaleCrop>false</ScaleCrop>
  <LinksUpToDate>false</LinksUpToDate>
  <CharactersWithSpaces>68033</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The minit</cp:lastModifiedBy>
  <cp:lastPrinted>2024-09-02T09:02:00Z</cp:lastPrinted>
  <dcterms:modified xsi:type="dcterms:W3CDTF">2024-10-23T08:41:17Z</dcterms:modified>
  <dc:title>附件2</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8407A54E6BCD4B608C0112FA388109FC_13</vt:lpwstr>
  </property>
</Properties>
</file>